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9D44ED" w14:textId="32CADAC8" w:rsidR="00490738" w:rsidRPr="00131EED" w:rsidRDefault="00163EAE" w:rsidP="00024421">
      <w:pPr>
        <w:rPr>
          <w:rFonts w:eastAsia="Arial"/>
        </w:rPr>
      </w:pPr>
      <w:bookmarkStart w:id="0" w:name="OLE_LINK2"/>
      <w:bookmarkStart w:id="1" w:name="OLE_LINK3"/>
      <w:r w:rsidRPr="00131EED">
        <w:rPr>
          <w:rFonts w:eastAsia="Arial"/>
          <w:noProof/>
          <w:lang w:eastAsia="en-US"/>
        </w:rPr>
        <w:drawing>
          <wp:anchor distT="0" distB="0" distL="114300" distR="114300" simplePos="0" relativeHeight="251585024" behindDoc="1" locked="0" layoutInCell="1" allowOverlap="1" wp14:anchorId="22091F7E" wp14:editId="133B2AFE">
            <wp:simplePos x="0" y="0"/>
            <wp:positionH relativeFrom="page">
              <wp:posOffset>-3708400</wp:posOffset>
            </wp:positionH>
            <wp:positionV relativeFrom="paragraph">
              <wp:posOffset>-1364615</wp:posOffset>
            </wp:positionV>
            <wp:extent cx="16687182" cy="10174605"/>
            <wp:effectExtent l="0" t="0" r="635" b="0"/>
            <wp:wrapNone/>
            <wp:docPr id="22" name="Imagen 1">
              <a:extLst xmlns:a="http://schemas.openxmlformats.org/drawingml/2006/main">
                <a:ext uri="{FF2B5EF4-FFF2-40B4-BE49-F238E27FC236}">
                  <a16:creationId xmlns:a16="http://schemas.microsoft.com/office/drawing/2014/main" id="{F4DFBA78-F84B-F063-7CF7-1CF56C14CC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F4DFBA78-F84B-F063-7CF7-1CF56C14CC42}"/>
                        </a:ext>
                      </a:extLst>
                    </pic:cNvPr>
                    <pic:cNvPicPr>
                      <a:picLocks noChangeAspect="1"/>
                    </pic:cNvPicPr>
                  </pic:nvPicPr>
                  <pic:blipFill>
                    <a:blip r:embed="rId12" cstate="screen">
                      <a:extLst>
                        <a:ext uri="{28A0092B-C50C-407E-A947-70E740481C1C}">
                          <a14:useLocalDpi xmlns:a14="http://schemas.microsoft.com/office/drawing/2010/main" val="0"/>
                        </a:ext>
                      </a:extLst>
                    </a:blip>
                    <a:stretch>
                      <a:fillRect/>
                    </a:stretch>
                  </pic:blipFill>
                  <pic:spPr>
                    <a:xfrm>
                      <a:off x="0" y="0"/>
                      <a:ext cx="16687933" cy="10175063"/>
                    </a:xfrm>
                    <a:prstGeom prst="rect">
                      <a:avLst/>
                    </a:prstGeom>
                  </pic:spPr>
                </pic:pic>
              </a:graphicData>
            </a:graphic>
            <wp14:sizeRelH relativeFrom="margin">
              <wp14:pctWidth>0</wp14:pctWidth>
            </wp14:sizeRelH>
            <wp14:sizeRelV relativeFrom="margin">
              <wp14:pctHeight>0</wp14:pctHeight>
            </wp14:sizeRelV>
          </wp:anchor>
        </w:drawing>
      </w:r>
      <w:r w:rsidR="00490738" w:rsidRPr="00131EED">
        <w:rPr>
          <w:rFonts w:eastAsia="Arial"/>
          <w:noProof/>
          <w:lang w:eastAsia="en-US"/>
        </w:rPr>
        <mc:AlternateContent>
          <mc:Choice Requires="wpg">
            <w:drawing>
              <wp:anchor distT="0" distB="0" distL="114300" distR="114300" simplePos="0" relativeHeight="251730432" behindDoc="1" locked="0" layoutInCell="1" allowOverlap="1" wp14:anchorId="36EA5718" wp14:editId="2B37ECE5">
                <wp:simplePos x="0" y="0"/>
                <wp:positionH relativeFrom="column">
                  <wp:posOffset>2173605</wp:posOffset>
                </wp:positionH>
                <wp:positionV relativeFrom="page">
                  <wp:posOffset>426720</wp:posOffset>
                </wp:positionV>
                <wp:extent cx="1569720" cy="1089660"/>
                <wp:effectExtent l="0" t="0" r="0" b="0"/>
                <wp:wrapTight wrapText="bothSides">
                  <wp:wrapPolygon edited="0">
                    <wp:start x="9437" y="0"/>
                    <wp:lineTo x="7340" y="1888"/>
                    <wp:lineTo x="6816" y="3021"/>
                    <wp:lineTo x="7340" y="6420"/>
                    <wp:lineTo x="1311" y="12462"/>
                    <wp:lineTo x="0" y="17371"/>
                    <wp:lineTo x="262" y="17748"/>
                    <wp:lineTo x="10748" y="18503"/>
                    <wp:lineTo x="6816" y="20392"/>
                    <wp:lineTo x="6816" y="21147"/>
                    <wp:lineTo x="14680" y="21147"/>
                    <wp:lineTo x="14942" y="20769"/>
                    <wp:lineTo x="13369" y="19636"/>
                    <wp:lineTo x="21233" y="17748"/>
                    <wp:lineTo x="21233" y="12462"/>
                    <wp:lineTo x="12058" y="12462"/>
                    <wp:lineTo x="14155" y="6420"/>
                    <wp:lineTo x="14680" y="4154"/>
                    <wp:lineTo x="13631" y="1510"/>
                    <wp:lineTo x="11796" y="0"/>
                    <wp:lineTo x="9437" y="0"/>
                  </wp:wrapPolygon>
                </wp:wrapTight>
                <wp:docPr id="2109583275" name="Group 45"/>
                <wp:cNvGraphicFramePr/>
                <a:graphic xmlns:a="http://schemas.openxmlformats.org/drawingml/2006/main">
                  <a:graphicData uri="http://schemas.microsoft.com/office/word/2010/wordprocessingGroup">
                    <wpg:wgp>
                      <wpg:cNvGrpSpPr/>
                      <wpg:grpSpPr>
                        <a:xfrm>
                          <a:off x="0" y="0"/>
                          <a:ext cx="1569720" cy="1089660"/>
                          <a:chOff x="0" y="0"/>
                          <a:chExt cx="1731645" cy="1202055"/>
                        </a:xfrm>
                      </wpg:grpSpPr>
                      <pic:pic xmlns:pic="http://schemas.openxmlformats.org/drawingml/2006/picture">
                        <pic:nvPicPr>
                          <pic:cNvPr id="29151363" name="Picture 44"/>
                          <pic:cNvPicPr>
                            <a:picLocks noChangeAspect="1"/>
                          </pic:cNvPicPr>
                        </pic:nvPicPr>
                        <pic:blipFill>
                          <a:blip r:embed="rId13" cstate="print">
                            <a:biLevel thresh="25000"/>
                            <a:extLst>
                              <a:ext uri="{28A0092B-C50C-407E-A947-70E740481C1C}">
                                <a14:useLocalDpi xmlns:a14="http://schemas.microsoft.com/office/drawing/2010/main" val="0"/>
                              </a:ext>
                            </a:extLst>
                          </a:blip>
                          <a:stretch>
                            <a:fillRect/>
                          </a:stretch>
                        </pic:blipFill>
                        <pic:spPr>
                          <a:xfrm>
                            <a:off x="0" y="0"/>
                            <a:ext cx="1731645" cy="1202055"/>
                          </a:xfrm>
                          <a:prstGeom prst="rect">
                            <a:avLst/>
                          </a:prstGeom>
                        </pic:spPr>
                      </pic:pic>
                      <pic:pic xmlns:pic="http://schemas.openxmlformats.org/drawingml/2006/picture">
                        <pic:nvPicPr>
                          <pic:cNvPr id="883848834" name="Picture 44" descr="A green logo with a black background&#10;&#10;AI-generated content may be incorrect."/>
                          <pic:cNvPicPr>
                            <a:picLocks noChangeAspect="1"/>
                          </pic:cNvPicPr>
                        </pic:nvPicPr>
                        <pic:blipFill rotWithShape="1">
                          <a:blip r:embed="rId14" cstate="print">
                            <a:extLst>
                              <a:ext uri="{28A0092B-C50C-407E-A947-70E740481C1C}">
                                <a14:useLocalDpi xmlns:a14="http://schemas.microsoft.com/office/drawing/2010/main" val="0"/>
                              </a:ext>
                            </a:extLst>
                          </a:blip>
                          <a:srcRect t="90650"/>
                          <a:stretch>
                            <a:fillRect/>
                          </a:stretch>
                        </pic:blipFill>
                        <pic:spPr bwMode="auto">
                          <a:xfrm>
                            <a:off x="0" y="1089660"/>
                            <a:ext cx="1731645" cy="112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6A5821F" id="Group 45" o:spid="_x0000_s1026" style="position:absolute;margin-left:171.15pt;margin-top:33.6pt;width:123.6pt;height:85.8pt;z-index:-251586048;mso-position-vertical-relative:page;mso-width-relative:margin;mso-height-relative:margin" coordsize="17316,120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 o:spid="_x0000_s1027" type="#_x0000_t75" style="position:absolute;width:17316;height:12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">
                  <v:imagedata r:id="rId15" o:title="" grayscale="t" bilevel="t"/>
                </v:shape>
                <v:shape id="Picture 44" o:spid="_x0000_s1028" type="#_x0000_t75" alt="A green logo with a black background&#10;&#10;AI-generated content may be incorrect." style="position:absolute;top:10896;width:17316;height:1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">
                  <v:imagedata r:id="rId16" o:title="A green logo with a black background&#10;&#10;AI-generated content may be incorrect" croptop="59408f"/>
                </v:shape>
                <w10:wrap type="tight" anchory="page"/>
              </v:group>
            </w:pict>
          </mc:Fallback>
        </mc:AlternateContent>
      </w:r>
    </w:p>
    <w:p w14:paraId="247AC83D" w14:textId="0B03B0A6" w:rsidR="00261B86" w:rsidRPr="00131EED" w:rsidRDefault="00261B86" w:rsidP="00024421">
      <w:pPr>
        <w:rPr>
          <w:rFonts w:eastAsia="Arial"/>
        </w:rPr>
      </w:pPr>
    </w:p>
    <w:p w14:paraId="46289CBE" w14:textId="3241AFBC" w:rsidR="00261B86" w:rsidRPr="00131EED" w:rsidRDefault="00261B86" w:rsidP="00024421">
      <w:pPr>
        <w:rPr>
          <w:rFonts w:eastAsia="Arial"/>
        </w:rPr>
      </w:pPr>
    </w:p>
    <w:p w14:paraId="5490FB0B" w14:textId="06DF98A5" w:rsidR="00261B86" w:rsidRPr="00131EED" w:rsidRDefault="00261B86" w:rsidP="00024421">
      <w:pPr>
        <w:rPr>
          <w:rFonts w:eastAsia="Arial"/>
        </w:rPr>
      </w:pPr>
    </w:p>
    <w:p w14:paraId="20F5382B" w14:textId="0054D0ED" w:rsidR="00261B86" w:rsidRPr="00131EED" w:rsidRDefault="00261B86" w:rsidP="00024421">
      <w:pPr>
        <w:rPr>
          <w:rFonts w:eastAsia="Arial"/>
        </w:rPr>
      </w:pPr>
    </w:p>
    <w:p w14:paraId="2CAFABE3" w14:textId="2EEB9853" w:rsidR="00092C75" w:rsidRPr="00131EED" w:rsidRDefault="00092C75" w:rsidP="006845C5">
      <w:pPr>
        <w:rPr>
          <w:rFonts w:eastAsia="Arial"/>
        </w:rPr>
      </w:pPr>
    </w:p>
    <w:p w14:paraId="4A8A7EAA" w14:textId="713B65EA" w:rsidR="00092C75" w:rsidRPr="00131EED" w:rsidRDefault="00092C75" w:rsidP="006845C5">
      <w:pPr>
        <w:rPr>
          <w:rFonts w:eastAsia="Arial"/>
        </w:rPr>
      </w:pPr>
    </w:p>
    <w:p w14:paraId="71F67F4D" w14:textId="049B9624" w:rsidR="00092C75" w:rsidRPr="00131EED" w:rsidRDefault="00092C75" w:rsidP="006845C5">
      <w:pPr>
        <w:rPr>
          <w:rFonts w:eastAsia="Arial"/>
        </w:rPr>
      </w:pPr>
    </w:p>
    <w:p w14:paraId="5F16A90D" w14:textId="4E3EAEEC" w:rsidR="00092C75" w:rsidRPr="00131EED" w:rsidRDefault="00092C75" w:rsidP="006845C5">
      <w:pPr>
        <w:rPr>
          <w:rFonts w:eastAsia="Arial"/>
        </w:rPr>
      </w:pPr>
    </w:p>
    <w:p w14:paraId="7D65FB25" w14:textId="32E73F10" w:rsidR="00092C75" w:rsidRPr="00131EED" w:rsidRDefault="00092C75" w:rsidP="006845C5">
      <w:pPr>
        <w:rPr>
          <w:rFonts w:eastAsia="Arial"/>
        </w:rPr>
      </w:pPr>
    </w:p>
    <w:p w14:paraId="79E08FAE" w14:textId="07AC7D8B" w:rsidR="00092C75" w:rsidRPr="00131EED" w:rsidRDefault="00092C75" w:rsidP="006845C5">
      <w:pPr>
        <w:rPr>
          <w:rFonts w:eastAsia="Arial"/>
        </w:rPr>
      </w:pPr>
    </w:p>
    <w:p w14:paraId="7B8F84AA" w14:textId="77777777" w:rsidR="00092C75" w:rsidRPr="00131EED" w:rsidRDefault="00092C75" w:rsidP="006845C5">
      <w:pPr>
        <w:rPr>
          <w:rFonts w:eastAsia="Arial"/>
        </w:rPr>
      </w:pPr>
    </w:p>
    <w:p w14:paraId="7A42AD7A" w14:textId="1CA8BF67" w:rsidR="00092C75" w:rsidRPr="00131EED" w:rsidRDefault="00092C75" w:rsidP="006845C5">
      <w:pPr>
        <w:rPr>
          <w:rFonts w:eastAsia="Arial"/>
        </w:rPr>
      </w:pPr>
    </w:p>
    <w:p w14:paraId="397F3470" w14:textId="77777777" w:rsidR="00092C75" w:rsidRPr="00131EED" w:rsidRDefault="00092C75" w:rsidP="006845C5">
      <w:pPr>
        <w:rPr>
          <w:rFonts w:eastAsia="Arial"/>
        </w:rPr>
      </w:pPr>
    </w:p>
    <w:p w14:paraId="50FD386D" w14:textId="77777777" w:rsidR="00092C75" w:rsidRPr="00131EED" w:rsidRDefault="00092C75" w:rsidP="006845C5">
      <w:pPr>
        <w:rPr>
          <w:rFonts w:eastAsia="Arial"/>
        </w:rPr>
      </w:pPr>
    </w:p>
    <w:p w14:paraId="70819E8E" w14:textId="77777777" w:rsidR="00092C75" w:rsidRPr="00131EED" w:rsidRDefault="00092C75" w:rsidP="006845C5">
      <w:pPr>
        <w:rPr>
          <w:rFonts w:eastAsia="Arial"/>
        </w:rPr>
      </w:pPr>
    </w:p>
    <w:p w14:paraId="682A36BE" w14:textId="77777777" w:rsidR="00092C75" w:rsidRPr="00131EED" w:rsidRDefault="00092C75" w:rsidP="006845C5">
      <w:pPr>
        <w:rPr>
          <w:rFonts w:eastAsia="Arial"/>
        </w:rPr>
      </w:pPr>
    </w:p>
    <w:p w14:paraId="47F3E06D" w14:textId="77777777" w:rsidR="00092C75" w:rsidRPr="00131EED" w:rsidRDefault="00092C75" w:rsidP="00024421">
      <w:pPr>
        <w:rPr>
          <w:rFonts w:eastAsia="Arial"/>
        </w:rPr>
      </w:pPr>
    </w:p>
    <w:p w14:paraId="303DF91D" w14:textId="77777777" w:rsidR="00024421" w:rsidRPr="00131EED" w:rsidRDefault="00024421" w:rsidP="00024421">
      <w:pPr>
        <w:rPr>
          <w:rFonts w:eastAsia="Arial"/>
        </w:rPr>
      </w:pPr>
    </w:p>
    <w:p w14:paraId="46FDB49D" w14:textId="720183FA" w:rsidR="00024421" w:rsidRPr="00131EED" w:rsidRDefault="004003BC" w:rsidP="00024421">
      <w:pPr>
        <w:rPr>
          <w:rFonts w:eastAsia="Arial"/>
        </w:rPr>
      </w:pPr>
      <w:r w:rsidRPr="00131EED">
        <w:rPr>
          <w:rFonts w:eastAsia="Arial"/>
          <w:noProof/>
          <w:lang w:eastAsia="en-US"/>
        </w:rPr>
        <mc:AlternateContent>
          <mc:Choice Requires="wps">
            <w:drawing>
              <wp:anchor distT="0" distB="0" distL="114300" distR="114300" simplePos="0" relativeHeight="251728384" behindDoc="0" locked="0" layoutInCell="1" allowOverlap="1" wp14:anchorId="74DA11ED" wp14:editId="0C2ACDDC">
                <wp:simplePos x="0" y="0"/>
                <wp:positionH relativeFrom="column">
                  <wp:posOffset>1103630</wp:posOffset>
                </wp:positionH>
                <wp:positionV relativeFrom="paragraph">
                  <wp:posOffset>1836420</wp:posOffset>
                </wp:positionV>
                <wp:extent cx="5533390" cy="0"/>
                <wp:effectExtent l="0" t="0" r="0" b="0"/>
                <wp:wrapNone/>
                <wp:docPr id="1271567537" name="Straight Connector 47"/>
                <wp:cNvGraphicFramePr/>
                <a:graphic xmlns:a="http://schemas.openxmlformats.org/drawingml/2006/main">
                  <a:graphicData uri="http://schemas.microsoft.com/office/word/2010/wordprocessingShape">
                    <wps:wsp>
                      <wps:cNvCnPr/>
                      <wps:spPr>
                        <a:xfrm>
                          <a:off x="0" y="0"/>
                          <a:ext cx="5533390" cy="0"/>
                        </a:xfrm>
                        <a:prstGeom prst="line">
                          <a:avLst/>
                        </a:prstGeom>
                        <a:ln>
                          <a:solidFill>
                            <a:schemeClr val="bg1"/>
                          </a:solidFill>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72F3A6C2" id="Straight Connector 47" o:spid="_x0000_s1026" style="position:absolute;z-index:251728384;visibility:visible;mso-wrap-style:square;mso-wrap-distance-left:9pt;mso-wrap-distance-top:0;mso-wrap-distance-right:9pt;mso-wrap-distance-bottom:0;mso-position-horizontal:absolute;mso-position-horizontal-relative:text;mso-position-vertical:absolute;mso-position-vertical-relative:text" from="86.9pt,144.6pt" to="522.6pt,14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" strokecolor="white [3212]" strokeweight="1.5pt">
                <v:stroke joinstyle="miter"/>
              </v:line>
            </w:pict>
          </mc:Fallback>
        </mc:AlternateContent>
      </w:r>
    </w:p>
    <w:p w14:paraId="5887AB73" w14:textId="77777777" w:rsidR="00024421" w:rsidRPr="00131EED" w:rsidRDefault="00024421" w:rsidP="00024421">
      <w:pPr>
        <w:rPr>
          <w:rFonts w:eastAsia="Arial"/>
        </w:rPr>
      </w:pPr>
    </w:p>
    <w:p w14:paraId="1D12364C" w14:textId="77777777" w:rsidR="00024421" w:rsidRPr="00131EED" w:rsidRDefault="00024421" w:rsidP="00024421">
      <w:pPr>
        <w:rPr>
          <w:rFonts w:eastAsia="Arial"/>
        </w:rPr>
      </w:pPr>
    </w:p>
    <w:p w14:paraId="63002F48" w14:textId="77777777" w:rsidR="00024421" w:rsidRPr="00131EED" w:rsidRDefault="00024421" w:rsidP="00024421">
      <w:pPr>
        <w:rPr>
          <w:rFonts w:eastAsia="Arial"/>
        </w:rPr>
      </w:pPr>
    </w:p>
    <w:p w14:paraId="0C119A34" w14:textId="6E40A424" w:rsidR="00024421" w:rsidRPr="00131EED" w:rsidRDefault="00024421" w:rsidP="00024421">
      <w:pPr>
        <w:rPr>
          <w:rFonts w:eastAsia="Arial"/>
        </w:rPr>
      </w:pPr>
    </w:p>
    <w:p w14:paraId="74BF4174" w14:textId="3F30FF90" w:rsidR="00024421" w:rsidRPr="00131EED" w:rsidRDefault="004003BC" w:rsidP="00024421">
      <w:pPr>
        <w:rPr>
          <w:rFonts w:eastAsia="Arial"/>
        </w:rPr>
      </w:pPr>
      <w:r w:rsidRPr="00131EED">
        <w:rPr>
          <w:rFonts w:eastAsia="Arial"/>
          <w:noProof/>
          <w:lang w:eastAsia="en-US"/>
        </w:rPr>
        <mc:AlternateContent>
          <mc:Choice Requires="wps">
            <w:drawing>
              <wp:anchor distT="0" distB="0" distL="114300" distR="114300" simplePos="0" relativeHeight="251727360" behindDoc="0" locked="0" layoutInCell="1" allowOverlap="1" wp14:anchorId="5DBFEB0E" wp14:editId="66DE0051">
                <wp:simplePos x="0" y="0"/>
                <wp:positionH relativeFrom="column">
                  <wp:posOffset>-229870</wp:posOffset>
                </wp:positionH>
                <wp:positionV relativeFrom="paragraph">
                  <wp:posOffset>172085</wp:posOffset>
                </wp:positionV>
                <wp:extent cx="6913245" cy="1478915"/>
                <wp:effectExtent l="0" t="0" r="20955" b="26035"/>
                <wp:wrapNone/>
                <wp:docPr id="1671355307" name="Text Box 46"/>
                <wp:cNvGraphicFramePr/>
                <a:graphic xmlns:a="http://schemas.openxmlformats.org/drawingml/2006/main">
                  <a:graphicData uri="http://schemas.microsoft.com/office/word/2010/wordprocessingShape">
                    <wps:wsp>
                      <wps:cNvSpPr txBox="1"/>
                      <wps:spPr>
                        <a:xfrm>
                          <a:off x="0" y="0"/>
                          <a:ext cx="6913245" cy="1478915"/>
                        </a:xfrm>
                        <a:prstGeom prst="rect">
                          <a:avLst/>
                        </a:prstGeom>
                        <a:solidFill>
                          <a:schemeClr val="lt1">
                            <a:alpha val="30000"/>
                          </a:schemeClr>
                        </a:solidFill>
                        <a:ln w="6350">
                          <a:solidFill>
                            <a:prstClr val="black"/>
                          </a:solidFill>
                        </a:ln>
                      </wps:spPr>
                      <wps:txbx>
                        <w:txbxContent>
                          <w:p w14:paraId="4678C704" w14:textId="4E607ADB" w:rsidR="00950F07" w:rsidRPr="00131EED" w:rsidRDefault="00950F07" w:rsidP="0072110B">
                            <w:pPr>
                              <w:pBdr>
                                <w:top w:val="nil"/>
                                <w:left w:val="nil"/>
                                <w:bottom w:val="nil"/>
                                <w:right w:val="nil"/>
                                <w:between w:val="nil"/>
                              </w:pBdr>
                              <w:jc w:val="right"/>
                              <w:rPr>
                                <w:rFonts w:ascii="Baskerville" w:eastAsia="Arial" w:hAnsi="Baskerville" w:cs="Arial"/>
                                <w:b/>
                                <w:smallCaps/>
                                <w:color w:val="FFFFFF" w:themeColor="background1"/>
                                <w:sz w:val="52"/>
                                <w:szCs w:val="48"/>
                              </w:rPr>
                            </w:pPr>
                            <w:r w:rsidRPr="00131EED">
                              <w:rPr>
                                <w:rFonts w:ascii="Baskerville" w:eastAsia="Arial" w:hAnsi="Baskerville" w:cs="Arial"/>
                                <w:b/>
                                <w:smallCaps/>
                                <w:color w:val="FFFFFF" w:themeColor="background1"/>
                                <w:sz w:val="52"/>
                                <w:szCs w:val="48"/>
                              </w:rPr>
                              <w:t>Directrices para el Ordenamiento Ambiental de la Sabana de Bogotá</w:t>
                            </w:r>
                          </w:p>
                          <w:p w14:paraId="783353D6" w14:textId="34084392" w:rsidR="00950F07" w:rsidRPr="00131EED" w:rsidRDefault="00950F07" w:rsidP="0072110B">
                            <w:pPr>
                              <w:pBdr>
                                <w:top w:val="nil"/>
                                <w:left w:val="nil"/>
                                <w:bottom w:val="nil"/>
                                <w:right w:val="nil"/>
                                <w:between w:val="nil"/>
                              </w:pBdr>
                              <w:jc w:val="right"/>
                              <w:rPr>
                                <w:rFonts w:ascii="Baskerville" w:eastAsia="Arial" w:hAnsi="Baskerville" w:cs="Arial"/>
                                <w:b/>
                                <w:color w:val="FFFFFF" w:themeColor="background1"/>
                                <w:sz w:val="40"/>
                              </w:rPr>
                            </w:pPr>
                            <w:r w:rsidRPr="00131EED">
                              <w:rPr>
                                <w:rFonts w:ascii="Baskerville" w:eastAsia="Arial" w:hAnsi="Baskerville" w:cs="Arial"/>
                                <w:b/>
                                <w:color w:val="FFFFFF" w:themeColor="background1"/>
                                <w:sz w:val="40"/>
                              </w:rPr>
                              <w:t>Documento Técnico de Soporte</w:t>
                            </w:r>
                          </w:p>
                          <w:p w14:paraId="73881F41" w14:textId="32530B4E" w:rsidR="00950F07" w:rsidRPr="00131EED" w:rsidRDefault="00602DD4" w:rsidP="006845C5">
                            <w:pPr>
                              <w:pBdr>
                                <w:top w:val="nil"/>
                                <w:left w:val="nil"/>
                                <w:bottom w:val="nil"/>
                                <w:right w:val="nil"/>
                                <w:between w:val="nil"/>
                              </w:pBdr>
                              <w:jc w:val="right"/>
                              <w:rPr>
                                <w:rFonts w:ascii="Baskerville" w:eastAsia="Arial" w:hAnsi="Baskerville" w:cs="Arial"/>
                                <w:b/>
                                <w:color w:val="FFFFFF" w:themeColor="background1"/>
                                <w:sz w:val="40"/>
                              </w:rPr>
                            </w:pPr>
                            <w:r w:rsidRPr="00131EED">
                              <w:rPr>
                                <w:rFonts w:ascii="Baskerville" w:eastAsia="Arial" w:hAnsi="Baskerville" w:cs="Arial"/>
                                <w:b/>
                                <w:color w:val="FFFFFF" w:themeColor="background1"/>
                                <w:sz w:val="40"/>
                              </w:rPr>
                              <w:t xml:space="preserve">Versión </w:t>
                            </w:r>
                            <w:r w:rsidR="00410194" w:rsidRPr="00131EED">
                              <w:rPr>
                                <w:rFonts w:ascii="Baskerville" w:eastAsia="Arial" w:hAnsi="Baskerville" w:cs="Arial"/>
                                <w:b/>
                                <w:color w:val="FFFFFF" w:themeColor="background1"/>
                                <w:sz w:val="40"/>
                              </w:rPr>
                              <w:t>Diciembre</w:t>
                            </w:r>
                            <w:r w:rsidR="007540C2" w:rsidRPr="00131EED">
                              <w:rPr>
                                <w:rFonts w:ascii="Baskerville" w:eastAsia="Arial" w:hAnsi="Baskerville" w:cs="Arial"/>
                                <w:b/>
                                <w:color w:val="FFFFFF" w:themeColor="background1"/>
                                <w:sz w:val="40"/>
                              </w:rPr>
                              <w:t xml:space="preserve"> 2025</w:t>
                            </w:r>
                          </w:p>
                          <w:p w14:paraId="5A1D3D2E" w14:textId="77777777" w:rsidR="00950F07" w:rsidRPr="00131EED" w:rsidRDefault="00950F07" w:rsidP="006845C5">
                            <w:pPr>
                              <w:jc w:val="right"/>
                              <w:rPr>
                                <w:color w:val="FFFFFF" w:themeColor="background1"/>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DBFEB0E" id="_x0000_t202" coordsize="21600,21600" o:spt="202" path="m,l,21600r21600,l21600,xe">
                <v:stroke joinstyle="miter"/>
                <v:path gradientshapeok="t" o:connecttype="rect"/>
              </v:shapetype>
              <v:shape id="Text Box 46" o:spid="_x0000_s1026" type="#_x0000_t202" style="position:absolute;left:0;text-align:left;margin-left:-18.1pt;margin-top:13.55pt;width:544.35pt;height:116.45pt;z-index:251727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" fillcolor="white [3201]" strokeweight=".5pt">
                <v:fill opacity="19789f"/>
                <v:textbox>
                  <w:txbxContent>
                    <w:p w14:paraId="4678C704" w14:textId="4E607ADB" w:rsidR="00950F07" w:rsidRPr="00131EED" w:rsidRDefault="00950F07" w:rsidP="0072110B">
                      <w:pPr>
                        <w:pBdr>
                          <w:top w:val="nil"/>
                          <w:left w:val="nil"/>
                          <w:bottom w:val="nil"/>
                          <w:right w:val="nil"/>
                          <w:between w:val="nil"/>
                        </w:pBdr>
                        <w:jc w:val="right"/>
                        <w:rPr>
                          <w:rFonts w:ascii="Baskerville" w:eastAsia="Arial" w:hAnsi="Baskerville" w:cs="Arial"/>
                          <w:b/>
                          <w:smallCaps/>
                          <w:color w:val="FFFFFF" w:themeColor="background1"/>
                          <w:sz w:val="52"/>
                          <w:szCs w:val="48"/>
                        </w:rPr>
                      </w:pPr>
                      <w:r w:rsidRPr="00131EED">
                        <w:rPr>
                          <w:rFonts w:ascii="Baskerville" w:eastAsia="Arial" w:hAnsi="Baskerville" w:cs="Arial"/>
                          <w:b/>
                          <w:smallCaps/>
                          <w:color w:val="FFFFFF" w:themeColor="background1"/>
                          <w:sz w:val="52"/>
                          <w:szCs w:val="48"/>
                        </w:rPr>
                        <w:t>Directrices para el Ordenamiento Ambiental de la Sabana de Bogotá</w:t>
                      </w:r>
                    </w:p>
                    <w:p w14:paraId="783353D6" w14:textId="34084392" w:rsidR="00950F07" w:rsidRPr="00131EED" w:rsidRDefault="00950F07" w:rsidP="0072110B">
                      <w:pPr>
                        <w:pBdr>
                          <w:top w:val="nil"/>
                          <w:left w:val="nil"/>
                          <w:bottom w:val="nil"/>
                          <w:right w:val="nil"/>
                          <w:between w:val="nil"/>
                        </w:pBdr>
                        <w:jc w:val="right"/>
                        <w:rPr>
                          <w:rFonts w:ascii="Baskerville" w:eastAsia="Arial" w:hAnsi="Baskerville" w:cs="Arial"/>
                          <w:b/>
                          <w:color w:val="FFFFFF" w:themeColor="background1"/>
                          <w:sz w:val="40"/>
                        </w:rPr>
                      </w:pPr>
                      <w:r w:rsidRPr="00131EED">
                        <w:rPr>
                          <w:rFonts w:ascii="Baskerville" w:eastAsia="Arial" w:hAnsi="Baskerville" w:cs="Arial"/>
                          <w:b/>
                          <w:color w:val="FFFFFF" w:themeColor="background1"/>
                          <w:sz w:val="40"/>
                        </w:rPr>
                        <w:t>Documento Técnico de Soporte</w:t>
                      </w:r>
                    </w:p>
                    <w:p w14:paraId="73881F41" w14:textId="32530B4E" w:rsidR="00950F07" w:rsidRPr="00131EED" w:rsidRDefault="00602DD4" w:rsidP="006845C5">
                      <w:pPr>
                        <w:pBdr>
                          <w:top w:val="nil"/>
                          <w:left w:val="nil"/>
                          <w:bottom w:val="nil"/>
                          <w:right w:val="nil"/>
                          <w:between w:val="nil"/>
                        </w:pBdr>
                        <w:jc w:val="right"/>
                        <w:rPr>
                          <w:rFonts w:ascii="Baskerville" w:eastAsia="Arial" w:hAnsi="Baskerville" w:cs="Arial"/>
                          <w:b/>
                          <w:color w:val="FFFFFF" w:themeColor="background1"/>
                          <w:sz w:val="40"/>
                        </w:rPr>
                      </w:pPr>
                      <w:r w:rsidRPr="00131EED">
                        <w:rPr>
                          <w:rFonts w:ascii="Baskerville" w:eastAsia="Arial" w:hAnsi="Baskerville" w:cs="Arial"/>
                          <w:b/>
                          <w:color w:val="FFFFFF" w:themeColor="background1"/>
                          <w:sz w:val="40"/>
                        </w:rPr>
                        <w:t xml:space="preserve">Versión </w:t>
                      </w:r>
                      <w:r w:rsidR="00410194" w:rsidRPr="00131EED">
                        <w:rPr>
                          <w:rFonts w:ascii="Baskerville" w:eastAsia="Arial" w:hAnsi="Baskerville" w:cs="Arial"/>
                          <w:b/>
                          <w:color w:val="FFFFFF" w:themeColor="background1"/>
                          <w:sz w:val="40"/>
                        </w:rPr>
                        <w:t>Diciembre</w:t>
                      </w:r>
                      <w:r w:rsidR="007540C2" w:rsidRPr="00131EED">
                        <w:rPr>
                          <w:rFonts w:ascii="Baskerville" w:eastAsia="Arial" w:hAnsi="Baskerville" w:cs="Arial"/>
                          <w:b/>
                          <w:color w:val="FFFFFF" w:themeColor="background1"/>
                          <w:sz w:val="40"/>
                        </w:rPr>
                        <w:t xml:space="preserve"> 2025</w:t>
                      </w:r>
                    </w:p>
                    <w:p w14:paraId="5A1D3D2E" w14:textId="77777777" w:rsidR="00950F07" w:rsidRPr="00131EED" w:rsidRDefault="00950F07" w:rsidP="006845C5">
                      <w:pPr>
                        <w:jc w:val="right"/>
                        <w:rPr>
                          <w:color w:val="FFFFFF" w:themeColor="background1"/>
                          <w:sz w:val="20"/>
                          <w:szCs w:val="20"/>
                        </w:rPr>
                      </w:pPr>
                    </w:p>
                  </w:txbxContent>
                </v:textbox>
              </v:shape>
            </w:pict>
          </mc:Fallback>
        </mc:AlternateContent>
      </w:r>
    </w:p>
    <w:p w14:paraId="2CDA705E" w14:textId="6484EBEE" w:rsidR="00024421" w:rsidRPr="00131EED" w:rsidRDefault="00024421" w:rsidP="00024421">
      <w:pPr>
        <w:rPr>
          <w:rFonts w:eastAsia="Arial"/>
        </w:rPr>
      </w:pPr>
    </w:p>
    <w:p w14:paraId="1BBF4E40" w14:textId="7A930D67" w:rsidR="00024421" w:rsidRPr="00131EED" w:rsidRDefault="00024421" w:rsidP="00024421">
      <w:pPr>
        <w:rPr>
          <w:rFonts w:eastAsia="Arial"/>
        </w:rPr>
      </w:pPr>
    </w:p>
    <w:p w14:paraId="5E5AA7DB" w14:textId="77777777" w:rsidR="00024421" w:rsidRPr="00131EED" w:rsidRDefault="00024421" w:rsidP="00024421">
      <w:pPr>
        <w:rPr>
          <w:rFonts w:eastAsia="Arial"/>
        </w:rPr>
      </w:pPr>
    </w:p>
    <w:p w14:paraId="5EA14C4F" w14:textId="77777777" w:rsidR="00024421" w:rsidRPr="00131EED" w:rsidRDefault="00024421" w:rsidP="00024421">
      <w:pPr>
        <w:rPr>
          <w:rFonts w:eastAsia="Arial"/>
        </w:rPr>
      </w:pPr>
    </w:p>
    <w:p w14:paraId="6AA42EBC" w14:textId="77777777" w:rsidR="00024421" w:rsidRPr="00131EED" w:rsidRDefault="00024421" w:rsidP="00024421">
      <w:pPr>
        <w:rPr>
          <w:rFonts w:eastAsia="Arial"/>
        </w:rPr>
      </w:pPr>
    </w:p>
    <w:p w14:paraId="4144781B" w14:textId="77777777" w:rsidR="00024421" w:rsidRPr="00131EED" w:rsidRDefault="00024421" w:rsidP="00024421">
      <w:pPr>
        <w:rPr>
          <w:rFonts w:eastAsia="Arial"/>
        </w:rPr>
      </w:pPr>
    </w:p>
    <w:p w14:paraId="441D0C70" w14:textId="77777777" w:rsidR="00024421" w:rsidRPr="00131EED" w:rsidRDefault="00024421" w:rsidP="00024421">
      <w:pPr>
        <w:rPr>
          <w:rFonts w:eastAsia="Arial"/>
        </w:rPr>
      </w:pPr>
    </w:p>
    <w:p w14:paraId="38AFF457" w14:textId="77777777" w:rsidR="00024421" w:rsidRPr="00131EED" w:rsidRDefault="00024421" w:rsidP="00024421">
      <w:pPr>
        <w:rPr>
          <w:rFonts w:eastAsia="Arial"/>
        </w:rPr>
      </w:pPr>
    </w:p>
    <w:p w14:paraId="40093785" w14:textId="77777777" w:rsidR="00024421" w:rsidRPr="00131EED" w:rsidRDefault="00024421" w:rsidP="00024421">
      <w:pPr>
        <w:rPr>
          <w:rFonts w:eastAsia="Arial"/>
        </w:rPr>
      </w:pPr>
    </w:p>
    <w:p w14:paraId="6EA2C84F" w14:textId="77777777" w:rsidR="00024421" w:rsidRPr="00131EED" w:rsidRDefault="00024421" w:rsidP="00024421">
      <w:pPr>
        <w:rPr>
          <w:rFonts w:eastAsia="Arial"/>
        </w:rPr>
      </w:pPr>
    </w:p>
    <w:p w14:paraId="637F178C" w14:textId="77777777" w:rsidR="00024421" w:rsidRPr="00131EED" w:rsidRDefault="00024421" w:rsidP="00024421">
      <w:pPr>
        <w:rPr>
          <w:rFonts w:eastAsia="Arial"/>
        </w:rPr>
      </w:pPr>
    </w:p>
    <w:p w14:paraId="197F62C0" w14:textId="77777777" w:rsidR="00024421" w:rsidRPr="00131EED" w:rsidRDefault="00024421" w:rsidP="00024421">
      <w:pPr>
        <w:rPr>
          <w:rFonts w:eastAsia="Arial"/>
        </w:rPr>
      </w:pPr>
    </w:p>
    <w:p w14:paraId="52D8C2F2" w14:textId="77777777" w:rsidR="00024421" w:rsidRPr="00131EED" w:rsidRDefault="00024421" w:rsidP="00024421">
      <w:pPr>
        <w:rPr>
          <w:rFonts w:eastAsia="Arial"/>
        </w:rPr>
      </w:pPr>
    </w:p>
    <w:p w14:paraId="488427F4" w14:textId="77777777" w:rsidR="00024421" w:rsidRPr="00131EED" w:rsidRDefault="00024421" w:rsidP="00024421">
      <w:pPr>
        <w:rPr>
          <w:rFonts w:eastAsia="Arial"/>
        </w:rPr>
      </w:pPr>
    </w:p>
    <w:p w14:paraId="6598A017" w14:textId="77777777" w:rsidR="00024421" w:rsidRPr="00131EED" w:rsidRDefault="00024421" w:rsidP="00024421">
      <w:pPr>
        <w:rPr>
          <w:rFonts w:eastAsia="Arial"/>
        </w:rPr>
      </w:pPr>
    </w:p>
    <w:p w14:paraId="2EC1C5E3" w14:textId="77777777" w:rsidR="00024421" w:rsidRPr="00131EED" w:rsidRDefault="00024421" w:rsidP="00024421">
      <w:pPr>
        <w:rPr>
          <w:rFonts w:eastAsia="Arial"/>
        </w:rPr>
      </w:pPr>
    </w:p>
    <w:p w14:paraId="2FECD1E8" w14:textId="77777777" w:rsidR="00024421" w:rsidRPr="00131EED" w:rsidRDefault="00024421" w:rsidP="00024421">
      <w:pPr>
        <w:rPr>
          <w:rFonts w:eastAsia="Arial"/>
        </w:rPr>
      </w:pPr>
    </w:p>
    <w:p w14:paraId="2986D2C0" w14:textId="0AF23F4D" w:rsidR="00BE362D" w:rsidRPr="00131EED" w:rsidRDefault="00225BAF" w:rsidP="00E72472">
      <w:pPr>
        <w:jc w:val="center"/>
        <w:rPr>
          <w:rFonts w:ascii="Baskerville" w:eastAsia="Arial" w:hAnsi="Baskerville" w:cs="Arial"/>
          <w:b/>
          <w:smallCaps/>
          <w:sz w:val="44"/>
          <w:szCs w:val="32"/>
        </w:rPr>
      </w:pPr>
      <w:r w:rsidRPr="00131EED">
        <w:rPr>
          <w:rFonts w:ascii="Baskerville" w:eastAsia="Arial" w:hAnsi="Baskerville" w:cs="Arial"/>
          <w:b/>
          <w:smallCaps/>
          <w:sz w:val="44"/>
          <w:szCs w:val="32"/>
        </w:rPr>
        <w:lastRenderedPageBreak/>
        <w:t>Directrices para el Ordenamiento Ambiental de la Sabana de Bogotá</w:t>
      </w:r>
    </w:p>
    <w:p w14:paraId="35FA3037" w14:textId="5EEA8B0D" w:rsidR="00037160" w:rsidRPr="00131EED" w:rsidRDefault="00037160" w:rsidP="00037160">
      <w:pPr>
        <w:pBdr>
          <w:top w:val="nil"/>
          <w:left w:val="nil"/>
          <w:bottom w:val="nil"/>
          <w:right w:val="nil"/>
          <w:between w:val="nil"/>
        </w:pBdr>
        <w:ind w:left="720" w:hanging="720"/>
        <w:jc w:val="center"/>
        <w:rPr>
          <w:rFonts w:ascii="Baskerville" w:eastAsia="Arial" w:hAnsi="Baskerville" w:cs="Arial"/>
          <w:bCs/>
          <w:smallCaps/>
          <w:sz w:val="28"/>
          <w:szCs w:val="12"/>
        </w:rPr>
      </w:pPr>
      <w:r w:rsidRPr="00131EED">
        <w:rPr>
          <w:rFonts w:ascii="Baskerville" w:eastAsia="Arial" w:hAnsi="Baskerville" w:cs="Arial"/>
          <w:bCs/>
          <w:smallCaps/>
          <w:sz w:val="28"/>
          <w:szCs w:val="12"/>
        </w:rPr>
        <w:t>DOCUMENTO / ESTUDIO TÉCNICO DE SOPORTE</w:t>
      </w:r>
    </w:p>
    <w:p w14:paraId="4F671D42" w14:textId="77777777" w:rsidR="00A06448" w:rsidRPr="00131EED" w:rsidRDefault="00A06448" w:rsidP="00CE58F2">
      <w:pPr>
        <w:pBdr>
          <w:top w:val="nil"/>
          <w:left w:val="nil"/>
          <w:bottom w:val="nil"/>
          <w:right w:val="nil"/>
          <w:between w:val="nil"/>
        </w:pBdr>
        <w:jc w:val="center"/>
        <w:rPr>
          <w:rFonts w:ascii="Baskerville" w:eastAsia="Arial" w:hAnsi="Baskerville" w:cs="Arial"/>
          <w:b/>
          <w:bCs/>
          <w:sz w:val="16"/>
          <w:szCs w:val="16"/>
        </w:rPr>
      </w:pPr>
    </w:p>
    <w:p w14:paraId="287C8A24" w14:textId="35DF195E" w:rsidR="001A05E5" w:rsidRPr="00131EED" w:rsidRDefault="00801B62" w:rsidP="00CE58F2">
      <w:pPr>
        <w:pBdr>
          <w:top w:val="nil"/>
          <w:left w:val="nil"/>
          <w:bottom w:val="nil"/>
          <w:right w:val="nil"/>
          <w:between w:val="nil"/>
        </w:pBdr>
        <w:jc w:val="center"/>
        <w:rPr>
          <w:rFonts w:ascii="Baskerville" w:eastAsia="Arial" w:hAnsi="Baskerville" w:cs="Arial"/>
          <w:b/>
          <w:sz w:val="10"/>
          <w:szCs w:val="10"/>
        </w:rPr>
      </w:pPr>
      <w:r w:rsidRPr="00131EED">
        <w:rPr>
          <w:rFonts w:ascii="Baskerville" w:eastAsia="Arial" w:hAnsi="Baskerville" w:cs="Arial"/>
          <w:b/>
          <w:noProof/>
          <w:sz w:val="16"/>
          <w:szCs w:val="16"/>
          <w:lang w:eastAsia="en-US"/>
        </w:rPr>
        <mc:AlternateContent>
          <mc:Choice Requires="wps">
            <w:drawing>
              <wp:anchor distT="0" distB="0" distL="114300" distR="114300" simplePos="0" relativeHeight="251729408" behindDoc="0" locked="0" layoutInCell="1" allowOverlap="1" wp14:anchorId="4FA345F6" wp14:editId="15D0D12E">
                <wp:simplePos x="0" y="0"/>
                <wp:positionH relativeFrom="column">
                  <wp:posOffset>0</wp:posOffset>
                </wp:positionH>
                <wp:positionV relativeFrom="paragraph">
                  <wp:posOffset>13335</wp:posOffset>
                </wp:positionV>
                <wp:extent cx="5600700" cy="0"/>
                <wp:effectExtent l="0" t="0" r="0" b="0"/>
                <wp:wrapNone/>
                <wp:docPr id="1310023548" name="Straight Connector 50"/>
                <wp:cNvGraphicFramePr/>
                <a:graphic xmlns:a="http://schemas.openxmlformats.org/drawingml/2006/main">
                  <a:graphicData uri="http://schemas.microsoft.com/office/word/2010/wordprocessingShape">
                    <wps:wsp>
                      <wps:cNvCnPr/>
                      <wps:spPr>
                        <a:xfrm>
                          <a:off x="0" y="0"/>
                          <a:ext cx="5600700" cy="0"/>
                        </a:xfrm>
                        <a:prstGeom prst="line">
                          <a:avLst/>
                        </a:prstGeom>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39B77DDB" id="Straight Connector 50" o:spid="_x0000_s1026" style="position:absolute;z-index:251729408;visibility:visible;mso-wrap-style:square;mso-wrap-distance-left:9pt;mso-wrap-distance-top:0;mso-wrap-distance-right:9pt;mso-wrap-distance-bottom:0;mso-position-horizontal:absolute;mso-position-horizontal-relative:text;mso-position-vertical:absolute;mso-position-vertical-relative:text" from="0,1.05pt" to="441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" strokecolor="black [3200]" strokeweight="1pt">
                <v:stroke joinstyle="miter"/>
              </v:line>
            </w:pict>
          </mc:Fallback>
        </mc:AlternateContent>
      </w:r>
    </w:p>
    <w:p w14:paraId="11D22F84" w14:textId="6217A5FD" w:rsidR="005B2034" w:rsidRPr="00131EED" w:rsidRDefault="00F9637B" w:rsidP="0017549A">
      <w:pPr>
        <w:contextualSpacing/>
        <w:jc w:val="center"/>
        <w:rPr>
          <w:b/>
          <w:smallCaps/>
          <w:lang w:eastAsia="es-ES"/>
        </w:rPr>
      </w:pPr>
      <w:r w:rsidRPr="00131EED">
        <w:rPr>
          <w:b/>
          <w:smallCaps/>
          <w:noProof/>
          <w:lang w:eastAsia="en-US"/>
        </w:rPr>
        <w:drawing>
          <wp:inline distT="0" distB="0" distL="0" distR="0" wp14:anchorId="4047D160" wp14:editId="1F2E0C19">
            <wp:extent cx="968766" cy="1014475"/>
            <wp:effectExtent l="0" t="0" r="3175" b="0"/>
            <wp:docPr id="175077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77856" name=""/>
                    <pic:cNvPicPr/>
                  </pic:nvPicPr>
                  <pic:blipFill>
                    <a:blip r:embed="rId17"/>
                    <a:stretch>
                      <a:fillRect/>
                    </a:stretch>
                  </pic:blipFill>
                  <pic:spPr>
                    <a:xfrm>
                      <a:off x="0" y="0"/>
                      <a:ext cx="978910" cy="1025098"/>
                    </a:xfrm>
                    <a:prstGeom prst="rect">
                      <a:avLst/>
                    </a:prstGeom>
                  </pic:spPr>
                </pic:pic>
              </a:graphicData>
            </a:graphic>
          </wp:inline>
        </w:drawing>
      </w:r>
    </w:p>
    <w:p w14:paraId="4C12605C" w14:textId="339BF000" w:rsidR="0017549A" w:rsidRPr="00131EED" w:rsidRDefault="0017549A" w:rsidP="006845C5">
      <w:pPr>
        <w:contextualSpacing/>
        <w:jc w:val="center"/>
        <w:rPr>
          <w:b/>
          <w:smallCaps/>
          <w:lang w:eastAsia="es-ES"/>
        </w:rPr>
      </w:pPr>
      <w:r w:rsidRPr="00131EED">
        <w:rPr>
          <w:b/>
          <w:smallCaps/>
          <w:lang w:eastAsia="es-ES"/>
        </w:rPr>
        <w:t>REPÚBLICA DE COLOMBIA</w:t>
      </w:r>
    </w:p>
    <w:p w14:paraId="78275992" w14:textId="77777777" w:rsidR="0017549A" w:rsidRPr="00131EED" w:rsidRDefault="0017549A" w:rsidP="006845C5">
      <w:pPr>
        <w:contextualSpacing/>
        <w:jc w:val="center"/>
        <w:rPr>
          <w:b/>
          <w:smallCaps/>
          <w:lang w:eastAsia="es-ES"/>
        </w:rPr>
      </w:pPr>
    </w:p>
    <w:p w14:paraId="5201817F" w14:textId="0A018A67" w:rsidR="0017549A" w:rsidRPr="00131EED" w:rsidRDefault="0017549A" w:rsidP="006845C5">
      <w:pPr>
        <w:contextualSpacing/>
        <w:jc w:val="center"/>
        <w:rPr>
          <w:b/>
          <w:smallCaps/>
          <w:lang w:eastAsia="es-ES"/>
        </w:rPr>
      </w:pPr>
      <w:r w:rsidRPr="00131EED">
        <w:rPr>
          <w:b/>
          <w:smallCaps/>
          <w:lang w:eastAsia="es-ES"/>
        </w:rPr>
        <w:t>GUSTAVO FRANCISCO PETRO URREGO</w:t>
      </w:r>
    </w:p>
    <w:p w14:paraId="1ED1BFE1" w14:textId="77777777" w:rsidR="0017549A" w:rsidRPr="00131EED" w:rsidRDefault="0017549A" w:rsidP="006845C5">
      <w:pPr>
        <w:ind w:left="5664" w:hanging="5664"/>
        <w:contextualSpacing/>
        <w:jc w:val="center"/>
        <w:rPr>
          <w:rFonts w:eastAsia="Calibri"/>
          <w:bCs/>
          <w:color w:val="000000"/>
          <w:sz w:val="18"/>
          <w:szCs w:val="18"/>
          <w:lang w:eastAsia="es-ES"/>
        </w:rPr>
      </w:pPr>
      <w:r w:rsidRPr="00131EED">
        <w:rPr>
          <w:rFonts w:eastAsia="Calibri"/>
          <w:bCs/>
          <w:color w:val="000000"/>
          <w:sz w:val="18"/>
          <w:szCs w:val="18"/>
          <w:lang w:eastAsia="es-ES"/>
        </w:rPr>
        <w:t>PRESIDENTE DE LA REPÚBLICA</w:t>
      </w:r>
    </w:p>
    <w:p w14:paraId="6FBACCF0" w14:textId="77777777" w:rsidR="0017549A" w:rsidRPr="00131EED" w:rsidRDefault="0017549A" w:rsidP="006845C5">
      <w:pPr>
        <w:contextualSpacing/>
        <w:rPr>
          <w:rFonts w:eastAsia="Calibri"/>
          <w:bCs/>
          <w:color w:val="000000"/>
          <w:sz w:val="18"/>
          <w:szCs w:val="18"/>
          <w:lang w:eastAsia="es-ES"/>
        </w:rPr>
      </w:pPr>
    </w:p>
    <w:p w14:paraId="5E31B0FE" w14:textId="77777777" w:rsidR="001779CA" w:rsidRPr="00131EED" w:rsidRDefault="001779CA" w:rsidP="0017549A">
      <w:pPr>
        <w:contextualSpacing/>
        <w:jc w:val="center"/>
        <w:rPr>
          <w:b/>
          <w:smallCaps/>
          <w:lang w:eastAsia="es-ES"/>
        </w:rPr>
      </w:pPr>
      <w:r w:rsidRPr="00131EED">
        <w:rPr>
          <w:b/>
          <w:smallCaps/>
          <w:lang w:eastAsia="es-ES"/>
        </w:rPr>
        <w:t>Irene Vélez Torres</w:t>
      </w:r>
    </w:p>
    <w:p w14:paraId="151B08FE" w14:textId="48B95092" w:rsidR="0017549A" w:rsidRPr="00131EED" w:rsidRDefault="0017549A" w:rsidP="006845C5">
      <w:pPr>
        <w:contextualSpacing/>
        <w:jc w:val="center"/>
        <w:rPr>
          <w:rFonts w:eastAsia="Calibri"/>
          <w:bCs/>
          <w:color w:val="000000"/>
          <w:sz w:val="18"/>
          <w:szCs w:val="18"/>
          <w:lang w:eastAsia="es-ES"/>
        </w:rPr>
      </w:pPr>
      <w:r w:rsidRPr="00131EED">
        <w:rPr>
          <w:rFonts w:eastAsia="Calibri"/>
          <w:bCs/>
          <w:color w:val="000000"/>
          <w:sz w:val="18"/>
          <w:szCs w:val="18"/>
          <w:lang w:eastAsia="es-ES"/>
        </w:rPr>
        <w:t>MINISTRA DE AMBIENTE Y DESARROLLO SOSTENIBLE</w:t>
      </w:r>
      <w:r w:rsidR="001779CA" w:rsidRPr="00131EED">
        <w:rPr>
          <w:rFonts w:eastAsia="Calibri"/>
          <w:bCs/>
          <w:color w:val="000000"/>
          <w:sz w:val="18"/>
          <w:szCs w:val="18"/>
          <w:lang w:eastAsia="es-ES"/>
        </w:rPr>
        <w:t xml:space="preserve"> (E)</w:t>
      </w:r>
    </w:p>
    <w:p w14:paraId="08C9C718" w14:textId="77777777" w:rsidR="0017549A" w:rsidRPr="00131EED" w:rsidRDefault="0017549A" w:rsidP="006845C5">
      <w:pPr>
        <w:contextualSpacing/>
        <w:rPr>
          <w:lang w:eastAsia="es-ES"/>
        </w:rPr>
      </w:pPr>
    </w:p>
    <w:tbl>
      <w:tblPr>
        <w:tblW w:w="0" w:type="auto"/>
        <w:tblLook w:val="04A0" w:firstRow="1" w:lastRow="0" w:firstColumn="1" w:lastColumn="0" w:noHBand="0" w:noVBand="1"/>
      </w:tblPr>
      <w:tblGrid>
        <w:gridCol w:w="4414"/>
        <w:gridCol w:w="4414"/>
      </w:tblGrid>
      <w:tr w:rsidR="0017549A" w:rsidRPr="00131EED" w14:paraId="6762AF80" w14:textId="77777777" w:rsidTr="00053167">
        <w:tc>
          <w:tcPr>
            <w:tcW w:w="4414" w:type="dxa"/>
          </w:tcPr>
          <w:p w14:paraId="3FE78A9B" w14:textId="33E17853" w:rsidR="0017549A" w:rsidRPr="00131EED" w:rsidRDefault="008C39AA" w:rsidP="008C39AA">
            <w:pPr>
              <w:contextualSpacing/>
              <w:jc w:val="center"/>
              <w:rPr>
                <w:b/>
                <w:bCs/>
                <w:lang w:eastAsia="es-ES"/>
              </w:rPr>
            </w:pPr>
            <w:r w:rsidRPr="00131EED">
              <w:rPr>
                <w:b/>
                <w:bCs/>
                <w:lang w:eastAsia="es-ES"/>
              </w:rPr>
              <w:t>Edith Bastidas Calderón</w:t>
            </w:r>
          </w:p>
        </w:tc>
        <w:tc>
          <w:tcPr>
            <w:tcW w:w="4414" w:type="dxa"/>
          </w:tcPr>
          <w:p w14:paraId="30BD4090" w14:textId="407BF417" w:rsidR="0017549A" w:rsidRPr="00131EED" w:rsidRDefault="005663AD" w:rsidP="006845C5">
            <w:pPr>
              <w:contextualSpacing/>
              <w:jc w:val="center"/>
              <w:rPr>
                <w:b/>
                <w:bCs/>
                <w:lang w:eastAsia="es-ES"/>
              </w:rPr>
            </w:pPr>
            <w:r w:rsidRPr="00131EED">
              <w:rPr>
                <w:b/>
                <w:bCs/>
                <w:lang w:eastAsia="es-ES"/>
              </w:rPr>
              <w:t>L</w:t>
            </w:r>
            <w:r w:rsidR="00A848D3">
              <w:rPr>
                <w:b/>
                <w:bCs/>
                <w:lang w:eastAsia="es-ES"/>
              </w:rPr>
              <w:t>uz Dary Carmona</w:t>
            </w:r>
          </w:p>
        </w:tc>
      </w:tr>
      <w:tr w:rsidR="0017549A" w:rsidRPr="00131EED" w14:paraId="0CABBE04" w14:textId="77777777" w:rsidTr="00053167">
        <w:tc>
          <w:tcPr>
            <w:tcW w:w="4414" w:type="dxa"/>
          </w:tcPr>
          <w:p w14:paraId="4FF39D83" w14:textId="6ED49390" w:rsidR="0017549A" w:rsidRPr="00131EED" w:rsidRDefault="0017549A" w:rsidP="006845C5">
            <w:pPr>
              <w:contextualSpacing/>
              <w:jc w:val="center"/>
              <w:rPr>
                <w:lang w:eastAsia="es-ES"/>
              </w:rPr>
            </w:pPr>
            <w:r w:rsidRPr="00131EED">
              <w:rPr>
                <w:lang w:eastAsia="es-ES"/>
              </w:rPr>
              <w:t>Viceministr</w:t>
            </w:r>
            <w:r w:rsidR="008C39AA" w:rsidRPr="00131EED">
              <w:rPr>
                <w:lang w:eastAsia="es-ES"/>
              </w:rPr>
              <w:t>a</w:t>
            </w:r>
            <w:r w:rsidRPr="00131EED">
              <w:rPr>
                <w:lang w:eastAsia="es-ES"/>
              </w:rPr>
              <w:t xml:space="preserve"> de Políticas y Normalización Ambiental</w:t>
            </w:r>
          </w:p>
        </w:tc>
        <w:tc>
          <w:tcPr>
            <w:tcW w:w="4414" w:type="dxa"/>
          </w:tcPr>
          <w:p w14:paraId="4FEE8687" w14:textId="0BE998F1" w:rsidR="0017549A" w:rsidRPr="00131EED" w:rsidRDefault="0017549A" w:rsidP="006845C5">
            <w:pPr>
              <w:contextualSpacing/>
              <w:jc w:val="center"/>
              <w:rPr>
                <w:lang w:eastAsia="es-ES"/>
              </w:rPr>
            </w:pPr>
            <w:r w:rsidRPr="00131EED">
              <w:rPr>
                <w:lang w:eastAsia="es-ES"/>
              </w:rPr>
              <w:t>Viceministr</w:t>
            </w:r>
            <w:r w:rsidR="005663AD" w:rsidRPr="00131EED">
              <w:rPr>
                <w:lang w:eastAsia="es-ES"/>
              </w:rPr>
              <w:t>a</w:t>
            </w:r>
            <w:r w:rsidRPr="00131EED">
              <w:rPr>
                <w:lang w:eastAsia="es-ES"/>
              </w:rPr>
              <w:t xml:space="preserve"> de Ordenamiento Ambiental del Territorio</w:t>
            </w:r>
            <w:r w:rsidR="00A848D3">
              <w:rPr>
                <w:lang w:eastAsia="es-ES"/>
              </w:rPr>
              <w:t xml:space="preserve"> (E)</w:t>
            </w:r>
          </w:p>
        </w:tc>
      </w:tr>
    </w:tbl>
    <w:p w14:paraId="27AE3CD6" w14:textId="77777777" w:rsidR="0017549A" w:rsidRPr="00131EED" w:rsidRDefault="0017549A" w:rsidP="006845C5">
      <w:pPr>
        <w:contextualSpacing/>
        <w:jc w:val="center"/>
        <w:rPr>
          <w:rFonts w:eastAsia="Calibri"/>
          <w:bCs/>
          <w:color w:val="000000"/>
          <w:sz w:val="18"/>
          <w:szCs w:val="18"/>
          <w:lang w:eastAsia="es-ES"/>
        </w:rPr>
      </w:pPr>
    </w:p>
    <w:p w14:paraId="5948813E" w14:textId="77777777" w:rsidR="00CF2B73" w:rsidRPr="00131EED" w:rsidRDefault="00CF2B73" w:rsidP="0017549A">
      <w:pPr>
        <w:contextualSpacing/>
        <w:jc w:val="center"/>
        <w:rPr>
          <w:b/>
          <w:smallCaps/>
          <w:lang w:eastAsia="es-ES"/>
        </w:rPr>
      </w:pPr>
      <w:r w:rsidRPr="00131EED">
        <w:rPr>
          <w:b/>
          <w:smallCaps/>
          <w:lang w:eastAsia="es-ES"/>
        </w:rPr>
        <w:t xml:space="preserve">Julián David Peña Gómez </w:t>
      </w:r>
    </w:p>
    <w:p w14:paraId="31225B50" w14:textId="2E143BD7" w:rsidR="0017549A" w:rsidRPr="00131EED" w:rsidRDefault="0017549A" w:rsidP="0017549A">
      <w:pPr>
        <w:contextualSpacing/>
        <w:jc w:val="center"/>
        <w:rPr>
          <w:smallCaps/>
          <w:lang w:eastAsia="es-ES"/>
        </w:rPr>
      </w:pPr>
      <w:r w:rsidRPr="00131EED">
        <w:rPr>
          <w:smallCaps/>
          <w:lang w:eastAsia="es-ES"/>
        </w:rPr>
        <w:t>Director de Ordenamiento Territorial y Sistema Nacional Ambiental</w:t>
      </w:r>
    </w:p>
    <w:p w14:paraId="54E82DB9" w14:textId="77777777" w:rsidR="00C74D88" w:rsidRPr="00131EED" w:rsidRDefault="00C74D88" w:rsidP="0017549A">
      <w:pPr>
        <w:contextualSpacing/>
        <w:jc w:val="center"/>
        <w:rPr>
          <w:smallCaps/>
          <w:lang w:eastAsia="es-ES"/>
        </w:rPr>
      </w:pPr>
    </w:p>
    <w:p w14:paraId="68FAF5CE" w14:textId="272AB0F7" w:rsidR="00BB4FC5" w:rsidRPr="00131EED" w:rsidRDefault="00BB4FC5" w:rsidP="0017549A">
      <w:pPr>
        <w:contextualSpacing/>
        <w:jc w:val="center"/>
        <w:rPr>
          <w:smallCaps/>
          <w:sz w:val="20"/>
          <w:szCs w:val="20"/>
          <w:lang w:eastAsia="es-ES"/>
        </w:rPr>
      </w:pPr>
      <w:r w:rsidRPr="00131EED">
        <w:rPr>
          <w:smallCaps/>
          <w:sz w:val="20"/>
          <w:szCs w:val="20"/>
          <w:lang w:eastAsia="es-ES"/>
        </w:rPr>
        <w:t>Héctor Andrés Ramírez Hernández</w:t>
      </w:r>
    </w:p>
    <w:p w14:paraId="4FFF0471" w14:textId="1A345535" w:rsidR="00BB4FC5" w:rsidRPr="00131EED" w:rsidRDefault="00BB4FC5" w:rsidP="0017549A">
      <w:pPr>
        <w:contextualSpacing/>
        <w:jc w:val="center"/>
        <w:rPr>
          <w:b/>
          <w:bCs/>
          <w:smallCaps/>
          <w:sz w:val="20"/>
          <w:szCs w:val="20"/>
          <w:lang w:eastAsia="es-ES"/>
        </w:rPr>
      </w:pPr>
      <w:r w:rsidRPr="00131EED">
        <w:rPr>
          <w:b/>
          <w:bCs/>
          <w:smallCaps/>
          <w:sz w:val="20"/>
          <w:szCs w:val="20"/>
          <w:lang w:eastAsia="es-ES"/>
        </w:rPr>
        <w:t>Coordinador</w:t>
      </w:r>
    </w:p>
    <w:p w14:paraId="4025B0EC" w14:textId="77777777" w:rsidR="00801B62" w:rsidRPr="00131EED" w:rsidRDefault="00801B62" w:rsidP="00CE58F2">
      <w:pPr>
        <w:pBdr>
          <w:top w:val="nil"/>
          <w:left w:val="nil"/>
          <w:bottom w:val="nil"/>
          <w:right w:val="nil"/>
          <w:between w:val="nil"/>
        </w:pBdr>
        <w:jc w:val="center"/>
        <w:rPr>
          <w:rFonts w:ascii="Baskerville" w:eastAsia="Arial" w:hAnsi="Baskerville" w:cs="Arial"/>
          <w:b/>
          <w:color w:val="404040" w:themeColor="text1" w:themeTint="BF"/>
          <w:sz w:val="10"/>
          <w:szCs w:val="10"/>
        </w:rPr>
      </w:pPr>
    </w:p>
    <w:p w14:paraId="4CCC52C1" w14:textId="77777777" w:rsidR="001A05E5" w:rsidRPr="00131EED" w:rsidRDefault="001A05E5" w:rsidP="00CE58F2">
      <w:pPr>
        <w:pBdr>
          <w:top w:val="nil"/>
          <w:left w:val="nil"/>
          <w:bottom w:val="nil"/>
          <w:right w:val="nil"/>
          <w:between w:val="nil"/>
        </w:pBdr>
        <w:jc w:val="center"/>
        <w:rPr>
          <w:rFonts w:ascii="Baskerville" w:eastAsia="Arial" w:hAnsi="Baskerville" w:cs="Arial"/>
          <w:b/>
          <w:color w:val="404040" w:themeColor="text1" w:themeTint="BF"/>
          <w:sz w:val="4"/>
          <w:szCs w:val="4"/>
        </w:rPr>
      </w:pPr>
    </w:p>
    <w:p w14:paraId="300975BC" w14:textId="77777777" w:rsidR="00A06448" w:rsidRPr="00131EED" w:rsidRDefault="00A06448" w:rsidP="00506ED2">
      <w:pPr>
        <w:pBdr>
          <w:top w:val="nil"/>
          <w:left w:val="nil"/>
          <w:bottom w:val="nil"/>
          <w:right w:val="nil"/>
          <w:between w:val="nil"/>
        </w:pBdr>
        <w:rPr>
          <w:rFonts w:ascii="Baskerville" w:eastAsia="Arial" w:hAnsi="Baskerville" w:cs="Arial"/>
          <w:b/>
          <w:color w:val="404040" w:themeColor="text1" w:themeTint="BF"/>
          <w:sz w:val="18"/>
          <w:szCs w:val="18"/>
        </w:rPr>
        <w:sectPr w:rsidR="00A06448" w:rsidRPr="00131EED" w:rsidSect="00691046">
          <w:headerReference w:type="even" r:id="rId18"/>
          <w:headerReference w:type="default" r:id="rId19"/>
          <w:footerReference w:type="even" r:id="rId20"/>
          <w:footerReference w:type="default" r:id="rId21"/>
          <w:headerReference w:type="first" r:id="rId22"/>
          <w:footerReference w:type="first" r:id="rId23"/>
          <w:pgSz w:w="12240" w:h="15840"/>
          <w:pgMar w:top="2109" w:right="1701" w:bottom="992" w:left="1701" w:header="709" w:footer="0" w:gutter="0"/>
          <w:pgNumType w:start="1"/>
          <w:cols w:space="720"/>
        </w:sectPr>
      </w:pPr>
    </w:p>
    <w:p w14:paraId="63FB0263" w14:textId="408D7B62" w:rsidR="00610077" w:rsidRPr="00131EED" w:rsidRDefault="16346443" w:rsidP="3317AA1F">
      <w:pPr>
        <w:pBdr>
          <w:top w:val="nil"/>
          <w:left w:val="nil"/>
          <w:bottom w:val="nil"/>
          <w:right w:val="nil"/>
          <w:between w:val="nil"/>
        </w:pBdr>
        <w:rPr>
          <w:rFonts w:ascii="Baskerville" w:eastAsia="Arial" w:hAnsi="Baskerville" w:cs="Arial"/>
          <w:color w:val="404040" w:themeColor="text1" w:themeTint="BF"/>
          <w:sz w:val="18"/>
          <w:szCs w:val="18"/>
        </w:rPr>
      </w:pPr>
      <w:r w:rsidRPr="00131EED">
        <w:rPr>
          <w:rFonts w:ascii="Baskerville" w:eastAsia="Arial" w:hAnsi="Baskerville" w:cs="Arial"/>
          <w:b/>
          <w:bCs/>
          <w:color w:val="404040" w:themeColor="text1" w:themeTint="BF"/>
          <w:sz w:val="18"/>
          <w:szCs w:val="18"/>
        </w:rPr>
        <w:t xml:space="preserve">Equipo Técnico </w:t>
      </w:r>
      <w:r w:rsidR="673C4982" w:rsidRPr="00131EED">
        <w:rPr>
          <w:rFonts w:ascii="Baskerville" w:eastAsia="Arial" w:hAnsi="Baskerville" w:cs="Arial"/>
          <w:b/>
          <w:bCs/>
          <w:color w:val="404040" w:themeColor="text1" w:themeTint="BF"/>
          <w:sz w:val="18"/>
          <w:szCs w:val="18"/>
        </w:rPr>
        <w:t xml:space="preserve">del </w:t>
      </w:r>
      <w:r w:rsidRPr="00131EED">
        <w:rPr>
          <w:rFonts w:ascii="Baskerville" w:eastAsia="Arial" w:hAnsi="Baskerville" w:cs="Arial"/>
          <w:b/>
          <w:bCs/>
          <w:color w:val="404040" w:themeColor="text1" w:themeTint="BF"/>
          <w:sz w:val="18"/>
          <w:szCs w:val="18"/>
        </w:rPr>
        <w:t>Ministerio de Ambiente y Desarrollo Sostenible</w:t>
      </w:r>
      <w:r w:rsidR="673C4982" w:rsidRPr="00131EED">
        <w:rPr>
          <w:rFonts w:ascii="Baskerville" w:eastAsia="Arial" w:hAnsi="Baskerville" w:cs="Arial"/>
          <w:b/>
          <w:bCs/>
          <w:color w:val="404040" w:themeColor="text1" w:themeTint="BF"/>
          <w:sz w:val="18"/>
          <w:szCs w:val="18"/>
        </w:rPr>
        <w:t xml:space="preserve"> que participó en el presente documento: </w:t>
      </w:r>
      <w:r w:rsidR="4970F201" w:rsidRPr="00131EED">
        <w:rPr>
          <w:rFonts w:ascii="Baskerville" w:eastAsia="Arial" w:hAnsi="Baskerville" w:cs="Arial"/>
          <w:color w:val="404040" w:themeColor="text1" w:themeTint="BF"/>
          <w:sz w:val="18"/>
          <w:szCs w:val="18"/>
        </w:rPr>
        <w:t xml:space="preserve">Avella, Carolina; Baquero, Ofelia; Calderón, Lady; Camelo, Dalila; Castro, Jhon Jaime; Carrión Barrero, Gustavo Adolfo; Castañeda, Sebastián; Cobos, Sandra; Cortés, Sandra; Gallo, Gina Paola; López, Mario; Madrid, Luisa; Manrique, Oscar; Mesa, Claudia; Montoya, Sandra Patricia; Narváez, </w:t>
      </w:r>
      <w:r w:rsidR="4970F201" w:rsidRPr="00131EED">
        <w:rPr>
          <w:rFonts w:ascii="Baskerville" w:eastAsia="Arial" w:hAnsi="Baskerville" w:cs="Arial"/>
          <w:color w:val="404040" w:themeColor="text1" w:themeTint="BF"/>
          <w:sz w:val="18"/>
          <w:szCs w:val="18"/>
        </w:rPr>
        <w:t xml:space="preserve">Gloria; Núñez Izquierdo, Olga Lucía; Otálvaro, Doris Liliana; Pedraza Sarmiento, </w:t>
      </w:r>
      <w:r w:rsidR="7AC5E725" w:rsidRPr="00131EED">
        <w:rPr>
          <w:rFonts w:ascii="Baskerville" w:eastAsia="Arial" w:hAnsi="Baskerville" w:cs="Arial"/>
          <w:color w:val="404040" w:themeColor="text1" w:themeTint="BF"/>
          <w:sz w:val="18"/>
          <w:szCs w:val="18"/>
        </w:rPr>
        <w:t xml:space="preserve">Peña, Gina Alexandra, </w:t>
      </w:r>
      <w:r w:rsidR="4970F201" w:rsidRPr="00131EED">
        <w:rPr>
          <w:rFonts w:ascii="Baskerville" w:eastAsia="Arial" w:hAnsi="Baskerville" w:cs="Arial"/>
          <w:color w:val="404040" w:themeColor="text1" w:themeTint="BF"/>
          <w:sz w:val="18"/>
          <w:szCs w:val="18"/>
        </w:rPr>
        <w:t xml:space="preserve">Elkin Mauricio; Pinilla, Andrés; Prada, Ana Milena; </w:t>
      </w:r>
      <w:r w:rsidR="31F01656" w:rsidRPr="00131EED">
        <w:rPr>
          <w:rFonts w:ascii="Baskerville" w:eastAsia="Arial" w:hAnsi="Baskerville" w:cs="Arial"/>
          <w:color w:val="404040" w:themeColor="text1" w:themeTint="BF"/>
          <w:sz w:val="18"/>
          <w:szCs w:val="18"/>
        </w:rPr>
        <w:t xml:space="preserve">Pachón Soacha, Yurany Marcela; </w:t>
      </w:r>
      <w:r w:rsidR="4970F201" w:rsidRPr="00131EED">
        <w:rPr>
          <w:rFonts w:ascii="Baskerville" w:eastAsia="Arial" w:hAnsi="Baskerville" w:cs="Arial"/>
          <w:color w:val="404040" w:themeColor="text1" w:themeTint="BF"/>
          <w:sz w:val="18"/>
          <w:szCs w:val="18"/>
        </w:rPr>
        <w:t>Puerta Luchini, Oscar Francisco;</w:t>
      </w:r>
      <w:r w:rsidR="2724EE34" w:rsidRPr="00131EED">
        <w:rPr>
          <w:rFonts w:ascii="Baskerville" w:eastAsia="Arial" w:hAnsi="Baskerville" w:cs="Arial"/>
          <w:color w:val="404040" w:themeColor="text1" w:themeTint="BF"/>
          <w:sz w:val="18"/>
          <w:szCs w:val="18"/>
        </w:rPr>
        <w:t xml:space="preserve"> </w:t>
      </w:r>
      <w:r w:rsidR="4970F201" w:rsidRPr="00131EED">
        <w:rPr>
          <w:rFonts w:ascii="Baskerville" w:eastAsia="Arial" w:hAnsi="Baskerville" w:cs="Arial"/>
          <w:color w:val="404040" w:themeColor="text1" w:themeTint="BF"/>
          <w:sz w:val="18"/>
          <w:szCs w:val="18"/>
        </w:rPr>
        <w:t>Restrepo, Diego; Rodríguez, Juan Camilo; Rodríguez, Sabina; Serna, Mauricio; Suarez</w:t>
      </w:r>
      <w:r w:rsidR="1F61D3E4" w:rsidRPr="00131EED">
        <w:rPr>
          <w:rFonts w:ascii="Baskerville" w:eastAsia="Arial" w:hAnsi="Baskerville" w:cs="Arial"/>
          <w:color w:val="404040" w:themeColor="text1" w:themeTint="BF"/>
          <w:sz w:val="18"/>
          <w:szCs w:val="18"/>
        </w:rPr>
        <w:t xml:space="preserve"> Prada</w:t>
      </w:r>
      <w:r w:rsidR="4970F201" w:rsidRPr="00131EED">
        <w:rPr>
          <w:rFonts w:ascii="Baskerville" w:eastAsia="Arial" w:hAnsi="Baskerville" w:cs="Arial"/>
          <w:color w:val="404040" w:themeColor="text1" w:themeTint="BF"/>
          <w:sz w:val="18"/>
          <w:szCs w:val="18"/>
        </w:rPr>
        <w:t xml:space="preserve">, </w:t>
      </w:r>
      <w:r w:rsidR="6ECE0788" w:rsidRPr="00131EED">
        <w:rPr>
          <w:rFonts w:ascii="Baskerville" w:eastAsia="Arial" w:hAnsi="Baskerville" w:cs="Arial"/>
          <w:color w:val="404040" w:themeColor="text1" w:themeTint="BF"/>
          <w:sz w:val="18"/>
          <w:szCs w:val="18"/>
        </w:rPr>
        <w:t xml:space="preserve">Heinner </w:t>
      </w:r>
      <w:r w:rsidR="4970F201" w:rsidRPr="00131EED">
        <w:rPr>
          <w:rFonts w:ascii="Baskerville" w:eastAsia="Arial" w:hAnsi="Baskerville" w:cs="Arial"/>
          <w:color w:val="404040" w:themeColor="text1" w:themeTint="BF"/>
          <w:sz w:val="18"/>
          <w:szCs w:val="18"/>
        </w:rPr>
        <w:t>Santiago; Tamayo, Raimundo; Torres Rojas, Eduardo; Toscano, Vanesa; Triana, José Ville.</w:t>
      </w:r>
    </w:p>
    <w:p w14:paraId="75F6712E" w14:textId="77777777" w:rsidR="00A06448" w:rsidRPr="00131EED" w:rsidRDefault="00A06448" w:rsidP="00CE58F2">
      <w:pPr>
        <w:pBdr>
          <w:top w:val="nil"/>
          <w:left w:val="nil"/>
          <w:bottom w:val="nil"/>
          <w:right w:val="nil"/>
          <w:between w:val="nil"/>
        </w:pBdr>
        <w:jc w:val="center"/>
        <w:rPr>
          <w:rFonts w:ascii="Baskerville" w:eastAsia="Arial" w:hAnsi="Baskerville" w:cs="Arial"/>
          <w:bCs/>
          <w:color w:val="404040" w:themeColor="text1" w:themeTint="BF"/>
          <w:sz w:val="14"/>
          <w:szCs w:val="14"/>
        </w:rPr>
        <w:sectPr w:rsidR="00A06448" w:rsidRPr="00131EED" w:rsidSect="006845C5">
          <w:type w:val="continuous"/>
          <w:pgSz w:w="12240" w:h="15840"/>
          <w:pgMar w:top="2109" w:right="1701" w:bottom="992" w:left="1701" w:header="709" w:footer="0" w:gutter="0"/>
          <w:pgNumType w:start="1"/>
          <w:cols w:num="2" w:space="720"/>
        </w:sectPr>
      </w:pPr>
    </w:p>
    <w:p w14:paraId="44D76FB2" w14:textId="77777777" w:rsidR="00272F05" w:rsidRPr="00131EED" w:rsidRDefault="00272F05" w:rsidP="00CE58F2">
      <w:pPr>
        <w:pBdr>
          <w:top w:val="nil"/>
          <w:left w:val="nil"/>
          <w:bottom w:val="nil"/>
          <w:right w:val="nil"/>
          <w:between w:val="nil"/>
        </w:pBdr>
        <w:jc w:val="center"/>
        <w:rPr>
          <w:rFonts w:ascii="Baskerville" w:eastAsia="Arial" w:hAnsi="Baskerville" w:cs="Arial"/>
          <w:bCs/>
          <w:color w:val="404040" w:themeColor="text1" w:themeTint="BF"/>
          <w:sz w:val="18"/>
          <w:szCs w:val="18"/>
        </w:rPr>
      </w:pPr>
    </w:p>
    <w:p w14:paraId="71F0770B" w14:textId="4ECD854B" w:rsidR="001A05E5" w:rsidRPr="00131EED" w:rsidRDefault="00462BFC" w:rsidP="00C04F42">
      <w:pPr>
        <w:pBdr>
          <w:top w:val="nil"/>
          <w:left w:val="nil"/>
          <w:bottom w:val="nil"/>
          <w:right w:val="nil"/>
          <w:between w:val="nil"/>
        </w:pBdr>
        <w:rPr>
          <w:rFonts w:ascii="Baskerville" w:eastAsia="Arial" w:hAnsi="Baskerville" w:cs="Arial"/>
          <w:bCs/>
          <w:i/>
          <w:iCs/>
          <w:color w:val="404040" w:themeColor="text1" w:themeTint="BF"/>
          <w:sz w:val="18"/>
          <w:szCs w:val="18"/>
        </w:rPr>
      </w:pPr>
      <w:r w:rsidRPr="00131EED">
        <w:rPr>
          <w:rFonts w:ascii="Baskerville" w:eastAsia="Arial" w:hAnsi="Baskerville" w:cs="Arial"/>
          <w:bCs/>
          <w:i/>
          <w:iCs/>
          <w:color w:val="404040" w:themeColor="text1" w:themeTint="BF"/>
          <w:sz w:val="18"/>
          <w:szCs w:val="18"/>
        </w:rPr>
        <w:t>-</w:t>
      </w:r>
      <w:r w:rsidR="00610077" w:rsidRPr="00131EED">
        <w:rPr>
          <w:rFonts w:ascii="Baskerville" w:eastAsia="Arial" w:hAnsi="Baskerville" w:cs="Arial"/>
          <w:bCs/>
          <w:i/>
          <w:iCs/>
          <w:color w:val="404040" w:themeColor="text1" w:themeTint="BF"/>
          <w:sz w:val="18"/>
          <w:szCs w:val="18"/>
        </w:rPr>
        <w:t xml:space="preserve">El presente </w:t>
      </w:r>
      <w:r w:rsidR="00BE362D" w:rsidRPr="00131EED">
        <w:rPr>
          <w:rFonts w:ascii="Baskerville" w:eastAsia="Arial" w:hAnsi="Baskerville" w:cs="Arial"/>
          <w:bCs/>
          <w:i/>
          <w:iCs/>
          <w:color w:val="404040" w:themeColor="text1" w:themeTint="BF"/>
          <w:sz w:val="18"/>
          <w:szCs w:val="18"/>
        </w:rPr>
        <w:t>estudio</w:t>
      </w:r>
      <w:r w:rsidR="00610077" w:rsidRPr="00131EED">
        <w:rPr>
          <w:rFonts w:ascii="Baskerville" w:eastAsia="Arial" w:hAnsi="Baskerville" w:cs="Arial"/>
          <w:bCs/>
          <w:i/>
          <w:iCs/>
          <w:color w:val="404040" w:themeColor="text1" w:themeTint="BF"/>
          <w:sz w:val="18"/>
          <w:szCs w:val="18"/>
        </w:rPr>
        <w:t xml:space="preserve"> se generó con </w:t>
      </w:r>
      <w:r w:rsidRPr="00131EED">
        <w:rPr>
          <w:rFonts w:ascii="Baskerville" w:eastAsia="Arial" w:hAnsi="Baskerville" w:cs="Arial"/>
          <w:bCs/>
          <w:i/>
          <w:iCs/>
          <w:color w:val="404040" w:themeColor="text1" w:themeTint="BF"/>
          <w:sz w:val="18"/>
          <w:szCs w:val="18"/>
        </w:rPr>
        <w:t>información</w:t>
      </w:r>
      <w:r w:rsidR="00610077" w:rsidRPr="00131EED">
        <w:rPr>
          <w:rFonts w:ascii="Baskerville" w:eastAsia="Arial" w:hAnsi="Baskerville" w:cs="Arial"/>
          <w:bCs/>
          <w:i/>
          <w:iCs/>
          <w:color w:val="404040" w:themeColor="text1" w:themeTint="BF"/>
          <w:sz w:val="18"/>
          <w:szCs w:val="18"/>
        </w:rPr>
        <w:t xml:space="preserve"> técnic</w:t>
      </w:r>
      <w:r w:rsidRPr="00131EED">
        <w:rPr>
          <w:rFonts w:ascii="Baskerville" w:eastAsia="Arial" w:hAnsi="Baskerville" w:cs="Arial"/>
          <w:bCs/>
          <w:i/>
          <w:iCs/>
          <w:color w:val="404040" w:themeColor="text1" w:themeTint="BF"/>
          <w:sz w:val="18"/>
          <w:szCs w:val="18"/>
        </w:rPr>
        <w:t>a</w:t>
      </w:r>
      <w:r w:rsidR="00610077" w:rsidRPr="00131EED">
        <w:rPr>
          <w:rFonts w:ascii="Baskerville" w:eastAsia="Arial" w:hAnsi="Baskerville" w:cs="Arial"/>
          <w:bCs/>
          <w:i/>
          <w:iCs/>
          <w:color w:val="404040" w:themeColor="text1" w:themeTint="BF"/>
          <w:sz w:val="18"/>
          <w:szCs w:val="18"/>
        </w:rPr>
        <w:t xml:space="preserve"> y científic</w:t>
      </w:r>
      <w:r w:rsidRPr="00131EED">
        <w:rPr>
          <w:rFonts w:ascii="Baskerville" w:eastAsia="Arial" w:hAnsi="Baskerville" w:cs="Arial"/>
          <w:bCs/>
          <w:i/>
          <w:iCs/>
          <w:color w:val="404040" w:themeColor="text1" w:themeTint="BF"/>
          <w:sz w:val="18"/>
          <w:szCs w:val="18"/>
        </w:rPr>
        <w:t>a</w:t>
      </w:r>
      <w:r w:rsidR="00610077" w:rsidRPr="00131EED">
        <w:rPr>
          <w:rFonts w:ascii="Baskerville" w:eastAsia="Arial" w:hAnsi="Baskerville" w:cs="Arial"/>
          <w:bCs/>
          <w:i/>
          <w:iCs/>
          <w:color w:val="404040" w:themeColor="text1" w:themeTint="BF"/>
          <w:sz w:val="18"/>
          <w:szCs w:val="18"/>
        </w:rPr>
        <w:t xml:space="preserve"> </w:t>
      </w:r>
      <w:r w:rsidR="00BE362D" w:rsidRPr="00131EED">
        <w:rPr>
          <w:rFonts w:ascii="Baskerville" w:eastAsia="Arial" w:hAnsi="Baskerville" w:cs="Arial"/>
          <w:bCs/>
          <w:i/>
          <w:iCs/>
          <w:color w:val="404040" w:themeColor="text1" w:themeTint="BF"/>
          <w:sz w:val="18"/>
          <w:szCs w:val="18"/>
        </w:rPr>
        <w:t>d</w:t>
      </w:r>
      <w:r w:rsidR="00610077" w:rsidRPr="00131EED">
        <w:rPr>
          <w:rFonts w:ascii="Baskerville" w:eastAsia="Arial" w:hAnsi="Baskerville" w:cs="Arial"/>
          <w:bCs/>
          <w:i/>
          <w:iCs/>
          <w:color w:val="404040" w:themeColor="text1" w:themeTint="BF"/>
          <w:sz w:val="18"/>
          <w:szCs w:val="18"/>
        </w:rPr>
        <w:t>el Instituto Humboldt, el IDEAM, el SGC, el IGAC, la CAR Cundinamarca, Parques Naturales Nacionales, ANLA, DANE, entre otr</w:t>
      </w:r>
      <w:r w:rsidR="00BE362D" w:rsidRPr="00131EED">
        <w:rPr>
          <w:rFonts w:ascii="Baskerville" w:eastAsia="Arial" w:hAnsi="Baskerville" w:cs="Arial"/>
          <w:bCs/>
          <w:i/>
          <w:iCs/>
          <w:color w:val="404040" w:themeColor="text1" w:themeTint="BF"/>
          <w:sz w:val="18"/>
          <w:szCs w:val="18"/>
        </w:rPr>
        <w:t>a</w:t>
      </w:r>
      <w:r w:rsidR="00610077" w:rsidRPr="00131EED">
        <w:rPr>
          <w:rFonts w:ascii="Baskerville" w:eastAsia="Arial" w:hAnsi="Baskerville" w:cs="Arial"/>
          <w:bCs/>
          <w:i/>
          <w:iCs/>
          <w:color w:val="404040" w:themeColor="text1" w:themeTint="BF"/>
          <w:sz w:val="18"/>
          <w:szCs w:val="18"/>
        </w:rPr>
        <w:t>s</w:t>
      </w:r>
      <w:r w:rsidR="00BE362D" w:rsidRPr="00131EED">
        <w:rPr>
          <w:rFonts w:ascii="Baskerville" w:eastAsia="Arial" w:hAnsi="Baskerville" w:cs="Arial"/>
          <w:bCs/>
          <w:i/>
          <w:iCs/>
          <w:color w:val="404040" w:themeColor="text1" w:themeTint="BF"/>
          <w:sz w:val="18"/>
          <w:szCs w:val="18"/>
        </w:rPr>
        <w:t xml:space="preserve"> autoridades ambientales, entes territoriales e institutos de investigación</w:t>
      </w:r>
      <w:r w:rsidR="005B2034" w:rsidRPr="00131EED">
        <w:rPr>
          <w:rFonts w:ascii="Baskerville" w:eastAsia="Arial" w:hAnsi="Baskerville" w:cs="Arial"/>
          <w:bCs/>
          <w:i/>
          <w:iCs/>
          <w:color w:val="404040" w:themeColor="text1" w:themeTint="BF"/>
          <w:sz w:val="18"/>
          <w:szCs w:val="18"/>
        </w:rPr>
        <w:t>.</w:t>
      </w:r>
    </w:p>
    <w:p w14:paraId="60ACE9C3" w14:textId="1ECEB030" w:rsidR="00A54799" w:rsidRPr="00131EED" w:rsidRDefault="00A54799" w:rsidP="00CE58F2">
      <w:pPr>
        <w:pStyle w:val="ListParagraph"/>
        <w:pBdr>
          <w:top w:val="nil"/>
          <w:left w:val="nil"/>
          <w:bottom w:val="nil"/>
          <w:right w:val="nil"/>
          <w:between w:val="nil"/>
        </w:pBdr>
        <w:spacing w:after="0"/>
        <w:jc w:val="center"/>
        <w:rPr>
          <w:rFonts w:ascii="Baskerville" w:eastAsia="Arial" w:hAnsi="Baskerville" w:cs="Arial"/>
          <w:bCs/>
          <w:i/>
          <w:iCs/>
          <w:color w:val="404040" w:themeColor="text1" w:themeTint="BF"/>
          <w:sz w:val="14"/>
          <w:szCs w:val="14"/>
        </w:rPr>
      </w:pPr>
    </w:p>
    <w:p w14:paraId="61103B09" w14:textId="47318348" w:rsidR="00BB4FC5" w:rsidRPr="00131EED" w:rsidRDefault="00BB4FC5" w:rsidP="006845C5">
      <w:pPr>
        <w:pBdr>
          <w:top w:val="nil"/>
          <w:left w:val="nil"/>
          <w:bottom w:val="nil"/>
          <w:right w:val="nil"/>
          <w:between w:val="nil"/>
        </w:pBdr>
        <w:jc w:val="left"/>
        <w:rPr>
          <w:rFonts w:ascii="Baskerville" w:eastAsia="Arial" w:hAnsi="Baskerville" w:cs="Arial"/>
          <w:bCs/>
          <w:i/>
          <w:iCs/>
          <w:color w:val="404040" w:themeColor="text1" w:themeTint="BF"/>
          <w:sz w:val="12"/>
          <w:szCs w:val="12"/>
        </w:rPr>
      </w:pPr>
      <w:r w:rsidRPr="00131EED">
        <w:rPr>
          <w:rFonts w:ascii="Baskerville" w:eastAsia="Arial" w:hAnsi="Baskerville" w:cs="Arial"/>
          <w:bCs/>
          <w:i/>
          <w:iCs/>
          <w:color w:val="404040" w:themeColor="text1" w:themeTint="BF"/>
          <w:sz w:val="12"/>
          <w:szCs w:val="12"/>
        </w:rPr>
        <w:t>FOTOGRAFÍAS E ILUSTRACIONES</w:t>
      </w:r>
    </w:p>
    <w:p w14:paraId="46B5A40E" w14:textId="2E318AF0" w:rsidR="00BB4FC5" w:rsidRPr="00131EED" w:rsidRDefault="00BB4FC5" w:rsidP="006845C5">
      <w:pPr>
        <w:pBdr>
          <w:top w:val="nil"/>
          <w:left w:val="nil"/>
          <w:bottom w:val="nil"/>
          <w:right w:val="nil"/>
          <w:between w:val="nil"/>
        </w:pBdr>
        <w:jc w:val="left"/>
        <w:rPr>
          <w:rFonts w:ascii="Baskerville" w:eastAsia="Arial" w:hAnsi="Baskerville" w:cs="Arial"/>
          <w:bCs/>
          <w:i/>
          <w:iCs/>
          <w:color w:val="404040" w:themeColor="text1" w:themeTint="BF"/>
          <w:sz w:val="12"/>
          <w:szCs w:val="12"/>
        </w:rPr>
      </w:pPr>
      <w:r w:rsidRPr="00131EED">
        <w:rPr>
          <w:rFonts w:ascii="Baskerville" w:eastAsia="Arial" w:hAnsi="Baskerville" w:cs="Arial"/>
          <w:bCs/>
          <w:i/>
          <w:iCs/>
          <w:color w:val="404040" w:themeColor="text1" w:themeTint="BF"/>
          <w:sz w:val="12"/>
          <w:szCs w:val="12"/>
        </w:rPr>
        <w:t>Ministerio de Ambiente y Desarrollo Sostenible</w:t>
      </w:r>
    </w:p>
    <w:p w14:paraId="252A4204" w14:textId="77777777" w:rsidR="00BB4FC5" w:rsidRPr="00131EED" w:rsidRDefault="00BB4FC5" w:rsidP="006845C5">
      <w:pPr>
        <w:pBdr>
          <w:top w:val="nil"/>
          <w:left w:val="nil"/>
          <w:bottom w:val="nil"/>
          <w:right w:val="nil"/>
          <w:between w:val="nil"/>
        </w:pBdr>
        <w:jc w:val="left"/>
        <w:rPr>
          <w:rFonts w:ascii="Baskerville" w:eastAsia="Arial" w:hAnsi="Baskerville" w:cs="Arial"/>
          <w:bCs/>
          <w:i/>
          <w:iCs/>
          <w:color w:val="404040" w:themeColor="text1" w:themeTint="BF"/>
          <w:sz w:val="12"/>
          <w:szCs w:val="12"/>
        </w:rPr>
      </w:pPr>
    </w:p>
    <w:p w14:paraId="61336B6B" w14:textId="4E593F26" w:rsidR="00BB4FC5" w:rsidRPr="00131EED" w:rsidRDefault="00BB4FC5" w:rsidP="006845C5">
      <w:pPr>
        <w:pBdr>
          <w:top w:val="nil"/>
          <w:left w:val="nil"/>
          <w:bottom w:val="nil"/>
          <w:right w:val="nil"/>
          <w:between w:val="nil"/>
        </w:pBdr>
        <w:jc w:val="left"/>
        <w:rPr>
          <w:rFonts w:ascii="Baskerville" w:eastAsia="Arial" w:hAnsi="Baskerville" w:cs="Arial"/>
          <w:bCs/>
          <w:i/>
          <w:iCs/>
          <w:color w:val="404040" w:themeColor="text1" w:themeTint="BF"/>
          <w:sz w:val="12"/>
          <w:szCs w:val="12"/>
        </w:rPr>
      </w:pPr>
      <w:r w:rsidRPr="00131EED">
        <w:rPr>
          <w:rFonts w:ascii="Baskerville" w:eastAsia="Arial" w:hAnsi="Baskerville" w:cs="Arial"/>
          <w:bCs/>
          <w:i/>
          <w:iCs/>
          <w:color w:val="404040" w:themeColor="text1" w:themeTint="BF"/>
          <w:sz w:val="12"/>
          <w:szCs w:val="12"/>
        </w:rPr>
        <w:t>DIAGRAMACIÓN</w:t>
      </w:r>
    </w:p>
    <w:p w14:paraId="59135AA5" w14:textId="0CACCB28" w:rsidR="00610077" w:rsidRPr="00131EED" w:rsidRDefault="00BB4FC5" w:rsidP="006845C5">
      <w:pPr>
        <w:pBdr>
          <w:top w:val="nil"/>
          <w:left w:val="nil"/>
          <w:bottom w:val="nil"/>
          <w:right w:val="nil"/>
          <w:between w:val="nil"/>
        </w:pBdr>
        <w:jc w:val="left"/>
        <w:rPr>
          <w:rFonts w:ascii="Baskerville" w:eastAsia="Arial" w:hAnsi="Baskerville" w:cs="Arial"/>
          <w:bCs/>
          <w:i/>
          <w:iCs/>
          <w:color w:val="404040" w:themeColor="text1" w:themeTint="BF"/>
          <w:sz w:val="12"/>
          <w:szCs w:val="12"/>
        </w:rPr>
      </w:pPr>
      <w:r w:rsidRPr="00131EED">
        <w:rPr>
          <w:rFonts w:ascii="Baskerville" w:eastAsia="Arial" w:hAnsi="Baskerville" w:cs="Arial"/>
          <w:bCs/>
          <w:i/>
          <w:iCs/>
          <w:color w:val="404040" w:themeColor="text1" w:themeTint="BF"/>
          <w:sz w:val="12"/>
          <w:szCs w:val="12"/>
        </w:rPr>
        <w:t>Heinner Santiago Suarez Prada</w:t>
      </w:r>
    </w:p>
    <w:p w14:paraId="686B7BEB" w14:textId="135A8A23" w:rsidR="00A54799" w:rsidRPr="00131EED" w:rsidRDefault="001A05E5" w:rsidP="00BE362D">
      <w:pPr>
        <w:pBdr>
          <w:top w:val="nil"/>
          <w:left w:val="nil"/>
          <w:bottom w:val="nil"/>
          <w:right w:val="nil"/>
          <w:between w:val="nil"/>
        </w:pBdr>
        <w:jc w:val="center"/>
        <w:rPr>
          <w:rFonts w:ascii="Baskerville" w:eastAsia="Arial" w:hAnsi="Baskerville" w:cs="Arial"/>
          <w:b/>
          <w:color w:val="404040" w:themeColor="text1" w:themeTint="BF"/>
          <w:sz w:val="18"/>
          <w:szCs w:val="18"/>
        </w:rPr>
      </w:pPr>
      <w:r w:rsidRPr="00131EED">
        <w:rPr>
          <w:rFonts w:ascii="Baskerville" w:eastAsia="Arial" w:hAnsi="Baskerville" w:cs="Arial"/>
          <w:b/>
          <w:color w:val="404040" w:themeColor="text1" w:themeTint="BF"/>
          <w:sz w:val="18"/>
          <w:szCs w:val="18"/>
        </w:rPr>
        <w:t>BOGOTÁ, D.C.</w:t>
      </w:r>
    </w:p>
    <w:p w14:paraId="45BF486F" w14:textId="48AE7EED" w:rsidR="00BE362D" w:rsidRPr="00131EED" w:rsidRDefault="00410194" w:rsidP="00BE362D">
      <w:pPr>
        <w:pBdr>
          <w:top w:val="nil"/>
          <w:left w:val="nil"/>
          <w:bottom w:val="nil"/>
          <w:right w:val="nil"/>
          <w:between w:val="nil"/>
        </w:pBdr>
        <w:jc w:val="center"/>
        <w:rPr>
          <w:rFonts w:ascii="Baskerville" w:eastAsia="Arial" w:hAnsi="Baskerville" w:cs="Arial"/>
          <w:b/>
          <w:color w:val="404040" w:themeColor="text1" w:themeTint="BF"/>
          <w:sz w:val="18"/>
          <w:szCs w:val="18"/>
        </w:rPr>
      </w:pPr>
      <w:r w:rsidRPr="00131EED">
        <w:rPr>
          <w:rFonts w:ascii="Baskerville" w:eastAsia="Arial" w:hAnsi="Baskerville" w:cs="Arial"/>
          <w:b/>
          <w:color w:val="404040" w:themeColor="text1" w:themeTint="BF"/>
          <w:sz w:val="18"/>
          <w:szCs w:val="18"/>
        </w:rPr>
        <w:t>Diciembre</w:t>
      </w:r>
      <w:r w:rsidR="006C2B13" w:rsidRPr="00131EED">
        <w:rPr>
          <w:rFonts w:ascii="Baskerville" w:eastAsia="Arial" w:hAnsi="Baskerville" w:cs="Arial"/>
          <w:b/>
          <w:color w:val="404040" w:themeColor="text1" w:themeTint="BF"/>
          <w:sz w:val="18"/>
          <w:szCs w:val="18"/>
        </w:rPr>
        <w:t xml:space="preserve"> </w:t>
      </w:r>
      <w:r w:rsidR="00A54799" w:rsidRPr="00131EED">
        <w:rPr>
          <w:rFonts w:ascii="Baskerville" w:eastAsia="Arial" w:hAnsi="Baskerville" w:cs="Arial"/>
          <w:b/>
          <w:color w:val="404040" w:themeColor="text1" w:themeTint="BF"/>
          <w:sz w:val="18"/>
          <w:szCs w:val="18"/>
        </w:rPr>
        <w:t>de 2025</w:t>
      </w:r>
    </w:p>
    <w:p w14:paraId="75A2DA9E" w14:textId="7DE74AFD" w:rsidR="00E17F7E" w:rsidRPr="00131EED" w:rsidRDefault="00E17F7E" w:rsidP="00BE362D">
      <w:pPr>
        <w:pBdr>
          <w:top w:val="nil"/>
          <w:left w:val="nil"/>
          <w:bottom w:val="nil"/>
          <w:right w:val="nil"/>
          <w:between w:val="nil"/>
        </w:pBdr>
        <w:jc w:val="center"/>
        <w:rPr>
          <w:rFonts w:ascii="Baskerville" w:eastAsia="Arial" w:hAnsi="Baskerville" w:cs="Arial"/>
          <w:b/>
          <w:color w:val="404040" w:themeColor="text1" w:themeTint="BF"/>
          <w:sz w:val="18"/>
          <w:szCs w:val="18"/>
        </w:rPr>
      </w:pPr>
    </w:p>
    <w:p w14:paraId="340ACFF3" w14:textId="77777777" w:rsidR="00794D20" w:rsidRPr="00131EED" w:rsidRDefault="00794D20" w:rsidP="00BE362D">
      <w:pPr>
        <w:pBdr>
          <w:top w:val="nil"/>
          <w:left w:val="nil"/>
          <w:bottom w:val="nil"/>
          <w:right w:val="nil"/>
          <w:between w:val="nil"/>
        </w:pBdr>
        <w:jc w:val="center"/>
        <w:rPr>
          <w:rFonts w:ascii="Baskerville" w:eastAsia="Arial" w:hAnsi="Baskerville" w:cs="Arial"/>
          <w:b/>
          <w:color w:val="000000"/>
          <w:sz w:val="18"/>
          <w:szCs w:val="18"/>
        </w:rPr>
      </w:pPr>
    </w:p>
    <w:p w14:paraId="144066C9" w14:textId="7D26E24C" w:rsidR="00EF0E5E" w:rsidRPr="00131EED" w:rsidRDefault="00EF0E5E" w:rsidP="00782283">
      <w:pPr>
        <w:pBdr>
          <w:top w:val="nil"/>
          <w:left w:val="nil"/>
          <w:bottom w:val="nil"/>
          <w:right w:val="nil"/>
          <w:between w:val="nil"/>
        </w:pBdr>
        <w:jc w:val="center"/>
        <w:rPr>
          <w:rFonts w:eastAsia="Arial" w:cs="Arial"/>
          <w:b/>
          <w:color w:val="000000"/>
        </w:rPr>
      </w:pPr>
      <w:r w:rsidRPr="00131EED">
        <w:rPr>
          <w:rFonts w:eastAsia="Arial" w:cs="Arial"/>
          <w:b/>
          <w:color w:val="000000"/>
        </w:rPr>
        <w:t>TABLA DE CONTENIDO</w:t>
      </w:r>
    </w:p>
    <w:p w14:paraId="68AD5E23" w14:textId="206388D9" w:rsidR="00A40D9C" w:rsidRDefault="00E41D47">
      <w:pPr>
        <w:pStyle w:val="TOC1"/>
        <w:rPr>
          <w:rFonts w:eastAsiaTheme="minorEastAsia" w:cstheme="minorBidi"/>
          <w:b w:val="0"/>
          <w:bCs w:val="0"/>
          <w:caps w:val="0"/>
          <w:noProof/>
          <w:kern w:val="2"/>
          <w:sz w:val="24"/>
          <w:szCs w:val="24"/>
          <w:lang w:val="en-US"/>
          <w14:ligatures w14:val="standardContextual"/>
        </w:rPr>
      </w:pPr>
      <w:r w:rsidRPr="00131EED">
        <w:rPr>
          <w:rFonts w:ascii="Baskerville Old Face" w:eastAsia="Century Gothic" w:hAnsi="Baskerville Old Face" w:cs="Arial"/>
          <w:sz w:val="24"/>
          <w:szCs w:val="24"/>
        </w:rPr>
        <w:fldChar w:fldCharType="begin"/>
      </w:r>
      <w:r w:rsidRPr="00131EED">
        <w:rPr>
          <w:rFonts w:ascii="Baskerville Old Face" w:eastAsia="Century Gothic" w:hAnsi="Baskerville Old Face" w:cs="Arial"/>
          <w:sz w:val="24"/>
          <w:szCs w:val="24"/>
        </w:rPr>
        <w:instrText xml:space="preserve"> TOC \o "1-5" \h \z \u </w:instrText>
      </w:r>
      <w:r w:rsidRPr="00131EED">
        <w:rPr>
          <w:rFonts w:ascii="Baskerville Old Face" w:eastAsia="Century Gothic" w:hAnsi="Baskerville Old Face" w:cs="Arial"/>
          <w:sz w:val="24"/>
          <w:szCs w:val="24"/>
        </w:rPr>
        <w:fldChar w:fldCharType="separate"/>
      </w:r>
      <w:hyperlink w:anchor="_Toc216468674" w:history="1">
        <w:r w:rsidR="00A40D9C" w:rsidRPr="00E8653E">
          <w:rPr>
            <w:rStyle w:val="Hyperlink"/>
            <w:noProof/>
          </w:rPr>
          <w:t>1.</w:t>
        </w:r>
        <w:r w:rsidR="00A40D9C">
          <w:rPr>
            <w:rFonts w:eastAsiaTheme="minorEastAsia" w:cstheme="minorBidi"/>
            <w:b w:val="0"/>
            <w:bCs w:val="0"/>
            <w:caps w:val="0"/>
            <w:noProof/>
            <w:kern w:val="2"/>
            <w:sz w:val="24"/>
            <w:szCs w:val="24"/>
            <w:lang w:val="en-US"/>
            <w14:ligatures w14:val="standardContextual"/>
          </w:rPr>
          <w:tab/>
        </w:r>
        <w:r w:rsidR="00A40D9C" w:rsidRPr="00E8653E">
          <w:rPr>
            <w:rStyle w:val="Hyperlink"/>
            <w:noProof/>
          </w:rPr>
          <w:t>INTRODUCCIÓN</w:t>
        </w:r>
        <w:r w:rsidR="00A40D9C">
          <w:rPr>
            <w:noProof/>
            <w:webHidden/>
          </w:rPr>
          <w:tab/>
        </w:r>
        <w:r w:rsidR="00A40D9C">
          <w:rPr>
            <w:noProof/>
            <w:webHidden/>
          </w:rPr>
          <w:fldChar w:fldCharType="begin"/>
        </w:r>
        <w:r w:rsidR="00A40D9C">
          <w:rPr>
            <w:noProof/>
            <w:webHidden/>
          </w:rPr>
          <w:instrText xml:space="preserve"> PAGEREF _Toc216468674 \h </w:instrText>
        </w:r>
        <w:r w:rsidR="00A40D9C">
          <w:rPr>
            <w:noProof/>
            <w:webHidden/>
          </w:rPr>
        </w:r>
        <w:r w:rsidR="00A40D9C">
          <w:rPr>
            <w:noProof/>
            <w:webHidden/>
          </w:rPr>
          <w:fldChar w:fldCharType="separate"/>
        </w:r>
        <w:r w:rsidR="00CE096F">
          <w:rPr>
            <w:noProof/>
            <w:webHidden/>
          </w:rPr>
          <w:t>13</w:t>
        </w:r>
        <w:r w:rsidR="00A40D9C">
          <w:rPr>
            <w:noProof/>
            <w:webHidden/>
          </w:rPr>
          <w:fldChar w:fldCharType="end"/>
        </w:r>
      </w:hyperlink>
    </w:p>
    <w:p w14:paraId="5E014376" w14:textId="184D1FFA" w:rsidR="00A40D9C" w:rsidRDefault="00A40D9C">
      <w:pPr>
        <w:pStyle w:val="TOC1"/>
        <w:rPr>
          <w:rFonts w:eastAsiaTheme="minorEastAsia" w:cstheme="minorBidi"/>
          <w:b w:val="0"/>
          <w:bCs w:val="0"/>
          <w:caps w:val="0"/>
          <w:noProof/>
          <w:kern w:val="2"/>
          <w:sz w:val="24"/>
          <w:szCs w:val="24"/>
          <w:lang w:val="en-US"/>
          <w14:ligatures w14:val="standardContextual"/>
        </w:rPr>
      </w:pPr>
      <w:hyperlink w:anchor="_Toc216468675" w:history="1">
        <w:r w:rsidRPr="00E8653E">
          <w:rPr>
            <w:rStyle w:val="Hyperlink"/>
            <w:noProof/>
          </w:rPr>
          <w:t>2.</w:t>
        </w:r>
        <w:r>
          <w:rPr>
            <w:rFonts w:eastAsiaTheme="minorEastAsia" w:cstheme="minorBidi"/>
            <w:b w:val="0"/>
            <w:bCs w:val="0"/>
            <w:caps w:val="0"/>
            <w:noProof/>
            <w:kern w:val="2"/>
            <w:sz w:val="24"/>
            <w:szCs w:val="24"/>
            <w:lang w:val="en-US"/>
            <w14:ligatures w14:val="standardContextual"/>
          </w:rPr>
          <w:tab/>
        </w:r>
        <w:r w:rsidRPr="00E8653E">
          <w:rPr>
            <w:rStyle w:val="Hyperlink"/>
            <w:noProof/>
          </w:rPr>
          <w:t>MARCO NORMATIVO</w:t>
        </w:r>
        <w:r>
          <w:rPr>
            <w:noProof/>
            <w:webHidden/>
          </w:rPr>
          <w:tab/>
        </w:r>
        <w:r>
          <w:rPr>
            <w:noProof/>
            <w:webHidden/>
          </w:rPr>
          <w:fldChar w:fldCharType="begin"/>
        </w:r>
        <w:r>
          <w:rPr>
            <w:noProof/>
            <w:webHidden/>
          </w:rPr>
          <w:instrText xml:space="preserve"> PAGEREF _Toc216468675 \h </w:instrText>
        </w:r>
        <w:r>
          <w:rPr>
            <w:noProof/>
            <w:webHidden/>
          </w:rPr>
        </w:r>
        <w:r>
          <w:rPr>
            <w:noProof/>
            <w:webHidden/>
          </w:rPr>
          <w:fldChar w:fldCharType="separate"/>
        </w:r>
        <w:r w:rsidR="00CE096F">
          <w:rPr>
            <w:noProof/>
            <w:webHidden/>
          </w:rPr>
          <w:t>14</w:t>
        </w:r>
        <w:r>
          <w:rPr>
            <w:noProof/>
            <w:webHidden/>
          </w:rPr>
          <w:fldChar w:fldCharType="end"/>
        </w:r>
      </w:hyperlink>
    </w:p>
    <w:p w14:paraId="7185E6D2" w14:textId="13B8D163" w:rsidR="00A40D9C" w:rsidRDefault="00A40D9C">
      <w:pPr>
        <w:pStyle w:val="TOC1"/>
        <w:rPr>
          <w:rFonts w:eastAsiaTheme="minorEastAsia" w:cstheme="minorBidi"/>
          <w:b w:val="0"/>
          <w:bCs w:val="0"/>
          <w:caps w:val="0"/>
          <w:noProof/>
          <w:kern w:val="2"/>
          <w:sz w:val="24"/>
          <w:szCs w:val="24"/>
          <w:lang w:val="en-US"/>
          <w14:ligatures w14:val="standardContextual"/>
        </w:rPr>
      </w:pPr>
      <w:hyperlink w:anchor="_Toc216468676" w:history="1">
        <w:r w:rsidRPr="00E8653E">
          <w:rPr>
            <w:rStyle w:val="Hyperlink"/>
            <w:noProof/>
          </w:rPr>
          <w:t>3.</w:t>
        </w:r>
        <w:r>
          <w:rPr>
            <w:rFonts w:eastAsiaTheme="minorEastAsia" w:cstheme="minorBidi"/>
            <w:b w:val="0"/>
            <w:bCs w:val="0"/>
            <w:caps w:val="0"/>
            <w:noProof/>
            <w:kern w:val="2"/>
            <w:sz w:val="24"/>
            <w:szCs w:val="24"/>
            <w:lang w:val="en-US"/>
            <w14:ligatures w14:val="standardContextual"/>
          </w:rPr>
          <w:tab/>
        </w:r>
        <w:r w:rsidRPr="00E8653E">
          <w:rPr>
            <w:rStyle w:val="Hyperlink"/>
            <w:noProof/>
          </w:rPr>
          <w:t>PROPÓSITO Y OBJETO DE LAS DIRECTRICES DE ORDENAMIENTO AMBIENTAL</w:t>
        </w:r>
        <w:r>
          <w:rPr>
            <w:noProof/>
            <w:webHidden/>
          </w:rPr>
          <w:tab/>
        </w:r>
        <w:r>
          <w:rPr>
            <w:noProof/>
            <w:webHidden/>
          </w:rPr>
          <w:fldChar w:fldCharType="begin"/>
        </w:r>
        <w:r>
          <w:rPr>
            <w:noProof/>
            <w:webHidden/>
          </w:rPr>
          <w:instrText xml:space="preserve"> PAGEREF _Toc216468676 \h </w:instrText>
        </w:r>
        <w:r>
          <w:rPr>
            <w:noProof/>
            <w:webHidden/>
          </w:rPr>
        </w:r>
        <w:r>
          <w:rPr>
            <w:noProof/>
            <w:webHidden/>
          </w:rPr>
          <w:fldChar w:fldCharType="separate"/>
        </w:r>
        <w:r w:rsidR="00CE096F">
          <w:rPr>
            <w:noProof/>
            <w:webHidden/>
          </w:rPr>
          <w:t>26</w:t>
        </w:r>
        <w:r>
          <w:rPr>
            <w:noProof/>
            <w:webHidden/>
          </w:rPr>
          <w:fldChar w:fldCharType="end"/>
        </w:r>
      </w:hyperlink>
    </w:p>
    <w:p w14:paraId="38F50824" w14:textId="6B1F3937" w:rsidR="00A40D9C" w:rsidRDefault="00A40D9C">
      <w:pPr>
        <w:pStyle w:val="TOC1"/>
        <w:rPr>
          <w:rFonts w:eastAsiaTheme="minorEastAsia" w:cstheme="minorBidi"/>
          <w:b w:val="0"/>
          <w:bCs w:val="0"/>
          <w:caps w:val="0"/>
          <w:noProof/>
          <w:kern w:val="2"/>
          <w:sz w:val="24"/>
          <w:szCs w:val="24"/>
          <w:lang w:val="en-US"/>
          <w14:ligatures w14:val="standardContextual"/>
        </w:rPr>
      </w:pPr>
      <w:hyperlink w:anchor="_Toc216468677" w:history="1">
        <w:r w:rsidRPr="00E8653E">
          <w:rPr>
            <w:rStyle w:val="Hyperlink"/>
            <w:noProof/>
          </w:rPr>
          <w:t>4.</w:t>
        </w:r>
        <w:r>
          <w:rPr>
            <w:rFonts w:eastAsiaTheme="minorEastAsia" w:cstheme="minorBidi"/>
            <w:b w:val="0"/>
            <w:bCs w:val="0"/>
            <w:caps w:val="0"/>
            <w:noProof/>
            <w:kern w:val="2"/>
            <w:sz w:val="24"/>
            <w:szCs w:val="24"/>
            <w:lang w:val="en-US"/>
            <w14:ligatures w14:val="standardContextual"/>
          </w:rPr>
          <w:tab/>
        </w:r>
        <w:r w:rsidRPr="00E8653E">
          <w:rPr>
            <w:rStyle w:val="Hyperlink"/>
            <w:noProof/>
          </w:rPr>
          <w:t>EL ÁMBITO TERRITORIAL DE LAS DIRECTRICES DE LA SABANA DE BOGOTÁ</w:t>
        </w:r>
        <w:r>
          <w:rPr>
            <w:noProof/>
            <w:webHidden/>
          </w:rPr>
          <w:tab/>
        </w:r>
        <w:r>
          <w:rPr>
            <w:noProof/>
            <w:webHidden/>
          </w:rPr>
          <w:fldChar w:fldCharType="begin"/>
        </w:r>
        <w:r>
          <w:rPr>
            <w:noProof/>
            <w:webHidden/>
          </w:rPr>
          <w:instrText xml:space="preserve"> PAGEREF _Toc216468677 \h </w:instrText>
        </w:r>
        <w:r>
          <w:rPr>
            <w:noProof/>
            <w:webHidden/>
          </w:rPr>
        </w:r>
        <w:r>
          <w:rPr>
            <w:noProof/>
            <w:webHidden/>
          </w:rPr>
          <w:fldChar w:fldCharType="separate"/>
        </w:r>
        <w:r w:rsidR="00CE096F">
          <w:rPr>
            <w:noProof/>
            <w:webHidden/>
          </w:rPr>
          <w:t>28</w:t>
        </w:r>
        <w:r>
          <w:rPr>
            <w:noProof/>
            <w:webHidden/>
          </w:rPr>
          <w:fldChar w:fldCharType="end"/>
        </w:r>
      </w:hyperlink>
    </w:p>
    <w:p w14:paraId="2B461EAD" w14:textId="47A6AEAF" w:rsidR="00A40D9C" w:rsidRDefault="00A40D9C">
      <w:pPr>
        <w:pStyle w:val="TOC2"/>
        <w:tabs>
          <w:tab w:val="left" w:pos="880"/>
          <w:tab w:val="right" w:leader="dot" w:pos="8828"/>
        </w:tabs>
        <w:rPr>
          <w:rFonts w:eastAsiaTheme="minorEastAsia" w:cstheme="minorBidi"/>
          <w:smallCaps w:val="0"/>
          <w:noProof/>
          <w:kern w:val="2"/>
          <w:sz w:val="24"/>
          <w:szCs w:val="24"/>
          <w:lang w:val="en-US"/>
          <w14:ligatures w14:val="standardContextual"/>
        </w:rPr>
      </w:pPr>
      <w:hyperlink w:anchor="_Toc216468678" w:history="1">
        <w:r w:rsidRPr="00E8653E">
          <w:rPr>
            <w:rStyle w:val="Hyperlink"/>
            <w:noProof/>
          </w:rPr>
          <w:t>4.1.</w:t>
        </w:r>
        <w:r>
          <w:rPr>
            <w:rFonts w:eastAsiaTheme="minorEastAsia" w:cstheme="minorBidi"/>
            <w:smallCaps w:val="0"/>
            <w:noProof/>
            <w:kern w:val="2"/>
            <w:sz w:val="24"/>
            <w:szCs w:val="24"/>
            <w:lang w:val="en-US"/>
            <w14:ligatures w14:val="standardContextual"/>
          </w:rPr>
          <w:tab/>
        </w:r>
        <w:r w:rsidRPr="00E8653E">
          <w:rPr>
            <w:rStyle w:val="Hyperlink"/>
            <w:noProof/>
          </w:rPr>
          <w:t>Antecedentes</w:t>
        </w:r>
        <w:r>
          <w:rPr>
            <w:noProof/>
            <w:webHidden/>
          </w:rPr>
          <w:tab/>
        </w:r>
        <w:r>
          <w:rPr>
            <w:noProof/>
            <w:webHidden/>
          </w:rPr>
          <w:fldChar w:fldCharType="begin"/>
        </w:r>
        <w:r>
          <w:rPr>
            <w:noProof/>
            <w:webHidden/>
          </w:rPr>
          <w:instrText xml:space="preserve"> PAGEREF _Toc216468678 \h </w:instrText>
        </w:r>
        <w:r>
          <w:rPr>
            <w:noProof/>
            <w:webHidden/>
          </w:rPr>
        </w:r>
        <w:r>
          <w:rPr>
            <w:noProof/>
            <w:webHidden/>
          </w:rPr>
          <w:fldChar w:fldCharType="separate"/>
        </w:r>
        <w:r w:rsidR="00CE096F">
          <w:rPr>
            <w:noProof/>
            <w:webHidden/>
          </w:rPr>
          <w:t>28</w:t>
        </w:r>
        <w:r>
          <w:rPr>
            <w:noProof/>
            <w:webHidden/>
          </w:rPr>
          <w:fldChar w:fldCharType="end"/>
        </w:r>
      </w:hyperlink>
    </w:p>
    <w:p w14:paraId="3C13A545" w14:textId="6891CC60" w:rsidR="00A40D9C" w:rsidRDefault="00A40D9C">
      <w:pPr>
        <w:pStyle w:val="TOC2"/>
        <w:tabs>
          <w:tab w:val="left" w:pos="880"/>
          <w:tab w:val="right" w:leader="dot" w:pos="8828"/>
        </w:tabs>
        <w:rPr>
          <w:rFonts w:eastAsiaTheme="minorEastAsia" w:cstheme="minorBidi"/>
          <w:smallCaps w:val="0"/>
          <w:noProof/>
          <w:kern w:val="2"/>
          <w:sz w:val="24"/>
          <w:szCs w:val="24"/>
          <w:lang w:val="en-US"/>
          <w14:ligatures w14:val="standardContextual"/>
        </w:rPr>
      </w:pPr>
      <w:hyperlink w:anchor="_Toc216468679" w:history="1">
        <w:r w:rsidRPr="00E8653E">
          <w:rPr>
            <w:rStyle w:val="Hyperlink"/>
            <w:noProof/>
          </w:rPr>
          <w:t>4.2.</w:t>
        </w:r>
        <w:r>
          <w:rPr>
            <w:rFonts w:eastAsiaTheme="minorEastAsia" w:cstheme="minorBidi"/>
            <w:smallCaps w:val="0"/>
            <w:noProof/>
            <w:kern w:val="2"/>
            <w:sz w:val="24"/>
            <w:szCs w:val="24"/>
            <w:lang w:val="en-US"/>
            <w14:ligatures w14:val="standardContextual"/>
          </w:rPr>
          <w:tab/>
        </w:r>
        <w:r w:rsidRPr="00E8653E">
          <w:rPr>
            <w:rStyle w:val="Hyperlink"/>
            <w:noProof/>
          </w:rPr>
          <w:t>Metodología ámbito de aplicación – proyecto de resolución directrices para el ordenamiento ambiental de la sabana de Bogotá.</w:t>
        </w:r>
        <w:r>
          <w:rPr>
            <w:noProof/>
            <w:webHidden/>
          </w:rPr>
          <w:tab/>
        </w:r>
        <w:r>
          <w:rPr>
            <w:noProof/>
            <w:webHidden/>
          </w:rPr>
          <w:fldChar w:fldCharType="begin"/>
        </w:r>
        <w:r>
          <w:rPr>
            <w:noProof/>
            <w:webHidden/>
          </w:rPr>
          <w:instrText xml:space="preserve"> PAGEREF _Toc216468679 \h </w:instrText>
        </w:r>
        <w:r>
          <w:rPr>
            <w:noProof/>
            <w:webHidden/>
          </w:rPr>
        </w:r>
        <w:r>
          <w:rPr>
            <w:noProof/>
            <w:webHidden/>
          </w:rPr>
          <w:fldChar w:fldCharType="separate"/>
        </w:r>
        <w:r w:rsidR="00CE096F">
          <w:rPr>
            <w:noProof/>
            <w:webHidden/>
          </w:rPr>
          <w:t>33</w:t>
        </w:r>
        <w:r>
          <w:rPr>
            <w:noProof/>
            <w:webHidden/>
          </w:rPr>
          <w:fldChar w:fldCharType="end"/>
        </w:r>
      </w:hyperlink>
    </w:p>
    <w:p w14:paraId="58B81A69" w14:textId="73127EBE"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680" w:history="1">
        <w:r w:rsidRPr="00E8653E">
          <w:rPr>
            <w:rStyle w:val="Hyperlink"/>
            <w:noProof/>
          </w:rPr>
          <w:t>4.2.1.</w:t>
        </w:r>
        <w:r>
          <w:rPr>
            <w:rFonts w:eastAsiaTheme="minorEastAsia" w:cstheme="minorBidi"/>
            <w:i w:val="0"/>
            <w:iCs w:val="0"/>
            <w:noProof/>
            <w:kern w:val="2"/>
            <w:sz w:val="24"/>
            <w:szCs w:val="24"/>
            <w:lang w:val="en-US"/>
            <w14:ligatures w14:val="standardContextual"/>
          </w:rPr>
          <w:tab/>
        </w:r>
        <w:r w:rsidRPr="00E8653E">
          <w:rPr>
            <w:rStyle w:val="Hyperlink"/>
            <w:noProof/>
          </w:rPr>
          <w:t>Criterios de Identificación</w:t>
        </w:r>
        <w:r>
          <w:rPr>
            <w:noProof/>
            <w:webHidden/>
          </w:rPr>
          <w:tab/>
        </w:r>
        <w:r>
          <w:rPr>
            <w:noProof/>
            <w:webHidden/>
          </w:rPr>
          <w:fldChar w:fldCharType="begin"/>
        </w:r>
        <w:r>
          <w:rPr>
            <w:noProof/>
            <w:webHidden/>
          </w:rPr>
          <w:instrText xml:space="preserve"> PAGEREF _Toc216468680 \h </w:instrText>
        </w:r>
        <w:r>
          <w:rPr>
            <w:noProof/>
            <w:webHidden/>
          </w:rPr>
        </w:r>
        <w:r>
          <w:rPr>
            <w:noProof/>
            <w:webHidden/>
          </w:rPr>
          <w:fldChar w:fldCharType="separate"/>
        </w:r>
        <w:r w:rsidR="00CE096F">
          <w:rPr>
            <w:noProof/>
            <w:webHidden/>
          </w:rPr>
          <w:t>34</w:t>
        </w:r>
        <w:r>
          <w:rPr>
            <w:noProof/>
            <w:webHidden/>
          </w:rPr>
          <w:fldChar w:fldCharType="end"/>
        </w:r>
      </w:hyperlink>
    </w:p>
    <w:p w14:paraId="29DA1FE3" w14:textId="2109A407"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681" w:history="1">
        <w:r w:rsidRPr="00E8653E">
          <w:rPr>
            <w:rStyle w:val="Hyperlink"/>
            <w:noProof/>
          </w:rPr>
          <w:t>4.2.2.</w:t>
        </w:r>
        <w:r>
          <w:rPr>
            <w:rFonts w:eastAsiaTheme="minorEastAsia" w:cstheme="minorBidi"/>
            <w:i w:val="0"/>
            <w:iCs w:val="0"/>
            <w:noProof/>
            <w:kern w:val="2"/>
            <w:sz w:val="24"/>
            <w:szCs w:val="24"/>
            <w:lang w:val="en-US"/>
            <w14:ligatures w14:val="standardContextual"/>
          </w:rPr>
          <w:tab/>
        </w:r>
        <w:r w:rsidRPr="00E8653E">
          <w:rPr>
            <w:rStyle w:val="Hyperlink"/>
            <w:noProof/>
          </w:rPr>
          <w:t>Criterios de verificación</w:t>
        </w:r>
        <w:r>
          <w:rPr>
            <w:noProof/>
            <w:webHidden/>
          </w:rPr>
          <w:tab/>
        </w:r>
        <w:r>
          <w:rPr>
            <w:noProof/>
            <w:webHidden/>
          </w:rPr>
          <w:fldChar w:fldCharType="begin"/>
        </w:r>
        <w:r>
          <w:rPr>
            <w:noProof/>
            <w:webHidden/>
          </w:rPr>
          <w:instrText xml:space="preserve"> PAGEREF _Toc216468681 \h </w:instrText>
        </w:r>
        <w:r>
          <w:rPr>
            <w:noProof/>
            <w:webHidden/>
          </w:rPr>
        </w:r>
        <w:r>
          <w:rPr>
            <w:noProof/>
            <w:webHidden/>
          </w:rPr>
          <w:fldChar w:fldCharType="separate"/>
        </w:r>
        <w:r w:rsidR="00CE096F">
          <w:rPr>
            <w:noProof/>
            <w:webHidden/>
          </w:rPr>
          <w:t>36</w:t>
        </w:r>
        <w:r>
          <w:rPr>
            <w:noProof/>
            <w:webHidden/>
          </w:rPr>
          <w:fldChar w:fldCharType="end"/>
        </w:r>
      </w:hyperlink>
    </w:p>
    <w:p w14:paraId="300616F7" w14:textId="66629C45"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682" w:history="1">
        <w:r w:rsidRPr="00E8653E">
          <w:rPr>
            <w:rStyle w:val="Hyperlink"/>
            <w:noProof/>
          </w:rPr>
          <w:t>4.2.3.</w:t>
        </w:r>
        <w:r>
          <w:rPr>
            <w:rFonts w:eastAsiaTheme="minorEastAsia" w:cstheme="minorBidi"/>
            <w:i w:val="0"/>
            <w:iCs w:val="0"/>
            <w:noProof/>
            <w:kern w:val="2"/>
            <w:sz w:val="24"/>
            <w:szCs w:val="24"/>
            <w:lang w:val="en-US"/>
            <w14:ligatures w14:val="standardContextual"/>
          </w:rPr>
          <w:tab/>
        </w:r>
        <w:r w:rsidRPr="00E8653E">
          <w:rPr>
            <w:rStyle w:val="Hyperlink"/>
            <w:noProof/>
          </w:rPr>
          <w:t>Flujo de geoprocesamiento</w:t>
        </w:r>
        <w:r>
          <w:rPr>
            <w:noProof/>
            <w:webHidden/>
          </w:rPr>
          <w:tab/>
        </w:r>
        <w:r>
          <w:rPr>
            <w:noProof/>
            <w:webHidden/>
          </w:rPr>
          <w:fldChar w:fldCharType="begin"/>
        </w:r>
        <w:r>
          <w:rPr>
            <w:noProof/>
            <w:webHidden/>
          </w:rPr>
          <w:instrText xml:space="preserve"> PAGEREF _Toc216468682 \h </w:instrText>
        </w:r>
        <w:r>
          <w:rPr>
            <w:noProof/>
            <w:webHidden/>
          </w:rPr>
        </w:r>
        <w:r>
          <w:rPr>
            <w:noProof/>
            <w:webHidden/>
          </w:rPr>
          <w:fldChar w:fldCharType="separate"/>
        </w:r>
        <w:r w:rsidR="00CE096F">
          <w:rPr>
            <w:noProof/>
            <w:webHidden/>
          </w:rPr>
          <w:t>37</w:t>
        </w:r>
        <w:r>
          <w:rPr>
            <w:noProof/>
            <w:webHidden/>
          </w:rPr>
          <w:fldChar w:fldCharType="end"/>
        </w:r>
      </w:hyperlink>
    </w:p>
    <w:p w14:paraId="74ABD0DA" w14:textId="7890DF3C" w:rsidR="00A40D9C" w:rsidRDefault="00A40D9C">
      <w:pPr>
        <w:pStyle w:val="TOC1"/>
        <w:rPr>
          <w:rFonts w:eastAsiaTheme="minorEastAsia" w:cstheme="minorBidi"/>
          <w:b w:val="0"/>
          <w:bCs w:val="0"/>
          <w:caps w:val="0"/>
          <w:noProof/>
          <w:kern w:val="2"/>
          <w:sz w:val="24"/>
          <w:szCs w:val="24"/>
          <w:lang w:val="en-US"/>
          <w14:ligatures w14:val="standardContextual"/>
        </w:rPr>
      </w:pPr>
      <w:hyperlink w:anchor="_Toc216468683" w:history="1">
        <w:r w:rsidRPr="00E8653E">
          <w:rPr>
            <w:rStyle w:val="Hyperlink"/>
            <w:noProof/>
          </w:rPr>
          <w:t>5.</w:t>
        </w:r>
        <w:r>
          <w:rPr>
            <w:rFonts w:eastAsiaTheme="minorEastAsia" w:cstheme="minorBidi"/>
            <w:b w:val="0"/>
            <w:bCs w:val="0"/>
            <w:caps w:val="0"/>
            <w:noProof/>
            <w:kern w:val="2"/>
            <w:sz w:val="24"/>
            <w:szCs w:val="24"/>
            <w:lang w:val="en-US"/>
            <w14:ligatures w14:val="standardContextual"/>
          </w:rPr>
          <w:tab/>
        </w:r>
        <w:r w:rsidRPr="00E8653E">
          <w:rPr>
            <w:rStyle w:val="Hyperlink"/>
            <w:noProof/>
          </w:rPr>
          <w:t>EL ORDENAMIENTO ALREDEDOR DEL CICLO DEL AGUA</w:t>
        </w:r>
        <w:r>
          <w:rPr>
            <w:noProof/>
            <w:webHidden/>
          </w:rPr>
          <w:tab/>
        </w:r>
        <w:r>
          <w:rPr>
            <w:noProof/>
            <w:webHidden/>
          </w:rPr>
          <w:fldChar w:fldCharType="begin"/>
        </w:r>
        <w:r>
          <w:rPr>
            <w:noProof/>
            <w:webHidden/>
          </w:rPr>
          <w:instrText xml:space="preserve"> PAGEREF _Toc216468683 \h </w:instrText>
        </w:r>
        <w:r>
          <w:rPr>
            <w:noProof/>
            <w:webHidden/>
          </w:rPr>
        </w:r>
        <w:r>
          <w:rPr>
            <w:noProof/>
            <w:webHidden/>
          </w:rPr>
          <w:fldChar w:fldCharType="separate"/>
        </w:r>
        <w:r w:rsidR="00CE096F">
          <w:rPr>
            <w:noProof/>
            <w:webHidden/>
          </w:rPr>
          <w:t>44</w:t>
        </w:r>
        <w:r>
          <w:rPr>
            <w:noProof/>
            <w:webHidden/>
          </w:rPr>
          <w:fldChar w:fldCharType="end"/>
        </w:r>
      </w:hyperlink>
    </w:p>
    <w:p w14:paraId="7E783433" w14:textId="33994056" w:rsidR="00A40D9C" w:rsidRDefault="00A40D9C">
      <w:pPr>
        <w:pStyle w:val="TOC1"/>
        <w:rPr>
          <w:rFonts w:eastAsiaTheme="minorEastAsia" w:cstheme="minorBidi"/>
          <w:b w:val="0"/>
          <w:bCs w:val="0"/>
          <w:caps w:val="0"/>
          <w:noProof/>
          <w:kern w:val="2"/>
          <w:sz w:val="24"/>
          <w:szCs w:val="24"/>
          <w:lang w:val="en-US"/>
          <w14:ligatures w14:val="standardContextual"/>
        </w:rPr>
      </w:pPr>
      <w:hyperlink w:anchor="_Toc216468684" w:history="1">
        <w:r w:rsidRPr="00E8653E">
          <w:rPr>
            <w:rStyle w:val="Hyperlink"/>
            <w:noProof/>
          </w:rPr>
          <w:t>6.</w:t>
        </w:r>
        <w:r>
          <w:rPr>
            <w:rFonts w:eastAsiaTheme="minorEastAsia" w:cstheme="minorBidi"/>
            <w:b w:val="0"/>
            <w:bCs w:val="0"/>
            <w:caps w:val="0"/>
            <w:noProof/>
            <w:kern w:val="2"/>
            <w:sz w:val="24"/>
            <w:szCs w:val="24"/>
            <w:lang w:val="en-US"/>
            <w14:ligatures w14:val="standardContextual"/>
          </w:rPr>
          <w:tab/>
        </w:r>
        <w:r w:rsidRPr="00E8653E">
          <w:rPr>
            <w:rStyle w:val="Hyperlink"/>
            <w:noProof/>
          </w:rPr>
          <w:t>DETERMINANTES AMBIENTALES EN EL ORDENAMIENTO TERRITORIAL</w:t>
        </w:r>
        <w:r>
          <w:rPr>
            <w:noProof/>
            <w:webHidden/>
          </w:rPr>
          <w:tab/>
        </w:r>
        <w:r>
          <w:rPr>
            <w:noProof/>
            <w:webHidden/>
          </w:rPr>
          <w:fldChar w:fldCharType="begin"/>
        </w:r>
        <w:r>
          <w:rPr>
            <w:noProof/>
            <w:webHidden/>
          </w:rPr>
          <w:instrText xml:space="preserve"> PAGEREF _Toc216468684 \h </w:instrText>
        </w:r>
        <w:r>
          <w:rPr>
            <w:noProof/>
            <w:webHidden/>
          </w:rPr>
        </w:r>
        <w:r>
          <w:rPr>
            <w:noProof/>
            <w:webHidden/>
          </w:rPr>
          <w:fldChar w:fldCharType="separate"/>
        </w:r>
        <w:r w:rsidR="00CE096F">
          <w:rPr>
            <w:noProof/>
            <w:webHidden/>
          </w:rPr>
          <w:t>48</w:t>
        </w:r>
        <w:r>
          <w:rPr>
            <w:noProof/>
            <w:webHidden/>
          </w:rPr>
          <w:fldChar w:fldCharType="end"/>
        </w:r>
      </w:hyperlink>
    </w:p>
    <w:p w14:paraId="64779637" w14:textId="2BC60EEB" w:rsidR="00A40D9C" w:rsidRDefault="00A40D9C">
      <w:pPr>
        <w:pStyle w:val="TOC1"/>
        <w:rPr>
          <w:rFonts w:eastAsiaTheme="minorEastAsia" w:cstheme="minorBidi"/>
          <w:b w:val="0"/>
          <w:bCs w:val="0"/>
          <w:caps w:val="0"/>
          <w:noProof/>
          <w:kern w:val="2"/>
          <w:sz w:val="24"/>
          <w:szCs w:val="24"/>
          <w:lang w:val="en-US"/>
          <w14:ligatures w14:val="standardContextual"/>
        </w:rPr>
      </w:pPr>
      <w:hyperlink w:anchor="_Toc216468685" w:history="1">
        <w:r w:rsidRPr="00E8653E">
          <w:rPr>
            <w:rStyle w:val="Hyperlink"/>
            <w:noProof/>
          </w:rPr>
          <w:t>7.</w:t>
        </w:r>
        <w:r>
          <w:rPr>
            <w:rFonts w:eastAsiaTheme="minorEastAsia" w:cstheme="minorBidi"/>
            <w:b w:val="0"/>
            <w:bCs w:val="0"/>
            <w:caps w:val="0"/>
            <w:noProof/>
            <w:kern w:val="2"/>
            <w:sz w:val="24"/>
            <w:szCs w:val="24"/>
            <w:lang w:val="en-US"/>
            <w14:ligatures w14:val="standardContextual"/>
          </w:rPr>
          <w:tab/>
        </w:r>
        <w:r w:rsidRPr="00E8653E">
          <w:rPr>
            <w:rStyle w:val="Hyperlink"/>
            <w:noProof/>
          </w:rPr>
          <w:t>CONSERVACIÓN DE LA INTEGRIDAD ECOLÓGICA Y ADAPTACIÓN AL CAMBIO CLIMÁTICO.</w:t>
        </w:r>
        <w:r>
          <w:rPr>
            <w:noProof/>
            <w:webHidden/>
          </w:rPr>
          <w:tab/>
        </w:r>
        <w:r>
          <w:rPr>
            <w:noProof/>
            <w:webHidden/>
          </w:rPr>
          <w:fldChar w:fldCharType="begin"/>
        </w:r>
        <w:r>
          <w:rPr>
            <w:noProof/>
            <w:webHidden/>
          </w:rPr>
          <w:instrText xml:space="preserve"> PAGEREF _Toc216468685 \h </w:instrText>
        </w:r>
        <w:r>
          <w:rPr>
            <w:noProof/>
            <w:webHidden/>
          </w:rPr>
        </w:r>
        <w:r>
          <w:rPr>
            <w:noProof/>
            <w:webHidden/>
          </w:rPr>
          <w:fldChar w:fldCharType="separate"/>
        </w:r>
        <w:r w:rsidR="00CE096F">
          <w:rPr>
            <w:noProof/>
            <w:webHidden/>
          </w:rPr>
          <w:t>53</w:t>
        </w:r>
        <w:r>
          <w:rPr>
            <w:noProof/>
            <w:webHidden/>
          </w:rPr>
          <w:fldChar w:fldCharType="end"/>
        </w:r>
      </w:hyperlink>
    </w:p>
    <w:p w14:paraId="5ACAA867" w14:textId="21E32E1A" w:rsidR="00A40D9C" w:rsidRDefault="00A40D9C">
      <w:pPr>
        <w:pStyle w:val="TOC2"/>
        <w:tabs>
          <w:tab w:val="left" w:pos="880"/>
          <w:tab w:val="right" w:leader="dot" w:pos="8828"/>
        </w:tabs>
        <w:rPr>
          <w:rFonts w:eastAsiaTheme="minorEastAsia" w:cstheme="minorBidi"/>
          <w:smallCaps w:val="0"/>
          <w:noProof/>
          <w:kern w:val="2"/>
          <w:sz w:val="24"/>
          <w:szCs w:val="24"/>
          <w:lang w:val="en-US"/>
          <w14:ligatures w14:val="standardContextual"/>
        </w:rPr>
      </w:pPr>
      <w:hyperlink w:anchor="_Toc216468686" w:history="1">
        <w:r w:rsidRPr="00E8653E">
          <w:rPr>
            <w:rStyle w:val="Hyperlink"/>
            <w:rFonts w:eastAsia="Georgia"/>
            <w:noProof/>
          </w:rPr>
          <w:t>7.1.</w:t>
        </w:r>
        <w:r>
          <w:rPr>
            <w:rFonts w:eastAsiaTheme="minorEastAsia" w:cstheme="minorBidi"/>
            <w:smallCaps w:val="0"/>
            <w:noProof/>
            <w:kern w:val="2"/>
            <w:sz w:val="24"/>
            <w:szCs w:val="24"/>
            <w:lang w:val="en-US"/>
            <w14:ligatures w14:val="standardContextual"/>
          </w:rPr>
          <w:tab/>
        </w:r>
        <w:r w:rsidRPr="00E8653E">
          <w:rPr>
            <w:rStyle w:val="Hyperlink"/>
            <w:rFonts w:eastAsia="Georgia"/>
            <w:noProof/>
          </w:rPr>
          <w:t>Pérdida de Biodiversidad: Deterioro de la integridad ecológica</w:t>
        </w:r>
        <w:r>
          <w:rPr>
            <w:noProof/>
            <w:webHidden/>
          </w:rPr>
          <w:tab/>
        </w:r>
        <w:r>
          <w:rPr>
            <w:noProof/>
            <w:webHidden/>
          </w:rPr>
          <w:fldChar w:fldCharType="begin"/>
        </w:r>
        <w:r>
          <w:rPr>
            <w:noProof/>
            <w:webHidden/>
          </w:rPr>
          <w:instrText xml:space="preserve"> PAGEREF _Toc216468686 \h </w:instrText>
        </w:r>
        <w:r>
          <w:rPr>
            <w:noProof/>
            <w:webHidden/>
          </w:rPr>
        </w:r>
        <w:r>
          <w:rPr>
            <w:noProof/>
            <w:webHidden/>
          </w:rPr>
          <w:fldChar w:fldCharType="separate"/>
        </w:r>
        <w:r w:rsidR="00CE096F">
          <w:rPr>
            <w:noProof/>
            <w:webHidden/>
          </w:rPr>
          <w:t>53</w:t>
        </w:r>
        <w:r>
          <w:rPr>
            <w:noProof/>
            <w:webHidden/>
          </w:rPr>
          <w:fldChar w:fldCharType="end"/>
        </w:r>
      </w:hyperlink>
    </w:p>
    <w:p w14:paraId="2BAB4AE4" w14:textId="0D252506"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687" w:history="1">
        <w:r w:rsidRPr="00E8653E">
          <w:rPr>
            <w:rStyle w:val="Hyperlink"/>
            <w:noProof/>
          </w:rPr>
          <w:t>7.1.1.</w:t>
        </w:r>
        <w:r>
          <w:rPr>
            <w:rFonts w:eastAsiaTheme="minorEastAsia" w:cstheme="minorBidi"/>
            <w:i w:val="0"/>
            <w:iCs w:val="0"/>
            <w:noProof/>
            <w:kern w:val="2"/>
            <w:sz w:val="24"/>
            <w:szCs w:val="24"/>
            <w:lang w:val="en-US"/>
            <w14:ligatures w14:val="standardContextual"/>
          </w:rPr>
          <w:tab/>
        </w:r>
        <w:r w:rsidRPr="00E8653E">
          <w:rPr>
            <w:rStyle w:val="Hyperlink"/>
            <w:noProof/>
          </w:rPr>
          <w:t>Las transformaciones de los biomas y ecosistemas en la Sabana de Bogotá</w:t>
        </w:r>
        <w:r>
          <w:rPr>
            <w:noProof/>
            <w:webHidden/>
          </w:rPr>
          <w:tab/>
        </w:r>
        <w:r>
          <w:rPr>
            <w:noProof/>
            <w:webHidden/>
          </w:rPr>
          <w:fldChar w:fldCharType="begin"/>
        </w:r>
        <w:r>
          <w:rPr>
            <w:noProof/>
            <w:webHidden/>
          </w:rPr>
          <w:instrText xml:space="preserve"> PAGEREF _Toc216468687 \h </w:instrText>
        </w:r>
        <w:r>
          <w:rPr>
            <w:noProof/>
            <w:webHidden/>
          </w:rPr>
        </w:r>
        <w:r>
          <w:rPr>
            <w:noProof/>
            <w:webHidden/>
          </w:rPr>
          <w:fldChar w:fldCharType="separate"/>
        </w:r>
        <w:r w:rsidR="00CE096F">
          <w:rPr>
            <w:noProof/>
            <w:webHidden/>
          </w:rPr>
          <w:t>55</w:t>
        </w:r>
        <w:r>
          <w:rPr>
            <w:noProof/>
            <w:webHidden/>
          </w:rPr>
          <w:fldChar w:fldCharType="end"/>
        </w:r>
      </w:hyperlink>
    </w:p>
    <w:p w14:paraId="6564CDA4" w14:textId="4B5C16D1"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688" w:history="1">
        <w:r w:rsidRPr="00E8653E">
          <w:rPr>
            <w:rStyle w:val="Hyperlink"/>
            <w:noProof/>
          </w:rPr>
          <w:t>7.1.2.</w:t>
        </w:r>
        <w:r>
          <w:rPr>
            <w:rFonts w:eastAsiaTheme="minorEastAsia" w:cstheme="minorBidi"/>
            <w:i w:val="0"/>
            <w:iCs w:val="0"/>
            <w:noProof/>
            <w:kern w:val="2"/>
            <w:sz w:val="24"/>
            <w:szCs w:val="24"/>
            <w:lang w:val="en-US"/>
            <w14:ligatures w14:val="standardContextual"/>
          </w:rPr>
          <w:tab/>
        </w:r>
        <w:r w:rsidRPr="00E8653E">
          <w:rPr>
            <w:rStyle w:val="Hyperlink"/>
            <w:noProof/>
          </w:rPr>
          <w:t>Áreas con bajos niveles de integridad ecológica</w:t>
        </w:r>
        <w:r>
          <w:rPr>
            <w:noProof/>
            <w:webHidden/>
          </w:rPr>
          <w:tab/>
        </w:r>
        <w:r>
          <w:rPr>
            <w:noProof/>
            <w:webHidden/>
          </w:rPr>
          <w:fldChar w:fldCharType="begin"/>
        </w:r>
        <w:r>
          <w:rPr>
            <w:noProof/>
            <w:webHidden/>
          </w:rPr>
          <w:instrText xml:space="preserve"> PAGEREF _Toc216468688 \h </w:instrText>
        </w:r>
        <w:r>
          <w:rPr>
            <w:noProof/>
            <w:webHidden/>
          </w:rPr>
        </w:r>
        <w:r>
          <w:rPr>
            <w:noProof/>
            <w:webHidden/>
          </w:rPr>
          <w:fldChar w:fldCharType="separate"/>
        </w:r>
        <w:r w:rsidR="00CE096F">
          <w:rPr>
            <w:noProof/>
            <w:webHidden/>
          </w:rPr>
          <w:t>59</w:t>
        </w:r>
        <w:r>
          <w:rPr>
            <w:noProof/>
            <w:webHidden/>
          </w:rPr>
          <w:fldChar w:fldCharType="end"/>
        </w:r>
      </w:hyperlink>
    </w:p>
    <w:p w14:paraId="6731EAFC" w14:textId="1C311E36"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689" w:history="1">
        <w:r w:rsidRPr="00E8653E">
          <w:rPr>
            <w:rStyle w:val="Hyperlink"/>
            <w:noProof/>
          </w:rPr>
          <w:t>7.1.3.</w:t>
        </w:r>
        <w:r>
          <w:rPr>
            <w:rFonts w:eastAsiaTheme="minorEastAsia" w:cstheme="minorBidi"/>
            <w:i w:val="0"/>
            <w:iCs w:val="0"/>
            <w:noProof/>
            <w:kern w:val="2"/>
            <w:sz w:val="24"/>
            <w:szCs w:val="24"/>
            <w:lang w:val="en-US"/>
            <w14:ligatures w14:val="standardContextual"/>
          </w:rPr>
          <w:tab/>
        </w:r>
        <w:r w:rsidRPr="00E8653E">
          <w:rPr>
            <w:rStyle w:val="Hyperlink"/>
            <w:noProof/>
          </w:rPr>
          <w:t>Pérdida de conectividad ecológica entre los ecosistemas</w:t>
        </w:r>
        <w:r>
          <w:rPr>
            <w:noProof/>
            <w:webHidden/>
          </w:rPr>
          <w:tab/>
        </w:r>
        <w:r>
          <w:rPr>
            <w:noProof/>
            <w:webHidden/>
          </w:rPr>
          <w:fldChar w:fldCharType="begin"/>
        </w:r>
        <w:r>
          <w:rPr>
            <w:noProof/>
            <w:webHidden/>
          </w:rPr>
          <w:instrText xml:space="preserve"> PAGEREF _Toc216468689 \h </w:instrText>
        </w:r>
        <w:r>
          <w:rPr>
            <w:noProof/>
            <w:webHidden/>
          </w:rPr>
        </w:r>
        <w:r>
          <w:rPr>
            <w:noProof/>
            <w:webHidden/>
          </w:rPr>
          <w:fldChar w:fldCharType="separate"/>
        </w:r>
        <w:r w:rsidR="00CE096F">
          <w:rPr>
            <w:noProof/>
            <w:webHidden/>
          </w:rPr>
          <w:t>62</w:t>
        </w:r>
        <w:r>
          <w:rPr>
            <w:noProof/>
            <w:webHidden/>
          </w:rPr>
          <w:fldChar w:fldCharType="end"/>
        </w:r>
      </w:hyperlink>
    </w:p>
    <w:p w14:paraId="0110C0A9" w14:textId="515C8189"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690" w:history="1">
        <w:r w:rsidRPr="00E8653E">
          <w:rPr>
            <w:rStyle w:val="Hyperlink"/>
            <w:noProof/>
          </w:rPr>
          <w:t>7.1.4.</w:t>
        </w:r>
        <w:r>
          <w:rPr>
            <w:rFonts w:eastAsiaTheme="minorEastAsia" w:cstheme="minorBidi"/>
            <w:i w:val="0"/>
            <w:iCs w:val="0"/>
            <w:noProof/>
            <w:kern w:val="2"/>
            <w:sz w:val="24"/>
            <w:szCs w:val="24"/>
            <w:lang w:val="en-US"/>
            <w14:ligatures w14:val="standardContextual"/>
          </w:rPr>
          <w:tab/>
        </w:r>
        <w:r w:rsidRPr="00E8653E">
          <w:rPr>
            <w:rStyle w:val="Hyperlink"/>
            <w:noProof/>
          </w:rPr>
          <w:t>Baja eficiencia en el manejo de áreas del SINAP y OMEC</w:t>
        </w:r>
        <w:r>
          <w:rPr>
            <w:noProof/>
            <w:webHidden/>
          </w:rPr>
          <w:tab/>
        </w:r>
        <w:r>
          <w:rPr>
            <w:noProof/>
            <w:webHidden/>
          </w:rPr>
          <w:fldChar w:fldCharType="begin"/>
        </w:r>
        <w:r>
          <w:rPr>
            <w:noProof/>
            <w:webHidden/>
          </w:rPr>
          <w:instrText xml:space="preserve"> PAGEREF _Toc216468690 \h </w:instrText>
        </w:r>
        <w:r>
          <w:rPr>
            <w:noProof/>
            <w:webHidden/>
          </w:rPr>
        </w:r>
        <w:r>
          <w:rPr>
            <w:noProof/>
            <w:webHidden/>
          </w:rPr>
          <w:fldChar w:fldCharType="separate"/>
        </w:r>
        <w:r w:rsidR="00CE096F">
          <w:rPr>
            <w:noProof/>
            <w:webHidden/>
          </w:rPr>
          <w:t>63</w:t>
        </w:r>
        <w:r>
          <w:rPr>
            <w:noProof/>
            <w:webHidden/>
          </w:rPr>
          <w:fldChar w:fldCharType="end"/>
        </w:r>
      </w:hyperlink>
    </w:p>
    <w:p w14:paraId="7ABBB136" w14:textId="55946356"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691" w:history="1">
        <w:r w:rsidRPr="00E8653E">
          <w:rPr>
            <w:rStyle w:val="Hyperlink"/>
            <w:noProof/>
          </w:rPr>
          <w:t>7.1.5.</w:t>
        </w:r>
        <w:r>
          <w:rPr>
            <w:rFonts w:eastAsiaTheme="minorEastAsia" w:cstheme="minorBidi"/>
            <w:i w:val="0"/>
            <w:iCs w:val="0"/>
            <w:noProof/>
            <w:kern w:val="2"/>
            <w:sz w:val="24"/>
            <w:szCs w:val="24"/>
            <w:lang w:val="en-US"/>
            <w14:ligatures w14:val="standardContextual"/>
          </w:rPr>
          <w:tab/>
        </w:r>
        <w:r w:rsidRPr="00E8653E">
          <w:rPr>
            <w:rStyle w:val="Hyperlink"/>
            <w:noProof/>
          </w:rPr>
          <w:t>Ecosistemas estratégicos de la Sabana de Bogotá: humedales, bosques altoandinos y subxerofitia</w:t>
        </w:r>
        <w:r>
          <w:rPr>
            <w:noProof/>
            <w:webHidden/>
          </w:rPr>
          <w:tab/>
        </w:r>
        <w:r>
          <w:rPr>
            <w:noProof/>
            <w:webHidden/>
          </w:rPr>
          <w:fldChar w:fldCharType="begin"/>
        </w:r>
        <w:r>
          <w:rPr>
            <w:noProof/>
            <w:webHidden/>
          </w:rPr>
          <w:instrText xml:space="preserve"> PAGEREF _Toc216468691 \h </w:instrText>
        </w:r>
        <w:r>
          <w:rPr>
            <w:noProof/>
            <w:webHidden/>
          </w:rPr>
        </w:r>
        <w:r>
          <w:rPr>
            <w:noProof/>
            <w:webHidden/>
          </w:rPr>
          <w:fldChar w:fldCharType="separate"/>
        </w:r>
        <w:r w:rsidR="00CE096F">
          <w:rPr>
            <w:noProof/>
            <w:webHidden/>
          </w:rPr>
          <w:t>72</w:t>
        </w:r>
        <w:r>
          <w:rPr>
            <w:noProof/>
            <w:webHidden/>
          </w:rPr>
          <w:fldChar w:fldCharType="end"/>
        </w:r>
      </w:hyperlink>
    </w:p>
    <w:p w14:paraId="0D8A7010" w14:textId="61BFB369" w:rsidR="00A40D9C" w:rsidRDefault="00A40D9C">
      <w:pPr>
        <w:pStyle w:val="TOC4"/>
        <w:tabs>
          <w:tab w:val="right" w:leader="dot" w:pos="8828"/>
        </w:tabs>
        <w:rPr>
          <w:rFonts w:eastAsiaTheme="minorEastAsia" w:cstheme="minorBidi"/>
          <w:noProof/>
          <w:kern w:val="2"/>
          <w:sz w:val="24"/>
          <w:szCs w:val="24"/>
          <w:lang w:val="en-US"/>
          <w14:ligatures w14:val="standardContextual"/>
        </w:rPr>
      </w:pPr>
      <w:hyperlink w:anchor="_Toc216468692" w:history="1">
        <w:r w:rsidRPr="00E8653E">
          <w:rPr>
            <w:rStyle w:val="Hyperlink"/>
            <w:rFonts w:ascii="Baskerville" w:hAnsi="Baskerville"/>
            <w:noProof/>
          </w:rPr>
          <w:t>Humedales</w:t>
        </w:r>
        <w:r>
          <w:rPr>
            <w:noProof/>
            <w:webHidden/>
          </w:rPr>
          <w:tab/>
        </w:r>
        <w:r>
          <w:rPr>
            <w:noProof/>
            <w:webHidden/>
          </w:rPr>
          <w:fldChar w:fldCharType="begin"/>
        </w:r>
        <w:r>
          <w:rPr>
            <w:noProof/>
            <w:webHidden/>
          </w:rPr>
          <w:instrText xml:space="preserve"> PAGEREF _Toc216468692 \h </w:instrText>
        </w:r>
        <w:r>
          <w:rPr>
            <w:noProof/>
            <w:webHidden/>
          </w:rPr>
        </w:r>
        <w:r>
          <w:rPr>
            <w:noProof/>
            <w:webHidden/>
          </w:rPr>
          <w:fldChar w:fldCharType="separate"/>
        </w:r>
        <w:r w:rsidR="00CE096F">
          <w:rPr>
            <w:noProof/>
            <w:webHidden/>
          </w:rPr>
          <w:t>72</w:t>
        </w:r>
        <w:r>
          <w:rPr>
            <w:noProof/>
            <w:webHidden/>
          </w:rPr>
          <w:fldChar w:fldCharType="end"/>
        </w:r>
      </w:hyperlink>
    </w:p>
    <w:p w14:paraId="12F9D62E" w14:textId="08DE4462" w:rsidR="00A40D9C" w:rsidRDefault="00A40D9C">
      <w:pPr>
        <w:pStyle w:val="TOC4"/>
        <w:tabs>
          <w:tab w:val="right" w:leader="dot" w:pos="8828"/>
        </w:tabs>
        <w:rPr>
          <w:rFonts w:eastAsiaTheme="minorEastAsia" w:cstheme="minorBidi"/>
          <w:noProof/>
          <w:kern w:val="2"/>
          <w:sz w:val="24"/>
          <w:szCs w:val="24"/>
          <w:lang w:val="en-US"/>
          <w14:ligatures w14:val="standardContextual"/>
        </w:rPr>
      </w:pPr>
      <w:hyperlink w:anchor="_Toc216468693" w:history="1">
        <w:r w:rsidRPr="00E8653E">
          <w:rPr>
            <w:rStyle w:val="Hyperlink"/>
            <w:rFonts w:ascii="Baskerville Old Face" w:hAnsi="Baskerville Old Face"/>
            <w:noProof/>
            <w:shd w:val="clear" w:color="auto" w:fill="FEFEFE"/>
          </w:rPr>
          <w:t>Bosques altoandinos en la Sabana de Bogotá</w:t>
        </w:r>
        <w:r>
          <w:rPr>
            <w:noProof/>
            <w:webHidden/>
          </w:rPr>
          <w:tab/>
        </w:r>
        <w:r>
          <w:rPr>
            <w:noProof/>
            <w:webHidden/>
          </w:rPr>
          <w:fldChar w:fldCharType="begin"/>
        </w:r>
        <w:r>
          <w:rPr>
            <w:noProof/>
            <w:webHidden/>
          </w:rPr>
          <w:instrText xml:space="preserve"> PAGEREF _Toc216468693 \h </w:instrText>
        </w:r>
        <w:r>
          <w:rPr>
            <w:noProof/>
            <w:webHidden/>
          </w:rPr>
        </w:r>
        <w:r>
          <w:rPr>
            <w:noProof/>
            <w:webHidden/>
          </w:rPr>
          <w:fldChar w:fldCharType="separate"/>
        </w:r>
        <w:r w:rsidR="00CE096F">
          <w:rPr>
            <w:noProof/>
            <w:webHidden/>
          </w:rPr>
          <w:t>81</w:t>
        </w:r>
        <w:r>
          <w:rPr>
            <w:noProof/>
            <w:webHidden/>
          </w:rPr>
          <w:fldChar w:fldCharType="end"/>
        </w:r>
      </w:hyperlink>
    </w:p>
    <w:p w14:paraId="159A5750" w14:textId="4F9D09BD" w:rsidR="00A40D9C" w:rsidRDefault="00A40D9C">
      <w:pPr>
        <w:pStyle w:val="TOC4"/>
        <w:tabs>
          <w:tab w:val="right" w:leader="dot" w:pos="8828"/>
        </w:tabs>
        <w:rPr>
          <w:rFonts w:eastAsiaTheme="minorEastAsia" w:cstheme="minorBidi"/>
          <w:noProof/>
          <w:kern w:val="2"/>
          <w:sz w:val="24"/>
          <w:szCs w:val="24"/>
          <w:lang w:val="en-US"/>
          <w14:ligatures w14:val="standardContextual"/>
        </w:rPr>
      </w:pPr>
      <w:hyperlink w:anchor="_Toc216468694" w:history="1">
        <w:r w:rsidRPr="00E8653E">
          <w:rPr>
            <w:rStyle w:val="Hyperlink"/>
            <w:rFonts w:ascii="Baskerville" w:hAnsi="Baskerville"/>
            <w:noProof/>
            <w:shd w:val="clear" w:color="auto" w:fill="FEFEFE"/>
          </w:rPr>
          <w:t>Ecosistemas subxerofíticos andinos en la Sabana de Bogotá</w:t>
        </w:r>
        <w:r>
          <w:rPr>
            <w:noProof/>
            <w:webHidden/>
          </w:rPr>
          <w:tab/>
        </w:r>
        <w:r>
          <w:rPr>
            <w:noProof/>
            <w:webHidden/>
          </w:rPr>
          <w:fldChar w:fldCharType="begin"/>
        </w:r>
        <w:r>
          <w:rPr>
            <w:noProof/>
            <w:webHidden/>
          </w:rPr>
          <w:instrText xml:space="preserve"> PAGEREF _Toc216468694 \h </w:instrText>
        </w:r>
        <w:r>
          <w:rPr>
            <w:noProof/>
            <w:webHidden/>
          </w:rPr>
        </w:r>
        <w:r>
          <w:rPr>
            <w:noProof/>
            <w:webHidden/>
          </w:rPr>
          <w:fldChar w:fldCharType="separate"/>
        </w:r>
        <w:r w:rsidR="00CE096F">
          <w:rPr>
            <w:noProof/>
            <w:webHidden/>
          </w:rPr>
          <w:t>84</w:t>
        </w:r>
        <w:r>
          <w:rPr>
            <w:noProof/>
            <w:webHidden/>
          </w:rPr>
          <w:fldChar w:fldCharType="end"/>
        </w:r>
      </w:hyperlink>
    </w:p>
    <w:p w14:paraId="5D145F2B" w14:textId="3F7CA270" w:rsidR="00A40D9C" w:rsidRDefault="00A40D9C">
      <w:pPr>
        <w:pStyle w:val="TOC4"/>
        <w:tabs>
          <w:tab w:val="right" w:leader="dot" w:pos="8828"/>
        </w:tabs>
        <w:rPr>
          <w:rFonts w:eastAsiaTheme="minorEastAsia" w:cstheme="minorBidi"/>
          <w:noProof/>
          <w:kern w:val="2"/>
          <w:sz w:val="24"/>
          <w:szCs w:val="24"/>
          <w:lang w:val="en-US"/>
          <w14:ligatures w14:val="standardContextual"/>
        </w:rPr>
      </w:pPr>
      <w:hyperlink w:anchor="_Toc216468695" w:history="1">
        <w:r w:rsidRPr="00E8653E">
          <w:rPr>
            <w:rStyle w:val="Hyperlink"/>
            <w:rFonts w:ascii="Baskerville" w:hAnsi="Baskerville"/>
            <w:noProof/>
            <w:shd w:val="clear" w:color="auto" w:fill="FEFEFE"/>
          </w:rPr>
          <w:t>Páramos en la Sabana de Bogotá</w:t>
        </w:r>
        <w:r>
          <w:rPr>
            <w:noProof/>
            <w:webHidden/>
          </w:rPr>
          <w:tab/>
        </w:r>
        <w:r>
          <w:rPr>
            <w:noProof/>
            <w:webHidden/>
          </w:rPr>
          <w:fldChar w:fldCharType="begin"/>
        </w:r>
        <w:r>
          <w:rPr>
            <w:noProof/>
            <w:webHidden/>
          </w:rPr>
          <w:instrText xml:space="preserve"> PAGEREF _Toc216468695 \h </w:instrText>
        </w:r>
        <w:r>
          <w:rPr>
            <w:noProof/>
            <w:webHidden/>
          </w:rPr>
        </w:r>
        <w:r>
          <w:rPr>
            <w:noProof/>
            <w:webHidden/>
          </w:rPr>
          <w:fldChar w:fldCharType="separate"/>
        </w:r>
        <w:r w:rsidR="00CE096F">
          <w:rPr>
            <w:noProof/>
            <w:webHidden/>
          </w:rPr>
          <w:t>96</w:t>
        </w:r>
        <w:r>
          <w:rPr>
            <w:noProof/>
            <w:webHidden/>
          </w:rPr>
          <w:fldChar w:fldCharType="end"/>
        </w:r>
      </w:hyperlink>
    </w:p>
    <w:p w14:paraId="7193DCEB" w14:textId="15D073EF"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696" w:history="1">
        <w:r w:rsidRPr="00E8653E">
          <w:rPr>
            <w:rStyle w:val="Hyperlink"/>
            <w:noProof/>
          </w:rPr>
          <w:t>7.1.6.</w:t>
        </w:r>
        <w:r>
          <w:rPr>
            <w:rFonts w:eastAsiaTheme="minorEastAsia" w:cstheme="minorBidi"/>
            <w:i w:val="0"/>
            <w:iCs w:val="0"/>
            <w:noProof/>
            <w:kern w:val="2"/>
            <w:sz w:val="24"/>
            <w:szCs w:val="24"/>
            <w:lang w:val="en-US"/>
            <w14:ligatures w14:val="standardContextual"/>
          </w:rPr>
          <w:tab/>
        </w:r>
        <w:r w:rsidRPr="00E8653E">
          <w:rPr>
            <w:rStyle w:val="Hyperlink"/>
            <w:noProof/>
          </w:rPr>
          <w:t>Aumento de especies en riesgo de extinción por motores de pérdida de biodiversidad</w:t>
        </w:r>
        <w:r>
          <w:rPr>
            <w:noProof/>
            <w:webHidden/>
          </w:rPr>
          <w:tab/>
        </w:r>
        <w:r>
          <w:rPr>
            <w:noProof/>
            <w:webHidden/>
          </w:rPr>
          <w:fldChar w:fldCharType="begin"/>
        </w:r>
        <w:r>
          <w:rPr>
            <w:noProof/>
            <w:webHidden/>
          </w:rPr>
          <w:instrText xml:space="preserve"> PAGEREF _Toc216468696 \h </w:instrText>
        </w:r>
        <w:r>
          <w:rPr>
            <w:noProof/>
            <w:webHidden/>
          </w:rPr>
        </w:r>
        <w:r>
          <w:rPr>
            <w:noProof/>
            <w:webHidden/>
          </w:rPr>
          <w:fldChar w:fldCharType="separate"/>
        </w:r>
        <w:r w:rsidR="00CE096F">
          <w:rPr>
            <w:noProof/>
            <w:webHidden/>
          </w:rPr>
          <w:t>98</w:t>
        </w:r>
        <w:r>
          <w:rPr>
            <w:noProof/>
            <w:webHidden/>
          </w:rPr>
          <w:fldChar w:fldCharType="end"/>
        </w:r>
      </w:hyperlink>
    </w:p>
    <w:p w14:paraId="508F1D94" w14:textId="01F5B9BE" w:rsidR="00A40D9C" w:rsidRDefault="00A40D9C">
      <w:pPr>
        <w:pStyle w:val="TOC4"/>
        <w:tabs>
          <w:tab w:val="right" w:leader="dot" w:pos="8828"/>
        </w:tabs>
        <w:rPr>
          <w:rFonts w:eastAsiaTheme="minorEastAsia" w:cstheme="minorBidi"/>
          <w:noProof/>
          <w:kern w:val="2"/>
          <w:sz w:val="24"/>
          <w:szCs w:val="24"/>
          <w:lang w:val="en-US"/>
          <w14:ligatures w14:val="standardContextual"/>
        </w:rPr>
      </w:pPr>
      <w:hyperlink w:anchor="_Toc216468697" w:history="1">
        <w:r w:rsidRPr="00E8653E">
          <w:rPr>
            <w:rStyle w:val="Hyperlink"/>
            <w:rFonts w:ascii="Baskerville Old Face" w:hAnsi="Baskerville Old Face"/>
            <w:noProof/>
          </w:rPr>
          <w:t>La importancia del tigrillo lanudo</w:t>
        </w:r>
        <w:r>
          <w:rPr>
            <w:noProof/>
            <w:webHidden/>
          </w:rPr>
          <w:tab/>
        </w:r>
        <w:r>
          <w:rPr>
            <w:noProof/>
            <w:webHidden/>
          </w:rPr>
          <w:fldChar w:fldCharType="begin"/>
        </w:r>
        <w:r>
          <w:rPr>
            <w:noProof/>
            <w:webHidden/>
          </w:rPr>
          <w:instrText xml:space="preserve"> PAGEREF _Toc216468697 \h </w:instrText>
        </w:r>
        <w:r>
          <w:rPr>
            <w:noProof/>
            <w:webHidden/>
          </w:rPr>
        </w:r>
        <w:r>
          <w:rPr>
            <w:noProof/>
            <w:webHidden/>
          </w:rPr>
          <w:fldChar w:fldCharType="separate"/>
        </w:r>
        <w:r w:rsidR="00CE096F">
          <w:rPr>
            <w:noProof/>
            <w:webHidden/>
          </w:rPr>
          <w:t>99</w:t>
        </w:r>
        <w:r>
          <w:rPr>
            <w:noProof/>
            <w:webHidden/>
          </w:rPr>
          <w:fldChar w:fldCharType="end"/>
        </w:r>
      </w:hyperlink>
    </w:p>
    <w:p w14:paraId="1D6E9A7F" w14:textId="117EED66"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698" w:history="1">
        <w:r w:rsidRPr="00E8653E">
          <w:rPr>
            <w:rStyle w:val="Hyperlink"/>
            <w:noProof/>
          </w:rPr>
          <w:t>7.1.7.</w:t>
        </w:r>
        <w:r>
          <w:rPr>
            <w:rFonts w:eastAsiaTheme="minorEastAsia" w:cstheme="minorBidi"/>
            <w:i w:val="0"/>
            <w:iCs w:val="0"/>
            <w:noProof/>
            <w:kern w:val="2"/>
            <w:sz w:val="24"/>
            <w:szCs w:val="24"/>
            <w:lang w:val="en-US"/>
            <w14:ligatures w14:val="standardContextual"/>
          </w:rPr>
          <w:tab/>
        </w:r>
        <w:r w:rsidRPr="00E8653E">
          <w:rPr>
            <w:rStyle w:val="Hyperlink"/>
            <w:noProof/>
          </w:rPr>
          <w:t>Especies exóticas invasoras</w:t>
        </w:r>
        <w:r>
          <w:rPr>
            <w:noProof/>
            <w:webHidden/>
          </w:rPr>
          <w:tab/>
        </w:r>
        <w:r>
          <w:rPr>
            <w:noProof/>
            <w:webHidden/>
          </w:rPr>
          <w:fldChar w:fldCharType="begin"/>
        </w:r>
        <w:r>
          <w:rPr>
            <w:noProof/>
            <w:webHidden/>
          </w:rPr>
          <w:instrText xml:space="preserve"> PAGEREF _Toc216468698 \h </w:instrText>
        </w:r>
        <w:r>
          <w:rPr>
            <w:noProof/>
            <w:webHidden/>
          </w:rPr>
        </w:r>
        <w:r>
          <w:rPr>
            <w:noProof/>
            <w:webHidden/>
          </w:rPr>
          <w:fldChar w:fldCharType="separate"/>
        </w:r>
        <w:r w:rsidR="00CE096F">
          <w:rPr>
            <w:noProof/>
            <w:webHidden/>
          </w:rPr>
          <w:t>105</w:t>
        </w:r>
        <w:r>
          <w:rPr>
            <w:noProof/>
            <w:webHidden/>
          </w:rPr>
          <w:fldChar w:fldCharType="end"/>
        </w:r>
      </w:hyperlink>
    </w:p>
    <w:p w14:paraId="3729CAE9" w14:textId="631AD422"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699" w:history="1">
        <w:r w:rsidRPr="00E8653E">
          <w:rPr>
            <w:rStyle w:val="Hyperlink"/>
            <w:noProof/>
          </w:rPr>
          <w:t>7.1.8.</w:t>
        </w:r>
        <w:r>
          <w:rPr>
            <w:rFonts w:eastAsiaTheme="minorEastAsia" w:cstheme="minorBidi"/>
            <w:i w:val="0"/>
            <w:iCs w:val="0"/>
            <w:noProof/>
            <w:kern w:val="2"/>
            <w:sz w:val="24"/>
            <w:szCs w:val="24"/>
            <w:lang w:val="en-US"/>
            <w14:ligatures w14:val="standardContextual"/>
          </w:rPr>
          <w:tab/>
        </w:r>
        <w:r w:rsidRPr="00E8653E">
          <w:rPr>
            <w:rStyle w:val="Hyperlink"/>
            <w:noProof/>
          </w:rPr>
          <w:t>Importancia de la conservación de la biodiversidad urbana</w:t>
        </w:r>
        <w:r>
          <w:rPr>
            <w:noProof/>
            <w:webHidden/>
          </w:rPr>
          <w:tab/>
        </w:r>
        <w:r>
          <w:rPr>
            <w:noProof/>
            <w:webHidden/>
          </w:rPr>
          <w:fldChar w:fldCharType="begin"/>
        </w:r>
        <w:r>
          <w:rPr>
            <w:noProof/>
            <w:webHidden/>
          </w:rPr>
          <w:instrText xml:space="preserve"> PAGEREF _Toc216468699 \h </w:instrText>
        </w:r>
        <w:r>
          <w:rPr>
            <w:noProof/>
            <w:webHidden/>
          </w:rPr>
        </w:r>
        <w:r>
          <w:rPr>
            <w:noProof/>
            <w:webHidden/>
          </w:rPr>
          <w:fldChar w:fldCharType="separate"/>
        </w:r>
        <w:r w:rsidR="00CE096F">
          <w:rPr>
            <w:noProof/>
            <w:webHidden/>
          </w:rPr>
          <w:t>107</w:t>
        </w:r>
        <w:r>
          <w:rPr>
            <w:noProof/>
            <w:webHidden/>
          </w:rPr>
          <w:fldChar w:fldCharType="end"/>
        </w:r>
      </w:hyperlink>
    </w:p>
    <w:p w14:paraId="595A1F24" w14:textId="67B74956" w:rsidR="00A40D9C" w:rsidRDefault="00A40D9C">
      <w:pPr>
        <w:pStyle w:val="TOC2"/>
        <w:tabs>
          <w:tab w:val="left" w:pos="880"/>
          <w:tab w:val="right" w:leader="dot" w:pos="8828"/>
        </w:tabs>
        <w:rPr>
          <w:rFonts w:eastAsiaTheme="minorEastAsia" w:cstheme="minorBidi"/>
          <w:smallCaps w:val="0"/>
          <w:noProof/>
          <w:kern w:val="2"/>
          <w:sz w:val="24"/>
          <w:szCs w:val="24"/>
          <w:lang w:val="en-US"/>
          <w14:ligatures w14:val="standardContextual"/>
        </w:rPr>
      </w:pPr>
      <w:hyperlink w:anchor="_Toc216468700" w:history="1">
        <w:r w:rsidRPr="00E8653E">
          <w:rPr>
            <w:rStyle w:val="Hyperlink"/>
            <w:rFonts w:eastAsia="Century Gothic"/>
            <w:noProof/>
          </w:rPr>
          <w:t>7.2.</w:t>
        </w:r>
        <w:r>
          <w:rPr>
            <w:rFonts w:eastAsiaTheme="minorEastAsia" w:cstheme="minorBidi"/>
            <w:smallCaps w:val="0"/>
            <w:noProof/>
            <w:kern w:val="2"/>
            <w:sz w:val="24"/>
            <w:szCs w:val="24"/>
            <w:lang w:val="en-US"/>
            <w14:ligatures w14:val="standardContextual"/>
          </w:rPr>
          <w:tab/>
        </w:r>
        <w:r w:rsidRPr="00E8653E">
          <w:rPr>
            <w:rStyle w:val="Hyperlink"/>
            <w:noProof/>
          </w:rPr>
          <w:t>Infraestructura vial en ecosistemas, áreas protegidas, OMEC y suelos rural</w:t>
        </w:r>
        <w:r>
          <w:rPr>
            <w:noProof/>
            <w:webHidden/>
          </w:rPr>
          <w:tab/>
        </w:r>
        <w:r>
          <w:rPr>
            <w:noProof/>
            <w:webHidden/>
          </w:rPr>
          <w:fldChar w:fldCharType="begin"/>
        </w:r>
        <w:r>
          <w:rPr>
            <w:noProof/>
            <w:webHidden/>
          </w:rPr>
          <w:instrText xml:space="preserve"> PAGEREF _Toc216468700 \h </w:instrText>
        </w:r>
        <w:r>
          <w:rPr>
            <w:noProof/>
            <w:webHidden/>
          </w:rPr>
        </w:r>
        <w:r>
          <w:rPr>
            <w:noProof/>
            <w:webHidden/>
          </w:rPr>
          <w:fldChar w:fldCharType="separate"/>
        </w:r>
        <w:r w:rsidR="00CE096F">
          <w:rPr>
            <w:noProof/>
            <w:webHidden/>
          </w:rPr>
          <w:t>109</w:t>
        </w:r>
        <w:r>
          <w:rPr>
            <w:noProof/>
            <w:webHidden/>
          </w:rPr>
          <w:fldChar w:fldCharType="end"/>
        </w:r>
      </w:hyperlink>
    </w:p>
    <w:p w14:paraId="71698164" w14:textId="01C851CE" w:rsidR="00A40D9C" w:rsidRDefault="00A40D9C">
      <w:pPr>
        <w:pStyle w:val="TOC2"/>
        <w:tabs>
          <w:tab w:val="left" w:pos="880"/>
          <w:tab w:val="right" w:leader="dot" w:pos="8828"/>
        </w:tabs>
        <w:rPr>
          <w:rFonts w:eastAsiaTheme="minorEastAsia" w:cstheme="minorBidi"/>
          <w:smallCaps w:val="0"/>
          <w:noProof/>
          <w:kern w:val="2"/>
          <w:sz w:val="24"/>
          <w:szCs w:val="24"/>
          <w:lang w:val="en-US"/>
          <w14:ligatures w14:val="standardContextual"/>
        </w:rPr>
      </w:pPr>
      <w:hyperlink w:anchor="_Toc216468701" w:history="1">
        <w:r w:rsidRPr="00E8653E">
          <w:rPr>
            <w:rStyle w:val="Hyperlink"/>
            <w:rFonts w:eastAsia="Arial"/>
            <w:noProof/>
          </w:rPr>
          <w:t>7.3.</w:t>
        </w:r>
        <w:r>
          <w:rPr>
            <w:rFonts w:eastAsiaTheme="minorEastAsia" w:cstheme="minorBidi"/>
            <w:smallCaps w:val="0"/>
            <w:noProof/>
            <w:kern w:val="2"/>
            <w:sz w:val="24"/>
            <w:szCs w:val="24"/>
            <w:lang w:val="en-US"/>
            <w14:ligatures w14:val="standardContextual"/>
          </w:rPr>
          <w:tab/>
        </w:r>
        <w:r w:rsidRPr="00E8653E">
          <w:rPr>
            <w:rStyle w:val="Hyperlink"/>
            <w:noProof/>
          </w:rPr>
          <w:t>Actividades minero-energéticas: impacto ambiental en ecosistemas, áreas protegidas, OMEC y áreas rurales</w:t>
        </w:r>
        <w:r>
          <w:rPr>
            <w:noProof/>
            <w:webHidden/>
          </w:rPr>
          <w:tab/>
        </w:r>
        <w:r>
          <w:rPr>
            <w:noProof/>
            <w:webHidden/>
          </w:rPr>
          <w:fldChar w:fldCharType="begin"/>
        </w:r>
        <w:r>
          <w:rPr>
            <w:noProof/>
            <w:webHidden/>
          </w:rPr>
          <w:instrText xml:space="preserve"> PAGEREF _Toc216468701 \h </w:instrText>
        </w:r>
        <w:r>
          <w:rPr>
            <w:noProof/>
            <w:webHidden/>
          </w:rPr>
        </w:r>
        <w:r>
          <w:rPr>
            <w:noProof/>
            <w:webHidden/>
          </w:rPr>
          <w:fldChar w:fldCharType="separate"/>
        </w:r>
        <w:r w:rsidR="00CE096F">
          <w:rPr>
            <w:noProof/>
            <w:webHidden/>
          </w:rPr>
          <w:t>112</w:t>
        </w:r>
        <w:r>
          <w:rPr>
            <w:noProof/>
            <w:webHidden/>
          </w:rPr>
          <w:fldChar w:fldCharType="end"/>
        </w:r>
      </w:hyperlink>
    </w:p>
    <w:p w14:paraId="7795C6F2" w14:textId="2C17A171"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02" w:history="1">
        <w:r w:rsidRPr="00E8653E">
          <w:rPr>
            <w:rStyle w:val="Hyperlink"/>
            <w:noProof/>
          </w:rPr>
          <w:t>7.3.1.</w:t>
        </w:r>
        <w:r>
          <w:rPr>
            <w:rFonts w:eastAsiaTheme="minorEastAsia" w:cstheme="minorBidi"/>
            <w:i w:val="0"/>
            <w:iCs w:val="0"/>
            <w:noProof/>
            <w:kern w:val="2"/>
            <w:sz w:val="24"/>
            <w:szCs w:val="24"/>
            <w:lang w:val="en-US"/>
            <w14:ligatures w14:val="standardContextual"/>
          </w:rPr>
          <w:tab/>
        </w:r>
        <w:r w:rsidRPr="00E8653E">
          <w:rPr>
            <w:rStyle w:val="Hyperlink"/>
            <w:noProof/>
          </w:rPr>
          <w:t>La dinámica de la actividad minera en la Sabana de Bogotá</w:t>
        </w:r>
        <w:r>
          <w:rPr>
            <w:noProof/>
            <w:webHidden/>
          </w:rPr>
          <w:tab/>
        </w:r>
        <w:r>
          <w:rPr>
            <w:noProof/>
            <w:webHidden/>
          </w:rPr>
          <w:fldChar w:fldCharType="begin"/>
        </w:r>
        <w:r>
          <w:rPr>
            <w:noProof/>
            <w:webHidden/>
          </w:rPr>
          <w:instrText xml:space="preserve"> PAGEREF _Toc216468702 \h </w:instrText>
        </w:r>
        <w:r>
          <w:rPr>
            <w:noProof/>
            <w:webHidden/>
          </w:rPr>
        </w:r>
        <w:r>
          <w:rPr>
            <w:noProof/>
            <w:webHidden/>
          </w:rPr>
          <w:fldChar w:fldCharType="separate"/>
        </w:r>
        <w:r w:rsidR="00CE096F">
          <w:rPr>
            <w:noProof/>
            <w:webHidden/>
          </w:rPr>
          <w:t>112</w:t>
        </w:r>
        <w:r>
          <w:rPr>
            <w:noProof/>
            <w:webHidden/>
          </w:rPr>
          <w:fldChar w:fldCharType="end"/>
        </w:r>
      </w:hyperlink>
    </w:p>
    <w:p w14:paraId="47FE283A" w14:textId="106B89E2"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03" w:history="1">
        <w:r w:rsidRPr="00E8653E">
          <w:rPr>
            <w:rStyle w:val="Hyperlink"/>
            <w:noProof/>
          </w:rPr>
          <w:t>7.3.2.</w:t>
        </w:r>
        <w:r>
          <w:rPr>
            <w:rFonts w:eastAsiaTheme="minorEastAsia" w:cstheme="minorBidi"/>
            <w:i w:val="0"/>
            <w:iCs w:val="0"/>
            <w:noProof/>
            <w:kern w:val="2"/>
            <w:sz w:val="24"/>
            <w:szCs w:val="24"/>
            <w:lang w:val="en-US"/>
            <w14:ligatures w14:val="standardContextual"/>
          </w:rPr>
          <w:tab/>
        </w:r>
        <w:r w:rsidRPr="00E8653E">
          <w:rPr>
            <w:rStyle w:val="Hyperlink"/>
            <w:noProof/>
          </w:rPr>
          <w:t>Oferta y demanda minera en la Sabana de Bogotá</w:t>
        </w:r>
        <w:r>
          <w:rPr>
            <w:noProof/>
            <w:webHidden/>
          </w:rPr>
          <w:tab/>
        </w:r>
        <w:r>
          <w:rPr>
            <w:noProof/>
            <w:webHidden/>
          </w:rPr>
          <w:fldChar w:fldCharType="begin"/>
        </w:r>
        <w:r>
          <w:rPr>
            <w:noProof/>
            <w:webHidden/>
          </w:rPr>
          <w:instrText xml:space="preserve"> PAGEREF _Toc216468703 \h </w:instrText>
        </w:r>
        <w:r>
          <w:rPr>
            <w:noProof/>
            <w:webHidden/>
          </w:rPr>
        </w:r>
        <w:r>
          <w:rPr>
            <w:noProof/>
            <w:webHidden/>
          </w:rPr>
          <w:fldChar w:fldCharType="separate"/>
        </w:r>
        <w:r w:rsidR="00CE096F">
          <w:rPr>
            <w:noProof/>
            <w:webHidden/>
          </w:rPr>
          <w:t>116</w:t>
        </w:r>
        <w:r>
          <w:rPr>
            <w:noProof/>
            <w:webHidden/>
          </w:rPr>
          <w:fldChar w:fldCharType="end"/>
        </w:r>
      </w:hyperlink>
    </w:p>
    <w:p w14:paraId="7C5A0BB6" w14:textId="640A7EBB"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04" w:history="1">
        <w:r w:rsidRPr="00E8653E">
          <w:rPr>
            <w:rStyle w:val="Hyperlink"/>
            <w:noProof/>
          </w:rPr>
          <w:t>7.3.3.</w:t>
        </w:r>
        <w:r>
          <w:rPr>
            <w:rFonts w:eastAsiaTheme="minorEastAsia" w:cstheme="minorBidi"/>
            <w:i w:val="0"/>
            <w:iCs w:val="0"/>
            <w:noProof/>
            <w:kern w:val="2"/>
            <w:sz w:val="24"/>
            <w:szCs w:val="24"/>
            <w:lang w:val="en-US"/>
            <w14:ligatures w14:val="standardContextual"/>
          </w:rPr>
          <w:tab/>
        </w:r>
        <w:r w:rsidRPr="00E8653E">
          <w:rPr>
            <w:rStyle w:val="Hyperlink"/>
            <w:noProof/>
          </w:rPr>
          <w:t>Títulos e instrumentos mineros en la sabana</w:t>
        </w:r>
        <w:r>
          <w:rPr>
            <w:noProof/>
            <w:webHidden/>
          </w:rPr>
          <w:tab/>
        </w:r>
        <w:r>
          <w:rPr>
            <w:noProof/>
            <w:webHidden/>
          </w:rPr>
          <w:fldChar w:fldCharType="begin"/>
        </w:r>
        <w:r>
          <w:rPr>
            <w:noProof/>
            <w:webHidden/>
          </w:rPr>
          <w:instrText xml:space="preserve"> PAGEREF _Toc216468704 \h </w:instrText>
        </w:r>
        <w:r>
          <w:rPr>
            <w:noProof/>
            <w:webHidden/>
          </w:rPr>
        </w:r>
        <w:r>
          <w:rPr>
            <w:noProof/>
            <w:webHidden/>
          </w:rPr>
          <w:fldChar w:fldCharType="separate"/>
        </w:r>
        <w:r w:rsidR="00CE096F">
          <w:rPr>
            <w:noProof/>
            <w:webHidden/>
          </w:rPr>
          <w:t>118</w:t>
        </w:r>
        <w:r>
          <w:rPr>
            <w:noProof/>
            <w:webHidden/>
          </w:rPr>
          <w:fldChar w:fldCharType="end"/>
        </w:r>
      </w:hyperlink>
    </w:p>
    <w:p w14:paraId="258052BC" w14:textId="57BC6A76"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05" w:history="1">
        <w:r w:rsidRPr="00E8653E">
          <w:rPr>
            <w:rStyle w:val="Hyperlink"/>
            <w:noProof/>
          </w:rPr>
          <w:t>7.3.4.</w:t>
        </w:r>
        <w:r>
          <w:rPr>
            <w:rFonts w:eastAsiaTheme="minorEastAsia" w:cstheme="minorBidi"/>
            <w:i w:val="0"/>
            <w:iCs w:val="0"/>
            <w:noProof/>
            <w:kern w:val="2"/>
            <w:sz w:val="24"/>
            <w:szCs w:val="24"/>
            <w:lang w:val="en-US"/>
            <w14:ligatures w14:val="standardContextual"/>
          </w:rPr>
          <w:tab/>
        </w:r>
        <w:r w:rsidRPr="00E8653E">
          <w:rPr>
            <w:rStyle w:val="Hyperlink"/>
            <w:noProof/>
          </w:rPr>
          <w:t>Actividad minera traslapada con humedales, subxerofitia, páramos y bosque andino</w:t>
        </w:r>
        <w:r>
          <w:rPr>
            <w:noProof/>
            <w:webHidden/>
          </w:rPr>
          <w:tab/>
        </w:r>
        <w:r>
          <w:rPr>
            <w:noProof/>
            <w:webHidden/>
          </w:rPr>
          <w:fldChar w:fldCharType="begin"/>
        </w:r>
        <w:r>
          <w:rPr>
            <w:noProof/>
            <w:webHidden/>
          </w:rPr>
          <w:instrText xml:space="preserve"> PAGEREF _Toc216468705 \h </w:instrText>
        </w:r>
        <w:r>
          <w:rPr>
            <w:noProof/>
            <w:webHidden/>
          </w:rPr>
        </w:r>
        <w:r>
          <w:rPr>
            <w:noProof/>
            <w:webHidden/>
          </w:rPr>
          <w:fldChar w:fldCharType="separate"/>
        </w:r>
        <w:r w:rsidR="00CE096F">
          <w:rPr>
            <w:noProof/>
            <w:webHidden/>
          </w:rPr>
          <w:t>122</w:t>
        </w:r>
        <w:r>
          <w:rPr>
            <w:noProof/>
            <w:webHidden/>
          </w:rPr>
          <w:fldChar w:fldCharType="end"/>
        </w:r>
      </w:hyperlink>
    </w:p>
    <w:p w14:paraId="46F2B576" w14:textId="13CB45F6" w:rsidR="00A40D9C" w:rsidRDefault="00A40D9C">
      <w:pPr>
        <w:pStyle w:val="TOC3"/>
        <w:tabs>
          <w:tab w:val="left" w:pos="1540"/>
          <w:tab w:val="right" w:leader="dot" w:pos="8828"/>
        </w:tabs>
        <w:rPr>
          <w:rFonts w:eastAsiaTheme="minorEastAsia" w:cstheme="minorBidi"/>
          <w:i w:val="0"/>
          <w:iCs w:val="0"/>
          <w:noProof/>
          <w:kern w:val="2"/>
          <w:sz w:val="24"/>
          <w:szCs w:val="24"/>
          <w:lang w:val="en-US"/>
          <w14:ligatures w14:val="standardContextual"/>
        </w:rPr>
      </w:pPr>
      <w:hyperlink w:anchor="_Toc216468706" w:history="1">
        <w:r w:rsidRPr="00E8653E">
          <w:rPr>
            <w:rStyle w:val="Hyperlink"/>
            <w:rFonts w:cs="Arial"/>
            <w:noProof/>
          </w:rPr>
          <w:t>7.3.4.1.</w:t>
        </w:r>
        <w:r>
          <w:rPr>
            <w:rFonts w:eastAsiaTheme="minorEastAsia" w:cstheme="minorBidi"/>
            <w:i w:val="0"/>
            <w:iCs w:val="0"/>
            <w:noProof/>
            <w:kern w:val="2"/>
            <w:sz w:val="24"/>
            <w:szCs w:val="24"/>
            <w:lang w:val="en-US"/>
            <w14:ligatures w14:val="standardContextual"/>
          </w:rPr>
          <w:tab/>
        </w:r>
        <w:r w:rsidRPr="00E8653E">
          <w:rPr>
            <w:rStyle w:val="Hyperlink"/>
            <w:noProof/>
          </w:rPr>
          <w:t>Superposición con el ecosistema subxerofítico andino</w:t>
        </w:r>
        <w:r>
          <w:rPr>
            <w:noProof/>
            <w:webHidden/>
          </w:rPr>
          <w:tab/>
        </w:r>
        <w:r>
          <w:rPr>
            <w:noProof/>
            <w:webHidden/>
          </w:rPr>
          <w:fldChar w:fldCharType="begin"/>
        </w:r>
        <w:r>
          <w:rPr>
            <w:noProof/>
            <w:webHidden/>
          </w:rPr>
          <w:instrText xml:space="preserve"> PAGEREF _Toc216468706 \h </w:instrText>
        </w:r>
        <w:r>
          <w:rPr>
            <w:noProof/>
            <w:webHidden/>
          </w:rPr>
        </w:r>
        <w:r>
          <w:rPr>
            <w:noProof/>
            <w:webHidden/>
          </w:rPr>
          <w:fldChar w:fldCharType="separate"/>
        </w:r>
        <w:r w:rsidR="00CE096F">
          <w:rPr>
            <w:noProof/>
            <w:webHidden/>
          </w:rPr>
          <w:t>122</w:t>
        </w:r>
        <w:r>
          <w:rPr>
            <w:noProof/>
            <w:webHidden/>
          </w:rPr>
          <w:fldChar w:fldCharType="end"/>
        </w:r>
      </w:hyperlink>
    </w:p>
    <w:p w14:paraId="68284E6D" w14:textId="71BF0E9E" w:rsidR="00A40D9C" w:rsidRDefault="00A40D9C">
      <w:pPr>
        <w:pStyle w:val="TOC3"/>
        <w:tabs>
          <w:tab w:val="left" w:pos="1540"/>
          <w:tab w:val="right" w:leader="dot" w:pos="8828"/>
        </w:tabs>
        <w:rPr>
          <w:rFonts w:eastAsiaTheme="minorEastAsia" w:cstheme="minorBidi"/>
          <w:i w:val="0"/>
          <w:iCs w:val="0"/>
          <w:noProof/>
          <w:kern w:val="2"/>
          <w:sz w:val="24"/>
          <w:szCs w:val="24"/>
          <w:lang w:val="en-US"/>
          <w14:ligatures w14:val="standardContextual"/>
        </w:rPr>
      </w:pPr>
      <w:hyperlink w:anchor="_Toc216468707" w:history="1">
        <w:r w:rsidRPr="00E8653E">
          <w:rPr>
            <w:rStyle w:val="Hyperlink"/>
            <w:noProof/>
          </w:rPr>
          <w:t>7.3.4.2.</w:t>
        </w:r>
        <w:r>
          <w:rPr>
            <w:rFonts w:eastAsiaTheme="minorEastAsia" w:cstheme="minorBidi"/>
            <w:i w:val="0"/>
            <w:iCs w:val="0"/>
            <w:noProof/>
            <w:kern w:val="2"/>
            <w:sz w:val="24"/>
            <w:szCs w:val="24"/>
            <w:lang w:val="en-US"/>
            <w14:ligatures w14:val="standardContextual"/>
          </w:rPr>
          <w:tab/>
        </w:r>
        <w:r w:rsidRPr="00E8653E">
          <w:rPr>
            <w:rStyle w:val="Hyperlink"/>
            <w:noProof/>
          </w:rPr>
          <w:t>Superposición con el ecosistema páramo</w:t>
        </w:r>
        <w:r>
          <w:rPr>
            <w:noProof/>
            <w:webHidden/>
          </w:rPr>
          <w:tab/>
        </w:r>
        <w:r>
          <w:rPr>
            <w:noProof/>
            <w:webHidden/>
          </w:rPr>
          <w:fldChar w:fldCharType="begin"/>
        </w:r>
        <w:r>
          <w:rPr>
            <w:noProof/>
            <w:webHidden/>
          </w:rPr>
          <w:instrText xml:space="preserve"> PAGEREF _Toc216468707 \h </w:instrText>
        </w:r>
        <w:r>
          <w:rPr>
            <w:noProof/>
            <w:webHidden/>
          </w:rPr>
        </w:r>
        <w:r>
          <w:rPr>
            <w:noProof/>
            <w:webHidden/>
          </w:rPr>
          <w:fldChar w:fldCharType="separate"/>
        </w:r>
        <w:r w:rsidR="00CE096F">
          <w:rPr>
            <w:noProof/>
            <w:webHidden/>
          </w:rPr>
          <w:t>124</w:t>
        </w:r>
        <w:r>
          <w:rPr>
            <w:noProof/>
            <w:webHidden/>
          </w:rPr>
          <w:fldChar w:fldCharType="end"/>
        </w:r>
      </w:hyperlink>
    </w:p>
    <w:p w14:paraId="6D558E47" w14:textId="356BD47D" w:rsidR="00A40D9C" w:rsidRDefault="00A40D9C">
      <w:pPr>
        <w:pStyle w:val="TOC3"/>
        <w:tabs>
          <w:tab w:val="left" w:pos="1540"/>
          <w:tab w:val="right" w:leader="dot" w:pos="8828"/>
        </w:tabs>
        <w:rPr>
          <w:rFonts w:eastAsiaTheme="minorEastAsia" w:cstheme="minorBidi"/>
          <w:i w:val="0"/>
          <w:iCs w:val="0"/>
          <w:noProof/>
          <w:kern w:val="2"/>
          <w:sz w:val="24"/>
          <w:szCs w:val="24"/>
          <w:lang w:val="en-US"/>
          <w14:ligatures w14:val="standardContextual"/>
        </w:rPr>
      </w:pPr>
      <w:hyperlink w:anchor="_Toc216468708" w:history="1">
        <w:r w:rsidRPr="00E8653E">
          <w:rPr>
            <w:rStyle w:val="Hyperlink"/>
            <w:noProof/>
          </w:rPr>
          <w:t>7.3.4.3.</w:t>
        </w:r>
        <w:r>
          <w:rPr>
            <w:rFonts w:eastAsiaTheme="minorEastAsia" w:cstheme="minorBidi"/>
            <w:i w:val="0"/>
            <w:iCs w:val="0"/>
            <w:noProof/>
            <w:kern w:val="2"/>
            <w:sz w:val="24"/>
            <w:szCs w:val="24"/>
            <w:lang w:val="en-US"/>
            <w14:ligatures w14:val="standardContextual"/>
          </w:rPr>
          <w:tab/>
        </w:r>
        <w:r w:rsidRPr="00E8653E">
          <w:rPr>
            <w:rStyle w:val="Hyperlink"/>
            <w:noProof/>
          </w:rPr>
          <w:t>Superposición con humedales</w:t>
        </w:r>
        <w:r>
          <w:rPr>
            <w:noProof/>
            <w:webHidden/>
          </w:rPr>
          <w:tab/>
        </w:r>
        <w:r>
          <w:rPr>
            <w:noProof/>
            <w:webHidden/>
          </w:rPr>
          <w:fldChar w:fldCharType="begin"/>
        </w:r>
        <w:r>
          <w:rPr>
            <w:noProof/>
            <w:webHidden/>
          </w:rPr>
          <w:instrText xml:space="preserve"> PAGEREF _Toc216468708 \h </w:instrText>
        </w:r>
        <w:r>
          <w:rPr>
            <w:noProof/>
            <w:webHidden/>
          </w:rPr>
        </w:r>
        <w:r>
          <w:rPr>
            <w:noProof/>
            <w:webHidden/>
          </w:rPr>
          <w:fldChar w:fldCharType="separate"/>
        </w:r>
        <w:r w:rsidR="00CE096F">
          <w:rPr>
            <w:noProof/>
            <w:webHidden/>
          </w:rPr>
          <w:t>126</w:t>
        </w:r>
        <w:r>
          <w:rPr>
            <w:noProof/>
            <w:webHidden/>
          </w:rPr>
          <w:fldChar w:fldCharType="end"/>
        </w:r>
      </w:hyperlink>
    </w:p>
    <w:p w14:paraId="06401C1A" w14:textId="5E7C2230" w:rsidR="00A40D9C" w:rsidRDefault="00A40D9C">
      <w:pPr>
        <w:pStyle w:val="TOC3"/>
        <w:tabs>
          <w:tab w:val="left" w:pos="1540"/>
          <w:tab w:val="right" w:leader="dot" w:pos="8828"/>
        </w:tabs>
        <w:rPr>
          <w:rFonts w:eastAsiaTheme="minorEastAsia" w:cstheme="minorBidi"/>
          <w:i w:val="0"/>
          <w:iCs w:val="0"/>
          <w:noProof/>
          <w:kern w:val="2"/>
          <w:sz w:val="24"/>
          <w:szCs w:val="24"/>
          <w:lang w:val="en-US"/>
          <w14:ligatures w14:val="standardContextual"/>
        </w:rPr>
      </w:pPr>
      <w:hyperlink w:anchor="_Toc216468709" w:history="1">
        <w:r w:rsidRPr="00E8653E">
          <w:rPr>
            <w:rStyle w:val="Hyperlink"/>
            <w:noProof/>
          </w:rPr>
          <w:t>7.3.4.4.</w:t>
        </w:r>
        <w:r>
          <w:rPr>
            <w:rFonts w:eastAsiaTheme="minorEastAsia" w:cstheme="minorBidi"/>
            <w:i w:val="0"/>
            <w:iCs w:val="0"/>
            <w:noProof/>
            <w:kern w:val="2"/>
            <w:sz w:val="24"/>
            <w:szCs w:val="24"/>
            <w:lang w:val="en-US"/>
            <w14:ligatures w14:val="standardContextual"/>
          </w:rPr>
          <w:tab/>
        </w:r>
        <w:r w:rsidRPr="00E8653E">
          <w:rPr>
            <w:rStyle w:val="Hyperlink"/>
            <w:noProof/>
          </w:rPr>
          <w:t>Superposición con áreas del Sistema Nacional de áreas protegidas</w:t>
        </w:r>
        <w:r>
          <w:rPr>
            <w:noProof/>
            <w:webHidden/>
          </w:rPr>
          <w:tab/>
        </w:r>
        <w:r>
          <w:rPr>
            <w:noProof/>
            <w:webHidden/>
          </w:rPr>
          <w:fldChar w:fldCharType="begin"/>
        </w:r>
        <w:r>
          <w:rPr>
            <w:noProof/>
            <w:webHidden/>
          </w:rPr>
          <w:instrText xml:space="preserve"> PAGEREF _Toc216468709 \h </w:instrText>
        </w:r>
        <w:r>
          <w:rPr>
            <w:noProof/>
            <w:webHidden/>
          </w:rPr>
        </w:r>
        <w:r>
          <w:rPr>
            <w:noProof/>
            <w:webHidden/>
          </w:rPr>
          <w:fldChar w:fldCharType="separate"/>
        </w:r>
        <w:r w:rsidR="00CE096F">
          <w:rPr>
            <w:noProof/>
            <w:webHidden/>
          </w:rPr>
          <w:t>128</w:t>
        </w:r>
        <w:r>
          <w:rPr>
            <w:noProof/>
            <w:webHidden/>
          </w:rPr>
          <w:fldChar w:fldCharType="end"/>
        </w:r>
      </w:hyperlink>
    </w:p>
    <w:p w14:paraId="6482D0E8" w14:textId="20A2E329" w:rsidR="00A40D9C" w:rsidRDefault="00A40D9C">
      <w:pPr>
        <w:pStyle w:val="TOC3"/>
        <w:tabs>
          <w:tab w:val="left" w:pos="1540"/>
          <w:tab w:val="right" w:leader="dot" w:pos="8828"/>
        </w:tabs>
        <w:rPr>
          <w:rFonts w:eastAsiaTheme="minorEastAsia" w:cstheme="minorBidi"/>
          <w:i w:val="0"/>
          <w:iCs w:val="0"/>
          <w:noProof/>
          <w:kern w:val="2"/>
          <w:sz w:val="24"/>
          <w:szCs w:val="24"/>
          <w:lang w:val="en-US"/>
          <w14:ligatures w14:val="standardContextual"/>
        </w:rPr>
      </w:pPr>
      <w:hyperlink w:anchor="_Toc216468710" w:history="1">
        <w:r w:rsidRPr="00E8653E">
          <w:rPr>
            <w:rStyle w:val="Hyperlink"/>
            <w:noProof/>
          </w:rPr>
          <w:t>7.3.4.5.</w:t>
        </w:r>
        <w:r>
          <w:rPr>
            <w:rFonts w:eastAsiaTheme="minorEastAsia" w:cstheme="minorBidi"/>
            <w:i w:val="0"/>
            <w:iCs w:val="0"/>
            <w:noProof/>
            <w:kern w:val="2"/>
            <w:sz w:val="24"/>
            <w:szCs w:val="24"/>
            <w:lang w:val="en-US"/>
            <w14:ligatures w14:val="standardContextual"/>
          </w:rPr>
          <w:tab/>
        </w:r>
        <w:r w:rsidRPr="00E8653E">
          <w:rPr>
            <w:rStyle w:val="Hyperlink"/>
            <w:noProof/>
          </w:rPr>
          <w:t>Superposición estructuras ecológicas principales</w:t>
        </w:r>
        <w:r>
          <w:rPr>
            <w:noProof/>
            <w:webHidden/>
          </w:rPr>
          <w:tab/>
        </w:r>
        <w:r>
          <w:rPr>
            <w:noProof/>
            <w:webHidden/>
          </w:rPr>
          <w:fldChar w:fldCharType="begin"/>
        </w:r>
        <w:r>
          <w:rPr>
            <w:noProof/>
            <w:webHidden/>
          </w:rPr>
          <w:instrText xml:space="preserve"> PAGEREF _Toc216468710 \h </w:instrText>
        </w:r>
        <w:r>
          <w:rPr>
            <w:noProof/>
            <w:webHidden/>
          </w:rPr>
        </w:r>
        <w:r>
          <w:rPr>
            <w:noProof/>
            <w:webHidden/>
          </w:rPr>
          <w:fldChar w:fldCharType="separate"/>
        </w:r>
        <w:r w:rsidR="00CE096F">
          <w:rPr>
            <w:noProof/>
            <w:webHidden/>
          </w:rPr>
          <w:t>130</w:t>
        </w:r>
        <w:r>
          <w:rPr>
            <w:noProof/>
            <w:webHidden/>
          </w:rPr>
          <w:fldChar w:fldCharType="end"/>
        </w:r>
      </w:hyperlink>
    </w:p>
    <w:p w14:paraId="09954EB8" w14:textId="7F4D3557" w:rsidR="00A40D9C" w:rsidRDefault="00A40D9C">
      <w:pPr>
        <w:pStyle w:val="TOC3"/>
        <w:tabs>
          <w:tab w:val="left" w:pos="1540"/>
          <w:tab w:val="right" w:leader="dot" w:pos="8828"/>
        </w:tabs>
        <w:rPr>
          <w:rFonts w:eastAsiaTheme="minorEastAsia" w:cstheme="minorBidi"/>
          <w:i w:val="0"/>
          <w:iCs w:val="0"/>
          <w:noProof/>
          <w:kern w:val="2"/>
          <w:sz w:val="24"/>
          <w:szCs w:val="24"/>
          <w:lang w:val="en-US"/>
          <w14:ligatures w14:val="standardContextual"/>
        </w:rPr>
      </w:pPr>
      <w:hyperlink w:anchor="_Toc216468711" w:history="1">
        <w:r w:rsidRPr="00E8653E">
          <w:rPr>
            <w:rStyle w:val="Hyperlink"/>
            <w:noProof/>
          </w:rPr>
          <w:t>7.3.4.6.</w:t>
        </w:r>
        <w:r>
          <w:rPr>
            <w:rFonts w:eastAsiaTheme="minorEastAsia" w:cstheme="minorBidi"/>
            <w:i w:val="0"/>
            <w:iCs w:val="0"/>
            <w:noProof/>
            <w:kern w:val="2"/>
            <w:sz w:val="24"/>
            <w:szCs w:val="24"/>
            <w:lang w:val="en-US"/>
            <w14:ligatures w14:val="standardContextual"/>
          </w:rPr>
          <w:tab/>
        </w:r>
        <w:r w:rsidRPr="00E8653E">
          <w:rPr>
            <w:rStyle w:val="Hyperlink"/>
            <w:noProof/>
          </w:rPr>
          <w:t>Superposición con posibles Zonas de recarga de acuíferos</w:t>
        </w:r>
        <w:r>
          <w:rPr>
            <w:noProof/>
            <w:webHidden/>
          </w:rPr>
          <w:tab/>
        </w:r>
        <w:r>
          <w:rPr>
            <w:noProof/>
            <w:webHidden/>
          </w:rPr>
          <w:fldChar w:fldCharType="begin"/>
        </w:r>
        <w:r>
          <w:rPr>
            <w:noProof/>
            <w:webHidden/>
          </w:rPr>
          <w:instrText xml:space="preserve"> PAGEREF _Toc216468711 \h </w:instrText>
        </w:r>
        <w:r>
          <w:rPr>
            <w:noProof/>
            <w:webHidden/>
          </w:rPr>
        </w:r>
        <w:r>
          <w:rPr>
            <w:noProof/>
            <w:webHidden/>
          </w:rPr>
          <w:fldChar w:fldCharType="separate"/>
        </w:r>
        <w:r w:rsidR="00CE096F">
          <w:rPr>
            <w:noProof/>
            <w:webHidden/>
          </w:rPr>
          <w:t>134</w:t>
        </w:r>
        <w:r>
          <w:rPr>
            <w:noProof/>
            <w:webHidden/>
          </w:rPr>
          <w:fldChar w:fldCharType="end"/>
        </w:r>
      </w:hyperlink>
    </w:p>
    <w:p w14:paraId="3FF994AD" w14:textId="4D413531"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12" w:history="1">
        <w:r w:rsidRPr="00E8653E">
          <w:rPr>
            <w:rStyle w:val="Hyperlink"/>
            <w:noProof/>
          </w:rPr>
          <w:t>7.3.5.</w:t>
        </w:r>
        <w:r>
          <w:rPr>
            <w:rFonts w:eastAsiaTheme="minorEastAsia" w:cstheme="minorBidi"/>
            <w:i w:val="0"/>
            <w:iCs w:val="0"/>
            <w:noProof/>
            <w:kern w:val="2"/>
            <w:sz w:val="24"/>
            <w:szCs w:val="24"/>
            <w:lang w:val="en-US"/>
            <w14:ligatures w14:val="standardContextual"/>
          </w:rPr>
          <w:tab/>
        </w:r>
        <w:r w:rsidRPr="00E8653E">
          <w:rPr>
            <w:rStyle w:val="Hyperlink"/>
            <w:noProof/>
          </w:rPr>
          <w:t>Justificación de restricción de la actividad de explotación y explotación minera en ecosistemas anteriormente relacionados de la sabana de Bogotá.</w:t>
        </w:r>
        <w:r>
          <w:rPr>
            <w:noProof/>
            <w:webHidden/>
          </w:rPr>
          <w:tab/>
        </w:r>
        <w:r>
          <w:rPr>
            <w:noProof/>
            <w:webHidden/>
          </w:rPr>
          <w:fldChar w:fldCharType="begin"/>
        </w:r>
        <w:r>
          <w:rPr>
            <w:noProof/>
            <w:webHidden/>
          </w:rPr>
          <w:instrText xml:space="preserve"> PAGEREF _Toc216468712 \h </w:instrText>
        </w:r>
        <w:r>
          <w:rPr>
            <w:noProof/>
            <w:webHidden/>
          </w:rPr>
        </w:r>
        <w:r>
          <w:rPr>
            <w:noProof/>
            <w:webHidden/>
          </w:rPr>
          <w:fldChar w:fldCharType="separate"/>
        </w:r>
        <w:r w:rsidR="00CE096F">
          <w:rPr>
            <w:noProof/>
            <w:webHidden/>
          </w:rPr>
          <w:t>135</w:t>
        </w:r>
        <w:r>
          <w:rPr>
            <w:noProof/>
            <w:webHidden/>
          </w:rPr>
          <w:fldChar w:fldCharType="end"/>
        </w:r>
      </w:hyperlink>
    </w:p>
    <w:p w14:paraId="64C994A6" w14:textId="4B08CD3D"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13" w:history="1">
        <w:r w:rsidRPr="00E8653E">
          <w:rPr>
            <w:rStyle w:val="Hyperlink"/>
            <w:noProof/>
          </w:rPr>
          <w:t>7.3.6.</w:t>
        </w:r>
        <w:r>
          <w:rPr>
            <w:rFonts w:eastAsiaTheme="minorEastAsia" w:cstheme="minorBidi"/>
            <w:i w:val="0"/>
            <w:iCs w:val="0"/>
            <w:noProof/>
            <w:kern w:val="2"/>
            <w:sz w:val="24"/>
            <w:szCs w:val="24"/>
            <w:lang w:val="en-US"/>
            <w14:ligatures w14:val="standardContextual"/>
          </w:rPr>
          <w:tab/>
        </w:r>
        <w:r w:rsidRPr="00E8653E">
          <w:rPr>
            <w:rStyle w:val="Hyperlink"/>
            <w:noProof/>
          </w:rPr>
          <w:t>Los instrumentos ambientales en función de las actividades mineras</w:t>
        </w:r>
        <w:r>
          <w:rPr>
            <w:noProof/>
            <w:webHidden/>
          </w:rPr>
          <w:tab/>
        </w:r>
        <w:r>
          <w:rPr>
            <w:noProof/>
            <w:webHidden/>
          </w:rPr>
          <w:fldChar w:fldCharType="begin"/>
        </w:r>
        <w:r>
          <w:rPr>
            <w:noProof/>
            <w:webHidden/>
          </w:rPr>
          <w:instrText xml:space="preserve"> PAGEREF _Toc216468713 \h </w:instrText>
        </w:r>
        <w:r>
          <w:rPr>
            <w:noProof/>
            <w:webHidden/>
          </w:rPr>
        </w:r>
        <w:r>
          <w:rPr>
            <w:noProof/>
            <w:webHidden/>
          </w:rPr>
          <w:fldChar w:fldCharType="separate"/>
        </w:r>
        <w:r w:rsidR="00CE096F">
          <w:rPr>
            <w:noProof/>
            <w:webHidden/>
          </w:rPr>
          <w:t>139</w:t>
        </w:r>
        <w:r>
          <w:rPr>
            <w:noProof/>
            <w:webHidden/>
          </w:rPr>
          <w:fldChar w:fldCharType="end"/>
        </w:r>
      </w:hyperlink>
    </w:p>
    <w:p w14:paraId="2458A269" w14:textId="107BFE22"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14" w:history="1">
        <w:r w:rsidRPr="00E8653E">
          <w:rPr>
            <w:rStyle w:val="Hyperlink"/>
            <w:noProof/>
          </w:rPr>
          <w:t>7.3.7.</w:t>
        </w:r>
        <w:r>
          <w:rPr>
            <w:rFonts w:eastAsiaTheme="minorEastAsia" w:cstheme="minorBidi"/>
            <w:i w:val="0"/>
            <w:iCs w:val="0"/>
            <w:noProof/>
            <w:kern w:val="2"/>
            <w:sz w:val="24"/>
            <w:szCs w:val="24"/>
            <w:lang w:val="en-US"/>
            <w14:ligatures w14:val="standardContextual"/>
          </w:rPr>
          <w:tab/>
        </w:r>
        <w:r w:rsidRPr="00E8653E">
          <w:rPr>
            <w:rStyle w:val="Hyperlink"/>
            <w:noProof/>
          </w:rPr>
          <w:t>Pérdida de suelos por superposición con zonas compatibles con minería</w:t>
        </w:r>
        <w:r>
          <w:rPr>
            <w:noProof/>
            <w:webHidden/>
          </w:rPr>
          <w:tab/>
        </w:r>
        <w:r>
          <w:rPr>
            <w:noProof/>
            <w:webHidden/>
          </w:rPr>
          <w:fldChar w:fldCharType="begin"/>
        </w:r>
        <w:r>
          <w:rPr>
            <w:noProof/>
            <w:webHidden/>
          </w:rPr>
          <w:instrText xml:space="preserve"> PAGEREF _Toc216468714 \h </w:instrText>
        </w:r>
        <w:r>
          <w:rPr>
            <w:noProof/>
            <w:webHidden/>
          </w:rPr>
        </w:r>
        <w:r>
          <w:rPr>
            <w:noProof/>
            <w:webHidden/>
          </w:rPr>
          <w:fldChar w:fldCharType="separate"/>
        </w:r>
        <w:r w:rsidR="00CE096F">
          <w:rPr>
            <w:noProof/>
            <w:webHidden/>
          </w:rPr>
          <w:t>145</w:t>
        </w:r>
        <w:r>
          <w:rPr>
            <w:noProof/>
            <w:webHidden/>
          </w:rPr>
          <w:fldChar w:fldCharType="end"/>
        </w:r>
      </w:hyperlink>
    </w:p>
    <w:p w14:paraId="775B6484" w14:textId="1577433B"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15" w:history="1">
        <w:r w:rsidRPr="00E8653E">
          <w:rPr>
            <w:rStyle w:val="Hyperlink"/>
            <w:noProof/>
          </w:rPr>
          <w:t>7.3.8.</w:t>
        </w:r>
        <w:r>
          <w:rPr>
            <w:rFonts w:eastAsiaTheme="minorEastAsia" w:cstheme="minorBidi"/>
            <w:i w:val="0"/>
            <w:iCs w:val="0"/>
            <w:noProof/>
            <w:kern w:val="2"/>
            <w:sz w:val="24"/>
            <w:szCs w:val="24"/>
            <w:lang w:val="en-US"/>
            <w14:ligatures w14:val="standardContextual"/>
          </w:rPr>
          <w:tab/>
        </w:r>
        <w:r w:rsidRPr="00E8653E">
          <w:rPr>
            <w:rStyle w:val="Hyperlink"/>
            <w:noProof/>
          </w:rPr>
          <w:t>Generación de conflictos por infraestructura de transmisión eléctrica</w:t>
        </w:r>
        <w:r>
          <w:rPr>
            <w:noProof/>
            <w:webHidden/>
          </w:rPr>
          <w:tab/>
        </w:r>
        <w:r>
          <w:rPr>
            <w:noProof/>
            <w:webHidden/>
          </w:rPr>
          <w:fldChar w:fldCharType="begin"/>
        </w:r>
        <w:r>
          <w:rPr>
            <w:noProof/>
            <w:webHidden/>
          </w:rPr>
          <w:instrText xml:space="preserve"> PAGEREF _Toc216468715 \h </w:instrText>
        </w:r>
        <w:r>
          <w:rPr>
            <w:noProof/>
            <w:webHidden/>
          </w:rPr>
        </w:r>
        <w:r>
          <w:rPr>
            <w:noProof/>
            <w:webHidden/>
          </w:rPr>
          <w:fldChar w:fldCharType="separate"/>
        </w:r>
        <w:r w:rsidR="00CE096F">
          <w:rPr>
            <w:noProof/>
            <w:webHidden/>
          </w:rPr>
          <w:t>146</w:t>
        </w:r>
        <w:r>
          <w:rPr>
            <w:noProof/>
            <w:webHidden/>
          </w:rPr>
          <w:fldChar w:fldCharType="end"/>
        </w:r>
      </w:hyperlink>
    </w:p>
    <w:p w14:paraId="082C1C02" w14:textId="08C1B782"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16" w:history="1">
        <w:r w:rsidRPr="00E8653E">
          <w:rPr>
            <w:rStyle w:val="Hyperlink"/>
            <w:noProof/>
          </w:rPr>
          <w:t>7.3.9.</w:t>
        </w:r>
        <w:r>
          <w:rPr>
            <w:rFonts w:eastAsiaTheme="minorEastAsia" w:cstheme="minorBidi"/>
            <w:i w:val="0"/>
            <w:iCs w:val="0"/>
            <w:noProof/>
            <w:kern w:val="2"/>
            <w:sz w:val="24"/>
            <w:szCs w:val="24"/>
            <w:lang w:val="en-US"/>
            <w14:ligatures w14:val="standardContextual"/>
          </w:rPr>
          <w:tab/>
        </w:r>
        <w:r w:rsidRPr="00E8653E">
          <w:rPr>
            <w:rStyle w:val="Hyperlink"/>
            <w:noProof/>
          </w:rPr>
          <w:t>Árbol de conflictos por minería en la Sabana</w:t>
        </w:r>
        <w:r>
          <w:rPr>
            <w:noProof/>
            <w:webHidden/>
          </w:rPr>
          <w:tab/>
        </w:r>
        <w:r>
          <w:rPr>
            <w:noProof/>
            <w:webHidden/>
          </w:rPr>
          <w:fldChar w:fldCharType="begin"/>
        </w:r>
        <w:r>
          <w:rPr>
            <w:noProof/>
            <w:webHidden/>
          </w:rPr>
          <w:instrText xml:space="preserve"> PAGEREF _Toc216468716 \h </w:instrText>
        </w:r>
        <w:r>
          <w:rPr>
            <w:noProof/>
            <w:webHidden/>
          </w:rPr>
        </w:r>
        <w:r>
          <w:rPr>
            <w:noProof/>
            <w:webHidden/>
          </w:rPr>
          <w:fldChar w:fldCharType="separate"/>
        </w:r>
        <w:r w:rsidR="00CE096F">
          <w:rPr>
            <w:noProof/>
            <w:webHidden/>
          </w:rPr>
          <w:t>153</w:t>
        </w:r>
        <w:r>
          <w:rPr>
            <w:noProof/>
            <w:webHidden/>
          </w:rPr>
          <w:fldChar w:fldCharType="end"/>
        </w:r>
      </w:hyperlink>
    </w:p>
    <w:p w14:paraId="1F3B3C8A" w14:textId="2CA90FFE" w:rsidR="00A40D9C" w:rsidRDefault="00A40D9C">
      <w:pPr>
        <w:pStyle w:val="TOC2"/>
        <w:tabs>
          <w:tab w:val="left" w:pos="880"/>
          <w:tab w:val="right" w:leader="dot" w:pos="8828"/>
        </w:tabs>
        <w:rPr>
          <w:rFonts w:eastAsiaTheme="minorEastAsia" w:cstheme="minorBidi"/>
          <w:smallCaps w:val="0"/>
          <w:noProof/>
          <w:kern w:val="2"/>
          <w:sz w:val="24"/>
          <w:szCs w:val="24"/>
          <w:lang w:val="en-US"/>
          <w14:ligatures w14:val="standardContextual"/>
        </w:rPr>
      </w:pPr>
      <w:hyperlink w:anchor="_Toc216468717" w:history="1">
        <w:r w:rsidRPr="00E8653E">
          <w:rPr>
            <w:rStyle w:val="Hyperlink"/>
            <w:rFonts w:eastAsia="Georgia"/>
            <w:noProof/>
          </w:rPr>
          <w:t>7.4.</w:t>
        </w:r>
        <w:r>
          <w:rPr>
            <w:rFonts w:eastAsiaTheme="minorEastAsia" w:cstheme="minorBidi"/>
            <w:smallCaps w:val="0"/>
            <w:noProof/>
            <w:kern w:val="2"/>
            <w:sz w:val="24"/>
            <w:szCs w:val="24"/>
            <w:lang w:val="en-US"/>
            <w14:ligatures w14:val="standardContextual"/>
          </w:rPr>
          <w:tab/>
        </w:r>
        <w:r w:rsidRPr="00E8653E">
          <w:rPr>
            <w:rStyle w:val="Hyperlink"/>
            <w:rFonts w:eastAsia="Georgia"/>
            <w:noProof/>
          </w:rPr>
          <w:t>Restauración de la Sabana de Bogotá</w:t>
        </w:r>
        <w:r>
          <w:rPr>
            <w:noProof/>
            <w:webHidden/>
          </w:rPr>
          <w:tab/>
        </w:r>
        <w:r>
          <w:rPr>
            <w:noProof/>
            <w:webHidden/>
          </w:rPr>
          <w:fldChar w:fldCharType="begin"/>
        </w:r>
        <w:r>
          <w:rPr>
            <w:noProof/>
            <w:webHidden/>
          </w:rPr>
          <w:instrText xml:space="preserve"> PAGEREF _Toc216468717 \h </w:instrText>
        </w:r>
        <w:r>
          <w:rPr>
            <w:noProof/>
            <w:webHidden/>
          </w:rPr>
        </w:r>
        <w:r>
          <w:rPr>
            <w:noProof/>
            <w:webHidden/>
          </w:rPr>
          <w:fldChar w:fldCharType="separate"/>
        </w:r>
        <w:r w:rsidR="00CE096F">
          <w:rPr>
            <w:noProof/>
            <w:webHidden/>
          </w:rPr>
          <w:t>154</w:t>
        </w:r>
        <w:r>
          <w:rPr>
            <w:noProof/>
            <w:webHidden/>
          </w:rPr>
          <w:fldChar w:fldCharType="end"/>
        </w:r>
      </w:hyperlink>
    </w:p>
    <w:p w14:paraId="3E8E3C5F" w14:textId="195BDE68" w:rsidR="00A40D9C" w:rsidRDefault="00A40D9C">
      <w:pPr>
        <w:pStyle w:val="TOC2"/>
        <w:tabs>
          <w:tab w:val="left" w:pos="880"/>
          <w:tab w:val="right" w:leader="dot" w:pos="8828"/>
        </w:tabs>
        <w:rPr>
          <w:rFonts w:eastAsiaTheme="minorEastAsia" w:cstheme="minorBidi"/>
          <w:smallCaps w:val="0"/>
          <w:noProof/>
          <w:kern w:val="2"/>
          <w:sz w:val="24"/>
          <w:szCs w:val="24"/>
          <w:lang w:val="en-US"/>
          <w14:ligatures w14:val="standardContextual"/>
        </w:rPr>
      </w:pPr>
      <w:hyperlink w:anchor="_Toc216468718" w:history="1">
        <w:r w:rsidRPr="00E8653E">
          <w:rPr>
            <w:rStyle w:val="Hyperlink"/>
            <w:noProof/>
          </w:rPr>
          <w:t>7.5.</w:t>
        </w:r>
        <w:r>
          <w:rPr>
            <w:rFonts w:eastAsiaTheme="minorEastAsia" w:cstheme="minorBidi"/>
            <w:smallCaps w:val="0"/>
            <w:noProof/>
            <w:kern w:val="2"/>
            <w:sz w:val="24"/>
            <w:szCs w:val="24"/>
            <w:lang w:val="en-US"/>
            <w14:ligatures w14:val="standardContextual"/>
          </w:rPr>
          <w:tab/>
        </w:r>
        <w:r w:rsidRPr="00E8653E">
          <w:rPr>
            <w:rStyle w:val="Hyperlink"/>
            <w:noProof/>
          </w:rPr>
          <w:t>Árbol de conflictos sobre pérdida de la integridad ecológica</w:t>
        </w:r>
        <w:r>
          <w:rPr>
            <w:noProof/>
            <w:webHidden/>
          </w:rPr>
          <w:tab/>
        </w:r>
        <w:r>
          <w:rPr>
            <w:noProof/>
            <w:webHidden/>
          </w:rPr>
          <w:fldChar w:fldCharType="begin"/>
        </w:r>
        <w:r>
          <w:rPr>
            <w:noProof/>
            <w:webHidden/>
          </w:rPr>
          <w:instrText xml:space="preserve"> PAGEREF _Toc216468718 \h </w:instrText>
        </w:r>
        <w:r>
          <w:rPr>
            <w:noProof/>
            <w:webHidden/>
          </w:rPr>
        </w:r>
        <w:r>
          <w:rPr>
            <w:noProof/>
            <w:webHidden/>
          </w:rPr>
          <w:fldChar w:fldCharType="separate"/>
        </w:r>
        <w:r w:rsidR="00CE096F">
          <w:rPr>
            <w:noProof/>
            <w:webHidden/>
          </w:rPr>
          <w:t>160</w:t>
        </w:r>
        <w:r>
          <w:rPr>
            <w:noProof/>
            <w:webHidden/>
          </w:rPr>
          <w:fldChar w:fldCharType="end"/>
        </w:r>
      </w:hyperlink>
    </w:p>
    <w:p w14:paraId="71AED1DD" w14:textId="04771172" w:rsidR="00A40D9C" w:rsidRDefault="00A40D9C">
      <w:pPr>
        <w:pStyle w:val="TOC2"/>
        <w:tabs>
          <w:tab w:val="left" w:pos="880"/>
          <w:tab w:val="right" w:leader="dot" w:pos="8828"/>
        </w:tabs>
        <w:rPr>
          <w:rFonts w:eastAsiaTheme="minorEastAsia" w:cstheme="minorBidi"/>
          <w:smallCaps w:val="0"/>
          <w:noProof/>
          <w:kern w:val="2"/>
          <w:sz w:val="24"/>
          <w:szCs w:val="24"/>
          <w:lang w:val="en-US"/>
          <w14:ligatures w14:val="standardContextual"/>
        </w:rPr>
      </w:pPr>
      <w:hyperlink w:anchor="_Toc216468719" w:history="1">
        <w:r w:rsidRPr="00E8653E">
          <w:rPr>
            <w:rStyle w:val="Hyperlink"/>
            <w:rFonts w:eastAsia="Georgia"/>
            <w:noProof/>
          </w:rPr>
          <w:t>7.6.</w:t>
        </w:r>
        <w:r>
          <w:rPr>
            <w:rFonts w:eastAsiaTheme="minorEastAsia" w:cstheme="minorBidi"/>
            <w:smallCaps w:val="0"/>
            <w:noProof/>
            <w:kern w:val="2"/>
            <w:sz w:val="24"/>
            <w:szCs w:val="24"/>
            <w:lang w:val="en-US"/>
            <w14:ligatures w14:val="standardContextual"/>
          </w:rPr>
          <w:tab/>
        </w:r>
        <w:r w:rsidRPr="00E8653E">
          <w:rPr>
            <w:rStyle w:val="Hyperlink"/>
            <w:rFonts w:eastAsia="Georgia"/>
            <w:noProof/>
          </w:rPr>
          <w:t>Consideraciones para la conservación de la integridad ecológica y adaptación al cambio climático</w:t>
        </w:r>
        <w:r>
          <w:rPr>
            <w:noProof/>
            <w:webHidden/>
          </w:rPr>
          <w:tab/>
        </w:r>
        <w:r>
          <w:rPr>
            <w:noProof/>
            <w:webHidden/>
          </w:rPr>
          <w:fldChar w:fldCharType="begin"/>
        </w:r>
        <w:r>
          <w:rPr>
            <w:noProof/>
            <w:webHidden/>
          </w:rPr>
          <w:instrText xml:space="preserve"> PAGEREF _Toc216468719 \h </w:instrText>
        </w:r>
        <w:r>
          <w:rPr>
            <w:noProof/>
            <w:webHidden/>
          </w:rPr>
        </w:r>
        <w:r>
          <w:rPr>
            <w:noProof/>
            <w:webHidden/>
          </w:rPr>
          <w:fldChar w:fldCharType="separate"/>
        </w:r>
        <w:r w:rsidR="00CE096F">
          <w:rPr>
            <w:noProof/>
            <w:webHidden/>
          </w:rPr>
          <w:t>160</w:t>
        </w:r>
        <w:r>
          <w:rPr>
            <w:noProof/>
            <w:webHidden/>
          </w:rPr>
          <w:fldChar w:fldCharType="end"/>
        </w:r>
      </w:hyperlink>
    </w:p>
    <w:p w14:paraId="5AB604D1" w14:textId="7A6EE9D7"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20" w:history="1">
        <w:r w:rsidRPr="00E8653E">
          <w:rPr>
            <w:rStyle w:val="Hyperlink"/>
            <w:noProof/>
          </w:rPr>
          <w:t>7.6.1.</w:t>
        </w:r>
        <w:r>
          <w:rPr>
            <w:rFonts w:eastAsiaTheme="minorEastAsia" w:cstheme="minorBidi"/>
            <w:i w:val="0"/>
            <w:iCs w:val="0"/>
            <w:noProof/>
            <w:kern w:val="2"/>
            <w:sz w:val="24"/>
            <w:szCs w:val="24"/>
            <w:lang w:val="en-US"/>
            <w14:ligatures w14:val="standardContextual"/>
          </w:rPr>
          <w:tab/>
        </w:r>
        <w:r w:rsidRPr="00E8653E">
          <w:rPr>
            <w:rStyle w:val="Hyperlink"/>
            <w:noProof/>
          </w:rPr>
          <w:t>Consideraciones para la generación de directrices sobre integridad ecológica</w:t>
        </w:r>
        <w:r>
          <w:rPr>
            <w:noProof/>
            <w:webHidden/>
          </w:rPr>
          <w:tab/>
        </w:r>
        <w:r>
          <w:rPr>
            <w:noProof/>
            <w:webHidden/>
          </w:rPr>
          <w:fldChar w:fldCharType="begin"/>
        </w:r>
        <w:r>
          <w:rPr>
            <w:noProof/>
            <w:webHidden/>
          </w:rPr>
          <w:instrText xml:space="preserve"> PAGEREF _Toc216468720 \h </w:instrText>
        </w:r>
        <w:r>
          <w:rPr>
            <w:noProof/>
            <w:webHidden/>
          </w:rPr>
        </w:r>
        <w:r>
          <w:rPr>
            <w:noProof/>
            <w:webHidden/>
          </w:rPr>
          <w:fldChar w:fldCharType="separate"/>
        </w:r>
        <w:r w:rsidR="00CE096F">
          <w:rPr>
            <w:noProof/>
            <w:webHidden/>
          </w:rPr>
          <w:t>160</w:t>
        </w:r>
        <w:r>
          <w:rPr>
            <w:noProof/>
            <w:webHidden/>
          </w:rPr>
          <w:fldChar w:fldCharType="end"/>
        </w:r>
      </w:hyperlink>
    </w:p>
    <w:p w14:paraId="13E3B7BF" w14:textId="08FBC7F4"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21" w:history="1">
        <w:r w:rsidRPr="00E8653E">
          <w:rPr>
            <w:rStyle w:val="Hyperlink"/>
            <w:smallCaps/>
            <w:noProof/>
          </w:rPr>
          <w:t>7.6.2.</w:t>
        </w:r>
        <w:r>
          <w:rPr>
            <w:rFonts w:eastAsiaTheme="minorEastAsia" w:cstheme="minorBidi"/>
            <w:i w:val="0"/>
            <w:iCs w:val="0"/>
            <w:noProof/>
            <w:kern w:val="2"/>
            <w:sz w:val="24"/>
            <w:szCs w:val="24"/>
            <w:lang w:val="en-US"/>
            <w14:ligatures w14:val="standardContextual"/>
          </w:rPr>
          <w:tab/>
        </w:r>
        <w:r w:rsidRPr="00E8653E">
          <w:rPr>
            <w:rStyle w:val="Hyperlink"/>
            <w:rFonts w:eastAsia="Century Gothic"/>
            <w:noProof/>
          </w:rPr>
          <w:t>Consideraciones para la generación de directrices sobre humedales, subxerofitia, bosques andinos, áreas del SINAP, OMEC y áreas rurales para la adecuada gestión del suelo</w:t>
        </w:r>
        <w:r>
          <w:rPr>
            <w:noProof/>
            <w:webHidden/>
          </w:rPr>
          <w:tab/>
        </w:r>
        <w:r>
          <w:rPr>
            <w:noProof/>
            <w:webHidden/>
          </w:rPr>
          <w:fldChar w:fldCharType="begin"/>
        </w:r>
        <w:r>
          <w:rPr>
            <w:noProof/>
            <w:webHidden/>
          </w:rPr>
          <w:instrText xml:space="preserve"> PAGEREF _Toc216468721 \h </w:instrText>
        </w:r>
        <w:r>
          <w:rPr>
            <w:noProof/>
            <w:webHidden/>
          </w:rPr>
        </w:r>
        <w:r>
          <w:rPr>
            <w:noProof/>
            <w:webHidden/>
          </w:rPr>
          <w:fldChar w:fldCharType="separate"/>
        </w:r>
        <w:r w:rsidR="00CE096F">
          <w:rPr>
            <w:noProof/>
            <w:webHidden/>
          </w:rPr>
          <w:t>162</w:t>
        </w:r>
        <w:r>
          <w:rPr>
            <w:noProof/>
            <w:webHidden/>
          </w:rPr>
          <w:fldChar w:fldCharType="end"/>
        </w:r>
      </w:hyperlink>
    </w:p>
    <w:p w14:paraId="220CCA7E" w14:textId="33DD2CC1"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22" w:history="1">
        <w:r w:rsidRPr="00E8653E">
          <w:rPr>
            <w:rStyle w:val="Hyperlink"/>
            <w:smallCaps/>
            <w:noProof/>
          </w:rPr>
          <w:t>7.6.3.</w:t>
        </w:r>
        <w:r>
          <w:rPr>
            <w:rFonts w:eastAsiaTheme="minorEastAsia" w:cstheme="minorBidi"/>
            <w:i w:val="0"/>
            <w:iCs w:val="0"/>
            <w:noProof/>
            <w:kern w:val="2"/>
            <w:sz w:val="24"/>
            <w:szCs w:val="24"/>
            <w:lang w:val="en-US"/>
            <w14:ligatures w14:val="standardContextual"/>
          </w:rPr>
          <w:tab/>
        </w:r>
        <w:r w:rsidRPr="00E8653E">
          <w:rPr>
            <w:rStyle w:val="Hyperlink"/>
            <w:rFonts w:eastAsia="Century Gothic"/>
            <w:noProof/>
          </w:rPr>
          <w:t>Consideraciones para la generación de directrices para zonas de compatibilidad minera e infraestructuras de transmisión de energía</w:t>
        </w:r>
        <w:r>
          <w:rPr>
            <w:noProof/>
            <w:webHidden/>
          </w:rPr>
          <w:tab/>
        </w:r>
        <w:r>
          <w:rPr>
            <w:noProof/>
            <w:webHidden/>
          </w:rPr>
          <w:fldChar w:fldCharType="begin"/>
        </w:r>
        <w:r>
          <w:rPr>
            <w:noProof/>
            <w:webHidden/>
          </w:rPr>
          <w:instrText xml:space="preserve"> PAGEREF _Toc216468722 \h </w:instrText>
        </w:r>
        <w:r>
          <w:rPr>
            <w:noProof/>
            <w:webHidden/>
          </w:rPr>
        </w:r>
        <w:r>
          <w:rPr>
            <w:noProof/>
            <w:webHidden/>
          </w:rPr>
          <w:fldChar w:fldCharType="separate"/>
        </w:r>
        <w:r w:rsidR="00CE096F">
          <w:rPr>
            <w:noProof/>
            <w:webHidden/>
          </w:rPr>
          <w:t>164</w:t>
        </w:r>
        <w:r>
          <w:rPr>
            <w:noProof/>
            <w:webHidden/>
          </w:rPr>
          <w:fldChar w:fldCharType="end"/>
        </w:r>
      </w:hyperlink>
    </w:p>
    <w:p w14:paraId="5FC10EC6" w14:textId="008938CB" w:rsidR="00A40D9C" w:rsidRDefault="00A40D9C">
      <w:pPr>
        <w:pStyle w:val="TOC1"/>
        <w:rPr>
          <w:rFonts w:eastAsiaTheme="minorEastAsia" w:cstheme="minorBidi"/>
          <w:b w:val="0"/>
          <w:bCs w:val="0"/>
          <w:caps w:val="0"/>
          <w:noProof/>
          <w:kern w:val="2"/>
          <w:sz w:val="24"/>
          <w:szCs w:val="24"/>
          <w:lang w:val="en-US"/>
          <w14:ligatures w14:val="standardContextual"/>
        </w:rPr>
      </w:pPr>
      <w:hyperlink w:anchor="_Toc216468723" w:history="1">
        <w:r w:rsidRPr="00E8653E">
          <w:rPr>
            <w:rStyle w:val="Hyperlink"/>
            <w:noProof/>
          </w:rPr>
          <w:t>8.</w:t>
        </w:r>
        <w:r>
          <w:rPr>
            <w:rFonts w:eastAsiaTheme="minorEastAsia" w:cstheme="minorBidi"/>
            <w:b w:val="0"/>
            <w:bCs w:val="0"/>
            <w:caps w:val="0"/>
            <w:noProof/>
            <w:kern w:val="2"/>
            <w:sz w:val="24"/>
            <w:szCs w:val="24"/>
            <w:lang w:val="en-US"/>
            <w14:ligatures w14:val="standardContextual"/>
          </w:rPr>
          <w:tab/>
        </w:r>
        <w:r w:rsidRPr="00E8653E">
          <w:rPr>
            <w:rStyle w:val="Hyperlink"/>
            <w:noProof/>
          </w:rPr>
          <w:t>LA OCUPACIÓN Y LA PÉRDIDA DE CAPACIDAD ADAPTATIVA EN LA SABANA DE BOGOTÁ</w:t>
        </w:r>
        <w:r>
          <w:rPr>
            <w:noProof/>
            <w:webHidden/>
          </w:rPr>
          <w:tab/>
        </w:r>
        <w:r>
          <w:rPr>
            <w:noProof/>
            <w:webHidden/>
          </w:rPr>
          <w:fldChar w:fldCharType="begin"/>
        </w:r>
        <w:r>
          <w:rPr>
            <w:noProof/>
            <w:webHidden/>
          </w:rPr>
          <w:instrText xml:space="preserve"> PAGEREF _Toc216468723 \h </w:instrText>
        </w:r>
        <w:r>
          <w:rPr>
            <w:noProof/>
            <w:webHidden/>
          </w:rPr>
        </w:r>
        <w:r>
          <w:rPr>
            <w:noProof/>
            <w:webHidden/>
          </w:rPr>
          <w:fldChar w:fldCharType="separate"/>
        </w:r>
        <w:r w:rsidR="00CE096F">
          <w:rPr>
            <w:noProof/>
            <w:webHidden/>
          </w:rPr>
          <w:t>167</w:t>
        </w:r>
        <w:r>
          <w:rPr>
            <w:noProof/>
            <w:webHidden/>
          </w:rPr>
          <w:fldChar w:fldCharType="end"/>
        </w:r>
      </w:hyperlink>
    </w:p>
    <w:p w14:paraId="0C60BB51" w14:textId="634BED6C" w:rsidR="00A40D9C" w:rsidRDefault="00A40D9C">
      <w:pPr>
        <w:pStyle w:val="TOC2"/>
        <w:tabs>
          <w:tab w:val="left" w:pos="880"/>
          <w:tab w:val="right" w:leader="dot" w:pos="8828"/>
        </w:tabs>
        <w:rPr>
          <w:rFonts w:eastAsiaTheme="minorEastAsia" w:cstheme="minorBidi"/>
          <w:smallCaps w:val="0"/>
          <w:noProof/>
          <w:kern w:val="2"/>
          <w:sz w:val="24"/>
          <w:szCs w:val="24"/>
          <w:lang w:val="en-US"/>
          <w14:ligatures w14:val="standardContextual"/>
        </w:rPr>
      </w:pPr>
      <w:hyperlink w:anchor="_Toc216468724" w:history="1">
        <w:r w:rsidRPr="00E8653E">
          <w:rPr>
            <w:rStyle w:val="Hyperlink"/>
            <w:noProof/>
          </w:rPr>
          <w:t>8.1.</w:t>
        </w:r>
        <w:r>
          <w:rPr>
            <w:rFonts w:eastAsiaTheme="minorEastAsia" w:cstheme="minorBidi"/>
            <w:smallCaps w:val="0"/>
            <w:noProof/>
            <w:kern w:val="2"/>
            <w:sz w:val="24"/>
            <w:szCs w:val="24"/>
            <w:lang w:val="en-US"/>
            <w14:ligatures w14:val="standardContextual"/>
          </w:rPr>
          <w:tab/>
        </w:r>
        <w:r w:rsidRPr="00E8653E">
          <w:rPr>
            <w:rStyle w:val="Hyperlink"/>
            <w:noProof/>
          </w:rPr>
          <w:t>LA OCUPACIÓN EN LA SABANA DE BOGOTÁ</w:t>
        </w:r>
        <w:r>
          <w:rPr>
            <w:noProof/>
            <w:webHidden/>
          </w:rPr>
          <w:tab/>
        </w:r>
        <w:r>
          <w:rPr>
            <w:noProof/>
            <w:webHidden/>
          </w:rPr>
          <w:fldChar w:fldCharType="begin"/>
        </w:r>
        <w:r>
          <w:rPr>
            <w:noProof/>
            <w:webHidden/>
          </w:rPr>
          <w:instrText xml:space="preserve"> PAGEREF _Toc216468724 \h </w:instrText>
        </w:r>
        <w:r>
          <w:rPr>
            <w:noProof/>
            <w:webHidden/>
          </w:rPr>
        </w:r>
        <w:r>
          <w:rPr>
            <w:noProof/>
            <w:webHidden/>
          </w:rPr>
          <w:fldChar w:fldCharType="separate"/>
        </w:r>
        <w:r w:rsidR="00CE096F">
          <w:rPr>
            <w:noProof/>
            <w:webHidden/>
          </w:rPr>
          <w:t>167</w:t>
        </w:r>
        <w:r>
          <w:rPr>
            <w:noProof/>
            <w:webHidden/>
          </w:rPr>
          <w:fldChar w:fldCharType="end"/>
        </w:r>
      </w:hyperlink>
    </w:p>
    <w:p w14:paraId="75FECFCA" w14:textId="1BA07371"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25" w:history="1">
        <w:r w:rsidRPr="00E8653E">
          <w:rPr>
            <w:rStyle w:val="Hyperlink"/>
            <w:noProof/>
          </w:rPr>
          <w:t>8.1.1.</w:t>
        </w:r>
        <w:r>
          <w:rPr>
            <w:rFonts w:eastAsiaTheme="minorEastAsia" w:cstheme="minorBidi"/>
            <w:i w:val="0"/>
            <w:iCs w:val="0"/>
            <w:noProof/>
            <w:kern w:val="2"/>
            <w:sz w:val="24"/>
            <w:szCs w:val="24"/>
            <w:lang w:val="en-US"/>
            <w14:ligatures w14:val="standardContextual"/>
          </w:rPr>
          <w:tab/>
        </w:r>
        <w:r w:rsidRPr="00E8653E">
          <w:rPr>
            <w:rStyle w:val="Hyperlink"/>
            <w:noProof/>
          </w:rPr>
          <w:t>Las transformaciones territoriales y la huella de ocupación en la Sabana</w:t>
        </w:r>
        <w:r>
          <w:rPr>
            <w:noProof/>
            <w:webHidden/>
          </w:rPr>
          <w:tab/>
        </w:r>
        <w:r>
          <w:rPr>
            <w:noProof/>
            <w:webHidden/>
          </w:rPr>
          <w:fldChar w:fldCharType="begin"/>
        </w:r>
        <w:r>
          <w:rPr>
            <w:noProof/>
            <w:webHidden/>
          </w:rPr>
          <w:instrText xml:space="preserve"> PAGEREF _Toc216468725 \h </w:instrText>
        </w:r>
        <w:r>
          <w:rPr>
            <w:noProof/>
            <w:webHidden/>
          </w:rPr>
        </w:r>
        <w:r>
          <w:rPr>
            <w:noProof/>
            <w:webHidden/>
          </w:rPr>
          <w:fldChar w:fldCharType="separate"/>
        </w:r>
        <w:r w:rsidR="00CE096F">
          <w:rPr>
            <w:noProof/>
            <w:webHidden/>
          </w:rPr>
          <w:t>170</w:t>
        </w:r>
        <w:r>
          <w:rPr>
            <w:noProof/>
            <w:webHidden/>
          </w:rPr>
          <w:fldChar w:fldCharType="end"/>
        </w:r>
      </w:hyperlink>
    </w:p>
    <w:p w14:paraId="4B766F85" w14:textId="4DBB32C0" w:rsidR="00A40D9C" w:rsidRDefault="00A40D9C">
      <w:pPr>
        <w:pStyle w:val="TOC4"/>
        <w:tabs>
          <w:tab w:val="left" w:pos="1540"/>
          <w:tab w:val="right" w:leader="dot" w:pos="8828"/>
        </w:tabs>
        <w:rPr>
          <w:rFonts w:eastAsiaTheme="minorEastAsia" w:cstheme="minorBidi"/>
          <w:noProof/>
          <w:kern w:val="2"/>
          <w:sz w:val="24"/>
          <w:szCs w:val="24"/>
          <w:lang w:val="en-US"/>
          <w14:ligatures w14:val="standardContextual"/>
        </w:rPr>
      </w:pPr>
      <w:hyperlink w:anchor="_Toc216468726" w:history="1">
        <w:r w:rsidRPr="00E8653E">
          <w:rPr>
            <w:rStyle w:val="Hyperlink"/>
            <w:noProof/>
          </w:rPr>
          <w:t>8.1.1.1.</w:t>
        </w:r>
        <w:r>
          <w:rPr>
            <w:rFonts w:eastAsiaTheme="minorEastAsia" w:cstheme="minorBidi"/>
            <w:noProof/>
            <w:kern w:val="2"/>
            <w:sz w:val="24"/>
            <w:szCs w:val="24"/>
            <w:lang w:val="en-US"/>
            <w14:ligatures w14:val="standardContextual"/>
          </w:rPr>
          <w:tab/>
        </w:r>
        <w:r w:rsidRPr="00E8653E">
          <w:rPr>
            <w:rStyle w:val="Hyperlink"/>
            <w:noProof/>
          </w:rPr>
          <w:t>Huella de ocupación por fuera del suelo urbano, de expansión o rural-suburbano</w:t>
        </w:r>
        <w:r>
          <w:rPr>
            <w:noProof/>
            <w:webHidden/>
          </w:rPr>
          <w:tab/>
        </w:r>
        <w:r>
          <w:rPr>
            <w:noProof/>
            <w:webHidden/>
          </w:rPr>
          <w:fldChar w:fldCharType="begin"/>
        </w:r>
        <w:r>
          <w:rPr>
            <w:noProof/>
            <w:webHidden/>
          </w:rPr>
          <w:instrText xml:space="preserve"> PAGEREF _Toc216468726 \h </w:instrText>
        </w:r>
        <w:r>
          <w:rPr>
            <w:noProof/>
            <w:webHidden/>
          </w:rPr>
        </w:r>
        <w:r>
          <w:rPr>
            <w:noProof/>
            <w:webHidden/>
          </w:rPr>
          <w:fldChar w:fldCharType="separate"/>
        </w:r>
        <w:r w:rsidR="00CE096F">
          <w:rPr>
            <w:noProof/>
            <w:webHidden/>
          </w:rPr>
          <w:t>172</w:t>
        </w:r>
        <w:r>
          <w:rPr>
            <w:noProof/>
            <w:webHidden/>
          </w:rPr>
          <w:fldChar w:fldCharType="end"/>
        </w:r>
      </w:hyperlink>
    </w:p>
    <w:p w14:paraId="19A113F7" w14:textId="2FE6015B" w:rsidR="00A40D9C" w:rsidRDefault="00A40D9C">
      <w:pPr>
        <w:pStyle w:val="TOC4"/>
        <w:tabs>
          <w:tab w:val="left" w:pos="1540"/>
          <w:tab w:val="right" w:leader="dot" w:pos="8828"/>
        </w:tabs>
        <w:rPr>
          <w:rFonts w:eastAsiaTheme="minorEastAsia" w:cstheme="minorBidi"/>
          <w:noProof/>
          <w:kern w:val="2"/>
          <w:sz w:val="24"/>
          <w:szCs w:val="24"/>
          <w:lang w:val="en-US"/>
          <w14:ligatures w14:val="standardContextual"/>
        </w:rPr>
      </w:pPr>
      <w:hyperlink w:anchor="_Toc216468727" w:history="1">
        <w:r w:rsidRPr="00E8653E">
          <w:rPr>
            <w:rStyle w:val="Hyperlink"/>
            <w:noProof/>
          </w:rPr>
          <w:t>8.1.1.2.</w:t>
        </w:r>
        <w:r>
          <w:rPr>
            <w:rFonts w:eastAsiaTheme="minorEastAsia" w:cstheme="minorBidi"/>
            <w:noProof/>
            <w:kern w:val="2"/>
            <w:sz w:val="24"/>
            <w:szCs w:val="24"/>
            <w:lang w:val="en-US"/>
            <w14:ligatures w14:val="standardContextual"/>
          </w:rPr>
          <w:tab/>
        </w:r>
        <w:r w:rsidRPr="00E8653E">
          <w:rPr>
            <w:rStyle w:val="Hyperlink"/>
            <w:noProof/>
          </w:rPr>
          <w:t>Huella de ocupación con tipología urbana en suelo rural</w:t>
        </w:r>
        <w:r>
          <w:rPr>
            <w:noProof/>
            <w:webHidden/>
          </w:rPr>
          <w:tab/>
        </w:r>
        <w:r>
          <w:rPr>
            <w:noProof/>
            <w:webHidden/>
          </w:rPr>
          <w:fldChar w:fldCharType="begin"/>
        </w:r>
        <w:r>
          <w:rPr>
            <w:noProof/>
            <w:webHidden/>
          </w:rPr>
          <w:instrText xml:space="preserve"> PAGEREF _Toc216468727 \h </w:instrText>
        </w:r>
        <w:r>
          <w:rPr>
            <w:noProof/>
            <w:webHidden/>
          </w:rPr>
        </w:r>
        <w:r>
          <w:rPr>
            <w:noProof/>
            <w:webHidden/>
          </w:rPr>
          <w:fldChar w:fldCharType="separate"/>
        </w:r>
        <w:r w:rsidR="00CE096F">
          <w:rPr>
            <w:noProof/>
            <w:webHidden/>
          </w:rPr>
          <w:t>176</w:t>
        </w:r>
        <w:r>
          <w:rPr>
            <w:noProof/>
            <w:webHidden/>
          </w:rPr>
          <w:fldChar w:fldCharType="end"/>
        </w:r>
      </w:hyperlink>
    </w:p>
    <w:p w14:paraId="5387AB9E" w14:textId="0C6A5425" w:rsidR="00A40D9C" w:rsidRDefault="00A40D9C">
      <w:pPr>
        <w:pStyle w:val="TOC4"/>
        <w:tabs>
          <w:tab w:val="left" w:pos="1540"/>
          <w:tab w:val="right" w:leader="dot" w:pos="8828"/>
        </w:tabs>
        <w:rPr>
          <w:rFonts w:eastAsiaTheme="minorEastAsia" w:cstheme="minorBidi"/>
          <w:noProof/>
          <w:kern w:val="2"/>
          <w:sz w:val="24"/>
          <w:szCs w:val="24"/>
          <w:lang w:val="en-US"/>
          <w14:ligatures w14:val="standardContextual"/>
        </w:rPr>
      </w:pPr>
      <w:hyperlink w:anchor="_Toc216468728" w:history="1">
        <w:r w:rsidRPr="00E8653E">
          <w:rPr>
            <w:rStyle w:val="Hyperlink"/>
            <w:noProof/>
          </w:rPr>
          <w:t>8.1.1.3.</w:t>
        </w:r>
        <w:r>
          <w:rPr>
            <w:rFonts w:eastAsiaTheme="minorEastAsia" w:cstheme="minorBidi"/>
            <w:noProof/>
            <w:kern w:val="2"/>
            <w:sz w:val="24"/>
            <w:szCs w:val="24"/>
            <w:lang w:val="en-US"/>
            <w14:ligatures w14:val="standardContextual"/>
          </w:rPr>
          <w:tab/>
        </w:r>
        <w:r w:rsidRPr="00E8653E">
          <w:rPr>
            <w:rStyle w:val="Hyperlink"/>
            <w:noProof/>
          </w:rPr>
          <w:t>Vigencia y concertación de asuntos ambientales de Planes de Ordenamiento Territorial</w:t>
        </w:r>
        <w:r>
          <w:rPr>
            <w:noProof/>
            <w:webHidden/>
          </w:rPr>
          <w:tab/>
        </w:r>
        <w:r>
          <w:rPr>
            <w:noProof/>
            <w:webHidden/>
          </w:rPr>
          <w:fldChar w:fldCharType="begin"/>
        </w:r>
        <w:r>
          <w:rPr>
            <w:noProof/>
            <w:webHidden/>
          </w:rPr>
          <w:instrText xml:space="preserve"> PAGEREF _Toc216468728 \h </w:instrText>
        </w:r>
        <w:r>
          <w:rPr>
            <w:noProof/>
            <w:webHidden/>
          </w:rPr>
        </w:r>
        <w:r>
          <w:rPr>
            <w:noProof/>
            <w:webHidden/>
          </w:rPr>
          <w:fldChar w:fldCharType="separate"/>
        </w:r>
        <w:r w:rsidR="00CE096F">
          <w:rPr>
            <w:noProof/>
            <w:webHidden/>
          </w:rPr>
          <w:t>178</w:t>
        </w:r>
        <w:r>
          <w:rPr>
            <w:noProof/>
            <w:webHidden/>
          </w:rPr>
          <w:fldChar w:fldCharType="end"/>
        </w:r>
      </w:hyperlink>
    </w:p>
    <w:p w14:paraId="16CFB1C7" w14:textId="0F459CE9" w:rsidR="00A40D9C" w:rsidRDefault="00A40D9C">
      <w:pPr>
        <w:pStyle w:val="TOC4"/>
        <w:tabs>
          <w:tab w:val="left" w:pos="1540"/>
          <w:tab w:val="right" w:leader="dot" w:pos="8828"/>
        </w:tabs>
        <w:rPr>
          <w:rFonts w:eastAsiaTheme="minorEastAsia" w:cstheme="minorBidi"/>
          <w:noProof/>
          <w:kern w:val="2"/>
          <w:sz w:val="24"/>
          <w:szCs w:val="24"/>
          <w:lang w:val="en-US"/>
          <w14:ligatures w14:val="standardContextual"/>
        </w:rPr>
      </w:pPr>
      <w:hyperlink w:anchor="_Toc216468729" w:history="1">
        <w:r w:rsidRPr="00E8653E">
          <w:rPr>
            <w:rStyle w:val="Hyperlink"/>
            <w:noProof/>
          </w:rPr>
          <w:t>8.1.1.4.</w:t>
        </w:r>
        <w:r>
          <w:rPr>
            <w:rFonts w:eastAsiaTheme="minorEastAsia" w:cstheme="minorBidi"/>
            <w:noProof/>
            <w:kern w:val="2"/>
            <w:sz w:val="24"/>
            <w:szCs w:val="24"/>
            <w:lang w:val="en-US"/>
            <w14:ligatures w14:val="standardContextual"/>
          </w:rPr>
          <w:tab/>
        </w:r>
        <w:r w:rsidRPr="00E8653E">
          <w:rPr>
            <w:rStyle w:val="Hyperlink"/>
            <w:noProof/>
          </w:rPr>
          <w:t>Proyección de la huella de ocupación de la Sabana de Bogotá</w:t>
        </w:r>
        <w:r>
          <w:rPr>
            <w:noProof/>
            <w:webHidden/>
          </w:rPr>
          <w:tab/>
        </w:r>
        <w:r>
          <w:rPr>
            <w:noProof/>
            <w:webHidden/>
          </w:rPr>
          <w:fldChar w:fldCharType="begin"/>
        </w:r>
        <w:r>
          <w:rPr>
            <w:noProof/>
            <w:webHidden/>
          </w:rPr>
          <w:instrText xml:space="preserve"> PAGEREF _Toc216468729 \h </w:instrText>
        </w:r>
        <w:r>
          <w:rPr>
            <w:noProof/>
            <w:webHidden/>
          </w:rPr>
        </w:r>
        <w:r>
          <w:rPr>
            <w:noProof/>
            <w:webHidden/>
          </w:rPr>
          <w:fldChar w:fldCharType="separate"/>
        </w:r>
        <w:r w:rsidR="00CE096F">
          <w:rPr>
            <w:noProof/>
            <w:webHidden/>
          </w:rPr>
          <w:t>183</w:t>
        </w:r>
        <w:r>
          <w:rPr>
            <w:noProof/>
            <w:webHidden/>
          </w:rPr>
          <w:fldChar w:fldCharType="end"/>
        </w:r>
      </w:hyperlink>
    </w:p>
    <w:p w14:paraId="38E3EFEB" w14:textId="555CF9A3" w:rsidR="00A40D9C" w:rsidRDefault="00A40D9C">
      <w:pPr>
        <w:pStyle w:val="TOC4"/>
        <w:tabs>
          <w:tab w:val="right" w:leader="dot" w:pos="8828"/>
        </w:tabs>
        <w:rPr>
          <w:rFonts w:eastAsiaTheme="minorEastAsia" w:cstheme="minorBidi"/>
          <w:noProof/>
          <w:kern w:val="2"/>
          <w:sz w:val="24"/>
          <w:szCs w:val="24"/>
          <w:lang w:val="en-US"/>
          <w14:ligatures w14:val="standardContextual"/>
        </w:rPr>
      </w:pPr>
      <w:hyperlink w:anchor="_Toc216468730" w:history="1">
        <w:r w:rsidRPr="00E8653E">
          <w:rPr>
            <w:rStyle w:val="Hyperlink"/>
            <w:noProof/>
          </w:rPr>
          <w:t>5.3.1.5 Estimación del crecimiento de área construida Sabana de Bogotá (1975 – 2030)</w:t>
        </w:r>
        <w:r>
          <w:rPr>
            <w:noProof/>
            <w:webHidden/>
          </w:rPr>
          <w:tab/>
        </w:r>
        <w:r>
          <w:rPr>
            <w:noProof/>
            <w:webHidden/>
          </w:rPr>
          <w:fldChar w:fldCharType="begin"/>
        </w:r>
        <w:r>
          <w:rPr>
            <w:noProof/>
            <w:webHidden/>
          </w:rPr>
          <w:instrText xml:space="preserve"> PAGEREF _Toc216468730 \h </w:instrText>
        </w:r>
        <w:r>
          <w:rPr>
            <w:noProof/>
            <w:webHidden/>
          </w:rPr>
        </w:r>
        <w:r>
          <w:rPr>
            <w:noProof/>
            <w:webHidden/>
          </w:rPr>
          <w:fldChar w:fldCharType="separate"/>
        </w:r>
        <w:r w:rsidR="00CE096F">
          <w:rPr>
            <w:noProof/>
            <w:webHidden/>
          </w:rPr>
          <w:t>187</w:t>
        </w:r>
        <w:r>
          <w:rPr>
            <w:noProof/>
            <w:webHidden/>
          </w:rPr>
          <w:fldChar w:fldCharType="end"/>
        </w:r>
      </w:hyperlink>
    </w:p>
    <w:p w14:paraId="1B77CEEF" w14:textId="70ECB746" w:rsidR="00A40D9C" w:rsidRDefault="00A40D9C">
      <w:pPr>
        <w:pStyle w:val="TOC4"/>
        <w:tabs>
          <w:tab w:val="left" w:pos="1540"/>
          <w:tab w:val="right" w:leader="dot" w:pos="8828"/>
        </w:tabs>
        <w:rPr>
          <w:rFonts w:eastAsiaTheme="minorEastAsia" w:cstheme="minorBidi"/>
          <w:noProof/>
          <w:kern w:val="2"/>
          <w:sz w:val="24"/>
          <w:szCs w:val="24"/>
          <w:lang w:val="en-US"/>
          <w14:ligatures w14:val="standardContextual"/>
        </w:rPr>
      </w:pPr>
      <w:hyperlink w:anchor="_Toc216468731" w:history="1">
        <w:r w:rsidRPr="00E8653E">
          <w:rPr>
            <w:rStyle w:val="Hyperlink"/>
            <w:noProof/>
          </w:rPr>
          <w:t>8.1.1.5.</w:t>
        </w:r>
        <w:r>
          <w:rPr>
            <w:rFonts w:eastAsiaTheme="minorEastAsia" w:cstheme="minorBidi"/>
            <w:noProof/>
            <w:kern w:val="2"/>
            <w:sz w:val="24"/>
            <w:szCs w:val="24"/>
            <w:lang w:val="en-US"/>
            <w14:ligatures w14:val="standardContextual"/>
          </w:rPr>
          <w:tab/>
        </w:r>
        <w:r w:rsidRPr="00E8653E">
          <w:rPr>
            <w:rStyle w:val="Hyperlink"/>
            <w:noProof/>
          </w:rPr>
          <w:t>Análisis de Huella Construida con Google Building Footprint</w:t>
        </w:r>
        <w:r>
          <w:rPr>
            <w:noProof/>
            <w:webHidden/>
          </w:rPr>
          <w:tab/>
        </w:r>
        <w:r>
          <w:rPr>
            <w:noProof/>
            <w:webHidden/>
          </w:rPr>
          <w:fldChar w:fldCharType="begin"/>
        </w:r>
        <w:r>
          <w:rPr>
            <w:noProof/>
            <w:webHidden/>
          </w:rPr>
          <w:instrText xml:space="preserve"> PAGEREF _Toc216468731 \h </w:instrText>
        </w:r>
        <w:r>
          <w:rPr>
            <w:noProof/>
            <w:webHidden/>
          </w:rPr>
        </w:r>
        <w:r>
          <w:rPr>
            <w:noProof/>
            <w:webHidden/>
          </w:rPr>
          <w:fldChar w:fldCharType="separate"/>
        </w:r>
        <w:r w:rsidR="00CE096F">
          <w:rPr>
            <w:noProof/>
            <w:webHidden/>
          </w:rPr>
          <w:t>197</w:t>
        </w:r>
        <w:r>
          <w:rPr>
            <w:noProof/>
            <w:webHidden/>
          </w:rPr>
          <w:fldChar w:fldCharType="end"/>
        </w:r>
      </w:hyperlink>
    </w:p>
    <w:p w14:paraId="5E4A6204" w14:textId="61DF56E1" w:rsidR="00A40D9C" w:rsidRDefault="00A40D9C">
      <w:pPr>
        <w:pStyle w:val="TOC4"/>
        <w:tabs>
          <w:tab w:val="left" w:pos="1540"/>
          <w:tab w:val="right" w:leader="dot" w:pos="8828"/>
        </w:tabs>
        <w:rPr>
          <w:rFonts w:eastAsiaTheme="minorEastAsia" w:cstheme="minorBidi"/>
          <w:noProof/>
          <w:kern w:val="2"/>
          <w:sz w:val="24"/>
          <w:szCs w:val="24"/>
          <w:lang w:val="en-US"/>
          <w14:ligatures w14:val="standardContextual"/>
        </w:rPr>
      </w:pPr>
      <w:hyperlink w:anchor="_Toc216468732" w:history="1">
        <w:r w:rsidRPr="00E8653E">
          <w:rPr>
            <w:rStyle w:val="Hyperlink"/>
            <w:noProof/>
          </w:rPr>
          <w:t>8.1.1.6.</w:t>
        </w:r>
        <w:r>
          <w:rPr>
            <w:rFonts w:eastAsiaTheme="minorEastAsia" w:cstheme="minorBidi"/>
            <w:noProof/>
            <w:kern w:val="2"/>
            <w:sz w:val="24"/>
            <w:szCs w:val="24"/>
            <w:lang w:val="en-US"/>
            <w14:ligatures w14:val="standardContextual"/>
          </w:rPr>
          <w:tab/>
        </w:r>
        <w:r w:rsidRPr="00E8653E">
          <w:rPr>
            <w:rStyle w:val="Hyperlink"/>
            <w:noProof/>
          </w:rPr>
          <w:t>Sobreestimación de necesidades de suelo y viviendas</w:t>
        </w:r>
        <w:r>
          <w:rPr>
            <w:noProof/>
            <w:webHidden/>
          </w:rPr>
          <w:tab/>
        </w:r>
        <w:r>
          <w:rPr>
            <w:noProof/>
            <w:webHidden/>
          </w:rPr>
          <w:fldChar w:fldCharType="begin"/>
        </w:r>
        <w:r>
          <w:rPr>
            <w:noProof/>
            <w:webHidden/>
          </w:rPr>
          <w:instrText xml:space="preserve"> PAGEREF _Toc216468732 \h </w:instrText>
        </w:r>
        <w:r>
          <w:rPr>
            <w:noProof/>
            <w:webHidden/>
          </w:rPr>
        </w:r>
        <w:r>
          <w:rPr>
            <w:noProof/>
            <w:webHidden/>
          </w:rPr>
          <w:fldChar w:fldCharType="separate"/>
        </w:r>
        <w:r w:rsidR="00CE096F">
          <w:rPr>
            <w:noProof/>
            <w:webHidden/>
          </w:rPr>
          <w:t>201</w:t>
        </w:r>
        <w:r>
          <w:rPr>
            <w:noProof/>
            <w:webHidden/>
          </w:rPr>
          <w:fldChar w:fldCharType="end"/>
        </w:r>
      </w:hyperlink>
    </w:p>
    <w:p w14:paraId="669F2052" w14:textId="493B54A3" w:rsidR="00A40D9C" w:rsidRDefault="00A40D9C">
      <w:pPr>
        <w:pStyle w:val="TOC4"/>
        <w:tabs>
          <w:tab w:val="right" w:leader="dot" w:pos="8828"/>
        </w:tabs>
        <w:rPr>
          <w:rFonts w:eastAsiaTheme="minorEastAsia" w:cstheme="minorBidi"/>
          <w:noProof/>
          <w:kern w:val="2"/>
          <w:sz w:val="24"/>
          <w:szCs w:val="24"/>
          <w:lang w:val="en-US"/>
          <w14:ligatures w14:val="standardContextual"/>
        </w:rPr>
      </w:pPr>
      <w:hyperlink w:anchor="_Toc216468733" w:history="1">
        <w:r w:rsidRPr="00E8653E">
          <w:rPr>
            <w:rStyle w:val="Hyperlink"/>
            <w:noProof/>
          </w:rPr>
          <w:t>Escenarios de Crecimiento Poblacional y Demanda de Suelo en la Región SMOB</w:t>
        </w:r>
        <w:r>
          <w:rPr>
            <w:noProof/>
            <w:webHidden/>
          </w:rPr>
          <w:tab/>
        </w:r>
        <w:r>
          <w:rPr>
            <w:noProof/>
            <w:webHidden/>
          </w:rPr>
          <w:fldChar w:fldCharType="begin"/>
        </w:r>
        <w:r>
          <w:rPr>
            <w:noProof/>
            <w:webHidden/>
          </w:rPr>
          <w:instrText xml:space="preserve"> PAGEREF _Toc216468733 \h </w:instrText>
        </w:r>
        <w:r>
          <w:rPr>
            <w:noProof/>
            <w:webHidden/>
          </w:rPr>
        </w:r>
        <w:r>
          <w:rPr>
            <w:noProof/>
            <w:webHidden/>
          </w:rPr>
          <w:fldChar w:fldCharType="separate"/>
        </w:r>
        <w:r w:rsidR="00CE096F">
          <w:rPr>
            <w:noProof/>
            <w:webHidden/>
          </w:rPr>
          <w:t>208</w:t>
        </w:r>
        <w:r>
          <w:rPr>
            <w:noProof/>
            <w:webHidden/>
          </w:rPr>
          <w:fldChar w:fldCharType="end"/>
        </w:r>
      </w:hyperlink>
    </w:p>
    <w:p w14:paraId="01A7E713" w14:textId="77AB960A" w:rsidR="00A40D9C" w:rsidRDefault="00A40D9C">
      <w:pPr>
        <w:pStyle w:val="TOC4"/>
        <w:tabs>
          <w:tab w:val="left" w:pos="1540"/>
          <w:tab w:val="right" w:leader="dot" w:pos="8828"/>
        </w:tabs>
        <w:rPr>
          <w:rFonts w:eastAsiaTheme="minorEastAsia" w:cstheme="minorBidi"/>
          <w:noProof/>
          <w:kern w:val="2"/>
          <w:sz w:val="24"/>
          <w:szCs w:val="24"/>
          <w:lang w:val="en-US"/>
          <w14:ligatures w14:val="standardContextual"/>
        </w:rPr>
      </w:pPr>
      <w:hyperlink w:anchor="_Toc216468734" w:history="1">
        <w:r w:rsidRPr="00E8653E">
          <w:rPr>
            <w:rStyle w:val="Hyperlink"/>
            <w:noProof/>
          </w:rPr>
          <w:t>8.1.1.7.</w:t>
        </w:r>
        <w:r>
          <w:rPr>
            <w:rFonts w:eastAsiaTheme="minorEastAsia" w:cstheme="minorBidi"/>
            <w:noProof/>
            <w:kern w:val="2"/>
            <w:sz w:val="24"/>
            <w:szCs w:val="24"/>
            <w:lang w:val="en-US"/>
            <w14:ligatures w14:val="standardContextual"/>
          </w:rPr>
          <w:tab/>
        </w:r>
        <w:r w:rsidRPr="00E8653E">
          <w:rPr>
            <w:rStyle w:val="Hyperlink"/>
            <w:noProof/>
          </w:rPr>
          <w:t>Discusión sobre el crecimiento constructivo y demográfico en la Sabana de Bogotá</w:t>
        </w:r>
        <w:r>
          <w:rPr>
            <w:noProof/>
            <w:webHidden/>
          </w:rPr>
          <w:tab/>
        </w:r>
        <w:r>
          <w:rPr>
            <w:noProof/>
            <w:webHidden/>
          </w:rPr>
          <w:fldChar w:fldCharType="begin"/>
        </w:r>
        <w:r>
          <w:rPr>
            <w:noProof/>
            <w:webHidden/>
          </w:rPr>
          <w:instrText xml:space="preserve"> PAGEREF _Toc216468734 \h </w:instrText>
        </w:r>
        <w:r>
          <w:rPr>
            <w:noProof/>
            <w:webHidden/>
          </w:rPr>
        </w:r>
        <w:r>
          <w:rPr>
            <w:noProof/>
            <w:webHidden/>
          </w:rPr>
          <w:fldChar w:fldCharType="separate"/>
        </w:r>
        <w:r w:rsidR="00CE096F">
          <w:rPr>
            <w:noProof/>
            <w:webHidden/>
          </w:rPr>
          <w:t>214</w:t>
        </w:r>
        <w:r>
          <w:rPr>
            <w:noProof/>
            <w:webHidden/>
          </w:rPr>
          <w:fldChar w:fldCharType="end"/>
        </w:r>
      </w:hyperlink>
    </w:p>
    <w:p w14:paraId="21586BFE" w14:textId="24DE5FC3" w:rsidR="00A40D9C" w:rsidRDefault="00A40D9C">
      <w:pPr>
        <w:pStyle w:val="TOC2"/>
        <w:tabs>
          <w:tab w:val="left" w:pos="880"/>
          <w:tab w:val="right" w:leader="dot" w:pos="8828"/>
        </w:tabs>
        <w:rPr>
          <w:rFonts w:eastAsiaTheme="minorEastAsia" w:cstheme="minorBidi"/>
          <w:smallCaps w:val="0"/>
          <w:noProof/>
          <w:kern w:val="2"/>
          <w:sz w:val="24"/>
          <w:szCs w:val="24"/>
          <w:lang w:val="en-US"/>
          <w14:ligatures w14:val="standardContextual"/>
        </w:rPr>
      </w:pPr>
      <w:hyperlink w:anchor="_Toc216468735" w:history="1">
        <w:r w:rsidRPr="00E8653E">
          <w:rPr>
            <w:rStyle w:val="Hyperlink"/>
            <w:noProof/>
          </w:rPr>
          <w:t>8.2.</w:t>
        </w:r>
        <w:r>
          <w:rPr>
            <w:rFonts w:eastAsiaTheme="minorEastAsia" w:cstheme="minorBidi"/>
            <w:smallCaps w:val="0"/>
            <w:noProof/>
            <w:kern w:val="2"/>
            <w:sz w:val="24"/>
            <w:szCs w:val="24"/>
            <w:lang w:val="en-US"/>
            <w14:ligatures w14:val="standardContextual"/>
          </w:rPr>
          <w:tab/>
        </w:r>
        <w:r w:rsidRPr="00E8653E">
          <w:rPr>
            <w:rStyle w:val="Hyperlink"/>
            <w:noProof/>
          </w:rPr>
          <w:t>Mitigación y Adaptación al Cambio Climático</w:t>
        </w:r>
        <w:r>
          <w:rPr>
            <w:noProof/>
            <w:webHidden/>
          </w:rPr>
          <w:tab/>
        </w:r>
        <w:r>
          <w:rPr>
            <w:noProof/>
            <w:webHidden/>
          </w:rPr>
          <w:fldChar w:fldCharType="begin"/>
        </w:r>
        <w:r>
          <w:rPr>
            <w:noProof/>
            <w:webHidden/>
          </w:rPr>
          <w:instrText xml:space="preserve"> PAGEREF _Toc216468735 \h </w:instrText>
        </w:r>
        <w:r>
          <w:rPr>
            <w:noProof/>
            <w:webHidden/>
          </w:rPr>
        </w:r>
        <w:r>
          <w:rPr>
            <w:noProof/>
            <w:webHidden/>
          </w:rPr>
          <w:fldChar w:fldCharType="separate"/>
        </w:r>
        <w:r w:rsidR="00CE096F">
          <w:rPr>
            <w:noProof/>
            <w:webHidden/>
          </w:rPr>
          <w:t>217</w:t>
        </w:r>
        <w:r>
          <w:rPr>
            <w:noProof/>
            <w:webHidden/>
          </w:rPr>
          <w:fldChar w:fldCharType="end"/>
        </w:r>
      </w:hyperlink>
    </w:p>
    <w:p w14:paraId="5833A991" w14:textId="363638A3"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36" w:history="1">
        <w:r w:rsidRPr="00E8653E">
          <w:rPr>
            <w:rStyle w:val="Hyperlink"/>
            <w:noProof/>
          </w:rPr>
          <w:t>8.2.1.</w:t>
        </w:r>
        <w:r>
          <w:rPr>
            <w:rFonts w:eastAsiaTheme="minorEastAsia" w:cstheme="minorBidi"/>
            <w:i w:val="0"/>
            <w:iCs w:val="0"/>
            <w:noProof/>
            <w:kern w:val="2"/>
            <w:sz w:val="24"/>
            <w:szCs w:val="24"/>
            <w:lang w:val="en-US"/>
            <w14:ligatures w14:val="standardContextual"/>
          </w:rPr>
          <w:tab/>
        </w:r>
        <w:r w:rsidRPr="00E8653E">
          <w:rPr>
            <w:rStyle w:val="Hyperlink"/>
            <w:noProof/>
          </w:rPr>
          <w:t>La Sabana de Bogotá, las áreas de amenazas de origen natural y la adaptación al cambio climático</w:t>
        </w:r>
        <w:r>
          <w:rPr>
            <w:noProof/>
            <w:webHidden/>
          </w:rPr>
          <w:tab/>
        </w:r>
        <w:r>
          <w:rPr>
            <w:noProof/>
            <w:webHidden/>
          </w:rPr>
          <w:fldChar w:fldCharType="begin"/>
        </w:r>
        <w:r>
          <w:rPr>
            <w:noProof/>
            <w:webHidden/>
          </w:rPr>
          <w:instrText xml:space="preserve"> PAGEREF _Toc216468736 \h </w:instrText>
        </w:r>
        <w:r>
          <w:rPr>
            <w:noProof/>
            <w:webHidden/>
          </w:rPr>
        </w:r>
        <w:r>
          <w:rPr>
            <w:noProof/>
            <w:webHidden/>
          </w:rPr>
          <w:fldChar w:fldCharType="separate"/>
        </w:r>
        <w:r w:rsidR="00CE096F">
          <w:rPr>
            <w:noProof/>
            <w:webHidden/>
          </w:rPr>
          <w:t>217</w:t>
        </w:r>
        <w:r>
          <w:rPr>
            <w:noProof/>
            <w:webHidden/>
          </w:rPr>
          <w:fldChar w:fldCharType="end"/>
        </w:r>
      </w:hyperlink>
    </w:p>
    <w:p w14:paraId="50FD1127" w14:textId="5D8CC199" w:rsidR="00A40D9C" w:rsidRDefault="00A40D9C">
      <w:pPr>
        <w:pStyle w:val="TOC1"/>
        <w:rPr>
          <w:rFonts w:eastAsiaTheme="minorEastAsia" w:cstheme="minorBidi"/>
          <w:b w:val="0"/>
          <w:bCs w:val="0"/>
          <w:caps w:val="0"/>
          <w:noProof/>
          <w:kern w:val="2"/>
          <w:sz w:val="24"/>
          <w:szCs w:val="24"/>
          <w:lang w:val="en-US"/>
          <w14:ligatures w14:val="standardContextual"/>
        </w:rPr>
      </w:pPr>
      <w:hyperlink w:anchor="_Toc216468737" w:history="1">
        <w:r w:rsidRPr="00E8653E">
          <w:rPr>
            <w:rStyle w:val="Hyperlink"/>
            <w:noProof/>
          </w:rPr>
          <w:t>9.</w:t>
        </w:r>
        <w:r>
          <w:rPr>
            <w:rFonts w:eastAsiaTheme="minorEastAsia" w:cstheme="minorBidi"/>
            <w:b w:val="0"/>
            <w:bCs w:val="0"/>
            <w:caps w:val="0"/>
            <w:noProof/>
            <w:kern w:val="2"/>
            <w:sz w:val="24"/>
            <w:szCs w:val="24"/>
            <w:lang w:val="en-US"/>
            <w14:ligatures w14:val="standardContextual"/>
          </w:rPr>
          <w:tab/>
        </w:r>
        <w:r w:rsidRPr="00E8653E">
          <w:rPr>
            <w:rStyle w:val="Hyperlink"/>
            <w:noProof/>
          </w:rPr>
          <w:t>CONSERVACIÓN DEL SUELO</w:t>
        </w:r>
        <w:r>
          <w:rPr>
            <w:noProof/>
            <w:webHidden/>
          </w:rPr>
          <w:tab/>
        </w:r>
        <w:r>
          <w:rPr>
            <w:noProof/>
            <w:webHidden/>
          </w:rPr>
          <w:fldChar w:fldCharType="begin"/>
        </w:r>
        <w:r>
          <w:rPr>
            <w:noProof/>
            <w:webHidden/>
          </w:rPr>
          <w:instrText xml:space="preserve"> PAGEREF _Toc216468737 \h </w:instrText>
        </w:r>
        <w:r>
          <w:rPr>
            <w:noProof/>
            <w:webHidden/>
          </w:rPr>
        </w:r>
        <w:r>
          <w:rPr>
            <w:noProof/>
            <w:webHidden/>
          </w:rPr>
          <w:fldChar w:fldCharType="separate"/>
        </w:r>
        <w:r w:rsidR="00CE096F">
          <w:rPr>
            <w:noProof/>
            <w:webHidden/>
          </w:rPr>
          <w:t>225</w:t>
        </w:r>
        <w:r>
          <w:rPr>
            <w:noProof/>
            <w:webHidden/>
          </w:rPr>
          <w:fldChar w:fldCharType="end"/>
        </w:r>
      </w:hyperlink>
    </w:p>
    <w:p w14:paraId="1787F5DD" w14:textId="27B76618" w:rsidR="00A40D9C" w:rsidRDefault="00A40D9C">
      <w:pPr>
        <w:pStyle w:val="TOC2"/>
        <w:tabs>
          <w:tab w:val="left" w:pos="880"/>
          <w:tab w:val="right" w:leader="dot" w:pos="8828"/>
        </w:tabs>
        <w:rPr>
          <w:rFonts w:eastAsiaTheme="minorEastAsia" w:cstheme="minorBidi"/>
          <w:smallCaps w:val="0"/>
          <w:noProof/>
          <w:kern w:val="2"/>
          <w:sz w:val="24"/>
          <w:szCs w:val="24"/>
          <w:lang w:val="en-US"/>
          <w14:ligatures w14:val="standardContextual"/>
        </w:rPr>
      </w:pPr>
      <w:hyperlink w:anchor="_Toc216468738" w:history="1">
        <w:r w:rsidRPr="00E8653E">
          <w:rPr>
            <w:rStyle w:val="Hyperlink"/>
            <w:rFonts w:eastAsia="Georgia"/>
            <w:noProof/>
          </w:rPr>
          <w:t>9.1.</w:t>
        </w:r>
        <w:r>
          <w:rPr>
            <w:rFonts w:eastAsiaTheme="minorEastAsia" w:cstheme="minorBidi"/>
            <w:smallCaps w:val="0"/>
            <w:noProof/>
            <w:kern w:val="2"/>
            <w:sz w:val="24"/>
            <w:szCs w:val="24"/>
            <w:lang w:val="en-US"/>
            <w14:ligatures w14:val="standardContextual"/>
          </w:rPr>
          <w:tab/>
        </w:r>
        <w:r w:rsidRPr="00E8653E">
          <w:rPr>
            <w:rStyle w:val="Hyperlink"/>
            <w:rFonts w:eastAsia="Georgia"/>
            <w:noProof/>
          </w:rPr>
          <w:t>Degradación del suelo por sellamiento y pérdida de agroecosistemas rurales</w:t>
        </w:r>
        <w:r>
          <w:rPr>
            <w:noProof/>
            <w:webHidden/>
          </w:rPr>
          <w:tab/>
        </w:r>
        <w:r>
          <w:rPr>
            <w:noProof/>
            <w:webHidden/>
          </w:rPr>
          <w:fldChar w:fldCharType="begin"/>
        </w:r>
        <w:r>
          <w:rPr>
            <w:noProof/>
            <w:webHidden/>
          </w:rPr>
          <w:instrText xml:space="preserve"> PAGEREF _Toc216468738 \h </w:instrText>
        </w:r>
        <w:r>
          <w:rPr>
            <w:noProof/>
            <w:webHidden/>
          </w:rPr>
        </w:r>
        <w:r>
          <w:rPr>
            <w:noProof/>
            <w:webHidden/>
          </w:rPr>
          <w:fldChar w:fldCharType="separate"/>
        </w:r>
        <w:r w:rsidR="00CE096F">
          <w:rPr>
            <w:noProof/>
            <w:webHidden/>
          </w:rPr>
          <w:t>225</w:t>
        </w:r>
        <w:r>
          <w:rPr>
            <w:noProof/>
            <w:webHidden/>
          </w:rPr>
          <w:fldChar w:fldCharType="end"/>
        </w:r>
      </w:hyperlink>
    </w:p>
    <w:p w14:paraId="55EFD9F4" w14:textId="0B2A7B1D"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39" w:history="1">
        <w:r w:rsidRPr="00E8653E">
          <w:rPr>
            <w:rStyle w:val="Hyperlink"/>
            <w:noProof/>
          </w:rPr>
          <w:t>9.1.1.</w:t>
        </w:r>
        <w:r>
          <w:rPr>
            <w:rFonts w:eastAsiaTheme="minorEastAsia" w:cstheme="minorBidi"/>
            <w:i w:val="0"/>
            <w:iCs w:val="0"/>
            <w:noProof/>
            <w:kern w:val="2"/>
            <w:sz w:val="24"/>
            <w:szCs w:val="24"/>
            <w:lang w:val="en-US"/>
            <w14:ligatures w14:val="standardContextual"/>
          </w:rPr>
          <w:tab/>
        </w:r>
        <w:r w:rsidRPr="00E8653E">
          <w:rPr>
            <w:rStyle w:val="Hyperlink"/>
            <w:rFonts w:eastAsia="Century Gothic"/>
            <w:noProof/>
          </w:rPr>
          <w:t>El cambio de coberturas y la reducción de agroecosistemas</w:t>
        </w:r>
        <w:r>
          <w:rPr>
            <w:noProof/>
            <w:webHidden/>
          </w:rPr>
          <w:tab/>
        </w:r>
        <w:r>
          <w:rPr>
            <w:noProof/>
            <w:webHidden/>
          </w:rPr>
          <w:fldChar w:fldCharType="begin"/>
        </w:r>
        <w:r>
          <w:rPr>
            <w:noProof/>
            <w:webHidden/>
          </w:rPr>
          <w:instrText xml:space="preserve"> PAGEREF _Toc216468739 \h </w:instrText>
        </w:r>
        <w:r>
          <w:rPr>
            <w:noProof/>
            <w:webHidden/>
          </w:rPr>
        </w:r>
        <w:r>
          <w:rPr>
            <w:noProof/>
            <w:webHidden/>
          </w:rPr>
          <w:fldChar w:fldCharType="separate"/>
        </w:r>
        <w:r w:rsidR="00CE096F">
          <w:rPr>
            <w:noProof/>
            <w:webHidden/>
          </w:rPr>
          <w:t>225</w:t>
        </w:r>
        <w:r>
          <w:rPr>
            <w:noProof/>
            <w:webHidden/>
          </w:rPr>
          <w:fldChar w:fldCharType="end"/>
        </w:r>
      </w:hyperlink>
    </w:p>
    <w:p w14:paraId="6D894818" w14:textId="6080591E" w:rsidR="00A40D9C" w:rsidRDefault="00A40D9C">
      <w:pPr>
        <w:pStyle w:val="TOC3"/>
        <w:tabs>
          <w:tab w:val="left" w:pos="1540"/>
          <w:tab w:val="right" w:leader="dot" w:pos="8828"/>
        </w:tabs>
        <w:rPr>
          <w:rFonts w:eastAsiaTheme="minorEastAsia" w:cstheme="minorBidi"/>
          <w:i w:val="0"/>
          <w:iCs w:val="0"/>
          <w:noProof/>
          <w:kern w:val="2"/>
          <w:sz w:val="24"/>
          <w:szCs w:val="24"/>
          <w:lang w:val="en-US"/>
          <w14:ligatures w14:val="standardContextual"/>
        </w:rPr>
      </w:pPr>
      <w:hyperlink w:anchor="_Toc216468740" w:history="1">
        <w:r w:rsidRPr="00E8653E">
          <w:rPr>
            <w:rStyle w:val="Hyperlink"/>
            <w:noProof/>
          </w:rPr>
          <w:t>9.1.1.1.</w:t>
        </w:r>
        <w:r>
          <w:rPr>
            <w:rFonts w:eastAsiaTheme="minorEastAsia" w:cstheme="minorBidi"/>
            <w:i w:val="0"/>
            <w:iCs w:val="0"/>
            <w:noProof/>
            <w:kern w:val="2"/>
            <w:sz w:val="24"/>
            <w:szCs w:val="24"/>
            <w:lang w:val="en-US"/>
            <w14:ligatures w14:val="standardContextual"/>
          </w:rPr>
          <w:tab/>
        </w:r>
        <w:r w:rsidRPr="00E8653E">
          <w:rPr>
            <w:rStyle w:val="Hyperlink"/>
            <w:rFonts w:eastAsia="Century Gothic"/>
            <w:noProof/>
          </w:rPr>
          <w:t>El suelo de la Sabana de Bogotá y su vocación agropecuaria y ambiental</w:t>
        </w:r>
        <w:r>
          <w:rPr>
            <w:noProof/>
            <w:webHidden/>
          </w:rPr>
          <w:tab/>
        </w:r>
        <w:r>
          <w:rPr>
            <w:noProof/>
            <w:webHidden/>
          </w:rPr>
          <w:fldChar w:fldCharType="begin"/>
        </w:r>
        <w:r>
          <w:rPr>
            <w:noProof/>
            <w:webHidden/>
          </w:rPr>
          <w:instrText xml:space="preserve"> PAGEREF _Toc216468740 \h </w:instrText>
        </w:r>
        <w:r>
          <w:rPr>
            <w:noProof/>
            <w:webHidden/>
          </w:rPr>
        </w:r>
        <w:r>
          <w:rPr>
            <w:noProof/>
            <w:webHidden/>
          </w:rPr>
          <w:fldChar w:fldCharType="separate"/>
        </w:r>
        <w:r w:rsidR="00CE096F">
          <w:rPr>
            <w:noProof/>
            <w:webHidden/>
          </w:rPr>
          <w:t>230</w:t>
        </w:r>
        <w:r>
          <w:rPr>
            <w:noProof/>
            <w:webHidden/>
          </w:rPr>
          <w:fldChar w:fldCharType="end"/>
        </w:r>
      </w:hyperlink>
    </w:p>
    <w:p w14:paraId="469FB47C" w14:textId="75F1C46D" w:rsidR="00A40D9C" w:rsidRDefault="00A40D9C">
      <w:pPr>
        <w:pStyle w:val="TOC3"/>
        <w:tabs>
          <w:tab w:val="left" w:pos="1540"/>
          <w:tab w:val="right" w:leader="dot" w:pos="8828"/>
        </w:tabs>
        <w:rPr>
          <w:rFonts w:eastAsiaTheme="minorEastAsia" w:cstheme="minorBidi"/>
          <w:i w:val="0"/>
          <w:iCs w:val="0"/>
          <w:noProof/>
          <w:kern w:val="2"/>
          <w:sz w:val="24"/>
          <w:szCs w:val="24"/>
          <w:lang w:val="en-US"/>
          <w14:ligatures w14:val="standardContextual"/>
        </w:rPr>
      </w:pPr>
      <w:hyperlink w:anchor="_Toc216468741" w:history="1">
        <w:r w:rsidRPr="00E8653E">
          <w:rPr>
            <w:rStyle w:val="Hyperlink"/>
            <w:rFonts w:eastAsia="Century Gothic"/>
            <w:noProof/>
          </w:rPr>
          <w:t>9.1.1.2.</w:t>
        </w:r>
        <w:r>
          <w:rPr>
            <w:rFonts w:eastAsiaTheme="minorEastAsia" w:cstheme="minorBidi"/>
            <w:i w:val="0"/>
            <w:iCs w:val="0"/>
            <w:noProof/>
            <w:kern w:val="2"/>
            <w:sz w:val="24"/>
            <w:szCs w:val="24"/>
            <w:lang w:val="en-US"/>
            <w14:ligatures w14:val="standardContextual"/>
          </w:rPr>
          <w:tab/>
        </w:r>
        <w:r w:rsidRPr="00E8653E">
          <w:rPr>
            <w:rStyle w:val="Hyperlink"/>
            <w:rFonts w:eastAsia="Century Gothic"/>
            <w:noProof/>
          </w:rPr>
          <w:t>Invernaderos en la Sabana de Bogotá</w:t>
        </w:r>
        <w:r>
          <w:rPr>
            <w:noProof/>
            <w:webHidden/>
          </w:rPr>
          <w:tab/>
        </w:r>
        <w:r>
          <w:rPr>
            <w:noProof/>
            <w:webHidden/>
          </w:rPr>
          <w:fldChar w:fldCharType="begin"/>
        </w:r>
        <w:r>
          <w:rPr>
            <w:noProof/>
            <w:webHidden/>
          </w:rPr>
          <w:instrText xml:space="preserve"> PAGEREF _Toc216468741 \h </w:instrText>
        </w:r>
        <w:r>
          <w:rPr>
            <w:noProof/>
            <w:webHidden/>
          </w:rPr>
        </w:r>
        <w:r>
          <w:rPr>
            <w:noProof/>
            <w:webHidden/>
          </w:rPr>
          <w:fldChar w:fldCharType="separate"/>
        </w:r>
        <w:r w:rsidR="00CE096F">
          <w:rPr>
            <w:noProof/>
            <w:webHidden/>
          </w:rPr>
          <w:t>237</w:t>
        </w:r>
        <w:r>
          <w:rPr>
            <w:noProof/>
            <w:webHidden/>
          </w:rPr>
          <w:fldChar w:fldCharType="end"/>
        </w:r>
      </w:hyperlink>
    </w:p>
    <w:p w14:paraId="77DBC4F2" w14:textId="22602196" w:rsidR="00A40D9C" w:rsidRDefault="00A40D9C">
      <w:pPr>
        <w:pStyle w:val="TOC3"/>
        <w:tabs>
          <w:tab w:val="left" w:pos="1540"/>
          <w:tab w:val="right" w:leader="dot" w:pos="8828"/>
        </w:tabs>
        <w:rPr>
          <w:rFonts w:eastAsiaTheme="minorEastAsia" w:cstheme="minorBidi"/>
          <w:i w:val="0"/>
          <w:iCs w:val="0"/>
          <w:noProof/>
          <w:kern w:val="2"/>
          <w:sz w:val="24"/>
          <w:szCs w:val="24"/>
          <w:lang w:val="en-US"/>
          <w14:ligatures w14:val="standardContextual"/>
        </w:rPr>
      </w:pPr>
      <w:hyperlink w:anchor="_Toc216468742" w:history="1">
        <w:r w:rsidRPr="00E8653E">
          <w:rPr>
            <w:rStyle w:val="Hyperlink"/>
            <w:rFonts w:cs="Arial"/>
            <w:noProof/>
          </w:rPr>
          <w:t>9.1.1.3.</w:t>
        </w:r>
        <w:r>
          <w:rPr>
            <w:rFonts w:eastAsiaTheme="minorEastAsia" w:cstheme="minorBidi"/>
            <w:i w:val="0"/>
            <w:iCs w:val="0"/>
            <w:noProof/>
            <w:kern w:val="2"/>
            <w:sz w:val="24"/>
            <w:szCs w:val="24"/>
            <w:lang w:val="en-US"/>
            <w14:ligatures w14:val="standardContextual"/>
          </w:rPr>
          <w:tab/>
        </w:r>
        <w:r w:rsidRPr="00E8653E">
          <w:rPr>
            <w:rStyle w:val="Hyperlink"/>
            <w:rFonts w:eastAsia="Century Gothic"/>
            <w:noProof/>
          </w:rPr>
          <w:t>El sellamiento del suelo y la reducción de áreas para producción de alimentos</w:t>
        </w:r>
        <w:r>
          <w:rPr>
            <w:noProof/>
            <w:webHidden/>
          </w:rPr>
          <w:tab/>
        </w:r>
        <w:r>
          <w:rPr>
            <w:noProof/>
            <w:webHidden/>
          </w:rPr>
          <w:fldChar w:fldCharType="begin"/>
        </w:r>
        <w:r>
          <w:rPr>
            <w:noProof/>
            <w:webHidden/>
          </w:rPr>
          <w:instrText xml:space="preserve"> PAGEREF _Toc216468742 \h </w:instrText>
        </w:r>
        <w:r>
          <w:rPr>
            <w:noProof/>
            <w:webHidden/>
          </w:rPr>
        </w:r>
        <w:r>
          <w:rPr>
            <w:noProof/>
            <w:webHidden/>
          </w:rPr>
          <w:fldChar w:fldCharType="separate"/>
        </w:r>
        <w:r w:rsidR="00CE096F">
          <w:rPr>
            <w:noProof/>
            <w:webHidden/>
          </w:rPr>
          <w:t>240</w:t>
        </w:r>
        <w:r>
          <w:rPr>
            <w:noProof/>
            <w:webHidden/>
          </w:rPr>
          <w:fldChar w:fldCharType="end"/>
        </w:r>
      </w:hyperlink>
    </w:p>
    <w:p w14:paraId="451F7831" w14:textId="46EE01B4" w:rsidR="00A40D9C" w:rsidRDefault="00A40D9C">
      <w:pPr>
        <w:pStyle w:val="TOC3"/>
        <w:tabs>
          <w:tab w:val="left" w:pos="1540"/>
          <w:tab w:val="right" w:leader="dot" w:pos="8828"/>
        </w:tabs>
        <w:rPr>
          <w:rFonts w:eastAsiaTheme="minorEastAsia" w:cstheme="minorBidi"/>
          <w:i w:val="0"/>
          <w:iCs w:val="0"/>
          <w:noProof/>
          <w:kern w:val="2"/>
          <w:sz w:val="24"/>
          <w:szCs w:val="24"/>
          <w:lang w:val="en-US"/>
          <w14:ligatures w14:val="standardContextual"/>
        </w:rPr>
      </w:pPr>
      <w:hyperlink w:anchor="_Toc216468743" w:history="1">
        <w:r w:rsidRPr="00E8653E">
          <w:rPr>
            <w:rStyle w:val="Hyperlink"/>
            <w:noProof/>
          </w:rPr>
          <w:t>9.1.1.4.</w:t>
        </w:r>
        <w:r>
          <w:rPr>
            <w:rFonts w:eastAsiaTheme="minorEastAsia" w:cstheme="minorBidi"/>
            <w:i w:val="0"/>
            <w:iCs w:val="0"/>
            <w:noProof/>
            <w:kern w:val="2"/>
            <w:sz w:val="24"/>
            <w:szCs w:val="24"/>
            <w:lang w:val="en-US"/>
            <w14:ligatures w14:val="standardContextual"/>
          </w:rPr>
          <w:tab/>
        </w:r>
        <w:r w:rsidRPr="00E8653E">
          <w:rPr>
            <w:rStyle w:val="Hyperlink"/>
            <w:rFonts w:eastAsia="Century Gothic"/>
            <w:noProof/>
          </w:rPr>
          <w:t>La pérdida de suelo sobre la actual estructura ecológica regional</w:t>
        </w:r>
        <w:r>
          <w:rPr>
            <w:noProof/>
            <w:webHidden/>
          </w:rPr>
          <w:tab/>
        </w:r>
        <w:r>
          <w:rPr>
            <w:noProof/>
            <w:webHidden/>
          </w:rPr>
          <w:fldChar w:fldCharType="begin"/>
        </w:r>
        <w:r>
          <w:rPr>
            <w:noProof/>
            <w:webHidden/>
          </w:rPr>
          <w:instrText xml:space="preserve"> PAGEREF _Toc216468743 \h </w:instrText>
        </w:r>
        <w:r>
          <w:rPr>
            <w:noProof/>
            <w:webHidden/>
          </w:rPr>
        </w:r>
        <w:r>
          <w:rPr>
            <w:noProof/>
            <w:webHidden/>
          </w:rPr>
          <w:fldChar w:fldCharType="separate"/>
        </w:r>
        <w:r w:rsidR="00CE096F">
          <w:rPr>
            <w:noProof/>
            <w:webHidden/>
          </w:rPr>
          <w:t>251</w:t>
        </w:r>
        <w:r>
          <w:rPr>
            <w:noProof/>
            <w:webHidden/>
          </w:rPr>
          <w:fldChar w:fldCharType="end"/>
        </w:r>
      </w:hyperlink>
    </w:p>
    <w:p w14:paraId="6352C870" w14:textId="06A0CE73" w:rsidR="00A40D9C" w:rsidRDefault="00A40D9C">
      <w:pPr>
        <w:pStyle w:val="TOC3"/>
        <w:tabs>
          <w:tab w:val="left" w:pos="1540"/>
          <w:tab w:val="right" w:leader="dot" w:pos="8828"/>
        </w:tabs>
        <w:rPr>
          <w:rFonts w:eastAsiaTheme="minorEastAsia" w:cstheme="minorBidi"/>
          <w:i w:val="0"/>
          <w:iCs w:val="0"/>
          <w:noProof/>
          <w:kern w:val="2"/>
          <w:sz w:val="24"/>
          <w:szCs w:val="24"/>
          <w:lang w:val="en-US"/>
          <w14:ligatures w14:val="standardContextual"/>
        </w:rPr>
      </w:pPr>
      <w:hyperlink w:anchor="_Toc216468744" w:history="1">
        <w:r w:rsidRPr="00E8653E">
          <w:rPr>
            <w:rStyle w:val="Hyperlink"/>
            <w:rFonts w:eastAsia="Century Gothic"/>
            <w:noProof/>
          </w:rPr>
          <w:t>9.1.1.5.</w:t>
        </w:r>
        <w:r>
          <w:rPr>
            <w:rFonts w:eastAsiaTheme="minorEastAsia" w:cstheme="minorBidi"/>
            <w:i w:val="0"/>
            <w:iCs w:val="0"/>
            <w:noProof/>
            <w:kern w:val="2"/>
            <w:sz w:val="24"/>
            <w:szCs w:val="24"/>
            <w:lang w:val="en-US"/>
            <w14:ligatures w14:val="standardContextual"/>
          </w:rPr>
          <w:tab/>
        </w:r>
        <w:r w:rsidRPr="00E8653E">
          <w:rPr>
            <w:rStyle w:val="Hyperlink"/>
            <w:rFonts w:eastAsia="Century Gothic"/>
            <w:noProof/>
          </w:rPr>
          <w:t>La pérdida de suelo desde la Huella Espacial Humana en la Sabana</w:t>
        </w:r>
        <w:r>
          <w:rPr>
            <w:noProof/>
            <w:webHidden/>
          </w:rPr>
          <w:tab/>
        </w:r>
        <w:r>
          <w:rPr>
            <w:noProof/>
            <w:webHidden/>
          </w:rPr>
          <w:fldChar w:fldCharType="begin"/>
        </w:r>
        <w:r>
          <w:rPr>
            <w:noProof/>
            <w:webHidden/>
          </w:rPr>
          <w:instrText xml:space="preserve"> PAGEREF _Toc216468744 \h </w:instrText>
        </w:r>
        <w:r>
          <w:rPr>
            <w:noProof/>
            <w:webHidden/>
          </w:rPr>
        </w:r>
        <w:r>
          <w:rPr>
            <w:noProof/>
            <w:webHidden/>
          </w:rPr>
          <w:fldChar w:fldCharType="separate"/>
        </w:r>
        <w:r w:rsidR="00CE096F">
          <w:rPr>
            <w:noProof/>
            <w:webHidden/>
          </w:rPr>
          <w:t>256</w:t>
        </w:r>
        <w:r>
          <w:rPr>
            <w:noProof/>
            <w:webHidden/>
          </w:rPr>
          <w:fldChar w:fldCharType="end"/>
        </w:r>
      </w:hyperlink>
    </w:p>
    <w:p w14:paraId="79E06C51" w14:textId="0321934D" w:rsidR="00A40D9C" w:rsidRDefault="00A40D9C">
      <w:pPr>
        <w:pStyle w:val="TOC2"/>
        <w:tabs>
          <w:tab w:val="left" w:pos="880"/>
          <w:tab w:val="right" w:leader="dot" w:pos="8828"/>
        </w:tabs>
        <w:rPr>
          <w:rFonts w:eastAsiaTheme="minorEastAsia" w:cstheme="minorBidi"/>
          <w:smallCaps w:val="0"/>
          <w:noProof/>
          <w:kern w:val="2"/>
          <w:sz w:val="24"/>
          <w:szCs w:val="24"/>
          <w:lang w:val="en-US"/>
          <w14:ligatures w14:val="standardContextual"/>
        </w:rPr>
      </w:pPr>
      <w:hyperlink w:anchor="_Toc216468745" w:history="1">
        <w:r w:rsidRPr="00E8653E">
          <w:rPr>
            <w:rStyle w:val="Hyperlink"/>
            <w:rFonts w:eastAsia="Georgia"/>
            <w:noProof/>
          </w:rPr>
          <w:t>9.2.</w:t>
        </w:r>
        <w:r>
          <w:rPr>
            <w:rFonts w:eastAsiaTheme="minorEastAsia" w:cstheme="minorBidi"/>
            <w:smallCaps w:val="0"/>
            <w:noProof/>
            <w:kern w:val="2"/>
            <w:sz w:val="24"/>
            <w:szCs w:val="24"/>
            <w:lang w:val="en-US"/>
            <w14:ligatures w14:val="standardContextual"/>
          </w:rPr>
          <w:tab/>
        </w:r>
        <w:r w:rsidRPr="00E8653E">
          <w:rPr>
            <w:rStyle w:val="Hyperlink"/>
            <w:rFonts w:eastAsia="Georgia"/>
            <w:noProof/>
          </w:rPr>
          <w:t>Degradación del suelo por sellamiento y la pérdida de biodiversidad</w:t>
        </w:r>
        <w:r>
          <w:rPr>
            <w:noProof/>
            <w:webHidden/>
          </w:rPr>
          <w:tab/>
        </w:r>
        <w:r>
          <w:rPr>
            <w:noProof/>
            <w:webHidden/>
          </w:rPr>
          <w:fldChar w:fldCharType="begin"/>
        </w:r>
        <w:r>
          <w:rPr>
            <w:noProof/>
            <w:webHidden/>
          </w:rPr>
          <w:instrText xml:space="preserve"> PAGEREF _Toc216468745 \h </w:instrText>
        </w:r>
        <w:r>
          <w:rPr>
            <w:noProof/>
            <w:webHidden/>
          </w:rPr>
        </w:r>
        <w:r>
          <w:rPr>
            <w:noProof/>
            <w:webHidden/>
          </w:rPr>
          <w:fldChar w:fldCharType="separate"/>
        </w:r>
        <w:r w:rsidR="00CE096F">
          <w:rPr>
            <w:noProof/>
            <w:webHidden/>
          </w:rPr>
          <w:t>259</w:t>
        </w:r>
        <w:r>
          <w:rPr>
            <w:noProof/>
            <w:webHidden/>
          </w:rPr>
          <w:fldChar w:fldCharType="end"/>
        </w:r>
      </w:hyperlink>
    </w:p>
    <w:p w14:paraId="31A85464" w14:textId="7698D010"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46" w:history="1">
        <w:r w:rsidRPr="00E8653E">
          <w:rPr>
            <w:rStyle w:val="Hyperlink"/>
            <w:noProof/>
          </w:rPr>
          <w:t>9.2.1.</w:t>
        </w:r>
        <w:r>
          <w:rPr>
            <w:rFonts w:eastAsiaTheme="minorEastAsia" w:cstheme="minorBidi"/>
            <w:i w:val="0"/>
            <w:iCs w:val="0"/>
            <w:noProof/>
            <w:kern w:val="2"/>
            <w:sz w:val="24"/>
            <w:szCs w:val="24"/>
            <w:lang w:val="en-US"/>
            <w14:ligatures w14:val="standardContextual"/>
          </w:rPr>
          <w:tab/>
        </w:r>
        <w:r w:rsidRPr="00E8653E">
          <w:rPr>
            <w:rStyle w:val="Hyperlink"/>
            <w:noProof/>
          </w:rPr>
          <w:t>El sellamiento del suelo</w:t>
        </w:r>
        <w:r>
          <w:rPr>
            <w:noProof/>
            <w:webHidden/>
          </w:rPr>
          <w:tab/>
        </w:r>
        <w:r>
          <w:rPr>
            <w:noProof/>
            <w:webHidden/>
          </w:rPr>
          <w:fldChar w:fldCharType="begin"/>
        </w:r>
        <w:r>
          <w:rPr>
            <w:noProof/>
            <w:webHidden/>
          </w:rPr>
          <w:instrText xml:space="preserve"> PAGEREF _Toc216468746 \h </w:instrText>
        </w:r>
        <w:r>
          <w:rPr>
            <w:noProof/>
            <w:webHidden/>
          </w:rPr>
        </w:r>
        <w:r>
          <w:rPr>
            <w:noProof/>
            <w:webHidden/>
          </w:rPr>
          <w:fldChar w:fldCharType="separate"/>
        </w:r>
        <w:r w:rsidR="00CE096F">
          <w:rPr>
            <w:noProof/>
            <w:webHidden/>
          </w:rPr>
          <w:t>260</w:t>
        </w:r>
        <w:r>
          <w:rPr>
            <w:noProof/>
            <w:webHidden/>
          </w:rPr>
          <w:fldChar w:fldCharType="end"/>
        </w:r>
      </w:hyperlink>
    </w:p>
    <w:p w14:paraId="21BA48A3" w14:textId="56C25B4E"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47" w:history="1">
        <w:r w:rsidRPr="00E8653E">
          <w:rPr>
            <w:rStyle w:val="Hyperlink"/>
            <w:noProof/>
          </w:rPr>
          <w:t>9.2.2.</w:t>
        </w:r>
        <w:r>
          <w:rPr>
            <w:rFonts w:eastAsiaTheme="minorEastAsia" w:cstheme="minorBidi"/>
            <w:i w:val="0"/>
            <w:iCs w:val="0"/>
            <w:noProof/>
            <w:kern w:val="2"/>
            <w:sz w:val="24"/>
            <w:szCs w:val="24"/>
            <w:lang w:val="en-US"/>
            <w14:ligatures w14:val="standardContextual"/>
          </w:rPr>
          <w:tab/>
        </w:r>
        <w:r w:rsidRPr="00E8653E">
          <w:rPr>
            <w:rStyle w:val="Hyperlink"/>
            <w:noProof/>
          </w:rPr>
          <w:t>La importancia del suelo como recurso escaso y no renovable</w:t>
        </w:r>
        <w:r>
          <w:rPr>
            <w:noProof/>
            <w:webHidden/>
          </w:rPr>
          <w:tab/>
        </w:r>
        <w:r>
          <w:rPr>
            <w:noProof/>
            <w:webHidden/>
          </w:rPr>
          <w:fldChar w:fldCharType="begin"/>
        </w:r>
        <w:r>
          <w:rPr>
            <w:noProof/>
            <w:webHidden/>
          </w:rPr>
          <w:instrText xml:space="preserve"> PAGEREF _Toc216468747 \h </w:instrText>
        </w:r>
        <w:r>
          <w:rPr>
            <w:noProof/>
            <w:webHidden/>
          </w:rPr>
        </w:r>
        <w:r>
          <w:rPr>
            <w:noProof/>
            <w:webHidden/>
          </w:rPr>
          <w:fldChar w:fldCharType="separate"/>
        </w:r>
        <w:r w:rsidR="00CE096F">
          <w:rPr>
            <w:noProof/>
            <w:webHidden/>
          </w:rPr>
          <w:t>261</w:t>
        </w:r>
        <w:r>
          <w:rPr>
            <w:noProof/>
            <w:webHidden/>
          </w:rPr>
          <w:fldChar w:fldCharType="end"/>
        </w:r>
      </w:hyperlink>
    </w:p>
    <w:p w14:paraId="0281538F" w14:textId="1975B72F"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48" w:history="1">
        <w:r w:rsidRPr="00E8653E">
          <w:rPr>
            <w:rStyle w:val="Hyperlink"/>
            <w:noProof/>
          </w:rPr>
          <w:t>9.2.3.</w:t>
        </w:r>
        <w:r>
          <w:rPr>
            <w:rFonts w:eastAsiaTheme="minorEastAsia" w:cstheme="minorBidi"/>
            <w:i w:val="0"/>
            <w:iCs w:val="0"/>
            <w:noProof/>
            <w:kern w:val="2"/>
            <w:sz w:val="24"/>
            <w:szCs w:val="24"/>
            <w:lang w:val="en-US"/>
            <w14:ligatures w14:val="standardContextual"/>
          </w:rPr>
          <w:tab/>
        </w:r>
        <w:r w:rsidRPr="00E8653E">
          <w:rPr>
            <w:rStyle w:val="Hyperlink"/>
            <w:noProof/>
          </w:rPr>
          <w:t>El impacto del sellamiento del suelo en la Sabana</w:t>
        </w:r>
        <w:r>
          <w:rPr>
            <w:noProof/>
            <w:webHidden/>
          </w:rPr>
          <w:tab/>
        </w:r>
        <w:r>
          <w:rPr>
            <w:noProof/>
            <w:webHidden/>
          </w:rPr>
          <w:fldChar w:fldCharType="begin"/>
        </w:r>
        <w:r>
          <w:rPr>
            <w:noProof/>
            <w:webHidden/>
          </w:rPr>
          <w:instrText xml:space="preserve"> PAGEREF _Toc216468748 \h </w:instrText>
        </w:r>
        <w:r>
          <w:rPr>
            <w:noProof/>
            <w:webHidden/>
          </w:rPr>
        </w:r>
        <w:r>
          <w:rPr>
            <w:noProof/>
            <w:webHidden/>
          </w:rPr>
          <w:fldChar w:fldCharType="separate"/>
        </w:r>
        <w:r w:rsidR="00CE096F">
          <w:rPr>
            <w:noProof/>
            <w:webHidden/>
          </w:rPr>
          <w:t>263</w:t>
        </w:r>
        <w:r>
          <w:rPr>
            <w:noProof/>
            <w:webHidden/>
          </w:rPr>
          <w:fldChar w:fldCharType="end"/>
        </w:r>
      </w:hyperlink>
    </w:p>
    <w:p w14:paraId="366F4D39" w14:textId="50E3C70C" w:rsidR="00A40D9C" w:rsidRDefault="00A40D9C">
      <w:pPr>
        <w:pStyle w:val="TOC1"/>
        <w:rPr>
          <w:rFonts w:eastAsiaTheme="minorEastAsia" w:cstheme="minorBidi"/>
          <w:b w:val="0"/>
          <w:bCs w:val="0"/>
          <w:caps w:val="0"/>
          <w:noProof/>
          <w:kern w:val="2"/>
          <w:sz w:val="24"/>
          <w:szCs w:val="24"/>
          <w:lang w:val="en-US"/>
          <w14:ligatures w14:val="standardContextual"/>
        </w:rPr>
      </w:pPr>
      <w:hyperlink w:anchor="_Toc216468749" w:history="1">
        <w:r w:rsidRPr="00E8653E">
          <w:rPr>
            <w:rStyle w:val="Hyperlink"/>
            <w:noProof/>
          </w:rPr>
          <w:t>10.</w:t>
        </w:r>
        <w:r>
          <w:rPr>
            <w:rFonts w:eastAsiaTheme="minorEastAsia" w:cstheme="minorBidi"/>
            <w:b w:val="0"/>
            <w:bCs w:val="0"/>
            <w:caps w:val="0"/>
            <w:noProof/>
            <w:kern w:val="2"/>
            <w:sz w:val="24"/>
            <w:szCs w:val="24"/>
            <w:lang w:val="en-US"/>
            <w14:ligatures w14:val="standardContextual"/>
          </w:rPr>
          <w:tab/>
        </w:r>
        <w:r w:rsidRPr="00E8653E">
          <w:rPr>
            <w:rStyle w:val="Hyperlink"/>
            <w:noProof/>
          </w:rPr>
          <w:t>Regulación y Seguridad Hídrica</w:t>
        </w:r>
        <w:r>
          <w:rPr>
            <w:noProof/>
            <w:webHidden/>
          </w:rPr>
          <w:tab/>
        </w:r>
        <w:r>
          <w:rPr>
            <w:noProof/>
            <w:webHidden/>
          </w:rPr>
          <w:fldChar w:fldCharType="begin"/>
        </w:r>
        <w:r>
          <w:rPr>
            <w:noProof/>
            <w:webHidden/>
          </w:rPr>
          <w:instrText xml:space="preserve"> PAGEREF _Toc216468749 \h </w:instrText>
        </w:r>
        <w:r>
          <w:rPr>
            <w:noProof/>
            <w:webHidden/>
          </w:rPr>
        </w:r>
        <w:r>
          <w:rPr>
            <w:noProof/>
            <w:webHidden/>
          </w:rPr>
          <w:fldChar w:fldCharType="separate"/>
        </w:r>
        <w:r w:rsidR="00CE096F">
          <w:rPr>
            <w:noProof/>
            <w:webHidden/>
          </w:rPr>
          <w:t>267</w:t>
        </w:r>
        <w:r>
          <w:rPr>
            <w:noProof/>
            <w:webHidden/>
          </w:rPr>
          <w:fldChar w:fldCharType="end"/>
        </w:r>
      </w:hyperlink>
    </w:p>
    <w:p w14:paraId="66F246FE" w14:textId="401816DB" w:rsidR="00A40D9C" w:rsidRDefault="00A40D9C">
      <w:pPr>
        <w:pStyle w:val="TOC2"/>
        <w:tabs>
          <w:tab w:val="left" w:pos="1100"/>
          <w:tab w:val="right" w:leader="dot" w:pos="8828"/>
        </w:tabs>
        <w:rPr>
          <w:rFonts w:eastAsiaTheme="minorEastAsia" w:cstheme="minorBidi"/>
          <w:smallCaps w:val="0"/>
          <w:noProof/>
          <w:kern w:val="2"/>
          <w:sz w:val="24"/>
          <w:szCs w:val="24"/>
          <w:lang w:val="en-US"/>
          <w14:ligatures w14:val="standardContextual"/>
        </w:rPr>
      </w:pPr>
      <w:hyperlink w:anchor="_Toc216468750" w:history="1">
        <w:r w:rsidRPr="00E8653E">
          <w:rPr>
            <w:rStyle w:val="Hyperlink"/>
            <w:rFonts w:eastAsia="Georgia"/>
            <w:noProof/>
          </w:rPr>
          <w:t>10.1.</w:t>
        </w:r>
        <w:r>
          <w:rPr>
            <w:rFonts w:eastAsiaTheme="minorEastAsia" w:cstheme="minorBidi"/>
            <w:smallCaps w:val="0"/>
            <w:noProof/>
            <w:kern w:val="2"/>
            <w:sz w:val="24"/>
            <w:szCs w:val="24"/>
            <w:lang w:val="en-US"/>
            <w14:ligatures w14:val="standardContextual"/>
          </w:rPr>
          <w:tab/>
        </w:r>
        <w:r w:rsidRPr="00E8653E">
          <w:rPr>
            <w:rStyle w:val="Hyperlink"/>
            <w:rFonts w:eastAsia="Georgia"/>
            <w:noProof/>
          </w:rPr>
          <w:t>Alteración del ciclo del agua y justicia hídrica.</w:t>
        </w:r>
        <w:r>
          <w:rPr>
            <w:noProof/>
            <w:webHidden/>
          </w:rPr>
          <w:tab/>
        </w:r>
        <w:r>
          <w:rPr>
            <w:noProof/>
            <w:webHidden/>
          </w:rPr>
          <w:fldChar w:fldCharType="begin"/>
        </w:r>
        <w:r>
          <w:rPr>
            <w:noProof/>
            <w:webHidden/>
          </w:rPr>
          <w:instrText xml:space="preserve"> PAGEREF _Toc216468750 \h </w:instrText>
        </w:r>
        <w:r>
          <w:rPr>
            <w:noProof/>
            <w:webHidden/>
          </w:rPr>
        </w:r>
        <w:r>
          <w:rPr>
            <w:noProof/>
            <w:webHidden/>
          </w:rPr>
          <w:fldChar w:fldCharType="separate"/>
        </w:r>
        <w:r w:rsidR="00CE096F">
          <w:rPr>
            <w:noProof/>
            <w:webHidden/>
          </w:rPr>
          <w:t>267</w:t>
        </w:r>
        <w:r>
          <w:rPr>
            <w:noProof/>
            <w:webHidden/>
          </w:rPr>
          <w:fldChar w:fldCharType="end"/>
        </w:r>
      </w:hyperlink>
    </w:p>
    <w:p w14:paraId="779A7375" w14:textId="490E2AC7"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51" w:history="1">
        <w:r w:rsidRPr="00E8653E">
          <w:rPr>
            <w:rStyle w:val="Hyperlink"/>
            <w:noProof/>
          </w:rPr>
          <w:t>10.1.1.</w:t>
        </w:r>
        <w:r>
          <w:rPr>
            <w:rFonts w:eastAsiaTheme="minorEastAsia" w:cstheme="minorBidi"/>
            <w:i w:val="0"/>
            <w:iCs w:val="0"/>
            <w:noProof/>
            <w:kern w:val="2"/>
            <w:sz w:val="24"/>
            <w:szCs w:val="24"/>
            <w:lang w:val="en-US"/>
            <w14:ligatures w14:val="standardContextual"/>
          </w:rPr>
          <w:tab/>
        </w:r>
        <w:r w:rsidRPr="00E8653E">
          <w:rPr>
            <w:rStyle w:val="Hyperlink"/>
            <w:noProof/>
          </w:rPr>
          <w:t>Bases para la Recuperación de la Sabana de Bogotá</w:t>
        </w:r>
        <w:r>
          <w:rPr>
            <w:noProof/>
            <w:webHidden/>
          </w:rPr>
          <w:tab/>
        </w:r>
        <w:r>
          <w:rPr>
            <w:noProof/>
            <w:webHidden/>
          </w:rPr>
          <w:fldChar w:fldCharType="begin"/>
        </w:r>
        <w:r>
          <w:rPr>
            <w:noProof/>
            <w:webHidden/>
          </w:rPr>
          <w:instrText xml:space="preserve"> PAGEREF _Toc216468751 \h </w:instrText>
        </w:r>
        <w:r>
          <w:rPr>
            <w:noProof/>
            <w:webHidden/>
          </w:rPr>
        </w:r>
        <w:r>
          <w:rPr>
            <w:noProof/>
            <w:webHidden/>
          </w:rPr>
          <w:fldChar w:fldCharType="separate"/>
        </w:r>
        <w:r w:rsidR="00CE096F">
          <w:rPr>
            <w:noProof/>
            <w:webHidden/>
          </w:rPr>
          <w:t>267</w:t>
        </w:r>
        <w:r>
          <w:rPr>
            <w:noProof/>
            <w:webHidden/>
          </w:rPr>
          <w:fldChar w:fldCharType="end"/>
        </w:r>
      </w:hyperlink>
    </w:p>
    <w:p w14:paraId="7B4C5300" w14:textId="73D9FB70"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52" w:history="1">
        <w:r w:rsidRPr="00E8653E">
          <w:rPr>
            <w:rStyle w:val="Hyperlink"/>
            <w:noProof/>
          </w:rPr>
          <w:t>10.1.2.</w:t>
        </w:r>
        <w:r>
          <w:rPr>
            <w:rFonts w:eastAsiaTheme="minorEastAsia" w:cstheme="minorBidi"/>
            <w:i w:val="0"/>
            <w:iCs w:val="0"/>
            <w:noProof/>
            <w:kern w:val="2"/>
            <w:sz w:val="24"/>
            <w:szCs w:val="24"/>
            <w:lang w:val="en-US"/>
            <w14:ligatures w14:val="standardContextual"/>
          </w:rPr>
          <w:tab/>
        </w:r>
        <w:r w:rsidRPr="00E8653E">
          <w:rPr>
            <w:rStyle w:val="Hyperlink"/>
            <w:noProof/>
          </w:rPr>
          <w:t>El ciclo del agua y la regulación hídrica en la Sabana</w:t>
        </w:r>
        <w:r>
          <w:rPr>
            <w:noProof/>
            <w:webHidden/>
          </w:rPr>
          <w:tab/>
        </w:r>
        <w:r>
          <w:rPr>
            <w:noProof/>
            <w:webHidden/>
          </w:rPr>
          <w:fldChar w:fldCharType="begin"/>
        </w:r>
        <w:r>
          <w:rPr>
            <w:noProof/>
            <w:webHidden/>
          </w:rPr>
          <w:instrText xml:space="preserve"> PAGEREF _Toc216468752 \h </w:instrText>
        </w:r>
        <w:r>
          <w:rPr>
            <w:noProof/>
            <w:webHidden/>
          </w:rPr>
        </w:r>
        <w:r>
          <w:rPr>
            <w:noProof/>
            <w:webHidden/>
          </w:rPr>
          <w:fldChar w:fldCharType="separate"/>
        </w:r>
        <w:r w:rsidR="00CE096F">
          <w:rPr>
            <w:noProof/>
            <w:webHidden/>
          </w:rPr>
          <w:t>270</w:t>
        </w:r>
        <w:r>
          <w:rPr>
            <w:noProof/>
            <w:webHidden/>
          </w:rPr>
          <w:fldChar w:fldCharType="end"/>
        </w:r>
      </w:hyperlink>
    </w:p>
    <w:p w14:paraId="3A191ED0" w14:textId="08C7075B"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53" w:history="1">
        <w:r w:rsidRPr="00E8653E">
          <w:rPr>
            <w:rStyle w:val="Hyperlink"/>
            <w:noProof/>
          </w:rPr>
          <w:t>10.1.3.</w:t>
        </w:r>
        <w:r>
          <w:rPr>
            <w:rFonts w:eastAsiaTheme="minorEastAsia" w:cstheme="minorBidi"/>
            <w:i w:val="0"/>
            <w:iCs w:val="0"/>
            <w:noProof/>
            <w:kern w:val="2"/>
            <w:sz w:val="24"/>
            <w:szCs w:val="24"/>
            <w:lang w:val="en-US"/>
            <w14:ligatures w14:val="standardContextual"/>
          </w:rPr>
          <w:tab/>
        </w:r>
        <w:r w:rsidRPr="00E8653E">
          <w:rPr>
            <w:rStyle w:val="Hyperlink"/>
            <w:noProof/>
          </w:rPr>
          <w:t>Alteración de las condiciones hídricas por infraestructuras hidráulicas y maladaptación al cambio climático</w:t>
        </w:r>
        <w:r>
          <w:rPr>
            <w:noProof/>
            <w:webHidden/>
          </w:rPr>
          <w:tab/>
        </w:r>
        <w:r>
          <w:rPr>
            <w:noProof/>
            <w:webHidden/>
          </w:rPr>
          <w:fldChar w:fldCharType="begin"/>
        </w:r>
        <w:r>
          <w:rPr>
            <w:noProof/>
            <w:webHidden/>
          </w:rPr>
          <w:instrText xml:space="preserve"> PAGEREF _Toc216468753 \h </w:instrText>
        </w:r>
        <w:r>
          <w:rPr>
            <w:noProof/>
            <w:webHidden/>
          </w:rPr>
        </w:r>
        <w:r>
          <w:rPr>
            <w:noProof/>
            <w:webHidden/>
          </w:rPr>
          <w:fldChar w:fldCharType="separate"/>
        </w:r>
        <w:r w:rsidR="00CE096F">
          <w:rPr>
            <w:noProof/>
            <w:webHidden/>
          </w:rPr>
          <w:t>274</w:t>
        </w:r>
        <w:r>
          <w:rPr>
            <w:noProof/>
            <w:webHidden/>
          </w:rPr>
          <w:fldChar w:fldCharType="end"/>
        </w:r>
      </w:hyperlink>
    </w:p>
    <w:p w14:paraId="70BFD61F" w14:textId="6B7B6434" w:rsidR="00A40D9C" w:rsidRDefault="00A40D9C">
      <w:pPr>
        <w:pStyle w:val="TOC3"/>
        <w:tabs>
          <w:tab w:val="left" w:pos="1540"/>
          <w:tab w:val="right" w:leader="dot" w:pos="8828"/>
        </w:tabs>
        <w:rPr>
          <w:rFonts w:eastAsiaTheme="minorEastAsia" w:cstheme="minorBidi"/>
          <w:i w:val="0"/>
          <w:iCs w:val="0"/>
          <w:noProof/>
          <w:kern w:val="2"/>
          <w:sz w:val="24"/>
          <w:szCs w:val="24"/>
          <w:lang w:val="en-US"/>
          <w14:ligatures w14:val="standardContextual"/>
        </w:rPr>
      </w:pPr>
      <w:hyperlink w:anchor="_Toc216468754" w:history="1">
        <w:r w:rsidRPr="00E8653E">
          <w:rPr>
            <w:rStyle w:val="Hyperlink"/>
            <w:noProof/>
          </w:rPr>
          <w:t>10.1.3.1.</w:t>
        </w:r>
        <w:r>
          <w:rPr>
            <w:rFonts w:eastAsiaTheme="minorEastAsia" w:cstheme="minorBidi"/>
            <w:i w:val="0"/>
            <w:iCs w:val="0"/>
            <w:noProof/>
            <w:kern w:val="2"/>
            <w:sz w:val="24"/>
            <w:szCs w:val="24"/>
            <w:lang w:val="en-US"/>
            <w14:ligatures w14:val="standardContextual"/>
          </w:rPr>
          <w:tab/>
        </w:r>
        <w:r w:rsidRPr="00E8653E">
          <w:rPr>
            <w:rStyle w:val="Hyperlink"/>
            <w:noProof/>
          </w:rPr>
          <w:t>Las adecuaciones hidráulicas y la maladaptación al cambio climático</w:t>
        </w:r>
        <w:r>
          <w:rPr>
            <w:noProof/>
            <w:webHidden/>
          </w:rPr>
          <w:tab/>
        </w:r>
        <w:r>
          <w:rPr>
            <w:noProof/>
            <w:webHidden/>
          </w:rPr>
          <w:fldChar w:fldCharType="begin"/>
        </w:r>
        <w:r>
          <w:rPr>
            <w:noProof/>
            <w:webHidden/>
          </w:rPr>
          <w:instrText xml:space="preserve"> PAGEREF _Toc216468754 \h </w:instrText>
        </w:r>
        <w:r>
          <w:rPr>
            <w:noProof/>
            <w:webHidden/>
          </w:rPr>
        </w:r>
        <w:r>
          <w:rPr>
            <w:noProof/>
            <w:webHidden/>
          </w:rPr>
          <w:fldChar w:fldCharType="separate"/>
        </w:r>
        <w:r w:rsidR="00CE096F">
          <w:rPr>
            <w:noProof/>
            <w:webHidden/>
          </w:rPr>
          <w:t>275</w:t>
        </w:r>
        <w:r>
          <w:rPr>
            <w:noProof/>
            <w:webHidden/>
          </w:rPr>
          <w:fldChar w:fldCharType="end"/>
        </w:r>
      </w:hyperlink>
    </w:p>
    <w:p w14:paraId="0A8644D2" w14:textId="1F8CD805" w:rsidR="00A40D9C" w:rsidRDefault="00A40D9C">
      <w:pPr>
        <w:pStyle w:val="TOC3"/>
        <w:tabs>
          <w:tab w:val="left" w:pos="1540"/>
          <w:tab w:val="right" w:leader="dot" w:pos="8828"/>
        </w:tabs>
        <w:rPr>
          <w:rFonts w:eastAsiaTheme="minorEastAsia" w:cstheme="minorBidi"/>
          <w:i w:val="0"/>
          <w:iCs w:val="0"/>
          <w:noProof/>
          <w:kern w:val="2"/>
          <w:sz w:val="24"/>
          <w:szCs w:val="24"/>
          <w:lang w:val="en-US"/>
          <w14:ligatures w14:val="standardContextual"/>
        </w:rPr>
      </w:pPr>
      <w:hyperlink w:anchor="_Toc216468755" w:history="1">
        <w:r w:rsidRPr="00E8653E">
          <w:rPr>
            <w:rStyle w:val="Hyperlink"/>
            <w:noProof/>
          </w:rPr>
          <w:t>10.1.3.2.</w:t>
        </w:r>
        <w:r>
          <w:rPr>
            <w:rFonts w:eastAsiaTheme="minorEastAsia" w:cstheme="minorBidi"/>
            <w:i w:val="0"/>
            <w:iCs w:val="0"/>
            <w:noProof/>
            <w:kern w:val="2"/>
            <w:sz w:val="24"/>
            <w:szCs w:val="24"/>
            <w:lang w:val="en-US"/>
            <w14:ligatures w14:val="standardContextual"/>
          </w:rPr>
          <w:tab/>
        </w:r>
        <w:r w:rsidRPr="00E8653E">
          <w:rPr>
            <w:rStyle w:val="Hyperlink"/>
            <w:noProof/>
          </w:rPr>
          <w:t>Las adecuaciones para el abastecimiento hídrico</w:t>
        </w:r>
        <w:r>
          <w:rPr>
            <w:noProof/>
            <w:webHidden/>
          </w:rPr>
          <w:tab/>
        </w:r>
        <w:r>
          <w:rPr>
            <w:noProof/>
            <w:webHidden/>
          </w:rPr>
          <w:fldChar w:fldCharType="begin"/>
        </w:r>
        <w:r>
          <w:rPr>
            <w:noProof/>
            <w:webHidden/>
          </w:rPr>
          <w:instrText xml:space="preserve"> PAGEREF _Toc216468755 \h </w:instrText>
        </w:r>
        <w:r>
          <w:rPr>
            <w:noProof/>
            <w:webHidden/>
          </w:rPr>
        </w:r>
        <w:r>
          <w:rPr>
            <w:noProof/>
            <w:webHidden/>
          </w:rPr>
          <w:fldChar w:fldCharType="separate"/>
        </w:r>
        <w:r w:rsidR="00CE096F">
          <w:rPr>
            <w:noProof/>
            <w:webHidden/>
          </w:rPr>
          <w:t>279</w:t>
        </w:r>
        <w:r>
          <w:rPr>
            <w:noProof/>
            <w:webHidden/>
          </w:rPr>
          <w:fldChar w:fldCharType="end"/>
        </w:r>
      </w:hyperlink>
    </w:p>
    <w:p w14:paraId="5C0AF2F2" w14:textId="576AEA4C" w:rsidR="00A40D9C" w:rsidRDefault="00A40D9C">
      <w:pPr>
        <w:pStyle w:val="TOC3"/>
        <w:tabs>
          <w:tab w:val="left" w:pos="1540"/>
          <w:tab w:val="right" w:leader="dot" w:pos="8828"/>
        </w:tabs>
        <w:rPr>
          <w:rFonts w:eastAsiaTheme="minorEastAsia" w:cstheme="minorBidi"/>
          <w:i w:val="0"/>
          <w:iCs w:val="0"/>
          <w:noProof/>
          <w:kern w:val="2"/>
          <w:sz w:val="24"/>
          <w:szCs w:val="24"/>
          <w:lang w:val="en-US"/>
          <w14:ligatures w14:val="standardContextual"/>
        </w:rPr>
      </w:pPr>
      <w:hyperlink w:anchor="_Toc216468756" w:history="1">
        <w:r w:rsidRPr="00E8653E">
          <w:rPr>
            <w:rStyle w:val="Hyperlink"/>
            <w:noProof/>
          </w:rPr>
          <w:t>10.1.3.3.</w:t>
        </w:r>
        <w:r>
          <w:rPr>
            <w:rFonts w:eastAsiaTheme="minorEastAsia" w:cstheme="minorBidi"/>
            <w:i w:val="0"/>
            <w:iCs w:val="0"/>
            <w:noProof/>
            <w:kern w:val="2"/>
            <w:sz w:val="24"/>
            <w:szCs w:val="24"/>
            <w:lang w:val="en-US"/>
            <w14:ligatures w14:val="standardContextual"/>
          </w:rPr>
          <w:tab/>
        </w:r>
        <w:r w:rsidRPr="00E8653E">
          <w:rPr>
            <w:rStyle w:val="Hyperlink"/>
            <w:noProof/>
          </w:rPr>
          <w:t>Los cambios en la regulación hídrica en la Sabana</w:t>
        </w:r>
        <w:r>
          <w:rPr>
            <w:noProof/>
            <w:webHidden/>
          </w:rPr>
          <w:tab/>
        </w:r>
        <w:r>
          <w:rPr>
            <w:noProof/>
            <w:webHidden/>
          </w:rPr>
          <w:fldChar w:fldCharType="begin"/>
        </w:r>
        <w:r>
          <w:rPr>
            <w:noProof/>
            <w:webHidden/>
          </w:rPr>
          <w:instrText xml:space="preserve"> PAGEREF _Toc216468756 \h </w:instrText>
        </w:r>
        <w:r>
          <w:rPr>
            <w:noProof/>
            <w:webHidden/>
          </w:rPr>
        </w:r>
        <w:r>
          <w:rPr>
            <w:noProof/>
            <w:webHidden/>
          </w:rPr>
          <w:fldChar w:fldCharType="separate"/>
        </w:r>
        <w:r w:rsidR="00CE096F">
          <w:rPr>
            <w:noProof/>
            <w:webHidden/>
          </w:rPr>
          <w:t>281</w:t>
        </w:r>
        <w:r>
          <w:rPr>
            <w:noProof/>
            <w:webHidden/>
          </w:rPr>
          <w:fldChar w:fldCharType="end"/>
        </w:r>
      </w:hyperlink>
    </w:p>
    <w:p w14:paraId="2B1712C5" w14:textId="3396F17C"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57" w:history="1">
        <w:r w:rsidRPr="00E8653E">
          <w:rPr>
            <w:rStyle w:val="Hyperlink"/>
            <w:noProof/>
          </w:rPr>
          <w:t>10.1.4.</w:t>
        </w:r>
        <w:r>
          <w:rPr>
            <w:rFonts w:eastAsiaTheme="minorEastAsia" w:cstheme="minorBidi"/>
            <w:i w:val="0"/>
            <w:iCs w:val="0"/>
            <w:noProof/>
            <w:kern w:val="2"/>
            <w:sz w:val="24"/>
            <w:szCs w:val="24"/>
            <w:lang w:val="en-US"/>
            <w14:ligatures w14:val="standardContextual"/>
          </w:rPr>
          <w:tab/>
        </w:r>
        <w:r w:rsidRPr="00E8653E">
          <w:rPr>
            <w:rStyle w:val="Hyperlink"/>
            <w:noProof/>
          </w:rPr>
          <w:t>Alta vulnerabilidad al desabastecimiento hídrico por presión de la demanda con respecto a la oferta y cambio climático</w:t>
        </w:r>
        <w:r>
          <w:rPr>
            <w:noProof/>
            <w:webHidden/>
          </w:rPr>
          <w:tab/>
        </w:r>
        <w:r>
          <w:rPr>
            <w:noProof/>
            <w:webHidden/>
          </w:rPr>
          <w:fldChar w:fldCharType="begin"/>
        </w:r>
        <w:r>
          <w:rPr>
            <w:noProof/>
            <w:webHidden/>
          </w:rPr>
          <w:instrText xml:space="preserve"> PAGEREF _Toc216468757 \h </w:instrText>
        </w:r>
        <w:r>
          <w:rPr>
            <w:noProof/>
            <w:webHidden/>
          </w:rPr>
        </w:r>
        <w:r>
          <w:rPr>
            <w:noProof/>
            <w:webHidden/>
          </w:rPr>
          <w:fldChar w:fldCharType="separate"/>
        </w:r>
        <w:r w:rsidR="00CE096F">
          <w:rPr>
            <w:noProof/>
            <w:webHidden/>
          </w:rPr>
          <w:t>287</w:t>
        </w:r>
        <w:r>
          <w:rPr>
            <w:noProof/>
            <w:webHidden/>
          </w:rPr>
          <w:fldChar w:fldCharType="end"/>
        </w:r>
      </w:hyperlink>
    </w:p>
    <w:p w14:paraId="2F37D5C7" w14:textId="5F7DCF39"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58" w:history="1">
        <w:r w:rsidRPr="00E8653E">
          <w:rPr>
            <w:rStyle w:val="Hyperlink"/>
            <w:noProof/>
          </w:rPr>
          <w:t>10.1.5.</w:t>
        </w:r>
        <w:r>
          <w:rPr>
            <w:rFonts w:eastAsiaTheme="minorEastAsia" w:cstheme="minorBidi"/>
            <w:i w:val="0"/>
            <w:iCs w:val="0"/>
            <w:noProof/>
            <w:kern w:val="2"/>
            <w:sz w:val="24"/>
            <w:szCs w:val="24"/>
            <w:lang w:val="en-US"/>
            <w14:ligatures w14:val="standardContextual"/>
          </w:rPr>
          <w:tab/>
        </w:r>
        <w:r w:rsidRPr="00E8653E">
          <w:rPr>
            <w:rStyle w:val="Hyperlink"/>
            <w:noProof/>
          </w:rPr>
          <w:t>Transformación de ecosistemas clave en el ciclo y regulación del agua</w:t>
        </w:r>
        <w:r>
          <w:rPr>
            <w:noProof/>
            <w:webHidden/>
          </w:rPr>
          <w:tab/>
        </w:r>
        <w:r>
          <w:rPr>
            <w:noProof/>
            <w:webHidden/>
          </w:rPr>
          <w:fldChar w:fldCharType="begin"/>
        </w:r>
        <w:r>
          <w:rPr>
            <w:noProof/>
            <w:webHidden/>
          </w:rPr>
          <w:instrText xml:space="preserve"> PAGEREF _Toc216468758 \h </w:instrText>
        </w:r>
        <w:r>
          <w:rPr>
            <w:noProof/>
            <w:webHidden/>
          </w:rPr>
        </w:r>
        <w:r>
          <w:rPr>
            <w:noProof/>
            <w:webHidden/>
          </w:rPr>
          <w:fldChar w:fldCharType="separate"/>
        </w:r>
        <w:r w:rsidR="00CE096F">
          <w:rPr>
            <w:noProof/>
            <w:webHidden/>
          </w:rPr>
          <w:t>305</w:t>
        </w:r>
        <w:r>
          <w:rPr>
            <w:noProof/>
            <w:webHidden/>
          </w:rPr>
          <w:fldChar w:fldCharType="end"/>
        </w:r>
      </w:hyperlink>
    </w:p>
    <w:p w14:paraId="0C10EE57" w14:textId="6D760F37"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59" w:history="1">
        <w:r w:rsidRPr="00E8653E">
          <w:rPr>
            <w:rStyle w:val="Hyperlink"/>
            <w:noProof/>
          </w:rPr>
          <w:t>10.1.6.</w:t>
        </w:r>
        <w:r>
          <w:rPr>
            <w:rFonts w:eastAsiaTheme="minorEastAsia" w:cstheme="minorBidi"/>
            <w:i w:val="0"/>
            <w:iCs w:val="0"/>
            <w:noProof/>
            <w:kern w:val="2"/>
            <w:sz w:val="24"/>
            <w:szCs w:val="24"/>
            <w:lang w:val="en-US"/>
            <w14:ligatures w14:val="standardContextual"/>
          </w:rPr>
          <w:tab/>
        </w:r>
        <w:r w:rsidRPr="00E8653E">
          <w:rPr>
            <w:rStyle w:val="Hyperlink"/>
            <w:noProof/>
          </w:rPr>
          <w:t>Afectación de la calidad de agua por vertimientos indiscriminados</w:t>
        </w:r>
        <w:r>
          <w:rPr>
            <w:noProof/>
            <w:webHidden/>
          </w:rPr>
          <w:tab/>
        </w:r>
        <w:r>
          <w:rPr>
            <w:noProof/>
            <w:webHidden/>
          </w:rPr>
          <w:fldChar w:fldCharType="begin"/>
        </w:r>
        <w:r>
          <w:rPr>
            <w:noProof/>
            <w:webHidden/>
          </w:rPr>
          <w:instrText xml:space="preserve"> PAGEREF _Toc216468759 \h </w:instrText>
        </w:r>
        <w:r>
          <w:rPr>
            <w:noProof/>
            <w:webHidden/>
          </w:rPr>
        </w:r>
        <w:r>
          <w:rPr>
            <w:noProof/>
            <w:webHidden/>
          </w:rPr>
          <w:fldChar w:fldCharType="separate"/>
        </w:r>
        <w:r w:rsidR="00CE096F">
          <w:rPr>
            <w:noProof/>
            <w:webHidden/>
          </w:rPr>
          <w:t>312</w:t>
        </w:r>
        <w:r>
          <w:rPr>
            <w:noProof/>
            <w:webHidden/>
          </w:rPr>
          <w:fldChar w:fldCharType="end"/>
        </w:r>
      </w:hyperlink>
    </w:p>
    <w:p w14:paraId="0094382E" w14:textId="63993745"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60" w:history="1">
        <w:r w:rsidRPr="00E8653E">
          <w:rPr>
            <w:rStyle w:val="Hyperlink"/>
            <w:noProof/>
          </w:rPr>
          <w:t>10.1.7.</w:t>
        </w:r>
        <w:r>
          <w:rPr>
            <w:rFonts w:eastAsiaTheme="minorEastAsia" w:cstheme="minorBidi"/>
            <w:i w:val="0"/>
            <w:iCs w:val="0"/>
            <w:noProof/>
            <w:kern w:val="2"/>
            <w:sz w:val="24"/>
            <w:szCs w:val="24"/>
            <w:lang w:val="en-US"/>
            <w14:ligatures w14:val="standardContextual"/>
          </w:rPr>
          <w:tab/>
        </w:r>
        <w:r w:rsidRPr="00E8653E">
          <w:rPr>
            <w:rStyle w:val="Hyperlink"/>
            <w:noProof/>
          </w:rPr>
          <w:t>Hidrogeoquímica del manganeso y elementos potencialmente tóxicos en la Sabana de Bogotá</w:t>
        </w:r>
        <w:r>
          <w:rPr>
            <w:noProof/>
            <w:webHidden/>
          </w:rPr>
          <w:tab/>
        </w:r>
        <w:r>
          <w:rPr>
            <w:noProof/>
            <w:webHidden/>
          </w:rPr>
          <w:fldChar w:fldCharType="begin"/>
        </w:r>
        <w:r>
          <w:rPr>
            <w:noProof/>
            <w:webHidden/>
          </w:rPr>
          <w:instrText xml:space="preserve"> PAGEREF _Toc216468760 \h </w:instrText>
        </w:r>
        <w:r>
          <w:rPr>
            <w:noProof/>
            <w:webHidden/>
          </w:rPr>
        </w:r>
        <w:r>
          <w:rPr>
            <w:noProof/>
            <w:webHidden/>
          </w:rPr>
          <w:fldChar w:fldCharType="separate"/>
        </w:r>
        <w:r w:rsidR="00CE096F">
          <w:rPr>
            <w:noProof/>
            <w:webHidden/>
          </w:rPr>
          <w:t>326</w:t>
        </w:r>
        <w:r>
          <w:rPr>
            <w:noProof/>
            <w:webHidden/>
          </w:rPr>
          <w:fldChar w:fldCharType="end"/>
        </w:r>
      </w:hyperlink>
    </w:p>
    <w:p w14:paraId="513BF582" w14:textId="3F9A3E52"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61" w:history="1">
        <w:r w:rsidRPr="00E8653E">
          <w:rPr>
            <w:rStyle w:val="Hyperlink"/>
            <w:noProof/>
          </w:rPr>
          <w:t>10.1.8.</w:t>
        </w:r>
        <w:r>
          <w:rPr>
            <w:rFonts w:eastAsiaTheme="minorEastAsia" w:cstheme="minorBidi"/>
            <w:i w:val="0"/>
            <w:iCs w:val="0"/>
            <w:noProof/>
            <w:kern w:val="2"/>
            <w:sz w:val="24"/>
            <w:szCs w:val="24"/>
            <w:lang w:val="en-US"/>
            <w14:ligatures w14:val="standardContextual"/>
          </w:rPr>
          <w:tab/>
        </w:r>
        <w:r w:rsidRPr="00E8653E">
          <w:rPr>
            <w:rStyle w:val="Hyperlink"/>
            <w:noProof/>
          </w:rPr>
          <w:t>Árbol de conflictos sobre alteración del ciclo del agua</w:t>
        </w:r>
        <w:r>
          <w:rPr>
            <w:noProof/>
            <w:webHidden/>
          </w:rPr>
          <w:tab/>
        </w:r>
        <w:r>
          <w:rPr>
            <w:noProof/>
            <w:webHidden/>
          </w:rPr>
          <w:fldChar w:fldCharType="begin"/>
        </w:r>
        <w:r>
          <w:rPr>
            <w:noProof/>
            <w:webHidden/>
          </w:rPr>
          <w:instrText xml:space="preserve"> PAGEREF _Toc216468761 \h </w:instrText>
        </w:r>
        <w:r>
          <w:rPr>
            <w:noProof/>
            <w:webHidden/>
          </w:rPr>
        </w:r>
        <w:r>
          <w:rPr>
            <w:noProof/>
            <w:webHidden/>
          </w:rPr>
          <w:fldChar w:fldCharType="separate"/>
        </w:r>
        <w:r w:rsidR="00CE096F">
          <w:rPr>
            <w:noProof/>
            <w:webHidden/>
          </w:rPr>
          <w:t>328</w:t>
        </w:r>
        <w:r>
          <w:rPr>
            <w:noProof/>
            <w:webHidden/>
          </w:rPr>
          <w:fldChar w:fldCharType="end"/>
        </w:r>
      </w:hyperlink>
    </w:p>
    <w:p w14:paraId="044649EF" w14:textId="41702A9E" w:rsidR="00A40D9C" w:rsidRDefault="00A40D9C">
      <w:pPr>
        <w:pStyle w:val="TOC3"/>
        <w:tabs>
          <w:tab w:val="left" w:pos="1320"/>
          <w:tab w:val="right" w:leader="dot" w:pos="8828"/>
        </w:tabs>
        <w:rPr>
          <w:rFonts w:eastAsiaTheme="minorEastAsia" w:cstheme="minorBidi"/>
          <w:i w:val="0"/>
          <w:iCs w:val="0"/>
          <w:noProof/>
          <w:kern w:val="2"/>
          <w:sz w:val="24"/>
          <w:szCs w:val="24"/>
          <w:lang w:val="en-US"/>
          <w14:ligatures w14:val="standardContextual"/>
        </w:rPr>
      </w:pPr>
      <w:hyperlink w:anchor="_Toc216468762" w:history="1">
        <w:r w:rsidRPr="00E8653E">
          <w:rPr>
            <w:rStyle w:val="Hyperlink"/>
            <w:noProof/>
          </w:rPr>
          <w:t>10.1.9.</w:t>
        </w:r>
        <w:r>
          <w:rPr>
            <w:rFonts w:eastAsiaTheme="minorEastAsia" w:cstheme="minorBidi"/>
            <w:i w:val="0"/>
            <w:iCs w:val="0"/>
            <w:noProof/>
            <w:kern w:val="2"/>
            <w:sz w:val="24"/>
            <w:szCs w:val="24"/>
            <w:lang w:val="en-US"/>
            <w14:ligatures w14:val="standardContextual"/>
          </w:rPr>
          <w:tab/>
        </w:r>
        <w:r w:rsidRPr="00E8653E">
          <w:rPr>
            <w:rStyle w:val="Hyperlink"/>
            <w:noProof/>
          </w:rPr>
          <w:t>Consideraciones para la generación de directrices sobre seguridad hídrica</w:t>
        </w:r>
        <w:r>
          <w:rPr>
            <w:noProof/>
            <w:webHidden/>
          </w:rPr>
          <w:tab/>
        </w:r>
        <w:r>
          <w:rPr>
            <w:noProof/>
            <w:webHidden/>
          </w:rPr>
          <w:fldChar w:fldCharType="begin"/>
        </w:r>
        <w:r>
          <w:rPr>
            <w:noProof/>
            <w:webHidden/>
          </w:rPr>
          <w:instrText xml:space="preserve"> PAGEREF _Toc216468762 \h </w:instrText>
        </w:r>
        <w:r>
          <w:rPr>
            <w:noProof/>
            <w:webHidden/>
          </w:rPr>
        </w:r>
        <w:r>
          <w:rPr>
            <w:noProof/>
            <w:webHidden/>
          </w:rPr>
          <w:fldChar w:fldCharType="separate"/>
        </w:r>
        <w:r w:rsidR="00CE096F">
          <w:rPr>
            <w:noProof/>
            <w:webHidden/>
          </w:rPr>
          <w:t>328</w:t>
        </w:r>
        <w:r>
          <w:rPr>
            <w:noProof/>
            <w:webHidden/>
          </w:rPr>
          <w:fldChar w:fldCharType="end"/>
        </w:r>
      </w:hyperlink>
    </w:p>
    <w:p w14:paraId="178EFC44" w14:textId="66FCB769" w:rsidR="00A40D9C" w:rsidRDefault="00A40D9C">
      <w:pPr>
        <w:pStyle w:val="TOC1"/>
        <w:rPr>
          <w:rFonts w:eastAsiaTheme="minorEastAsia" w:cstheme="minorBidi"/>
          <w:b w:val="0"/>
          <w:bCs w:val="0"/>
          <w:caps w:val="0"/>
          <w:noProof/>
          <w:kern w:val="2"/>
          <w:sz w:val="24"/>
          <w:szCs w:val="24"/>
          <w:lang w:val="en-US"/>
          <w14:ligatures w14:val="standardContextual"/>
        </w:rPr>
      </w:pPr>
      <w:hyperlink w:anchor="_Toc216468763" w:history="1">
        <w:r w:rsidRPr="00E8653E">
          <w:rPr>
            <w:rStyle w:val="Hyperlink"/>
            <w:noProof/>
          </w:rPr>
          <w:t>11.</w:t>
        </w:r>
        <w:r>
          <w:rPr>
            <w:rFonts w:eastAsiaTheme="minorEastAsia" w:cstheme="minorBidi"/>
            <w:b w:val="0"/>
            <w:bCs w:val="0"/>
            <w:caps w:val="0"/>
            <w:noProof/>
            <w:kern w:val="2"/>
            <w:sz w:val="24"/>
            <w:szCs w:val="24"/>
            <w:lang w:val="en-US"/>
            <w14:ligatures w14:val="standardContextual"/>
          </w:rPr>
          <w:tab/>
        </w:r>
        <w:r w:rsidRPr="00E8653E">
          <w:rPr>
            <w:rStyle w:val="Hyperlink"/>
            <w:noProof/>
          </w:rPr>
          <w:t>Gobernanza, Acceso a la información y la gestión del conocimiento</w:t>
        </w:r>
        <w:r>
          <w:rPr>
            <w:noProof/>
            <w:webHidden/>
          </w:rPr>
          <w:tab/>
        </w:r>
        <w:r>
          <w:rPr>
            <w:noProof/>
            <w:webHidden/>
          </w:rPr>
          <w:fldChar w:fldCharType="begin"/>
        </w:r>
        <w:r>
          <w:rPr>
            <w:noProof/>
            <w:webHidden/>
          </w:rPr>
          <w:instrText xml:space="preserve"> PAGEREF _Toc216468763 \h </w:instrText>
        </w:r>
        <w:r>
          <w:rPr>
            <w:noProof/>
            <w:webHidden/>
          </w:rPr>
        </w:r>
        <w:r>
          <w:rPr>
            <w:noProof/>
            <w:webHidden/>
          </w:rPr>
          <w:fldChar w:fldCharType="separate"/>
        </w:r>
        <w:r w:rsidR="00CE096F">
          <w:rPr>
            <w:noProof/>
            <w:webHidden/>
          </w:rPr>
          <w:t>331</w:t>
        </w:r>
        <w:r>
          <w:rPr>
            <w:noProof/>
            <w:webHidden/>
          </w:rPr>
          <w:fldChar w:fldCharType="end"/>
        </w:r>
      </w:hyperlink>
    </w:p>
    <w:p w14:paraId="63707725" w14:textId="2F6994FB" w:rsidR="00A40D9C" w:rsidRDefault="00A40D9C">
      <w:pPr>
        <w:pStyle w:val="TOC3"/>
        <w:tabs>
          <w:tab w:val="right" w:leader="dot" w:pos="8828"/>
        </w:tabs>
        <w:rPr>
          <w:rFonts w:eastAsiaTheme="minorEastAsia" w:cstheme="minorBidi"/>
          <w:i w:val="0"/>
          <w:iCs w:val="0"/>
          <w:noProof/>
          <w:kern w:val="2"/>
          <w:sz w:val="24"/>
          <w:szCs w:val="24"/>
          <w:lang w:val="en-US"/>
          <w14:ligatures w14:val="standardContextual"/>
        </w:rPr>
      </w:pPr>
      <w:hyperlink w:anchor="_Toc216468764" w:history="1">
        <w:r w:rsidRPr="00E8653E">
          <w:rPr>
            <w:rStyle w:val="Hyperlink"/>
            <w:rFonts w:ascii="Century Gothic" w:hAnsi="Century Gothic" w:cs="Calibri"/>
            <w:b/>
            <w:bCs/>
            <w:noProof/>
          </w:rPr>
          <w:t>Consideraciones para la generación de directrices sobre acceso de la información y gestión del conocimiento</w:t>
        </w:r>
        <w:r>
          <w:rPr>
            <w:noProof/>
            <w:webHidden/>
          </w:rPr>
          <w:tab/>
        </w:r>
        <w:r>
          <w:rPr>
            <w:noProof/>
            <w:webHidden/>
          </w:rPr>
          <w:fldChar w:fldCharType="begin"/>
        </w:r>
        <w:r>
          <w:rPr>
            <w:noProof/>
            <w:webHidden/>
          </w:rPr>
          <w:instrText xml:space="preserve"> PAGEREF _Toc216468764 \h </w:instrText>
        </w:r>
        <w:r>
          <w:rPr>
            <w:noProof/>
            <w:webHidden/>
          </w:rPr>
        </w:r>
        <w:r>
          <w:rPr>
            <w:noProof/>
            <w:webHidden/>
          </w:rPr>
          <w:fldChar w:fldCharType="separate"/>
        </w:r>
        <w:r w:rsidR="00CE096F">
          <w:rPr>
            <w:noProof/>
            <w:webHidden/>
          </w:rPr>
          <w:t>338</w:t>
        </w:r>
        <w:r>
          <w:rPr>
            <w:noProof/>
            <w:webHidden/>
          </w:rPr>
          <w:fldChar w:fldCharType="end"/>
        </w:r>
      </w:hyperlink>
    </w:p>
    <w:p w14:paraId="6C97BA5A" w14:textId="11C04C28" w:rsidR="00A40D9C" w:rsidRDefault="00A40D9C">
      <w:pPr>
        <w:pStyle w:val="TOC1"/>
        <w:rPr>
          <w:rFonts w:eastAsiaTheme="minorEastAsia" w:cstheme="minorBidi"/>
          <w:b w:val="0"/>
          <w:bCs w:val="0"/>
          <w:caps w:val="0"/>
          <w:noProof/>
          <w:kern w:val="2"/>
          <w:sz w:val="24"/>
          <w:szCs w:val="24"/>
          <w:lang w:val="en-US"/>
          <w14:ligatures w14:val="standardContextual"/>
        </w:rPr>
      </w:pPr>
      <w:hyperlink w:anchor="_Toc216468765" w:history="1">
        <w:r w:rsidRPr="00E8653E">
          <w:rPr>
            <w:rStyle w:val="Hyperlink"/>
            <w:rFonts w:eastAsia="Century Gothic"/>
            <w:noProof/>
          </w:rPr>
          <w:t>12.</w:t>
        </w:r>
        <w:r>
          <w:rPr>
            <w:rFonts w:eastAsiaTheme="minorEastAsia" w:cstheme="minorBidi"/>
            <w:b w:val="0"/>
            <w:bCs w:val="0"/>
            <w:caps w:val="0"/>
            <w:noProof/>
            <w:kern w:val="2"/>
            <w:sz w:val="24"/>
            <w:szCs w:val="24"/>
            <w:lang w:val="en-US"/>
            <w14:ligatures w14:val="standardContextual"/>
          </w:rPr>
          <w:tab/>
        </w:r>
        <w:r w:rsidRPr="00E8653E">
          <w:rPr>
            <w:rStyle w:val="Hyperlink"/>
            <w:rFonts w:eastAsia="Century Gothic"/>
            <w:noProof/>
          </w:rPr>
          <w:t>BIBLIOGRAFÍA</w:t>
        </w:r>
        <w:r>
          <w:rPr>
            <w:noProof/>
            <w:webHidden/>
          </w:rPr>
          <w:tab/>
        </w:r>
        <w:r>
          <w:rPr>
            <w:noProof/>
            <w:webHidden/>
          </w:rPr>
          <w:fldChar w:fldCharType="begin"/>
        </w:r>
        <w:r>
          <w:rPr>
            <w:noProof/>
            <w:webHidden/>
          </w:rPr>
          <w:instrText xml:space="preserve"> PAGEREF _Toc216468765 \h </w:instrText>
        </w:r>
        <w:r>
          <w:rPr>
            <w:noProof/>
            <w:webHidden/>
          </w:rPr>
        </w:r>
        <w:r>
          <w:rPr>
            <w:noProof/>
            <w:webHidden/>
          </w:rPr>
          <w:fldChar w:fldCharType="separate"/>
        </w:r>
        <w:r w:rsidR="00CE096F">
          <w:rPr>
            <w:noProof/>
            <w:webHidden/>
          </w:rPr>
          <w:t>340</w:t>
        </w:r>
        <w:r>
          <w:rPr>
            <w:noProof/>
            <w:webHidden/>
          </w:rPr>
          <w:fldChar w:fldCharType="end"/>
        </w:r>
      </w:hyperlink>
    </w:p>
    <w:p w14:paraId="4204493F" w14:textId="13D50ED3" w:rsidR="006A61E1" w:rsidRPr="00131EED" w:rsidRDefault="00E41D47" w:rsidP="00CE58F2">
      <w:pPr>
        <w:pBdr>
          <w:top w:val="nil"/>
          <w:left w:val="nil"/>
          <w:bottom w:val="nil"/>
          <w:right w:val="nil"/>
          <w:between w:val="nil"/>
        </w:pBdr>
        <w:rPr>
          <w:rFonts w:eastAsia="Century Gothic" w:cs="Arial"/>
        </w:rPr>
      </w:pPr>
      <w:r w:rsidRPr="00131EED">
        <w:rPr>
          <w:rFonts w:eastAsia="Century Gothic" w:cs="Arial"/>
        </w:rPr>
        <w:fldChar w:fldCharType="end"/>
      </w:r>
    </w:p>
    <w:p w14:paraId="78BF64C9" w14:textId="77777777" w:rsidR="00E41D47" w:rsidRPr="00131EED" w:rsidRDefault="00E41D47" w:rsidP="00CE58F2">
      <w:pPr>
        <w:pBdr>
          <w:top w:val="nil"/>
          <w:left w:val="nil"/>
          <w:bottom w:val="nil"/>
          <w:right w:val="nil"/>
          <w:between w:val="nil"/>
        </w:pBdr>
        <w:rPr>
          <w:rFonts w:eastAsia="Century Gothic" w:cs="Arial"/>
        </w:rPr>
      </w:pPr>
    </w:p>
    <w:p w14:paraId="6540A725" w14:textId="77777777" w:rsidR="00E22F47" w:rsidRPr="00131EED" w:rsidRDefault="00E22F47" w:rsidP="00CE58F2">
      <w:pPr>
        <w:pBdr>
          <w:top w:val="nil"/>
          <w:left w:val="nil"/>
          <w:bottom w:val="nil"/>
          <w:right w:val="nil"/>
          <w:between w:val="nil"/>
        </w:pBdr>
        <w:rPr>
          <w:rFonts w:eastAsia="Century Gothic" w:cs="Arial"/>
        </w:rPr>
      </w:pPr>
    </w:p>
    <w:p w14:paraId="20D4FD3E" w14:textId="77777777" w:rsidR="000C3F16" w:rsidRPr="00131EED" w:rsidRDefault="000C3F16" w:rsidP="00CE58F2">
      <w:pPr>
        <w:pBdr>
          <w:top w:val="nil"/>
          <w:left w:val="nil"/>
          <w:bottom w:val="nil"/>
          <w:right w:val="nil"/>
          <w:between w:val="nil"/>
        </w:pBdr>
        <w:rPr>
          <w:rFonts w:eastAsia="Century Gothic" w:cs="Arial"/>
        </w:rPr>
      </w:pPr>
    </w:p>
    <w:p w14:paraId="7EECDABA" w14:textId="77777777" w:rsidR="000C3F16" w:rsidRPr="00131EED" w:rsidRDefault="000C3F16" w:rsidP="00CE58F2">
      <w:pPr>
        <w:pBdr>
          <w:top w:val="nil"/>
          <w:left w:val="nil"/>
          <w:bottom w:val="nil"/>
          <w:right w:val="nil"/>
          <w:between w:val="nil"/>
        </w:pBdr>
        <w:rPr>
          <w:rFonts w:eastAsia="Century Gothic" w:cs="Arial"/>
        </w:rPr>
      </w:pPr>
    </w:p>
    <w:p w14:paraId="373171A4" w14:textId="77777777" w:rsidR="000C3F16" w:rsidRPr="00131EED" w:rsidRDefault="000C3F16" w:rsidP="00CE58F2">
      <w:pPr>
        <w:pBdr>
          <w:top w:val="nil"/>
          <w:left w:val="nil"/>
          <w:bottom w:val="nil"/>
          <w:right w:val="nil"/>
          <w:between w:val="nil"/>
        </w:pBdr>
        <w:rPr>
          <w:rFonts w:eastAsia="Century Gothic" w:cs="Arial"/>
        </w:rPr>
      </w:pPr>
    </w:p>
    <w:p w14:paraId="2E9C34E5" w14:textId="77777777" w:rsidR="00C04F42" w:rsidRDefault="00C04F42" w:rsidP="000C3F16">
      <w:pPr>
        <w:pBdr>
          <w:top w:val="nil"/>
          <w:left w:val="nil"/>
          <w:bottom w:val="nil"/>
          <w:right w:val="nil"/>
          <w:between w:val="nil"/>
        </w:pBdr>
        <w:rPr>
          <w:rFonts w:eastAsia="Century Gothic" w:cs="Arial"/>
        </w:rPr>
      </w:pPr>
    </w:p>
    <w:p w14:paraId="0BAF4231" w14:textId="77777777" w:rsidR="005E21F5" w:rsidRDefault="005E21F5" w:rsidP="000C3F16">
      <w:pPr>
        <w:pBdr>
          <w:top w:val="nil"/>
          <w:left w:val="nil"/>
          <w:bottom w:val="nil"/>
          <w:right w:val="nil"/>
          <w:between w:val="nil"/>
        </w:pBdr>
        <w:rPr>
          <w:rFonts w:eastAsia="Century Gothic" w:cs="Arial"/>
        </w:rPr>
      </w:pPr>
    </w:p>
    <w:p w14:paraId="39C9414B" w14:textId="77777777" w:rsidR="005E21F5" w:rsidRDefault="005E21F5" w:rsidP="000C3F16">
      <w:pPr>
        <w:pBdr>
          <w:top w:val="nil"/>
          <w:left w:val="nil"/>
          <w:bottom w:val="nil"/>
          <w:right w:val="nil"/>
          <w:between w:val="nil"/>
        </w:pBdr>
        <w:rPr>
          <w:rFonts w:eastAsia="Century Gothic" w:cs="Arial"/>
        </w:rPr>
      </w:pPr>
    </w:p>
    <w:p w14:paraId="77755618" w14:textId="77777777" w:rsidR="005E21F5" w:rsidRDefault="005E21F5" w:rsidP="000C3F16">
      <w:pPr>
        <w:pBdr>
          <w:top w:val="nil"/>
          <w:left w:val="nil"/>
          <w:bottom w:val="nil"/>
          <w:right w:val="nil"/>
          <w:between w:val="nil"/>
        </w:pBdr>
        <w:rPr>
          <w:rFonts w:eastAsia="Century Gothic" w:cs="Arial"/>
        </w:rPr>
      </w:pPr>
    </w:p>
    <w:p w14:paraId="7C2C7010" w14:textId="77777777" w:rsidR="005E21F5" w:rsidRPr="00131EED" w:rsidRDefault="005E21F5" w:rsidP="000C3F16">
      <w:pPr>
        <w:pBdr>
          <w:top w:val="nil"/>
          <w:left w:val="nil"/>
          <w:bottom w:val="nil"/>
          <w:right w:val="nil"/>
          <w:between w:val="nil"/>
        </w:pBdr>
        <w:rPr>
          <w:rFonts w:eastAsia="Century Gothic" w:cs="Arial"/>
        </w:rPr>
      </w:pPr>
    </w:p>
    <w:p w14:paraId="37246042" w14:textId="77777777" w:rsidR="00C04F42" w:rsidRPr="00131EED" w:rsidRDefault="00C04F42" w:rsidP="000C3F16">
      <w:pPr>
        <w:pBdr>
          <w:top w:val="nil"/>
          <w:left w:val="nil"/>
          <w:bottom w:val="nil"/>
          <w:right w:val="nil"/>
          <w:between w:val="nil"/>
        </w:pBdr>
        <w:rPr>
          <w:rFonts w:eastAsia="Century Gothic" w:cs="Arial"/>
        </w:rPr>
      </w:pPr>
    </w:p>
    <w:p w14:paraId="71949FEC" w14:textId="77777777" w:rsidR="00C04F42" w:rsidRPr="00131EED" w:rsidRDefault="00C04F42" w:rsidP="000C3F16">
      <w:pPr>
        <w:pBdr>
          <w:top w:val="nil"/>
          <w:left w:val="nil"/>
          <w:bottom w:val="nil"/>
          <w:right w:val="nil"/>
          <w:between w:val="nil"/>
        </w:pBdr>
        <w:rPr>
          <w:rFonts w:eastAsia="Century Gothic" w:cs="Arial"/>
        </w:rPr>
      </w:pPr>
    </w:p>
    <w:p w14:paraId="3E23EA0D" w14:textId="74265010" w:rsidR="005C5E5B" w:rsidRPr="00131EED" w:rsidRDefault="00782283" w:rsidP="00782283">
      <w:pPr>
        <w:pBdr>
          <w:top w:val="nil"/>
          <w:left w:val="nil"/>
          <w:bottom w:val="nil"/>
          <w:right w:val="nil"/>
          <w:between w:val="nil"/>
        </w:pBdr>
        <w:jc w:val="center"/>
        <w:rPr>
          <w:rFonts w:eastAsia="Arial" w:cs="Arial"/>
          <w:b/>
          <w:color w:val="000000"/>
        </w:rPr>
      </w:pPr>
      <w:r w:rsidRPr="00131EED">
        <w:rPr>
          <w:rFonts w:eastAsia="Arial" w:cs="Arial"/>
          <w:b/>
          <w:bCs/>
          <w:color w:val="000000" w:themeColor="text1"/>
        </w:rPr>
        <w:t xml:space="preserve">LISTA DE </w:t>
      </w:r>
      <w:r w:rsidRPr="00131EED">
        <w:rPr>
          <w:rFonts w:eastAsia="Arial" w:cs="Arial"/>
          <w:b/>
          <w:color w:val="000000" w:themeColor="text1"/>
        </w:rPr>
        <w:t>ILUSTRACIONES</w:t>
      </w:r>
    </w:p>
    <w:p w14:paraId="40AC350C" w14:textId="306C8914" w:rsidR="005C5E5B" w:rsidRPr="00131EED" w:rsidRDefault="005C5E5B" w:rsidP="005C5E5B"/>
    <w:p w14:paraId="6D9678DB" w14:textId="3966C324" w:rsidR="00A40D9C" w:rsidRDefault="005C5E5B">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r w:rsidRPr="00131EED">
        <w:rPr>
          <w:rFonts w:ascii="Baskerville Old Face" w:hAnsi="Baskerville Old Face"/>
          <w:sz w:val="24"/>
          <w:szCs w:val="24"/>
        </w:rPr>
        <w:fldChar w:fldCharType="begin"/>
      </w:r>
      <w:r w:rsidRPr="00131EED">
        <w:rPr>
          <w:rFonts w:ascii="Baskerville Old Face" w:hAnsi="Baskerville Old Face"/>
          <w:sz w:val="24"/>
          <w:szCs w:val="24"/>
        </w:rPr>
        <w:instrText xml:space="preserve"> TOC \h \z \c "Ilustración" </w:instrText>
      </w:r>
      <w:r w:rsidRPr="00131EED">
        <w:rPr>
          <w:rFonts w:ascii="Baskerville Old Face" w:hAnsi="Baskerville Old Face"/>
          <w:sz w:val="24"/>
          <w:szCs w:val="24"/>
        </w:rPr>
        <w:fldChar w:fldCharType="separate"/>
      </w:r>
      <w:hyperlink w:anchor="_Toc216468766" w:history="1">
        <w:r w:rsidR="00A40D9C" w:rsidRPr="00B61D2D">
          <w:rPr>
            <w:rStyle w:val="Hyperlink"/>
            <w:noProof/>
          </w:rPr>
          <w:t>Ilustración 1. Localización de la Sabana de Bogotá según Instituto Colombiano de geología y Minería</w:t>
        </w:r>
        <w:r w:rsidR="00A40D9C">
          <w:rPr>
            <w:noProof/>
            <w:webHidden/>
          </w:rPr>
          <w:tab/>
        </w:r>
        <w:r w:rsidR="00A40D9C">
          <w:rPr>
            <w:noProof/>
            <w:webHidden/>
          </w:rPr>
          <w:fldChar w:fldCharType="begin"/>
        </w:r>
        <w:r w:rsidR="00A40D9C">
          <w:rPr>
            <w:noProof/>
            <w:webHidden/>
          </w:rPr>
          <w:instrText xml:space="preserve"> PAGEREF _Toc216468766 \h </w:instrText>
        </w:r>
        <w:r w:rsidR="00A40D9C">
          <w:rPr>
            <w:noProof/>
            <w:webHidden/>
          </w:rPr>
        </w:r>
        <w:r w:rsidR="00A40D9C">
          <w:rPr>
            <w:noProof/>
            <w:webHidden/>
          </w:rPr>
          <w:fldChar w:fldCharType="separate"/>
        </w:r>
        <w:r w:rsidR="00CE096F">
          <w:rPr>
            <w:noProof/>
            <w:webHidden/>
          </w:rPr>
          <w:t>29</w:t>
        </w:r>
        <w:r w:rsidR="00A40D9C">
          <w:rPr>
            <w:noProof/>
            <w:webHidden/>
          </w:rPr>
          <w:fldChar w:fldCharType="end"/>
        </w:r>
      </w:hyperlink>
    </w:p>
    <w:p w14:paraId="40A75AB3" w14:textId="0F46911A"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67" w:history="1">
        <w:r w:rsidRPr="00B61D2D">
          <w:rPr>
            <w:rStyle w:val="Hyperlink"/>
            <w:noProof/>
          </w:rPr>
          <w:t>Ilustración 2. Propuesta de criterios para la definición de la región hídrica de Bogotá, según Guhl.</w:t>
        </w:r>
        <w:r>
          <w:rPr>
            <w:noProof/>
            <w:webHidden/>
          </w:rPr>
          <w:tab/>
        </w:r>
        <w:r>
          <w:rPr>
            <w:noProof/>
            <w:webHidden/>
          </w:rPr>
          <w:fldChar w:fldCharType="begin"/>
        </w:r>
        <w:r>
          <w:rPr>
            <w:noProof/>
            <w:webHidden/>
          </w:rPr>
          <w:instrText xml:space="preserve"> PAGEREF _Toc216468767 \h </w:instrText>
        </w:r>
        <w:r>
          <w:rPr>
            <w:noProof/>
            <w:webHidden/>
          </w:rPr>
        </w:r>
        <w:r>
          <w:rPr>
            <w:noProof/>
            <w:webHidden/>
          </w:rPr>
          <w:fldChar w:fldCharType="separate"/>
        </w:r>
        <w:r w:rsidR="00CE096F">
          <w:rPr>
            <w:noProof/>
            <w:webHidden/>
          </w:rPr>
          <w:t>31</w:t>
        </w:r>
        <w:r>
          <w:rPr>
            <w:noProof/>
            <w:webHidden/>
          </w:rPr>
          <w:fldChar w:fldCharType="end"/>
        </w:r>
      </w:hyperlink>
    </w:p>
    <w:p w14:paraId="6F4F69A7" w14:textId="2FB4A3F5"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68" w:history="1">
        <w:r w:rsidRPr="00B61D2D">
          <w:rPr>
            <w:rStyle w:val="Hyperlink"/>
            <w:noProof/>
          </w:rPr>
          <w:t>Ilustración 3. Ámbito de la Sabana definido por la resolución 2001 de 2016 del Ministerio de Ambiente y Desarrollo Sostenible.</w:t>
        </w:r>
        <w:r>
          <w:rPr>
            <w:noProof/>
            <w:webHidden/>
          </w:rPr>
          <w:tab/>
        </w:r>
        <w:r>
          <w:rPr>
            <w:noProof/>
            <w:webHidden/>
          </w:rPr>
          <w:fldChar w:fldCharType="begin"/>
        </w:r>
        <w:r>
          <w:rPr>
            <w:noProof/>
            <w:webHidden/>
          </w:rPr>
          <w:instrText xml:space="preserve"> PAGEREF _Toc216468768 \h </w:instrText>
        </w:r>
        <w:r>
          <w:rPr>
            <w:noProof/>
            <w:webHidden/>
          </w:rPr>
        </w:r>
        <w:r>
          <w:rPr>
            <w:noProof/>
            <w:webHidden/>
          </w:rPr>
          <w:fldChar w:fldCharType="separate"/>
        </w:r>
        <w:r w:rsidR="00CE096F">
          <w:rPr>
            <w:noProof/>
            <w:webHidden/>
          </w:rPr>
          <w:t>33</w:t>
        </w:r>
        <w:r>
          <w:rPr>
            <w:noProof/>
            <w:webHidden/>
          </w:rPr>
          <w:fldChar w:fldCharType="end"/>
        </w:r>
      </w:hyperlink>
    </w:p>
    <w:p w14:paraId="549529B2" w14:textId="4204E5D1"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69" w:history="1">
        <w:r w:rsidRPr="00B61D2D">
          <w:rPr>
            <w:rStyle w:val="Hyperlink"/>
            <w:noProof/>
          </w:rPr>
          <w:t>Ilustración 4. Mapa de distribución de suelos para la Cuenca Alta de Río Bogotá, según el Plan Ambiental de la Cuenca Alta del Río Bogotá.</w:t>
        </w:r>
        <w:r>
          <w:rPr>
            <w:noProof/>
            <w:webHidden/>
          </w:rPr>
          <w:tab/>
        </w:r>
        <w:r>
          <w:rPr>
            <w:noProof/>
            <w:webHidden/>
          </w:rPr>
          <w:fldChar w:fldCharType="begin"/>
        </w:r>
        <w:r>
          <w:rPr>
            <w:noProof/>
            <w:webHidden/>
          </w:rPr>
          <w:instrText xml:space="preserve"> PAGEREF _Toc216468769 \h </w:instrText>
        </w:r>
        <w:r>
          <w:rPr>
            <w:noProof/>
            <w:webHidden/>
          </w:rPr>
        </w:r>
        <w:r>
          <w:rPr>
            <w:noProof/>
            <w:webHidden/>
          </w:rPr>
          <w:fldChar w:fldCharType="separate"/>
        </w:r>
        <w:r w:rsidR="00CE096F">
          <w:rPr>
            <w:noProof/>
            <w:webHidden/>
          </w:rPr>
          <w:t>34</w:t>
        </w:r>
        <w:r>
          <w:rPr>
            <w:noProof/>
            <w:webHidden/>
          </w:rPr>
          <w:fldChar w:fldCharType="end"/>
        </w:r>
      </w:hyperlink>
    </w:p>
    <w:p w14:paraId="796D7F95" w14:textId="59047FE8"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70" w:history="1">
        <w:r w:rsidRPr="00B61D2D">
          <w:rPr>
            <w:rStyle w:val="Hyperlink"/>
            <w:noProof/>
          </w:rPr>
          <w:t>Ilustración 5. Definición de la Cuenca alta y media del río Bogotá según el POMCA 2019</w:t>
        </w:r>
        <w:r>
          <w:rPr>
            <w:noProof/>
            <w:webHidden/>
          </w:rPr>
          <w:tab/>
        </w:r>
        <w:r>
          <w:rPr>
            <w:noProof/>
            <w:webHidden/>
          </w:rPr>
          <w:fldChar w:fldCharType="begin"/>
        </w:r>
        <w:r>
          <w:rPr>
            <w:noProof/>
            <w:webHidden/>
          </w:rPr>
          <w:instrText xml:space="preserve"> PAGEREF _Toc216468770 \h </w:instrText>
        </w:r>
        <w:r>
          <w:rPr>
            <w:noProof/>
            <w:webHidden/>
          </w:rPr>
        </w:r>
        <w:r>
          <w:rPr>
            <w:noProof/>
            <w:webHidden/>
          </w:rPr>
          <w:fldChar w:fldCharType="separate"/>
        </w:r>
        <w:r w:rsidR="00CE096F">
          <w:rPr>
            <w:noProof/>
            <w:webHidden/>
          </w:rPr>
          <w:t>35</w:t>
        </w:r>
        <w:r>
          <w:rPr>
            <w:noProof/>
            <w:webHidden/>
          </w:rPr>
          <w:fldChar w:fldCharType="end"/>
        </w:r>
      </w:hyperlink>
    </w:p>
    <w:p w14:paraId="78C462DF" w14:textId="03AF58DA"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71" w:history="1">
        <w:r w:rsidRPr="00B61D2D">
          <w:rPr>
            <w:rStyle w:val="Hyperlink"/>
            <w:noProof/>
          </w:rPr>
          <w:t>Ilustración 6. Polígonos de Compatibilidad Minera en la Sabana de Bogotá definidas por la Resolución MinAmbiente 2001 de 2016.</w:t>
        </w:r>
        <w:r>
          <w:rPr>
            <w:noProof/>
            <w:webHidden/>
          </w:rPr>
          <w:tab/>
        </w:r>
        <w:r>
          <w:rPr>
            <w:noProof/>
            <w:webHidden/>
          </w:rPr>
          <w:fldChar w:fldCharType="begin"/>
        </w:r>
        <w:r>
          <w:rPr>
            <w:noProof/>
            <w:webHidden/>
          </w:rPr>
          <w:instrText xml:space="preserve"> PAGEREF _Toc216468771 \h </w:instrText>
        </w:r>
        <w:r>
          <w:rPr>
            <w:noProof/>
            <w:webHidden/>
          </w:rPr>
        </w:r>
        <w:r>
          <w:rPr>
            <w:noProof/>
            <w:webHidden/>
          </w:rPr>
          <w:fldChar w:fldCharType="separate"/>
        </w:r>
        <w:r w:rsidR="00CE096F">
          <w:rPr>
            <w:noProof/>
            <w:webHidden/>
          </w:rPr>
          <w:t>36</w:t>
        </w:r>
        <w:r>
          <w:rPr>
            <w:noProof/>
            <w:webHidden/>
          </w:rPr>
          <w:fldChar w:fldCharType="end"/>
        </w:r>
      </w:hyperlink>
    </w:p>
    <w:p w14:paraId="21120D02" w14:textId="37A15180"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72" w:history="1">
        <w:r w:rsidRPr="00B61D2D">
          <w:rPr>
            <w:rStyle w:val="Hyperlink"/>
            <w:noProof/>
          </w:rPr>
          <w:t>Ilustración 7. Criterios de verificación utilizados en el presente estudio</w:t>
        </w:r>
        <w:r>
          <w:rPr>
            <w:noProof/>
            <w:webHidden/>
          </w:rPr>
          <w:tab/>
        </w:r>
        <w:r>
          <w:rPr>
            <w:noProof/>
            <w:webHidden/>
          </w:rPr>
          <w:fldChar w:fldCharType="begin"/>
        </w:r>
        <w:r>
          <w:rPr>
            <w:noProof/>
            <w:webHidden/>
          </w:rPr>
          <w:instrText xml:space="preserve"> PAGEREF _Toc216468772 \h </w:instrText>
        </w:r>
        <w:r>
          <w:rPr>
            <w:noProof/>
            <w:webHidden/>
          </w:rPr>
        </w:r>
        <w:r>
          <w:rPr>
            <w:noProof/>
            <w:webHidden/>
          </w:rPr>
          <w:fldChar w:fldCharType="separate"/>
        </w:r>
        <w:r w:rsidR="00CE096F">
          <w:rPr>
            <w:noProof/>
            <w:webHidden/>
          </w:rPr>
          <w:t>37</w:t>
        </w:r>
        <w:r>
          <w:rPr>
            <w:noProof/>
            <w:webHidden/>
          </w:rPr>
          <w:fldChar w:fldCharType="end"/>
        </w:r>
      </w:hyperlink>
    </w:p>
    <w:p w14:paraId="4C89D347" w14:textId="6D1A53FF"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73" w:history="1">
        <w:r w:rsidRPr="00B61D2D">
          <w:rPr>
            <w:rStyle w:val="Hyperlink"/>
            <w:noProof/>
          </w:rPr>
          <w:t>Ilustración 8. Criterios para la definición del ámbito de la Sabana de Bogotá.</w:t>
        </w:r>
        <w:r>
          <w:rPr>
            <w:noProof/>
            <w:webHidden/>
          </w:rPr>
          <w:tab/>
        </w:r>
        <w:r>
          <w:rPr>
            <w:noProof/>
            <w:webHidden/>
          </w:rPr>
          <w:fldChar w:fldCharType="begin"/>
        </w:r>
        <w:r>
          <w:rPr>
            <w:noProof/>
            <w:webHidden/>
          </w:rPr>
          <w:instrText xml:space="preserve"> PAGEREF _Toc216468773 \h </w:instrText>
        </w:r>
        <w:r>
          <w:rPr>
            <w:noProof/>
            <w:webHidden/>
          </w:rPr>
        </w:r>
        <w:r>
          <w:rPr>
            <w:noProof/>
            <w:webHidden/>
          </w:rPr>
          <w:fldChar w:fldCharType="separate"/>
        </w:r>
        <w:r w:rsidR="00CE096F">
          <w:rPr>
            <w:noProof/>
            <w:webHidden/>
          </w:rPr>
          <w:t>38</w:t>
        </w:r>
        <w:r>
          <w:rPr>
            <w:noProof/>
            <w:webHidden/>
          </w:rPr>
          <w:fldChar w:fldCharType="end"/>
        </w:r>
      </w:hyperlink>
    </w:p>
    <w:p w14:paraId="5E7B248E" w14:textId="1D648B5B"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74" w:history="1">
        <w:r w:rsidRPr="00B61D2D">
          <w:rPr>
            <w:rStyle w:val="Hyperlink"/>
            <w:noProof/>
          </w:rPr>
          <w:t>Ilustración 9 Polígonos de la resolución 2001 de 2016, que se encuentran parcialmente incluidos dentro de la Cuenca del Río Bogotá</w:t>
        </w:r>
        <w:r>
          <w:rPr>
            <w:noProof/>
            <w:webHidden/>
          </w:rPr>
          <w:tab/>
        </w:r>
        <w:r>
          <w:rPr>
            <w:noProof/>
            <w:webHidden/>
          </w:rPr>
          <w:fldChar w:fldCharType="begin"/>
        </w:r>
        <w:r>
          <w:rPr>
            <w:noProof/>
            <w:webHidden/>
          </w:rPr>
          <w:instrText xml:space="preserve"> PAGEREF _Toc216468774 \h </w:instrText>
        </w:r>
        <w:r>
          <w:rPr>
            <w:noProof/>
            <w:webHidden/>
          </w:rPr>
        </w:r>
        <w:r>
          <w:rPr>
            <w:noProof/>
            <w:webHidden/>
          </w:rPr>
          <w:fldChar w:fldCharType="separate"/>
        </w:r>
        <w:r w:rsidR="00CE096F">
          <w:rPr>
            <w:noProof/>
            <w:webHidden/>
          </w:rPr>
          <w:t>39</w:t>
        </w:r>
        <w:r>
          <w:rPr>
            <w:noProof/>
            <w:webHidden/>
          </w:rPr>
          <w:fldChar w:fldCharType="end"/>
        </w:r>
      </w:hyperlink>
    </w:p>
    <w:p w14:paraId="35364CA7" w14:textId="5FAD9E73"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75" w:history="1">
        <w:r w:rsidRPr="00B61D2D">
          <w:rPr>
            <w:rStyle w:val="Hyperlink"/>
            <w:noProof/>
          </w:rPr>
          <w:t>Ilustración 10. Páramos al interior del ámbito propuesto de la Sabana de Bogotá.</w:t>
        </w:r>
        <w:r>
          <w:rPr>
            <w:noProof/>
            <w:webHidden/>
          </w:rPr>
          <w:tab/>
        </w:r>
        <w:r>
          <w:rPr>
            <w:noProof/>
            <w:webHidden/>
          </w:rPr>
          <w:fldChar w:fldCharType="begin"/>
        </w:r>
        <w:r>
          <w:rPr>
            <w:noProof/>
            <w:webHidden/>
          </w:rPr>
          <w:instrText xml:space="preserve"> PAGEREF _Toc216468775 \h </w:instrText>
        </w:r>
        <w:r>
          <w:rPr>
            <w:noProof/>
            <w:webHidden/>
          </w:rPr>
        </w:r>
        <w:r>
          <w:rPr>
            <w:noProof/>
            <w:webHidden/>
          </w:rPr>
          <w:fldChar w:fldCharType="separate"/>
        </w:r>
        <w:r w:rsidR="00CE096F">
          <w:rPr>
            <w:noProof/>
            <w:webHidden/>
          </w:rPr>
          <w:t>40</w:t>
        </w:r>
        <w:r>
          <w:rPr>
            <w:noProof/>
            <w:webHidden/>
          </w:rPr>
          <w:fldChar w:fldCharType="end"/>
        </w:r>
      </w:hyperlink>
    </w:p>
    <w:p w14:paraId="7F27802D" w14:textId="1CFBB8FE"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76" w:history="1">
        <w:r w:rsidRPr="00B61D2D">
          <w:rPr>
            <w:rStyle w:val="Hyperlink"/>
            <w:noProof/>
          </w:rPr>
          <w:t>Ilustración 11. Ámbito de aplicación - Proyecto de Directrices para el Ordenamiento Ambiental de la Sabana de Bogotá.</w:t>
        </w:r>
        <w:r>
          <w:rPr>
            <w:noProof/>
            <w:webHidden/>
          </w:rPr>
          <w:tab/>
        </w:r>
        <w:r>
          <w:rPr>
            <w:noProof/>
            <w:webHidden/>
          </w:rPr>
          <w:fldChar w:fldCharType="begin"/>
        </w:r>
        <w:r>
          <w:rPr>
            <w:noProof/>
            <w:webHidden/>
          </w:rPr>
          <w:instrText xml:space="preserve"> PAGEREF _Toc216468776 \h </w:instrText>
        </w:r>
        <w:r>
          <w:rPr>
            <w:noProof/>
            <w:webHidden/>
          </w:rPr>
        </w:r>
        <w:r>
          <w:rPr>
            <w:noProof/>
            <w:webHidden/>
          </w:rPr>
          <w:fldChar w:fldCharType="separate"/>
        </w:r>
        <w:r w:rsidR="00CE096F">
          <w:rPr>
            <w:noProof/>
            <w:webHidden/>
          </w:rPr>
          <w:t>42</w:t>
        </w:r>
        <w:r>
          <w:rPr>
            <w:noProof/>
            <w:webHidden/>
          </w:rPr>
          <w:fldChar w:fldCharType="end"/>
        </w:r>
      </w:hyperlink>
    </w:p>
    <w:p w14:paraId="296D3290" w14:textId="68C826BC"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77" w:history="1">
        <w:r w:rsidRPr="00B61D2D">
          <w:rPr>
            <w:rStyle w:val="Hyperlink"/>
            <w:noProof/>
          </w:rPr>
          <w:t>Ilustración 12 Modelo general del ciclo del agua</w:t>
        </w:r>
        <w:r>
          <w:rPr>
            <w:noProof/>
            <w:webHidden/>
          </w:rPr>
          <w:tab/>
        </w:r>
        <w:r>
          <w:rPr>
            <w:noProof/>
            <w:webHidden/>
          </w:rPr>
          <w:fldChar w:fldCharType="begin"/>
        </w:r>
        <w:r>
          <w:rPr>
            <w:noProof/>
            <w:webHidden/>
          </w:rPr>
          <w:instrText xml:space="preserve"> PAGEREF _Toc216468777 \h </w:instrText>
        </w:r>
        <w:r>
          <w:rPr>
            <w:noProof/>
            <w:webHidden/>
          </w:rPr>
        </w:r>
        <w:r>
          <w:rPr>
            <w:noProof/>
            <w:webHidden/>
          </w:rPr>
          <w:fldChar w:fldCharType="separate"/>
        </w:r>
        <w:r w:rsidR="00CE096F">
          <w:rPr>
            <w:noProof/>
            <w:webHidden/>
          </w:rPr>
          <w:t>46</w:t>
        </w:r>
        <w:r>
          <w:rPr>
            <w:noProof/>
            <w:webHidden/>
          </w:rPr>
          <w:fldChar w:fldCharType="end"/>
        </w:r>
      </w:hyperlink>
    </w:p>
    <w:p w14:paraId="5D398DA9" w14:textId="76EDE7E5"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78" w:history="1">
        <w:r w:rsidRPr="00B61D2D">
          <w:rPr>
            <w:rStyle w:val="Hyperlink"/>
            <w:rFonts w:ascii="Baskerville" w:hAnsi="Baskerville"/>
            <w:noProof/>
          </w:rPr>
          <w:t>Ilustración 13  Ecosistemas presentes en la Sabana de Bogotá, de acuerdo con la clasificación realizada por el IAVH.</w:t>
        </w:r>
        <w:r>
          <w:rPr>
            <w:noProof/>
            <w:webHidden/>
          </w:rPr>
          <w:tab/>
        </w:r>
        <w:r>
          <w:rPr>
            <w:noProof/>
            <w:webHidden/>
          </w:rPr>
          <w:fldChar w:fldCharType="begin"/>
        </w:r>
        <w:r>
          <w:rPr>
            <w:noProof/>
            <w:webHidden/>
          </w:rPr>
          <w:instrText xml:space="preserve"> PAGEREF _Toc216468778 \h </w:instrText>
        </w:r>
        <w:r>
          <w:rPr>
            <w:noProof/>
            <w:webHidden/>
          </w:rPr>
        </w:r>
        <w:r>
          <w:rPr>
            <w:noProof/>
            <w:webHidden/>
          </w:rPr>
          <w:fldChar w:fldCharType="separate"/>
        </w:r>
        <w:r w:rsidR="00CE096F">
          <w:rPr>
            <w:noProof/>
            <w:webHidden/>
          </w:rPr>
          <w:t>58</w:t>
        </w:r>
        <w:r>
          <w:rPr>
            <w:noProof/>
            <w:webHidden/>
          </w:rPr>
          <w:fldChar w:fldCharType="end"/>
        </w:r>
      </w:hyperlink>
    </w:p>
    <w:p w14:paraId="03FC73F3" w14:textId="5EDB7E1C"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79" w:history="1">
        <w:r w:rsidRPr="00B61D2D">
          <w:rPr>
            <w:rStyle w:val="Hyperlink"/>
            <w:noProof/>
          </w:rPr>
          <w:t>Ilustración 14 Análisis de integridad ecológica para la Sabana de Bogotá.</w:t>
        </w:r>
        <w:r>
          <w:rPr>
            <w:noProof/>
            <w:webHidden/>
          </w:rPr>
          <w:tab/>
        </w:r>
        <w:r>
          <w:rPr>
            <w:noProof/>
            <w:webHidden/>
          </w:rPr>
          <w:fldChar w:fldCharType="begin"/>
        </w:r>
        <w:r>
          <w:rPr>
            <w:noProof/>
            <w:webHidden/>
          </w:rPr>
          <w:instrText xml:space="preserve"> PAGEREF _Toc216468779 \h </w:instrText>
        </w:r>
        <w:r>
          <w:rPr>
            <w:noProof/>
            <w:webHidden/>
          </w:rPr>
        </w:r>
        <w:r>
          <w:rPr>
            <w:noProof/>
            <w:webHidden/>
          </w:rPr>
          <w:fldChar w:fldCharType="separate"/>
        </w:r>
        <w:r w:rsidR="00CE096F">
          <w:rPr>
            <w:noProof/>
            <w:webHidden/>
          </w:rPr>
          <w:t>61</w:t>
        </w:r>
        <w:r>
          <w:rPr>
            <w:noProof/>
            <w:webHidden/>
          </w:rPr>
          <w:fldChar w:fldCharType="end"/>
        </w:r>
      </w:hyperlink>
    </w:p>
    <w:p w14:paraId="06F8E5CE" w14:textId="01BE5F1E"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80" w:history="1">
        <w:r w:rsidRPr="00B61D2D">
          <w:rPr>
            <w:rStyle w:val="Hyperlink"/>
            <w:noProof/>
          </w:rPr>
          <w:t>Ilustración 15 Análisis de conectividad entre áreas protegidas presentes en la Sabana e inmediaciones y la consolidación de corredores en la Sabana de Bogotá.</w:t>
        </w:r>
        <w:r>
          <w:rPr>
            <w:noProof/>
            <w:webHidden/>
          </w:rPr>
          <w:tab/>
        </w:r>
        <w:r>
          <w:rPr>
            <w:noProof/>
            <w:webHidden/>
          </w:rPr>
          <w:fldChar w:fldCharType="begin"/>
        </w:r>
        <w:r>
          <w:rPr>
            <w:noProof/>
            <w:webHidden/>
          </w:rPr>
          <w:instrText xml:space="preserve"> PAGEREF _Toc216468780 \h </w:instrText>
        </w:r>
        <w:r>
          <w:rPr>
            <w:noProof/>
            <w:webHidden/>
          </w:rPr>
        </w:r>
        <w:r>
          <w:rPr>
            <w:noProof/>
            <w:webHidden/>
          </w:rPr>
          <w:fldChar w:fldCharType="separate"/>
        </w:r>
        <w:r w:rsidR="00CE096F">
          <w:rPr>
            <w:noProof/>
            <w:webHidden/>
          </w:rPr>
          <w:t>63</w:t>
        </w:r>
        <w:r>
          <w:rPr>
            <w:noProof/>
            <w:webHidden/>
          </w:rPr>
          <w:fldChar w:fldCharType="end"/>
        </w:r>
      </w:hyperlink>
    </w:p>
    <w:p w14:paraId="1594CFFA" w14:textId="49539632"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81" w:history="1">
        <w:r w:rsidRPr="00B61D2D">
          <w:rPr>
            <w:rStyle w:val="Hyperlink"/>
            <w:noProof/>
          </w:rPr>
          <w:t>Ilustración 16 Áreas protegidas Declaradas en la Sabana de Bogotá.</w:t>
        </w:r>
        <w:r>
          <w:rPr>
            <w:noProof/>
            <w:webHidden/>
          </w:rPr>
          <w:tab/>
        </w:r>
        <w:r>
          <w:rPr>
            <w:noProof/>
            <w:webHidden/>
          </w:rPr>
          <w:fldChar w:fldCharType="begin"/>
        </w:r>
        <w:r>
          <w:rPr>
            <w:noProof/>
            <w:webHidden/>
          </w:rPr>
          <w:instrText xml:space="preserve"> PAGEREF _Toc216468781 \h </w:instrText>
        </w:r>
        <w:r>
          <w:rPr>
            <w:noProof/>
            <w:webHidden/>
          </w:rPr>
        </w:r>
        <w:r>
          <w:rPr>
            <w:noProof/>
            <w:webHidden/>
          </w:rPr>
          <w:fldChar w:fldCharType="separate"/>
        </w:r>
        <w:r w:rsidR="00CE096F">
          <w:rPr>
            <w:noProof/>
            <w:webHidden/>
          </w:rPr>
          <w:t>64</w:t>
        </w:r>
        <w:r>
          <w:rPr>
            <w:noProof/>
            <w:webHidden/>
          </w:rPr>
          <w:fldChar w:fldCharType="end"/>
        </w:r>
      </w:hyperlink>
    </w:p>
    <w:p w14:paraId="08FB6FE2" w14:textId="2997ADC3"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82" w:history="1">
        <w:r w:rsidRPr="00B61D2D">
          <w:rPr>
            <w:rStyle w:val="Hyperlink"/>
            <w:noProof/>
          </w:rPr>
          <w:t>Ilustración 17 Otras Medidas Efectivas de Conservación - OMEC Declaradas en la Sabana de Bogotá.</w:t>
        </w:r>
        <w:r>
          <w:rPr>
            <w:noProof/>
            <w:webHidden/>
          </w:rPr>
          <w:tab/>
        </w:r>
        <w:r>
          <w:rPr>
            <w:noProof/>
            <w:webHidden/>
          </w:rPr>
          <w:fldChar w:fldCharType="begin"/>
        </w:r>
        <w:r>
          <w:rPr>
            <w:noProof/>
            <w:webHidden/>
          </w:rPr>
          <w:instrText xml:space="preserve"> PAGEREF _Toc216468782 \h </w:instrText>
        </w:r>
        <w:r>
          <w:rPr>
            <w:noProof/>
            <w:webHidden/>
          </w:rPr>
        </w:r>
        <w:r>
          <w:rPr>
            <w:noProof/>
            <w:webHidden/>
          </w:rPr>
          <w:fldChar w:fldCharType="separate"/>
        </w:r>
        <w:r w:rsidR="00CE096F">
          <w:rPr>
            <w:noProof/>
            <w:webHidden/>
          </w:rPr>
          <w:t>69</w:t>
        </w:r>
        <w:r>
          <w:rPr>
            <w:noProof/>
            <w:webHidden/>
          </w:rPr>
          <w:fldChar w:fldCharType="end"/>
        </w:r>
      </w:hyperlink>
    </w:p>
    <w:p w14:paraId="30FFDE36" w14:textId="68D23E98"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83" w:history="1">
        <w:r w:rsidRPr="00B61D2D">
          <w:rPr>
            <w:rStyle w:val="Hyperlink"/>
            <w:noProof/>
          </w:rPr>
          <w:t>Ilustración 18. Análisis de integridad ecológica para las áreas protegidas y las OMEC identificadas al interior de la Sabana de Bogotá.</w:t>
        </w:r>
        <w:r>
          <w:rPr>
            <w:noProof/>
            <w:webHidden/>
          </w:rPr>
          <w:tab/>
        </w:r>
        <w:r>
          <w:rPr>
            <w:noProof/>
            <w:webHidden/>
          </w:rPr>
          <w:fldChar w:fldCharType="begin"/>
        </w:r>
        <w:r>
          <w:rPr>
            <w:noProof/>
            <w:webHidden/>
          </w:rPr>
          <w:instrText xml:space="preserve"> PAGEREF _Toc216468783 \h </w:instrText>
        </w:r>
        <w:r>
          <w:rPr>
            <w:noProof/>
            <w:webHidden/>
          </w:rPr>
        </w:r>
        <w:r>
          <w:rPr>
            <w:noProof/>
            <w:webHidden/>
          </w:rPr>
          <w:fldChar w:fldCharType="separate"/>
        </w:r>
        <w:r w:rsidR="00CE096F">
          <w:rPr>
            <w:noProof/>
            <w:webHidden/>
          </w:rPr>
          <w:t>71</w:t>
        </w:r>
        <w:r>
          <w:rPr>
            <w:noProof/>
            <w:webHidden/>
          </w:rPr>
          <w:fldChar w:fldCharType="end"/>
        </w:r>
      </w:hyperlink>
    </w:p>
    <w:p w14:paraId="62FC7E6E" w14:textId="0C1A89F2"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84" w:history="1">
        <w:r w:rsidRPr="00B61D2D">
          <w:rPr>
            <w:rStyle w:val="Hyperlink"/>
            <w:noProof/>
          </w:rPr>
          <w:t>Ilustración 19. Registros fotográficos de humedales presentes en la sabana: a) Humedal natural pantano redondo municipio de Zipaquirá, b) Humedal lótico Chucua de Fagua municipio de Chía c) Humedal lentico Barro Blanco municipio de Tenjo, d) humedal artificial embalse del Tominé municipio de Guatavita.</w:t>
        </w:r>
        <w:r>
          <w:rPr>
            <w:noProof/>
            <w:webHidden/>
          </w:rPr>
          <w:tab/>
        </w:r>
        <w:r>
          <w:rPr>
            <w:noProof/>
            <w:webHidden/>
          </w:rPr>
          <w:fldChar w:fldCharType="begin"/>
        </w:r>
        <w:r>
          <w:rPr>
            <w:noProof/>
            <w:webHidden/>
          </w:rPr>
          <w:instrText xml:space="preserve"> PAGEREF _Toc216468784 \h </w:instrText>
        </w:r>
        <w:r>
          <w:rPr>
            <w:noProof/>
            <w:webHidden/>
          </w:rPr>
        </w:r>
        <w:r>
          <w:rPr>
            <w:noProof/>
            <w:webHidden/>
          </w:rPr>
          <w:fldChar w:fldCharType="separate"/>
        </w:r>
        <w:r w:rsidR="00CE096F">
          <w:rPr>
            <w:noProof/>
            <w:webHidden/>
          </w:rPr>
          <w:t>75</w:t>
        </w:r>
        <w:r>
          <w:rPr>
            <w:noProof/>
            <w:webHidden/>
          </w:rPr>
          <w:fldChar w:fldCharType="end"/>
        </w:r>
      </w:hyperlink>
    </w:p>
    <w:p w14:paraId="0B8B2060" w14:textId="11504592"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85" w:history="1">
        <w:r w:rsidRPr="00B61D2D">
          <w:rPr>
            <w:rStyle w:val="Hyperlink"/>
            <w:noProof/>
          </w:rPr>
          <w:t>Ilustración 20 Mapa de los humedales identificados en la Sabana de Bogotá según el mapa nacional de humedales</w:t>
        </w:r>
        <w:r>
          <w:rPr>
            <w:noProof/>
            <w:webHidden/>
          </w:rPr>
          <w:tab/>
        </w:r>
        <w:r>
          <w:rPr>
            <w:noProof/>
            <w:webHidden/>
          </w:rPr>
          <w:fldChar w:fldCharType="begin"/>
        </w:r>
        <w:r>
          <w:rPr>
            <w:noProof/>
            <w:webHidden/>
          </w:rPr>
          <w:instrText xml:space="preserve"> PAGEREF _Toc216468785 \h </w:instrText>
        </w:r>
        <w:r>
          <w:rPr>
            <w:noProof/>
            <w:webHidden/>
          </w:rPr>
        </w:r>
        <w:r>
          <w:rPr>
            <w:noProof/>
            <w:webHidden/>
          </w:rPr>
          <w:fldChar w:fldCharType="separate"/>
        </w:r>
        <w:r w:rsidR="00CE096F">
          <w:rPr>
            <w:noProof/>
            <w:webHidden/>
          </w:rPr>
          <w:t>76</w:t>
        </w:r>
        <w:r>
          <w:rPr>
            <w:noProof/>
            <w:webHidden/>
          </w:rPr>
          <w:fldChar w:fldCharType="end"/>
        </w:r>
      </w:hyperlink>
    </w:p>
    <w:p w14:paraId="7365B141" w14:textId="6EB68996"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86" w:history="1">
        <w:r w:rsidRPr="00B61D2D">
          <w:rPr>
            <w:rStyle w:val="Hyperlink"/>
            <w:noProof/>
          </w:rPr>
          <w:t>Ilustración 21. Presencia de humedales en la Sabana de Bogotá, según inventario de humedales en construcción en la jurisdicción CAR</w:t>
        </w:r>
        <w:r>
          <w:rPr>
            <w:noProof/>
            <w:webHidden/>
          </w:rPr>
          <w:tab/>
        </w:r>
        <w:r>
          <w:rPr>
            <w:noProof/>
            <w:webHidden/>
          </w:rPr>
          <w:fldChar w:fldCharType="begin"/>
        </w:r>
        <w:r>
          <w:rPr>
            <w:noProof/>
            <w:webHidden/>
          </w:rPr>
          <w:instrText xml:space="preserve"> PAGEREF _Toc216468786 \h </w:instrText>
        </w:r>
        <w:r>
          <w:rPr>
            <w:noProof/>
            <w:webHidden/>
          </w:rPr>
        </w:r>
        <w:r>
          <w:rPr>
            <w:noProof/>
            <w:webHidden/>
          </w:rPr>
          <w:fldChar w:fldCharType="separate"/>
        </w:r>
        <w:r w:rsidR="00CE096F">
          <w:rPr>
            <w:noProof/>
            <w:webHidden/>
          </w:rPr>
          <w:t>77</w:t>
        </w:r>
        <w:r>
          <w:rPr>
            <w:noProof/>
            <w:webHidden/>
          </w:rPr>
          <w:fldChar w:fldCharType="end"/>
        </w:r>
      </w:hyperlink>
    </w:p>
    <w:p w14:paraId="1F4DF52A" w14:textId="235B18E1"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87" w:history="1">
        <w:r w:rsidRPr="00B61D2D">
          <w:rPr>
            <w:rStyle w:val="Hyperlink"/>
            <w:noProof/>
          </w:rPr>
          <w:t>Ilustración 22. Relicto de Bosque Altoandino y transición a páramo, ubicado en los Cerros Orientales de Bogotá</w:t>
        </w:r>
        <w:r>
          <w:rPr>
            <w:noProof/>
            <w:webHidden/>
          </w:rPr>
          <w:tab/>
        </w:r>
        <w:r>
          <w:rPr>
            <w:noProof/>
            <w:webHidden/>
          </w:rPr>
          <w:fldChar w:fldCharType="begin"/>
        </w:r>
        <w:r>
          <w:rPr>
            <w:noProof/>
            <w:webHidden/>
          </w:rPr>
          <w:instrText xml:space="preserve"> PAGEREF _Toc216468787 \h </w:instrText>
        </w:r>
        <w:r>
          <w:rPr>
            <w:noProof/>
            <w:webHidden/>
          </w:rPr>
        </w:r>
        <w:r>
          <w:rPr>
            <w:noProof/>
            <w:webHidden/>
          </w:rPr>
          <w:fldChar w:fldCharType="separate"/>
        </w:r>
        <w:r w:rsidR="00CE096F">
          <w:rPr>
            <w:noProof/>
            <w:webHidden/>
          </w:rPr>
          <w:t>81</w:t>
        </w:r>
        <w:r>
          <w:rPr>
            <w:noProof/>
            <w:webHidden/>
          </w:rPr>
          <w:fldChar w:fldCharType="end"/>
        </w:r>
      </w:hyperlink>
    </w:p>
    <w:p w14:paraId="0CC30B20" w14:textId="4A8A8138"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88" w:history="1">
        <w:r w:rsidRPr="00B61D2D">
          <w:rPr>
            <w:rStyle w:val="Hyperlink"/>
            <w:noProof/>
          </w:rPr>
          <w:t>Ilustración 23 Principales procesos hidrológicos que inciden en el funcionamiento hídrico de los bosques Altoandinos.</w:t>
        </w:r>
        <w:r>
          <w:rPr>
            <w:noProof/>
            <w:webHidden/>
          </w:rPr>
          <w:tab/>
        </w:r>
        <w:r>
          <w:rPr>
            <w:noProof/>
            <w:webHidden/>
          </w:rPr>
          <w:fldChar w:fldCharType="begin"/>
        </w:r>
        <w:r>
          <w:rPr>
            <w:noProof/>
            <w:webHidden/>
          </w:rPr>
          <w:instrText xml:space="preserve"> PAGEREF _Toc216468788 \h </w:instrText>
        </w:r>
        <w:r>
          <w:rPr>
            <w:noProof/>
            <w:webHidden/>
          </w:rPr>
        </w:r>
        <w:r>
          <w:rPr>
            <w:noProof/>
            <w:webHidden/>
          </w:rPr>
          <w:fldChar w:fldCharType="separate"/>
        </w:r>
        <w:r w:rsidR="00CE096F">
          <w:rPr>
            <w:noProof/>
            <w:webHidden/>
          </w:rPr>
          <w:t>82</w:t>
        </w:r>
        <w:r>
          <w:rPr>
            <w:noProof/>
            <w:webHidden/>
          </w:rPr>
          <w:fldChar w:fldCharType="end"/>
        </w:r>
      </w:hyperlink>
    </w:p>
    <w:p w14:paraId="318E8D50" w14:textId="22B90C31"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89" w:history="1">
        <w:r w:rsidRPr="00B61D2D">
          <w:rPr>
            <w:rStyle w:val="Hyperlink"/>
            <w:noProof/>
          </w:rPr>
          <w:t>Ilustración 24 Espacialización de la distribución de los bosques altoandinos y su relación con las áreas protegidas e iniciativas de conservación in situ dentro de la Sabana de Bogotá.</w:t>
        </w:r>
        <w:r>
          <w:rPr>
            <w:noProof/>
            <w:webHidden/>
          </w:rPr>
          <w:tab/>
        </w:r>
        <w:r>
          <w:rPr>
            <w:noProof/>
            <w:webHidden/>
          </w:rPr>
          <w:fldChar w:fldCharType="begin"/>
        </w:r>
        <w:r>
          <w:rPr>
            <w:noProof/>
            <w:webHidden/>
          </w:rPr>
          <w:instrText xml:space="preserve"> PAGEREF _Toc216468789 \h </w:instrText>
        </w:r>
        <w:r>
          <w:rPr>
            <w:noProof/>
            <w:webHidden/>
          </w:rPr>
        </w:r>
        <w:r>
          <w:rPr>
            <w:noProof/>
            <w:webHidden/>
          </w:rPr>
          <w:fldChar w:fldCharType="separate"/>
        </w:r>
        <w:r w:rsidR="00CE096F">
          <w:rPr>
            <w:noProof/>
            <w:webHidden/>
          </w:rPr>
          <w:t>83</w:t>
        </w:r>
        <w:r>
          <w:rPr>
            <w:noProof/>
            <w:webHidden/>
          </w:rPr>
          <w:fldChar w:fldCharType="end"/>
        </w:r>
      </w:hyperlink>
    </w:p>
    <w:p w14:paraId="44D002DD" w14:textId="449FECFE"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90" w:history="1">
        <w:r w:rsidRPr="00B61D2D">
          <w:rPr>
            <w:rStyle w:val="Hyperlink"/>
            <w:noProof/>
          </w:rPr>
          <w:t>Ilustración 25. Registro fotográfico relicto de ecosistema Subxerofítico presente en el límite del municipio de Soacha y Bogotá, D.C</w:t>
        </w:r>
        <w:r>
          <w:rPr>
            <w:noProof/>
            <w:webHidden/>
          </w:rPr>
          <w:tab/>
        </w:r>
        <w:r>
          <w:rPr>
            <w:noProof/>
            <w:webHidden/>
          </w:rPr>
          <w:fldChar w:fldCharType="begin"/>
        </w:r>
        <w:r>
          <w:rPr>
            <w:noProof/>
            <w:webHidden/>
          </w:rPr>
          <w:instrText xml:space="preserve"> PAGEREF _Toc216468790 \h </w:instrText>
        </w:r>
        <w:r>
          <w:rPr>
            <w:noProof/>
            <w:webHidden/>
          </w:rPr>
        </w:r>
        <w:r>
          <w:rPr>
            <w:noProof/>
            <w:webHidden/>
          </w:rPr>
          <w:fldChar w:fldCharType="separate"/>
        </w:r>
        <w:r w:rsidR="00CE096F">
          <w:rPr>
            <w:noProof/>
            <w:webHidden/>
          </w:rPr>
          <w:t>84</w:t>
        </w:r>
        <w:r>
          <w:rPr>
            <w:noProof/>
            <w:webHidden/>
          </w:rPr>
          <w:fldChar w:fldCharType="end"/>
        </w:r>
      </w:hyperlink>
    </w:p>
    <w:p w14:paraId="7B0AB917" w14:textId="137168B1"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91" w:history="1">
        <w:r w:rsidRPr="00B61D2D">
          <w:rPr>
            <w:rStyle w:val="Hyperlink"/>
            <w:noProof/>
          </w:rPr>
          <w:t>Ilustración 26 Espacialización de la distribución del ecosistema Subxerofítico Andino en la Sabana de Bogotá y sus estados de conservación según análisis de integridad ecológica.</w:t>
        </w:r>
        <w:r>
          <w:rPr>
            <w:noProof/>
            <w:webHidden/>
          </w:rPr>
          <w:tab/>
        </w:r>
        <w:r>
          <w:rPr>
            <w:noProof/>
            <w:webHidden/>
          </w:rPr>
          <w:fldChar w:fldCharType="begin"/>
        </w:r>
        <w:r>
          <w:rPr>
            <w:noProof/>
            <w:webHidden/>
          </w:rPr>
          <w:instrText xml:space="preserve"> PAGEREF _Toc216468791 \h </w:instrText>
        </w:r>
        <w:r>
          <w:rPr>
            <w:noProof/>
            <w:webHidden/>
          </w:rPr>
        </w:r>
        <w:r>
          <w:rPr>
            <w:noProof/>
            <w:webHidden/>
          </w:rPr>
          <w:fldChar w:fldCharType="separate"/>
        </w:r>
        <w:r w:rsidR="00CE096F">
          <w:rPr>
            <w:noProof/>
            <w:webHidden/>
          </w:rPr>
          <w:t>86</w:t>
        </w:r>
        <w:r>
          <w:rPr>
            <w:noProof/>
            <w:webHidden/>
          </w:rPr>
          <w:fldChar w:fldCharType="end"/>
        </w:r>
      </w:hyperlink>
    </w:p>
    <w:p w14:paraId="656B9B45" w14:textId="6142BA7F"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92" w:history="1">
        <w:r w:rsidRPr="00B61D2D">
          <w:rPr>
            <w:rStyle w:val="Hyperlink"/>
            <w:noProof/>
          </w:rPr>
          <w:t>Ilustración 27 Análisis de integridad ecológica sobre los ecosistemas subxerofíticos de la Sabana de Bogotá.</w:t>
        </w:r>
        <w:r>
          <w:rPr>
            <w:noProof/>
            <w:webHidden/>
          </w:rPr>
          <w:tab/>
        </w:r>
        <w:r>
          <w:rPr>
            <w:noProof/>
            <w:webHidden/>
          </w:rPr>
          <w:fldChar w:fldCharType="begin"/>
        </w:r>
        <w:r>
          <w:rPr>
            <w:noProof/>
            <w:webHidden/>
          </w:rPr>
          <w:instrText xml:space="preserve"> PAGEREF _Toc216468792 \h </w:instrText>
        </w:r>
        <w:r>
          <w:rPr>
            <w:noProof/>
            <w:webHidden/>
          </w:rPr>
        </w:r>
        <w:r>
          <w:rPr>
            <w:noProof/>
            <w:webHidden/>
          </w:rPr>
          <w:fldChar w:fldCharType="separate"/>
        </w:r>
        <w:r w:rsidR="00CE096F">
          <w:rPr>
            <w:noProof/>
            <w:webHidden/>
          </w:rPr>
          <w:t>88</w:t>
        </w:r>
        <w:r>
          <w:rPr>
            <w:noProof/>
            <w:webHidden/>
          </w:rPr>
          <w:fldChar w:fldCharType="end"/>
        </w:r>
      </w:hyperlink>
    </w:p>
    <w:p w14:paraId="6C307FE7" w14:textId="1B6F7217"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93" w:history="1">
        <w:r w:rsidRPr="00B61D2D">
          <w:rPr>
            <w:rStyle w:val="Hyperlink"/>
            <w:noProof/>
          </w:rPr>
          <w:t>Ilustración 28 Incorporación de ecosistemas de subxerofitia andina en áreas del SINAP y en OMEC</w:t>
        </w:r>
        <w:r>
          <w:rPr>
            <w:noProof/>
            <w:webHidden/>
          </w:rPr>
          <w:tab/>
        </w:r>
        <w:r>
          <w:rPr>
            <w:noProof/>
            <w:webHidden/>
          </w:rPr>
          <w:fldChar w:fldCharType="begin"/>
        </w:r>
        <w:r>
          <w:rPr>
            <w:noProof/>
            <w:webHidden/>
          </w:rPr>
          <w:instrText xml:space="preserve"> PAGEREF _Toc216468793 \h </w:instrText>
        </w:r>
        <w:r>
          <w:rPr>
            <w:noProof/>
            <w:webHidden/>
          </w:rPr>
        </w:r>
        <w:r>
          <w:rPr>
            <w:noProof/>
            <w:webHidden/>
          </w:rPr>
          <w:fldChar w:fldCharType="separate"/>
        </w:r>
        <w:r w:rsidR="00CE096F">
          <w:rPr>
            <w:noProof/>
            <w:webHidden/>
          </w:rPr>
          <w:t>93</w:t>
        </w:r>
        <w:r>
          <w:rPr>
            <w:noProof/>
            <w:webHidden/>
          </w:rPr>
          <w:fldChar w:fldCharType="end"/>
        </w:r>
      </w:hyperlink>
    </w:p>
    <w:p w14:paraId="1BA7B8F5" w14:textId="39FE18D4"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94" w:history="1">
        <w:r w:rsidRPr="00B61D2D">
          <w:rPr>
            <w:rStyle w:val="Hyperlink"/>
            <w:noProof/>
          </w:rPr>
          <w:t>Ilustración 29 Representatividad de ecosistemas andinos en el SINAP, para la Sabana de Bogotá.</w:t>
        </w:r>
        <w:r>
          <w:rPr>
            <w:noProof/>
            <w:webHidden/>
          </w:rPr>
          <w:tab/>
        </w:r>
        <w:r>
          <w:rPr>
            <w:noProof/>
            <w:webHidden/>
          </w:rPr>
          <w:fldChar w:fldCharType="begin"/>
        </w:r>
        <w:r>
          <w:rPr>
            <w:noProof/>
            <w:webHidden/>
          </w:rPr>
          <w:instrText xml:space="preserve"> PAGEREF _Toc216468794 \h </w:instrText>
        </w:r>
        <w:r>
          <w:rPr>
            <w:noProof/>
            <w:webHidden/>
          </w:rPr>
        </w:r>
        <w:r>
          <w:rPr>
            <w:noProof/>
            <w:webHidden/>
          </w:rPr>
          <w:fldChar w:fldCharType="separate"/>
        </w:r>
        <w:r w:rsidR="00CE096F">
          <w:rPr>
            <w:noProof/>
            <w:webHidden/>
          </w:rPr>
          <w:t>94</w:t>
        </w:r>
        <w:r>
          <w:rPr>
            <w:noProof/>
            <w:webHidden/>
          </w:rPr>
          <w:fldChar w:fldCharType="end"/>
        </w:r>
      </w:hyperlink>
    </w:p>
    <w:p w14:paraId="0C6F422F" w14:textId="22BF3958"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95" w:history="1">
        <w:r w:rsidRPr="00B61D2D">
          <w:rPr>
            <w:rStyle w:val="Hyperlink"/>
            <w:noProof/>
          </w:rPr>
          <w:t>Ilustración 30. Registro fotográfico páramo de Guerrero en el municipio de Tausa, Cundinamarca</w:t>
        </w:r>
        <w:r>
          <w:rPr>
            <w:noProof/>
            <w:webHidden/>
          </w:rPr>
          <w:tab/>
        </w:r>
        <w:r>
          <w:rPr>
            <w:noProof/>
            <w:webHidden/>
          </w:rPr>
          <w:fldChar w:fldCharType="begin"/>
        </w:r>
        <w:r>
          <w:rPr>
            <w:noProof/>
            <w:webHidden/>
          </w:rPr>
          <w:instrText xml:space="preserve"> PAGEREF _Toc216468795 \h </w:instrText>
        </w:r>
        <w:r>
          <w:rPr>
            <w:noProof/>
            <w:webHidden/>
          </w:rPr>
        </w:r>
        <w:r>
          <w:rPr>
            <w:noProof/>
            <w:webHidden/>
          </w:rPr>
          <w:fldChar w:fldCharType="separate"/>
        </w:r>
        <w:r w:rsidR="00CE096F">
          <w:rPr>
            <w:noProof/>
            <w:webHidden/>
          </w:rPr>
          <w:t>97</w:t>
        </w:r>
        <w:r>
          <w:rPr>
            <w:noProof/>
            <w:webHidden/>
          </w:rPr>
          <w:fldChar w:fldCharType="end"/>
        </w:r>
      </w:hyperlink>
    </w:p>
    <w:p w14:paraId="234ABAE0" w14:textId="49F1223F"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96" w:history="1">
        <w:r w:rsidRPr="00B61D2D">
          <w:rPr>
            <w:rStyle w:val="Hyperlink"/>
            <w:noProof/>
          </w:rPr>
          <w:t>Ilustración 31 Distribución potencial del Tigrillo lanudo (Leopardus tigrinus) en Sabana de Bogotá</w:t>
        </w:r>
        <w:r>
          <w:rPr>
            <w:noProof/>
            <w:webHidden/>
          </w:rPr>
          <w:tab/>
        </w:r>
        <w:r>
          <w:rPr>
            <w:noProof/>
            <w:webHidden/>
          </w:rPr>
          <w:fldChar w:fldCharType="begin"/>
        </w:r>
        <w:r>
          <w:rPr>
            <w:noProof/>
            <w:webHidden/>
          </w:rPr>
          <w:instrText xml:space="preserve"> PAGEREF _Toc216468796 \h </w:instrText>
        </w:r>
        <w:r>
          <w:rPr>
            <w:noProof/>
            <w:webHidden/>
          </w:rPr>
        </w:r>
        <w:r>
          <w:rPr>
            <w:noProof/>
            <w:webHidden/>
          </w:rPr>
          <w:fldChar w:fldCharType="separate"/>
        </w:r>
        <w:r w:rsidR="00CE096F">
          <w:rPr>
            <w:noProof/>
            <w:webHidden/>
          </w:rPr>
          <w:t>101</w:t>
        </w:r>
        <w:r>
          <w:rPr>
            <w:noProof/>
            <w:webHidden/>
          </w:rPr>
          <w:fldChar w:fldCharType="end"/>
        </w:r>
      </w:hyperlink>
    </w:p>
    <w:p w14:paraId="04EFE6E4" w14:textId="33DC230B"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97" w:history="1">
        <w:r w:rsidRPr="00B61D2D">
          <w:rPr>
            <w:rStyle w:val="Hyperlink"/>
            <w:noProof/>
          </w:rPr>
          <w:t>Ilustración 32. Áreas Núcleo y corredores del Tigrillo lanudo (Leopardus tigrinus)</w:t>
        </w:r>
        <w:r>
          <w:rPr>
            <w:noProof/>
            <w:webHidden/>
          </w:rPr>
          <w:tab/>
        </w:r>
        <w:r>
          <w:rPr>
            <w:noProof/>
            <w:webHidden/>
          </w:rPr>
          <w:fldChar w:fldCharType="begin"/>
        </w:r>
        <w:r>
          <w:rPr>
            <w:noProof/>
            <w:webHidden/>
          </w:rPr>
          <w:instrText xml:space="preserve"> PAGEREF _Toc216468797 \h </w:instrText>
        </w:r>
        <w:r>
          <w:rPr>
            <w:noProof/>
            <w:webHidden/>
          </w:rPr>
        </w:r>
        <w:r>
          <w:rPr>
            <w:noProof/>
            <w:webHidden/>
          </w:rPr>
          <w:fldChar w:fldCharType="separate"/>
        </w:r>
        <w:r w:rsidR="00CE096F">
          <w:rPr>
            <w:noProof/>
            <w:webHidden/>
          </w:rPr>
          <w:t>102</w:t>
        </w:r>
        <w:r>
          <w:rPr>
            <w:noProof/>
            <w:webHidden/>
          </w:rPr>
          <w:fldChar w:fldCharType="end"/>
        </w:r>
      </w:hyperlink>
    </w:p>
    <w:p w14:paraId="02795F32" w14:textId="71E816AD"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98" w:history="1">
        <w:r w:rsidRPr="00B61D2D">
          <w:rPr>
            <w:rStyle w:val="Hyperlink"/>
            <w:noProof/>
          </w:rPr>
          <w:t>Ilustración 33. Registro fotográfico del tigrillo lanudo</w:t>
        </w:r>
        <w:r>
          <w:rPr>
            <w:noProof/>
            <w:webHidden/>
          </w:rPr>
          <w:tab/>
        </w:r>
        <w:r>
          <w:rPr>
            <w:noProof/>
            <w:webHidden/>
          </w:rPr>
          <w:fldChar w:fldCharType="begin"/>
        </w:r>
        <w:r>
          <w:rPr>
            <w:noProof/>
            <w:webHidden/>
          </w:rPr>
          <w:instrText xml:space="preserve"> PAGEREF _Toc216468798 \h </w:instrText>
        </w:r>
        <w:r>
          <w:rPr>
            <w:noProof/>
            <w:webHidden/>
          </w:rPr>
        </w:r>
        <w:r>
          <w:rPr>
            <w:noProof/>
            <w:webHidden/>
          </w:rPr>
          <w:fldChar w:fldCharType="separate"/>
        </w:r>
        <w:r w:rsidR="00CE096F">
          <w:rPr>
            <w:noProof/>
            <w:webHidden/>
          </w:rPr>
          <w:t>103</w:t>
        </w:r>
        <w:r>
          <w:rPr>
            <w:noProof/>
            <w:webHidden/>
          </w:rPr>
          <w:fldChar w:fldCharType="end"/>
        </w:r>
      </w:hyperlink>
    </w:p>
    <w:p w14:paraId="0545B4A5" w14:textId="71427E9B"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799" w:history="1">
        <w:r w:rsidRPr="00B61D2D">
          <w:rPr>
            <w:rStyle w:val="Hyperlink"/>
            <w:noProof/>
          </w:rPr>
          <w:t>Ilustración 34 Evolución normativa de la Minería en la Sabana de Bogotá</w:t>
        </w:r>
        <w:r>
          <w:rPr>
            <w:noProof/>
            <w:webHidden/>
          </w:rPr>
          <w:tab/>
        </w:r>
        <w:r>
          <w:rPr>
            <w:noProof/>
            <w:webHidden/>
          </w:rPr>
          <w:fldChar w:fldCharType="begin"/>
        </w:r>
        <w:r>
          <w:rPr>
            <w:noProof/>
            <w:webHidden/>
          </w:rPr>
          <w:instrText xml:space="preserve"> PAGEREF _Toc216468799 \h </w:instrText>
        </w:r>
        <w:r>
          <w:rPr>
            <w:noProof/>
            <w:webHidden/>
          </w:rPr>
        </w:r>
        <w:r>
          <w:rPr>
            <w:noProof/>
            <w:webHidden/>
          </w:rPr>
          <w:fldChar w:fldCharType="separate"/>
        </w:r>
        <w:r w:rsidR="00CE096F">
          <w:rPr>
            <w:noProof/>
            <w:webHidden/>
          </w:rPr>
          <w:t>114</w:t>
        </w:r>
        <w:r>
          <w:rPr>
            <w:noProof/>
            <w:webHidden/>
          </w:rPr>
          <w:fldChar w:fldCharType="end"/>
        </w:r>
      </w:hyperlink>
    </w:p>
    <w:p w14:paraId="5E2FC940" w14:textId="5E37724D"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00" w:history="1">
        <w:r w:rsidRPr="00B61D2D">
          <w:rPr>
            <w:rStyle w:val="Hyperlink"/>
            <w:noProof/>
          </w:rPr>
          <w:t>Ilustración 35 Zonas Compatibles con minería de acuerdo con las Resoluciones 2001 de 2016 y 1499 de 2018</w:t>
        </w:r>
        <w:r>
          <w:rPr>
            <w:noProof/>
            <w:webHidden/>
          </w:rPr>
          <w:tab/>
        </w:r>
        <w:r>
          <w:rPr>
            <w:noProof/>
            <w:webHidden/>
          </w:rPr>
          <w:fldChar w:fldCharType="begin"/>
        </w:r>
        <w:r>
          <w:rPr>
            <w:noProof/>
            <w:webHidden/>
          </w:rPr>
          <w:instrText xml:space="preserve"> PAGEREF _Toc216468800 \h </w:instrText>
        </w:r>
        <w:r>
          <w:rPr>
            <w:noProof/>
            <w:webHidden/>
          </w:rPr>
        </w:r>
        <w:r>
          <w:rPr>
            <w:noProof/>
            <w:webHidden/>
          </w:rPr>
          <w:fldChar w:fldCharType="separate"/>
        </w:r>
        <w:r w:rsidR="00CE096F">
          <w:rPr>
            <w:noProof/>
            <w:webHidden/>
          </w:rPr>
          <w:t>119</w:t>
        </w:r>
        <w:r>
          <w:rPr>
            <w:noProof/>
            <w:webHidden/>
          </w:rPr>
          <w:fldChar w:fldCharType="end"/>
        </w:r>
      </w:hyperlink>
    </w:p>
    <w:p w14:paraId="6A488CA1" w14:textId="0A3581AD"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01" w:history="1">
        <w:r w:rsidRPr="00B61D2D">
          <w:rPr>
            <w:rStyle w:val="Hyperlink"/>
            <w:noProof/>
          </w:rPr>
          <w:t>Ilustración 36Títulos Mineros Sabana de Bogotá vs zonas compatibles con la minería</w:t>
        </w:r>
        <w:r>
          <w:rPr>
            <w:noProof/>
            <w:webHidden/>
          </w:rPr>
          <w:tab/>
        </w:r>
        <w:r>
          <w:rPr>
            <w:noProof/>
            <w:webHidden/>
          </w:rPr>
          <w:fldChar w:fldCharType="begin"/>
        </w:r>
        <w:r>
          <w:rPr>
            <w:noProof/>
            <w:webHidden/>
          </w:rPr>
          <w:instrText xml:space="preserve"> PAGEREF _Toc216468801 \h </w:instrText>
        </w:r>
        <w:r>
          <w:rPr>
            <w:noProof/>
            <w:webHidden/>
          </w:rPr>
        </w:r>
        <w:r>
          <w:rPr>
            <w:noProof/>
            <w:webHidden/>
          </w:rPr>
          <w:fldChar w:fldCharType="separate"/>
        </w:r>
        <w:r w:rsidR="00CE096F">
          <w:rPr>
            <w:noProof/>
            <w:webHidden/>
          </w:rPr>
          <w:t>121</w:t>
        </w:r>
        <w:r>
          <w:rPr>
            <w:noProof/>
            <w:webHidden/>
          </w:rPr>
          <w:fldChar w:fldCharType="end"/>
        </w:r>
      </w:hyperlink>
    </w:p>
    <w:p w14:paraId="7C47FF16" w14:textId="769990E6"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02" w:history="1">
        <w:r w:rsidRPr="00B61D2D">
          <w:rPr>
            <w:rStyle w:val="Hyperlink"/>
            <w:noProof/>
          </w:rPr>
          <w:t>Ilustración 37 Traslape con Ecosistemas Subxerofíticos en la Sabana de Bogotá</w:t>
        </w:r>
        <w:r>
          <w:rPr>
            <w:noProof/>
            <w:webHidden/>
          </w:rPr>
          <w:tab/>
        </w:r>
        <w:r>
          <w:rPr>
            <w:noProof/>
            <w:webHidden/>
          </w:rPr>
          <w:fldChar w:fldCharType="begin"/>
        </w:r>
        <w:r>
          <w:rPr>
            <w:noProof/>
            <w:webHidden/>
          </w:rPr>
          <w:instrText xml:space="preserve"> PAGEREF _Toc216468802 \h </w:instrText>
        </w:r>
        <w:r>
          <w:rPr>
            <w:noProof/>
            <w:webHidden/>
          </w:rPr>
        </w:r>
        <w:r>
          <w:rPr>
            <w:noProof/>
            <w:webHidden/>
          </w:rPr>
          <w:fldChar w:fldCharType="separate"/>
        </w:r>
        <w:r w:rsidR="00CE096F">
          <w:rPr>
            <w:noProof/>
            <w:webHidden/>
          </w:rPr>
          <w:t>123</w:t>
        </w:r>
        <w:r>
          <w:rPr>
            <w:noProof/>
            <w:webHidden/>
          </w:rPr>
          <w:fldChar w:fldCharType="end"/>
        </w:r>
      </w:hyperlink>
    </w:p>
    <w:p w14:paraId="7111DFD5" w14:textId="752ACCD7"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03" w:history="1">
        <w:r w:rsidRPr="00B61D2D">
          <w:rPr>
            <w:rStyle w:val="Hyperlink"/>
            <w:noProof/>
          </w:rPr>
          <w:t>Ilustración 38 Traslape de títulos mineros con Páramos en la Sabana de Bogotá</w:t>
        </w:r>
        <w:r>
          <w:rPr>
            <w:noProof/>
            <w:webHidden/>
          </w:rPr>
          <w:tab/>
        </w:r>
        <w:r>
          <w:rPr>
            <w:noProof/>
            <w:webHidden/>
          </w:rPr>
          <w:fldChar w:fldCharType="begin"/>
        </w:r>
        <w:r>
          <w:rPr>
            <w:noProof/>
            <w:webHidden/>
          </w:rPr>
          <w:instrText xml:space="preserve"> PAGEREF _Toc216468803 \h </w:instrText>
        </w:r>
        <w:r>
          <w:rPr>
            <w:noProof/>
            <w:webHidden/>
          </w:rPr>
        </w:r>
        <w:r>
          <w:rPr>
            <w:noProof/>
            <w:webHidden/>
          </w:rPr>
          <w:fldChar w:fldCharType="separate"/>
        </w:r>
        <w:r w:rsidR="00CE096F">
          <w:rPr>
            <w:noProof/>
            <w:webHidden/>
          </w:rPr>
          <w:t>125</w:t>
        </w:r>
        <w:r>
          <w:rPr>
            <w:noProof/>
            <w:webHidden/>
          </w:rPr>
          <w:fldChar w:fldCharType="end"/>
        </w:r>
      </w:hyperlink>
    </w:p>
    <w:p w14:paraId="55C4DD7F" w14:textId="781859F7"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04" w:history="1">
        <w:r w:rsidRPr="00B61D2D">
          <w:rPr>
            <w:rStyle w:val="Hyperlink"/>
            <w:noProof/>
          </w:rPr>
          <w:t>Ilustración 39 Traslape de títulos mineros con Humedales en la Sabana de Bogotá</w:t>
        </w:r>
        <w:r>
          <w:rPr>
            <w:noProof/>
            <w:webHidden/>
          </w:rPr>
          <w:tab/>
        </w:r>
        <w:r>
          <w:rPr>
            <w:noProof/>
            <w:webHidden/>
          </w:rPr>
          <w:fldChar w:fldCharType="begin"/>
        </w:r>
        <w:r>
          <w:rPr>
            <w:noProof/>
            <w:webHidden/>
          </w:rPr>
          <w:instrText xml:space="preserve"> PAGEREF _Toc216468804 \h </w:instrText>
        </w:r>
        <w:r>
          <w:rPr>
            <w:noProof/>
            <w:webHidden/>
          </w:rPr>
        </w:r>
        <w:r>
          <w:rPr>
            <w:noProof/>
            <w:webHidden/>
          </w:rPr>
          <w:fldChar w:fldCharType="separate"/>
        </w:r>
        <w:r w:rsidR="00CE096F">
          <w:rPr>
            <w:noProof/>
            <w:webHidden/>
          </w:rPr>
          <w:t>126</w:t>
        </w:r>
        <w:r>
          <w:rPr>
            <w:noProof/>
            <w:webHidden/>
          </w:rPr>
          <w:fldChar w:fldCharType="end"/>
        </w:r>
      </w:hyperlink>
    </w:p>
    <w:p w14:paraId="7C72395C" w14:textId="1486BBD0"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05" w:history="1">
        <w:r w:rsidRPr="00B61D2D">
          <w:rPr>
            <w:rStyle w:val="Hyperlink"/>
            <w:noProof/>
          </w:rPr>
          <w:t>Ilustración 40Traslape con Humedales RAMSAR en la Sabana de Bogotá</w:t>
        </w:r>
        <w:r>
          <w:rPr>
            <w:noProof/>
            <w:webHidden/>
          </w:rPr>
          <w:tab/>
        </w:r>
        <w:r>
          <w:rPr>
            <w:noProof/>
            <w:webHidden/>
          </w:rPr>
          <w:fldChar w:fldCharType="begin"/>
        </w:r>
        <w:r>
          <w:rPr>
            <w:noProof/>
            <w:webHidden/>
          </w:rPr>
          <w:instrText xml:space="preserve"> PAGEREF _Toc216468805 \h </w:instrText>
        </w:r>
        <w:r>
          <w:rPr>
            <w:noProof/>
            <w:webHidden/>
          </w:rPr>
        </w:r>
        <w:r>
          <w:rPr>
            <w:noProof/>
            <w:webHidden/>
          </w:rPr>
          <w:fldChar w:fldCharType="separate"/>
        </w:r>
        <w:r w:rsidR="00CE096F">
          <w:rPr>
            <w:noProof/>
            <w:webHidden/>
          </w:rPr>
          <w:t>127</w:t>
        </w:r>
        <w:r>
          <w:rPr>
            <w:noProof/>
            <w:webHidden/>
          </w:rPr>
          <w:fldChar w:fldCharType="end"/>
        </w:r>
      </w:hyperlink>
    </w:p>
    <w:p w14:paraId="450F71A9" w14:textId="19C4B23A"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06" w:history="1">
        <w:r w:rsidRPr="00B61D2D">
          <w:rPr>
            <w:rStyle w:val="Hyperlink"/>
            <w:noProof/>
          </w:rPr>
          <w:t>Ilustración 41. Traslape de títulos mineros con Áreas protegidas en la Sabana de Bogotá</w:t>
        </w:r>
        <w:r>
          <w:rPr>
            <w:noProof/>
            <w:webHidden/>
          </w:rPr>
          <w:tab/>
        </w:r>
        <w:r>
          <w:rPr>
            <w:noProof/>
            <w:webHidden/>
          </w:rPr>
          <w:fldChar w:fldCharType="begin"/>
        </w:r>
        <w:r>
          <w:rPr>
            <w:noProof/>
            <w:webHidden/>
          </w:rPr>
          <w:instrText xml:space="preserve"> PAGEREF _Toc216468806 \h </w:instrText>
        </w:r>
        <w:r>
          <w:rPr>
            <w:noProof/>
            <w:webHidden/>
          </w:rPr>
        </w:r>
        <w:r>
          <w:rPr>
            <w:noProof/>
            <w:webHidden/>
          </w:rPr>
          <w:fldChar w:fldCharType="separate"/>
        </w:r>
        <w:r w:rsidR="00CE096F">
          <w:rPr>
            <w:noProof/>
            <w:webHidden/>
          </w:rPr>
          <w:t>129</w:t>
        </w:r>
        <w:r>
          <w:rPr>
            <w:noProof/>
            <w:webHidden/>
          </w:rPr>
          <w:fldChar w:fldCharType="end"/>
        </w:r>
      </w:hyperlink>
    </w:p>
    <w:p w14:paraId="7C884851" w14:textId="625922D8"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07" w:history="1">
        <w:r w:rsidRPr="00B61D2D">
          <w:rPr>
            <w:rStyle w:val="Hyperlink"/>
            <w:noProof/>
          </w:rPr>
          <w:t>Ilustración 42 Traslape de títulos mineros con Áreas Protegidas y estrategias de conservación in situ  en la Sabana de Bogotá</w:t>
        </w:r>
        <w:r>
          <w:rPr>
            <w:noProof/>
            <w:webHidden/>
          </w:rPr>
          <w:tab/>
        </w:r>
        <w:r>
          <w:rPr>
            <w:noProof/>
            <w:webHidden/>
          </w:rPr>
          <w:fldChar w:fldCharType="begin"/>
        </w:r>
        <w:r>
          <w:rPr>
            <w:noProof/>
            <w:webHidden/>
          </w:rPr>
          <w:instrText xml:space="preserve"> PAGEREF _Toc216468807 \h </w:instrText>
        </w:r>
        <w:r>
          <w:rPr>
            <w:noProof/>
            <w:webHidden/>
          </w:rPr>
        </w:r>
        <w:r>
          <w:rPr>
            <w:noProof/>
            <w:webHidden/>
          </w:rPr>
          <w:fldChar w:fldCharType="separate"/>
        </w:r>
        <w:r w:rsidR="00CE096F">
          <w:rPr>
            <w:noProof/>
            <w:webHidden/>
          </w:rPr>
          <w:t>130</w:t>
        </w:r>
        <w:r>
          <w:rPr>
            <w:noProof/>
            <w:webHidden/>
          </w:rPr>
          <w:fldChar w:fldCharType="end"/>
        </w:r>
      </w:hyperlink>
    </w:p>
    <w:p w14:paraId="134B4929" w14:textId="18C5A604"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08" w:history="1">
        <w:r w:rsidRPr="00B61D2D">
          <w:rPr>
            <w:rStyle w:val="Hyperlink"/>
            <w:noProof/>
          </w:rPr>
          <w:t>Ilustración 43 Traslape de títulos mineros con áreas de Estructura Ecológica Principal Bogotá D.C. Decreto Distrital 555 de 2021</w:t>
        </w:r>
        <w:r>
          <w:rPr>
            <w:noProof/>
            <w:webHidden/>
          </w:rPr>
          <w:tab/>
        </w:r>
        <w:r>
          <w:rPr>
            <w:noProof/>
            <w:webHidden/>
          </w:rPr>
          <w:fldChar w:fldCharType="begin"/>
        </w:r>
        <w:r>
          <w:rPr>
            <w:noProof/>
            <w:webHidden/>
          </w:rPr>
          <w:instrText xml:space="preserve"> PAGEREF _Toc216468808 \h </w:instrText>
        </w:r>
        <w:r>
          <w:rPr>
            <w:noProof/>
            <w:webHidden/>
          </w:rPr>
        </w:r>
        <w:r>
          <w:rPr>
            <w:noProof/>
            <w:webHidden/>
          </w:rPr>
          <w:fldChar w:fldCharType="separate"/>
        </w:r>
        <w:r w:rsidR="00CE096F">
          <w:rPr>
            <w:noProof/>
            <w:webHidden/>
          </w:rPr>
          <w:t>131</w:t>
        </w:r>
        <w:r>
          <w:rPr>
            <w:noProof/>
            <w:webHidden/>
          </w:rPr>
          <w:fldChar w:fldCharType="end"/>
        </w:r>
      </w:hyperlink>
    </w:p>
    <w:p w14:paraId="4A425594" w14:textId="21DC44B2"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09" w:history="1">
        <w:r w:rsidRPr="00B61D2D">
          <w:rPr>
            <w:rStyle w:val="Hyperlink"/>
            <w:noProof/>
          </w:rPr>
          <w:t>Ilustración 44 Traslape de títulos mineros con áreas de Estructura Ecológica Principal regional CAR</w:t>
        </w:r>
        <w:r>
          <w:rPr>
            <w:noProof/>
            <w:webHidden/>
          </w:rPr>
          <w:tab/>
        </w:r>
        <w:r>
          <w:rPr>
            <w:noProof/>
            <w:webHidden/>
          </w:rPr>
          <w:fldChar w:fldCharType="begin"/>
        </w:r>
        <w:r>
          <w:rPr>
            <w:noProof/>
            <w:webHidden/>
          </w:rPr>
          <w:instrText xml:space="preserve"> PAGEREF _Toc216468809 \h </w:instrText>
        </w:r>
        <w:r>
          <w:rPr>
            <w:noProof/>
            <w:webHidden/>
          </w:rPr>
        </w:r>
        <w:r>
          <w:rPr>
            <w:noProof/>
            <w:webHidden/>
          </w:rPr>
          <w:fldChar w:fldCharType="separate"/>
        </w:r>
        <w:r w:rsidR="00CE096F">
          <w:rPr>
            <w:noProof/>
            <w:webHidden/>
          </w:rPr>
          <w:t>131</w:t>
        </w:r>
        <w:r>
          <w:rPr>
            <w:noProof/>
            <w:webHidden/>
          </w:rPr>
          <w:fldChar w:fldCharType="end"/>
        </w:r>
      </w:hyperlink>
    </w:p>
    <w:p w14:paraId="6DD9E4A2" w14:textId="419FF0EC"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10" w:history="1">
        <w:r w:rsidRPr="00B61D2D">
          <w:rPr>
            <w:rStyle w:val="Hyperlink"/>
            <w:noProof/>
          </w:rPr>
          <w:t>Ilustración 45 Traslape de títulos mineros con Zonas de recarga acuífero en la Sabana de Bogotá</w:t>
        </w:r>
        <w:r>
          <w:rPr>
            <w:noProof/>
            <w:webHidden/>
          </w:rPr>
          <w:tab/>
        </w:r>
        <w:r>
          <w:rPr>
            <w:noProof/>
            <w:webHidden/>
          </w:rPr>
          <w:fldChar w:fldCharType="begin"/>
        </w:r>
        <w:r>
          <w:rPr>
            <w:noProof/>
            <w:webHidden/>
          </w:rPr>
          <w:instrText xml:space="preserve"> PAGEREF _Toc216468810 \h </w:instrText>
        </w:r>
        <w:r>
          <w:rPr>
            <w:noProof/>
            <w:webHidden/>
          </w:rPr>
        </w:r>
        <w:r>
          <w:rPr>
            <w:noProof/>
            <w:webHidden/>
          </w:rPr>
          <w:fldChar w:fldCharType="separate"/>
        </w:r>
        <w:r w:rsidR="00CE096F">
          <w:rPr>
            <w:noProof/>
            <w:webHidden/>
          </w:rPr>
          <w:t>134</w:t>
        </w:r>
        <w:r>
          <w:rPr>
            <w:noProof/>
            <w:webHidden/>
          </w:rPr>
          <w:fldChar w:fldCharType="end"/>
        </w:r>
      </w:hyperlink>
    </w:p>
    <w:p w14:paraId="5B24FAD5" w14:textId="4D918FB7"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11" w:history="1">
        <w:r w:rsidRPr="00B61D2D">
          <w:rPr>
            <w:rStyle w:val="Hyperlink"/>
            <w:noProof/>
          </w:rPr>
          <w:t>Ilustración 46 Registro fotográfico antiguo frente de explotación, CANTERAS UNIDAS LA ESMERALDA LTDA</w:t>
        </w:r>
        <w:r>
          <w:rPr>
            <w:noProof/>
            <w:webHidden/>
          </w:rPr>
          <w:tab/>
        </w:r>
        <w:r>
          <w:rPr>
            <w:noProof/>
            <w:webHidden/>
          </w:rPr>
          <w:fldChar w:fldCharType="begin"/>
        </w:r>
        <w:r>
          <w:rPr>
            <w:noProof/>
            <w:webHidden/>
          </w:rPr>
          <w:instrText xml:space="preserve"> PAGEREF _Toc216468811 \h </w:instrText>
        </w:r>
        <w:r>
          <w:rPr>
            <w:noProof/>
            <w:webHidden/>
          </w:rPr>
        </w:r>
        <w:r>
          <w:rPr>
            <w:noProof/>
            <w:webHidden/>
          </w:rPr>
          <w:fldChar w:fldCharType="separate"/>
        </w:r>
        <w:r w:rsidR="00CE096F">
          <w:rPr>
            <w:noProof/>
            <w:webHidden/>
          </w:rPr>
          <w:t>143</w:t>
        </w:r>
        <w:r>
          <w:rPr>
            <w:noProof/>
            <w:webHidden/>
          </w:rPr>
          <w:fldChar w:fldCharType="end"/>
        </w:r>
      </w:hyperlink>
    </w:p>
    <w:p w14:paraId="34B7B172" w14:textId="0000E73A"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12" w:history="1">
        <w:r w:rsidRPr="00B61D2D">
          <w:rPr>
            <w:rStyle w:val="Hyperlink"/>
            <w:noProof/>
          </w:rPr>
          <w:t>Ilustración 47 Registro fotográfico predios Chip catastral AAA0147FJBR y No. 2, Chip catastral AAA0156MZEP: relacionadas con Cantera La Quebrada en Bogotá, D.C</w:t>
        </w:r>
        <w:r>
          <w:rPr>
            <w:noProof/>
            <w:webHidden/>
          </w:rPr>
          <w:tab/>
        </w:r>
        <w:r>
          <w:rPr>
            <w:noProof/>
            <w:webHidden/>
          </w:rPr>
          <w:fldChar w:fldCharType="begin"/>
        </w:r>
        <w:r>
          <w:rPr>
            <w:noProof/>
            <w:webHidden/>
          </w:rPr>
          <w:instrText xml:space="preserve"> PAGEREF _Toc216468812 \h </w:instrText>
        </w:r>
        <w:r>
          <w:rPr>
            <w:noProof/>
            <w:webHidden/>
          </w:rPr>
        </w:r>
        <w:r>
          <w:rPr>
            <w:noProof/>
            <w:webHidden/>
          </w:rPr>
          <w:fldChar w:fldCharType="separate"/>
        </w:r>
        <w:r w:rsidR="00CE096F">
          <w:rPr>
            <w:noProof/>
            <w:webHidden/>
          </w:rPr>
          <w:t>144</w:t>
        </w:r>
        <w:r>
          <w:rPr>
            <w:noProof/>
            <w:webHidden/>
          </w:rPr>
          <w:fldChar w:fldCharType="end"/>
        </w:r>
      </w:hyperlink>
    </w:p>
    <w:p w14:paraId="061F23C1" w14:textId="22644685"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13" w:history="1">
        <w:r w:rsidRPr="00B61D2D">
          <w:rPr>
            <w:rStyle w:val="Hyperlink"/>
            <w:noProof/>
          </w:rPr>
          <w:t>Ilustración 48. Proyecto "Segundo refuerzo de red en el área oriental: Línea de transmisión La Virginia – Nueva Esperanza 500 kV - UPME 07-2016</w:t>
        </w:r>
        <w:r>
          <w:rPr>
            <w:noProof/>
            <w:webHidden/>
          </w:rPr>
          <w:tab/>
        </w:r>
        <w:r>
          <w:rPr>
            <w:noProof/>
            <w:webHidden/>
          </w:rPr>
          <w:fldChar w:fldCharType="begin"/>
        </w:r>
        <w:r>
          <w:rPr>
            <w:noProof/>
            <w:webHidden/>
          </w:rPr>
          <w:instrText xml:space="preserve"> PAGEREF _Toc216468813 \h </w:instrText>
        </w:r>
        <w:r>
          <w:rPr>
            <w:noProof/>
            <w:webHidden/>
          </w:rPr>
        </w:r>
        <w:r>
          <w:rPr>
            <w:noProof/>
            <w:webHidden/>
          </w:rPr>
          <w:fldChar w:fldCharType="separate"/>
        </w:r>
        <w:r w:rsidR="00CE096F">
          <w:rPr>
            <w:noProof/>
            <w:webHidden/>
          </w:rPr>
          <w:t>149</w:t>
        </w:r>
        <w:r>
          <w:rPr>
            <w:noProof/>
            <w:webHidden/>
          </w:rPr>
          <w:fldChar w:fldCharType="end"/>
        </w:r>
      </w:hyperlink>
    </w:p>
    <w:p w14:paraId="73AB6592" w14:textId="112F2698" w:rsidR="00A40D9C" w:rsidRDefault="00A40D9C">
      <w:pPr>
        <w:pStyle w:val="TableofFigures"/>
        <w:tabs>
          <w:tab w:val="left" w:pos="1763"/>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14" w:history="1">
        <w:r w:rsidRPr="00B61D2D">
          <w:rPr>
            <w:rStyle w:val="Hyperlink"/>
            <w:noProof/>
          </w:rPr>
          <w:t>Ilustración 49. -</w:t>
        </w:r>
        <w:r>
          <w:rPr>
            <w:rFonts w:asciiTheme="minorHAnsi" w:eastAsiaTheme="minorEastAsia" w:hAnsiTheme="minorHAnsi" w:cstheme="minorBidi"/>
            <w:noProof/>
            <w:kern w:val="2"/>
            <w:sz w:val="24"/>
            <w:szCs w:val="24"/>
            <w:lang w:val="en-US"/>
            <w14:ligatures w14:val="standardContextual"/>
          </w:rPr>
          <w:tab/>
        </w:r>
        <w:r w:rsidRPr="00B61D2D">
          <w:rPr>
            <w:rStyle w:val="Hyperlink"/>
            <w:noProof/>
          </w:rPr>
          <w:t>UPME 01 de 2013 (Subestación Norte 500 KV y Líneas de Transmisión Norte - Tequendama 500 KV y Norte Sogamoso 500 kV) – como primer refuerzo de red 500 KV del Área Oriental</w:t>
        </w:r>
        <w:r>
          <w:rPr>
            <w:noProof/>
            <w:webHidden/>
          </w:rPr>
          <w:tab/>
        </w:r>
        <w:r>
          <w:rPr>
            <w:noProof/>
            <w:webHidden/>
          </w:rPr>
          <w:fldChar w:fldCharType="begin"/>
        </w:r>
        <w:r>
          <w:rPr>
            <w:noProof/>
            <w:webHidden/>
          </w:rPr>
          <w:instrText xml:space="preserve"> PAGEREF _Toc216468814 \h </w:instrText>
        </w:r>
        <w:r>
          <w:rPr>
            <w:noProof/>
            <w:webHidden/>
          </w:rPr>
        </w:r>
        <w:r>
          <w:rPr>
            <w:noProof/>
            <w:webHidden/>
          </w:rPr>
          <w:fldChar w:fldCharType="separate"/>
        </w:r>
        <w:r w:rsidR="00CE096F">
          <w:rPr>
            <w:noProof/>
            <w:webHidden/>
          </w:rPr>
          <w:t>149</w:t>
        </w:r>
        <w:r>
          <w:rPr>
            <w:noProof/>
            <w:webHidden/>
          </w:rPr>
          <w:fldChar w:fldCharType="end"/>
        </w:r>
      </w:hyperlink>
    </w:p>
    <w:p w14:paraId="116496AA" w14:textId="613CB1B7" w:rsidR="00A40D9C" w:rsidRDefault="00A40D9C">
      <w:pPr>
        <w:pStyle w:val="TableofFigures"/>
        <w:tabs>
          <w:tab w:val="left" w:pos="1763"/>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15" w:history="1">
        <w:r w:rsidRPr="00B61D2D">
          <w:rPr>
            <w:rStyle w:val="Hyperlink"/>
            <w:noProof/>
          </w:rPr>
          <w:t>Ilustración 50. -</w:t>
        </w:r>
        <w:r>
          <w:rPr>
            <w:rFonts w:asciiTheme="minorHAnsi" w:eastAsiaTheme="minorEastAsia" w:hAnsiTheme="minorHAnsi" w:cstheme="minorBidi"/>
            <w:noProof/>
            <w:kern w:val="2"/>
            <w:sz w:val="24"/>
            <w:szCs w:val="24"/>
            <w:lang w:val="en-US"/>
            <w14:ligatures w14:val="standardContextual"/>
          </w:rPr>
          <w:tab/>
        </w:r>
        <w:r w:rsidRPr="00B61D2D">
          <w:rPr>
            <w:rStyle w:val="Hyperlink"/>
            <w:noProof/>
          </w:rPr>
          <w:t>UPME 01 de 2013 (Subestación Norte 500 KV y Líneas de Transmisión Norte - Tequendama 500 KV y Norte Sogamoso 500 kV) – como primer refuerzo de red 500 KV del Área Oriental.</w:t>
        </w:r>
        <w:r>
          <w:rPr>
            <w:noProof/>
            <w:webHidden/>
          </w:rPr>
          <w:tab/>
        </w:r>
        <w:r>
          <w:rPr>
            <w:noProof/>
            <w:webHidden/>
          </w:rPr>
          <w:fldChar w:fldCharType="begin"/>
        </w:r>
        <w:r>
          <w:rPr>
            <w:noProof/>
            <w:webHidden/>
          </w:rPr>
          <w:instrText xml:space="preserve"> PAGEREF _Toc216468815 \h </w:instrText>
        </w:r>
        <w:r>
          <w:rPr>
            <w:noProof/>
            <w:webHidden/>
          </w:rPr>
        </w:r>
        <w:r>
          <w:rPr>
            <w:noProof/>
            <w:webHidden/>
          </w:rPr>
          <w:fldChar w:fldCharType="separate"/>
        </w:r>
        <w:r w:rsidR="00CE096F">
          <w:rPr>
            <w:noProof/>
            <w:webHidden/>
          </w:rPr>
          <w:t>150</w:t>
        </w:r>
        <w:r>
          <w:rPr>
            <w:noProof/>
            <w:webHidden/>
          </w:rPr>
          <w:fldChar w:fldCharType="end"/>
        </w:r>
      </w:hyperlink>
    </w:p>
    <w:p w14:paraId="5AF4BEB7" w14:textId="2BFC253C"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16" w:history="1">
        <w:r w:rsidRPr="00B61D2D">
          <w:rPr>
            <w:rStyle w:val="Hyperlink"/>
            <w:noProof/>
          </w:rPr>
          <w:t>Ilustración 51. UPME 01 de 2013 (Subestación Norte 500 KV y Líneas de Transmisión Norte - Tequendama 500 KV y Norte Sogamoso 500 kV) – como primer refuerzo de red 500 KV del Área Oriental</w:t>
        </w:r>
        <w:r>
          <w:rPr>
            <w:noProof/>
            <w:webHidden/>
          </w:rPr>
          <w:tab/>
        </w:r>
        <w:r>
          <w:rPr>
            <w:noProof/>
            <w:webHidden/>
          </w:rPr>
          <w:fldChar w:fldCharType="begin"/>
        </w:r>
        <w:r>
          <w:rPr>
            <w:noProof/>
            <w:webHidden/>
          </w:rPr>
          <w:instrText xml:space="preserve"> PAGEREF _Toc216468816 \h </w:instrText>
        </w:r>
        <w:r>
          <w:rPr>
            <w:noProof/>
            <w:webHidden/>
          </w:rPr>
        </w:r>
        <w:r>
          <w:rPr>
            <w:noProof/>
            <w:webHidden/>
          </w:rPr>
          <w:fldChar w:fldCharType="separate"/>
        </w:r>
        <w:r w:rsidR="00CE096F">
          <w:rPr>
            <w:noProof/>
            <w:webHidden/>
          </w:rPr>
          <w:t>151</w:t>
        </w:r>
        <w:r>
          <w:rPr>
            <w:noProof/>
            <w:webHidden/>
          </w:rPr>
          <w:fldChar w:fldCharType="end"/>
        </w:r>
      </w:hyperlink>
    </w:p>
    <w:p w14:paraId="7A454CD7" w14:textId="799EFA06"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17" w:history="1">
        <w:r w:rsidRPr="00B61D2D">
          <w:rPr>
            <w:rStyle w:val="Hyperlink"/>
            <w:noProof/>
          </w:rPr>
          <w:t>Ilustración 52 árbol de problemas sobre la minería en la Sabana de Bogotá</w:t>
        </w:r>
        <w:r>
          <w:rPr>
            <w:noProof/>
            <w:webHidden/>
          </w:rPr>
          <w:tab/>
        </w:r>
        <w:r>
          <w:rPr>
            <w:noProof/>
            <w:webHidden/>
          </w:rPr>
          <w:fldChar w:fldCharType="begin"/>
        </w:r>
        <w:r>
          <w:rPr>
            <w:noProof/>
            <w:webHidden/>
          </w:rPr>
          <w:instrText xml:space="preserve"> PAGEREF _Toc216468817 \h </w:instrText>
        </w:r>
        <w:r>
          <w:rPr>
            <w:noProof/>
            <w:webHidden/>
          </w:rPr>
        </w:r>
        <w:r>
          <w:rPr>
            <w:noProof/>
            <w:webHidden/>
          </w:rPr>
          <w:fldChar w:fldCharType="separate"/>
        </w:r>
        <w:r w:rsidR="00CE096F">
          <w:rPr>
            <w:noProof/>
            <w:webHidden/>
          </w:rPr>
          <w:t>154</w:t>
        </w:r>
        <w:r>
          <w:rPr>
            <w:noProof/>
            <w:webHidden/>
          </w:rPr>
          <w:fldChar w:fldCharType="end"/>
        </w:r>
      </w:hyperlink>
    </w:p>
    <w:p w14:paraId="4FA1D68E" w14:textId="6109B7C7"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18" w:history="1">
        <w:r w:rsidRPr="00B61D2D">
          <w:rPr>
            <w:rStyle w:val="Hyperlink"/>
            <w:noProof/>
          </w:rPr>
          <w:t>Ilustración 53. Variables espaciales evaluadas para la definición de las prioridades de restauración en la Sabana de Bogotá.</w:t>
        </w:r>
        <w:r>
          <w:rPr>
            <w:noProof/>
            <w:webHidden/>
          </w:rPr>
          <w:tab/>
        </w:r>
        <w:r>
          <w:rPr>
            <w:noProof/>
            <w:webHidden/>
          </w:rPr>
          <w:fldChar w:fldCharType="begin"/>
        </w:r>
        <w:r>
          <w:rPr>
            <w:noProof/>
            <w:webHidden/>
          </w:rPr>
          <w:instrText xml:space="preserve"> PAGEREF _Toc216468818 \h </w:instrText>
        </w:r>
        <w:r>
          <w:rPr>
            <w:noProof/>
            <w:webHidden/>
          </w:rPr>
        </w:r>
        <w:r>
          <w:rPr>
            <w:noProof/>
            <w:webHidden/>
          </w:rPr>
          <w:fldChar w:fldCharType="separate"/>
        </w:r>
        <w:r w:rsidR="00CE096F">
          <w:rPr>
            <w:noProof/>
            <w:webHidden/>
          </w:rPr>
          <w:t>156</w:t>
        </w:r>
        <w:r>
          <w:rPr>
            <w:noProof/>
            <w:webHidden/>
          </w:rPr>
          <w:fldChar w:fldCharType="end"/>
        </w:r>
      </w:hyperlink>
    </w:p>
    <w:p w14:paraId="0EB0E892" w14:textId="34BC3630"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19" w:history="1">
        <w:r w:rsidRPr="00B61D2D">
          <w:rPr>
            <w:rStyle w:val="Hyperlink"/>
            <w:noProof/>
          </w:rPr>
          <w:t>Ilustración 54. Resultado de cada una de las variables analizadas para la identificación de prioridades de restauración ecológica en la Sabana de Bogotá.</w:t>
        </w:r>
        <w:r>
          <w:rPr>
            <w:noProof/>
            <w:webHidden/>
          </w:rPr>
          <w:tab/>
        </w:r>
        <w:r>
          <w:rPr>
            <w:noProof/>
            <w:webHidden/>
          </w:rPr>
          <w:fldChar w:fldCharType="begin"/>
        </w:r>
        <w:r>
          <w:rPr>
            <w:noProof/>
            <w:webHidden/>
          </w:rPr>
          <w:instrText xml:space="preserve"> PAGEREF _Toc216468819 \h </w:instrText>
        </w:r>
        <w:r>
          <w:rPr>
            <w:noProof/>
            <w:webHidden/>
          </w:rPr>
        </w:r>
        <w:r>
          <w:rPr>
            <w:noProof/>
            <w:webHidden/>
          </w:rPr>
          <w:fldChar w:fldCharType="separate"/>
        </w:r>
        <w:r w:rsidR="00CE096F">
          <w:rPr>
            <w:noProof/>
            <w:webHidden/>
          </w:rPr>
          <w:t>157</w:t>
        </w:r>
        <w:r>
          <w:rPr>
            <w:noProof/>
            <w:webHidden/>
          </w:rPr>
          <w:fldChar w:fldCharType="end"/>
        </w:r>
      </w:hyperlink>
    </w:p>
    <w:p w14:paraId="33D6DA7E" w14:textId="1063BD71"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20" w:history="1">
        <w:r w:rsidRPr="00B61D2D">
          <w:rPr>
            <w:rStyle w:val="Hyperlink"/>
            <w:noProof/>
          </w:rPr>
          <w:t>Ilustración 55. Áreas identificadas como prioritarias para la restauración ecológica en la Sabana de Bogotá</w:t>
        </w:r>
        <w:r>
          <w:rPr>
            <w:noProof/>
            <w:webHidden/>
          </w:rPr>
          <w:tab/>
        </w:r>
        <w:r>
          <w:rPr>
            <w:noProof/>
            <w:webHidden/>
          </w:rPr>
          <w:fldChar w:fldCharType="begin"/>
        </w:r>
        <w:r>
          <w:rPr>
            <w:noProof/>
            <w:webHidden/>
          </w:rPr>
          <w:instrText xml:space="preserve"> PAGEREF _Toc216468820 \h </w:instrText>
        </w:r>
        <w:r>
          <w:rPr>
            <w:noProof/>
            <w:webHidden/>
          </w:rPr>
        </w:r>
        <w:r>
          <w:rPr>
            <w:noProof/>
            <w:webHidden/>
          </w:rPr>
          <w:fldChar w:fldCharType="separate"/>
        </w:r>
        <w:r w:rsidR="00CE096F">
          <w:rPr>
            <w:noProof/>
            <w:webHidden/>
          </w:rPr>
          <w:t>158</w:t>
        </w:r>
        <w:r>
          <w:rPr>
            <w:noProof/>
            <w:webHidden/>
          </w:rPr>
          <w:fldChar w:fldCharType="end"/>
        </w:r>
      </w:hyperlink>
    </w:p>
    <w:p w14:paraId="5488E91E" w14:textId="616CCD52"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21" w:history="1">
        <w:r w:rsidRPr="00B61D2D">
          <w:rPr>
            <w:rStyle w:val="Hyperlink"/>
            <w:noProof/>
          </w:rPr>
          <w:t>Ilustración 56 Extensión de las áreas prioritarias para la restauración discriminadas por municipios en la Sabana de Bogotá.</w:t>
        </w:r>
        <w:r>
          <w:rPr>
            <w:noProof/>
            <w:webHidden/>
          </w:rPr>
          <w:tab/>
        </w:r>
        <w:r>
          <w:rPr>
            <w:noProof/>
            <w:webHidden/>
          </w:rPr>
          <w:fldChar w:fldCharType="begin"/>
        </w:r>
        <w:r>
          <w:rPr>
            <w:noProof/>
            <w:webHidden/>
          </w:rPr>
          <w:instrText xml:space="preserve"> PAGEREF _Toc216468821 \h </w:instrText>
        </w:r>
        <w:r>
          <w:rPr>
            <w:noProof/>
            <w:webHidden/>
          </w:rPr>
        </w:r>
        <w:r>
          <w:rPr>
            <w:noProof/>
            <w:webHidden/>
          </w:rPr>
          <w:fldChar w:fldCharType="separate"/>
        </w:r>
        <w:r w:rsidR="00CE096F">
          <w:rPr>
            <w:noProof/>
            <w:webHidden/>
          </w:rPr>
          <w:t>159</w:t>
        </w:r>
        <w:r>
          <w:rPr>
            <w:noProof/>
            <w:webHidden/>
          </w:rPr>
          <w:fldChar w:fldCharType="end"/>
        </w:r>
      </w:hyperlink>
    </w:p>
    <w:p w14:paraId="2363F978" w14:textId="7785CCE2"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22" w:history="1">
        <w:r w:rsidRPr="00B61D2D">
          <w:rPr>
            <w:rStyle w:val="Hyperlink"/>
            <w:noProof/>
          </w:rPr>
          <w:t>Ilustración 57 Árbol de conflictos.</w:t>
        </w:r>
        <w:r>
          <w:rPr>
            <w:noProof/>
            <w:webHidden/>
          </w:rPr>
          <w:tab/>
        </w:r>
        <w:r>
          <w:rPr>
            <w:noProof/>
            <w:webHidden/>
          </w:rPr>
          <w:fldChar w:fldCharType="begin"/>
        </w:r>
        <w:r>
          <w:rPr>
            <w:noProof/>
            <w:webHidden/>
          </w:rPr>
          <w:instrText xml:space="preserve"> PAGEREF _Toc216468822 \h </w:instrText>
        </w:r>
        <w:r>
          <w:rPr>
            <w:noProof/>
            <w:webHidden/>
          </w:rPr>
        </w:r>
        <w:r>
          <w:rPr>
            <w:noProof/>
            <w:webHidden/>
          </w:rPr>
          <w:fldChar w:fldCharType="separate"/>
        </w:r>
        <w:r w:rsidR="00CE096F">
          <w:rPr>
            <w:noProof/>
            <w:webHidden/>
          </w:rPr>
          <w:t>160</w:t>
        </w:r>
        <w:r>
          <w:rPr>
            <w:noProof/>
            <w:webHidden/>
          </w:rPr>
          <w:fldChar w:fldCharType="end"/>
        </w:r>
      </w:hyperlink>
    </w:p>
    <w:p w14:paraId="4D6634B4" w14:textId="44157026"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23" w:history="1">
        <w:r w:rsidRPr="00B61D2D">
          <w:rPr>
            <w:rStyle w:val="Hyperlink"/>
            <w:noProof/>
          </w:rPr>
          <w:t>Ilustración 58 Huella de ocupación en Chía, según clasificación de suelo.</w:t>
        </w:r>
        <w:r>
          <w:rPr>
            <w:noProof/>
            <w:webHidden/>
          </w:rPr>
          <w:tab/>
        </w:r>
        <w:r>
          <w:rPr>
            <w:noProof/>
            <w:webHidden/>
          </w:rPr>
          <w:fldChar w:fldCharType="begin"/>
        </w:r>
        <w:r>
          <w:rPr>
            <w:noProof/>
            <w:webHidden/>
          </w:rPr>
          <w:instrText xml:space="preserve"> PAGEREF _Toc216468823 \h </w:instrText>
        </w:r>
        <w:r>
          <w:rPr>
            <w:noProof/>
            <w:webHidden/>
          </w:rPr>
        </w:r>
        <w:r>
          <w:rPr>
            <w:noProof/>
            <w:webHidden/>
          </w:rPr>
          <w:fldChar w:fldCharType="separate"/>
        </w:r>
        <w:r w:rsidR="00CE096F">
          <w:rPr>
            <w:noProof/>
            <w:webHidden/>
          </w:rPr>
          <w:t>175</w:t>
        </w:r>
        <w:r>
          <w:rPr>
            <w:noProof/>
            <w:webHidden/>
          </w:rPr>
          <w:fldChar w:fldCharType="end"/>
        </w:r>
      </w:hyperlink>
    </w:p>
    <w:p w14:paraId="6500BB80" w14:textId="0A289932"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24" w:history="1">
        <w:r w:rsidRPr="00B61D2D">
          <w:rPr>
            <w:rStyle w:val="Hyperlink"/>
            <w:noProof/>
          </w:rPr>
          <w:t>Ilustración 59. Huella de ocupación en el municipio de Cajicá, según clasificación de suelo definido en el POT.</w:t>
        </w:r>
        <w:r>
          <w:rPr>
            <w:noProof/>
            <w:webHidden/>
          </w:rPr>
          <w:tab/>
        </w:r>
        <w:r>
          <w:rPr>
            <w:noProof/>
            <w:webHidden/>
          </w:rPr>
          <w:fldChar w:fldCharType="begin"/>
        </w:r>
        <w:r>
          <w:rPr>
            <w:noProof/>
            <w:webHidden/>
          </w:rPr>
          <w:instrText xml:space="preserve"> PAGEREF _Toc216468824 \h </w:instrText>
        </w:r>
        <w:r>
          <w:rPr>
            <w:noProof/>
            <w:webHidden/>
          </w:rPr>
        </w:r>
        <w:r>
          <w:rPr>
            <w:noProof/>
            <w:webHidden/>
          </w:rPr>
          <w:fldChar w:fldCharType="separate"/>
        </w:r>
        <w:r w:rsidR="00CE096F">
          <w:rPr>
            <w:noProof/>
            <w:webHidden/>
          </w:rPr>
          <w:t>175</w:t>
        </w:r>
        <w:r>
          <w:rPr>
            <w:noProof/>
            <w:webHidden/>
          </w:rPr>
          <w:fldChar w:fldCharType="end"/>
        </w:r>
      </w:hyperlink>
    </w:p>
    <w:p w14:paraId="6825FCBB" w14:textId="0979C00F"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25" w:history="1">
        <w:r w:rsidRPr="00B61D2D">
          <w:rPr>
            <w:rStyle w:val="Hyperlink"/>
            <w:noProof/>
          </w:rPr>
          <w:t>Ilustración 60. Viviendas por ha según clasificación de suelo Chía y Cajicá</w:t>
        </w:r>
        <w:r>
          <w:rPr>
            <w:noProof/>
            <w:webHidden/>
          </w:rPr>
          <w:tab/>
        </w:r>
        <w:r>
          <w:rPr>
            <w:noProof/>
            <w:webHidden/>
          </w:rPr>
          <w:fldChar w:fldCharType="begin"/>
        </w:r>
        <w:r>
          <w:rPr>
            <w:noProof/>
            <w:webHidden/>
          </w:rPr>
          <w:instrText xml:space="preserve"> PAGEREF _Toc216468825 \h </w:instrText>
        </w:r>
        <w:r>
          <w:rPr>
            <w:noProof/>
            <w:webHidden/>
          </w:rPr>
        </w:r>
        <w:r>
          <w:rPr>
            <w:noProof/>
            <w:webHidden/>
          </w:rPr>
          <w:fldChar w:fldCharType="separate"/>
        </w:r>
        <w:r w:rsidR="00CE096F">
          <w:rPr>
            <w:noProof/>
            <w:webHidden/>
          </w:rPr>
          <w:t>176</w:t>
        </w:r>
        <w:r>
          <w:rPr>
            <w:noProof/>
            <w:webHidden/>
          </w:rPr>
          <w:fldChar w:fldCharType="end"/>
        </w:r>
      </w:hyperlink>
    </w:p>
    <w:p w14:paraId="145D8CF8" w14:textId="38B738BB"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26" w:history="1">
        <w:r w:rsidRPr="00B61D2D">
          <w:rPr>
            <w:rStyle w:val="Hyperlink"/>
            <w:noProof/>
          </w:rPr>
          <w:t>Ilustración 61. Viviendas por ha según clasificación de suelo Tenjo</w:t>
        </w:r>
        <w:r>
          <w:rPr>
            <w:noProof/>
            <w:webHidden/>
          </w:rPr>
          <w:tab/>
        </w:r>
        <w:r>
          <w:rPr>
            <w:noProof/>
            <w:webHidden/>
          </w:rPr>
          <w:fldChar w:fldCharType="begin"/>
        </w:r>
        <w:r>
          <w:rPr>
            <w:noProof/>
            <w:webHidden/>
          </w:rPr>
          <w:instrText xml:space="preserve"> PAGEREF _Toc216468826 \h </w:instrText>
        </w:r>
        <w:r>
          <w:rPr>
            <w:noProof/>
            <w:webHidden/>
          </w:rPr>
        </w:r>
        <w:r>
          <w:rPr>
            <w:noProof/>
            <w:webHidden/>
          </w:rPr>
          <w:fldChar w:fldCharType="separate"/>
        </w:r>
        <w:r w:rsidR="00CE096F">
          <w:rPr>
            <w:noProof/>
            <w:webHidden/>
          </w:rPr>
          <w:t>177</w:t>
        </w:r>
        <w:r>
          <w:rPr>
            <w:noProof/>
            <w:webHidden/>
          </w:rPr>
          <w:fldChar w:fldCharType="end"/>
        </w:r>
      </w:hyperlink>
    </w:p>
    <w:p w14:paraId="63F5C34F" w14:textId="1CB56B19"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27" w:history="1">
        <w:r w:rsidRPr="00B61D2D">
          <w:rPr>
            <w:rStyle w:val="Hyperlink"/>
            <w:noProof/>
          </w:rPr>
          <w:t>Ilustración 62 Vigencia de los Planes de Ordenamiento Territorial de los municipios del ámbito Sabana de Bogotá</w:t>
        </w:r>
        <w:r>
          <w:rPr>
            <w:noProof/>
            <w:webHidden/>
          </w:rPr>
          <w:tab/>
        </w:r>
        <w:r>
          <w:rPr>
            <w:noProof/>
            <w:webHidden/>
          </w:rPr>
          <w:fldChar w:fldCharType="begin"/>
        </w:r>
        <w:r>
          <w:rPr>
            <w:noProof/>
            <w:webHidden/>
          </w:rPr>
          <w:instrText xml:space="preserve"> PAGEREF _Toc216468827 \h </w:instrText>
        </w:r>
        <w:r>
          <w:rPr>
            <w:noProof/>
            <w:webHidden/>
          </w:rPr>
        </w:r>
        <w:r>
          <w:rPr>
            <w:noProof/>
            <w:webHidden/>
          </w:rPr>
          <w:fldChar w:fldCharType="separate"/>
        </w:r>
        <w:r w:rsidR="00CE096F">
          <w:rPr>
            <w:noProof/>
            <w:webHidden/>
          </w:rPr>
          <w:t>179</w:t>
        </w:r>
        <w:r>
          <w:rPr>
            <w:noProof/>
            <w:webHidden/>
          </w:rPr>
          <w:fldChar w:fldCharType="end"/>
        </w:r>
      </w:hyperlink>
    </w:p>
    <w:p w14:paraId="665296E6" w14:textId="327A3579"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28" w:history="1">
        <w:r w:rsidRPr="00B61D2D">
          <w:rPr>
            <w:rStyle w:val="Hyperlink"/>
            <w:noProof/>
          </w:rPr>
          <w:t>Ilustración 63 Evolución huella de ocupación - Municipio de Mosquera</w:t>
        </w:r>
        <w:r>
          <w:rPr>
            <w:noProof/>
            <w:webHidden/>
          </w:rPr>
          <w:tab/>
        </w:r>
        <w:r>
          <w:rPr>
            <w:noProof/>
            <w:webHidden/>
          </w:rPr>
          <w:fldChar w:fldCharType="begin"/>
        </w:r>
        <w:r>
          <w:rPr>
            <w:noProof/>
            <w:webHidden/>
          </w:rPr>
          <w:instrText xml:space="preserve"> PAGEREF _Toc216468828 \h </w:instrText>
        </w:r>
        <w:r>
          <w:rPr>
            <w:noProof/>
            <w:webHidden/>
          </w:rPr>
        </w:r>
        <w:r>
          <w:rPr>
            <w:noProof/>
            <w:webHidden/>
          </w:rPr>
          <w:fldChar w:fldCharType="separate"/>
        </w:r>
        <w:r w:rsidR="00CE096F">
          <w:rPr>
            <w:noProof/>
            <w:webHidden/>
          </w:rPr>
          <w:t>184</w:t>
        </w:r>
        <w:r>
          <w:rPr>
            <w:noProof/>
            <w:webHidden/>
          </w:rPr>
          <w:fldChar w:fldCharType="end"/>
        </w:r>
      </w:hyperlink>
    </w:p>
    <w:p w14:paraId="0973D04C" w14:textId="73647F8E"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29" w:history="1">
        <w:r w:rsidRPr="00B61D2D">
          <w:rPr>
            <w:rStyle w:val="Hyperlink"/>
            <w:noProof/>
          </w:rPr>
          <w:t>Ilustración 64. Huella de ocupación en el municipio de Mosquera para el año de 1975</w:t>
        </w:r>
        <w:r>
          <w:rPr>
            <w:noProof/>
            <w:webHidden/>
          </w:rPr>
          <w:tab/>
        </w:r>
        <w:r>
          <w:rPr>
            <w:noProof/>
            <w:webHidden/>
          </w:rPr>
          <w:fldChar w:fldCharType="begin"/>
        </w:r>
        <w:r>
          <w:rPr>
            <w:noProof/>
            <w:webHidden/>
          </w:rPr>
          <w:instrText xml:space="preserve"> PAGEREF _Toc216468829 \h </w:instrText>
        </w:r>
        <w:r>
          <w:rPr>
            <w:noProof/>
            <w:webHidden/>
          </w:rPr>
        </w:r>
        <w:r>
          <w:rPr>
            <w:noProof/>
            <w:webHidden/>
          </w:rPr>
          <w:fldChar w:fldCharType="separate"/>
        </w:r>
        <w:r w:rsidR="00CE096F">
          <w:rPr>
            <w:noProof/>
            <w:webHidden/>
          </w:rPr>
          <w:t>185</w:t>
        </w:r>
        <w:r>
          <w:rPr>
            <w:noProof/>
            <w:webHidden/>
          </w:rPr>
          <w:fldChar w:fldCharType="end"/>
        </w:r>
      </w:hyperlink>
    </w:p>
    <w:p w14:paraId="3B0AA5D0" w14:textId="1A5D92ED"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30" w:history="1">
        <w:r w:rsidRPr="00B61D2D">
          <w:rPr>
            <w:rStyle w:val="Hyperlink"/>
            <w:noProof/>
          </w:rPr>
          <w:t>Ilustración 65 Huella de ocupación del municipio de Mosquera para el año 2020</w:t>
        </w:r>
        <w:r w:rsidRPr="00B61D2D">
          <w:rPr>
            <w:rStyle w:val="Hyperlink"/>
            <w:rFonts w:ascii="Baskerville" w:eastAsia="Century Gothic" w:hAnsi="Baskerville"/>
            <w:noProof/>
          </w:rPr>
          <w:t>.</w:t>
        </w:r>
        <w:r>
          <w:rPr>
            <w:noProof/>
            <w:webHidden/>
          </w:rPr>
          <w:tab/>
        </w:r>
        <w:r>
          <w:rPr>
            <w:noProof/>
            <w:webHidden/>
          </w:rPr>
          <w:fldChar w:fldCharType="begin"/>
        </w:r>
        <w:r>
          <w:rPr>
            <w:noProof/>
            <w:webHidden/>
          </w:rPr>
          <w:instrText xml:space="preserve"> PAGEREF _Toc216468830 \h </w:instrText>
        </w:r>
        <w:r>
          <w:rPr>
            <w:noProof/>
            <w:webHidden/>
          </w:rPr>
        </w:r>
        <w:r>
          <w:rPr>
            <w:noProof/>
            <w:webHidden/>
          </w:rPr>
          <w:fldChar w:fldCharType="separate"/>
        </w:r>
        <w:r w:rsidR="00CE096F">
          <w:rPr>
            <w:noProof/>
            <w:webHidden/>
          </w:rPr>
          <w:t>185</w:t>
        </w:r>
        <w:r>
          <w:rPr>
            <w:noProof/>
            <w:webHidden/>
          </w:rPr>
          <w:fldChar w:fldCharType="end"/>
        </w:r>
      </w:hyperlink>
    </w:p>
    <w:p w14:paraId="2287EADD" w14:textId="5A29750A"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31" w:history="1">
        <w:r w:rsidRPr="00B61D2D">
          <w:rPr>
            <w:rStyle w:val="Hyperlink"/>
            <w:noProof/>
          </w:rPr>
          <w:t xml:space="preserve">Ilustración </w:t>
        </w:r>
        <w:r w:rsidRPr="00B61D2D">
          <w:rPr>
            <w:rStyle w:val="Hyperlink"/>
            <w:rFonts w:ascii="Baskerville" w:hAnsi="Baskerville"/>
            <w:noProof/>
          </w:rPr>
          <w:t>66</w:t>
        </w:r>
        <w:r w:rsidRPr="00B61D2D">
          <w:rPr>
            <w:rStyle w:val="Hyperlink"/>
            <w:noProof/>
          </w:rPr>
          <w:t>. Proyección huella de ocupación - Mosquera 2025-2035</w:t>
        </w:r>
        <w:r>
          <w:rPr>
            <w:noProof/>
            <w:webHidden/>
          </w:rPr>
          <w:tab/>
        </w:r>
        <w:r>
          <w:rPr>
            <w:noProof/>
            <w:webHidden/>
          </w:rPr>
          <w:fldChar w:fldCharType="begin"/>
        </w:r>
        <w:r>
          <w:rPr>
            <w:noProof/>
            <w:webHidden/>
          </w:rPr>
          <w:instrText xml:space="preserve"> PAGEREF _Toc216468831 \h </w:instrText>
        </w:r>
        <w:r>
          <w:rPr>
            <w:noProof/>
            <w:webHidden/>
          </w:rPr>
        </w:r>
        <w:r>
          <w:rPr>
            <w:noProof/>
            <w:webHidden/>
          </w:rPr>
          <w:fldChar w:fldCharType="separate"/>
        </w:r>
        <w:r w:rsidR="00CE096F">
          <w:rPr>
            <w:noProof/>
            <w:webHidden/>
          </w:rPr>
          <w:t>186</w:t>
        </w:r>
        <w:r>
          <w:rPr>
            <w:noProof/>
            <w:webHidden/>
          </w:rPr>
          <w:fldChar w:fldCharType="end"/>
        </w:r>
      </w:hyperlink>
    </w:p>
    <w:p w14:paraId="5349F301" w14:textId="4236DD18"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32" w:history="1">
        <w:r w:rsidRPr="00B61D2D">
          <w:rPr>
            <w:rStyle w:val="Hyperlink"/>
            <w:noProof/>
          </w:rPr>
          <w:t>Ilustración 67 Proyección huella de ocupación - Mosquera 2035</w:t>
        </w:r>
        <w:r>
          <w:rPr>
            <w:noProof/>
            <w:webHidden/>
          </w:rPr>
          <w:tab/>
        </w:r>
        <w:r>
          <w:rPr>
            <w:noProof/>
            <w:webHidden/>
          </w:rPr>
          <w:fldChar w:fldCharType="begin"/>
        </w:r>
        <w:r>
          <w:rPr>
            <w:noProof/>
            <w:webHidden/>
          </w:rPr>
          <w:instrText xml:space="preserve"> PAGEREF _Toc216468832 \h </w:instrText>
        </w:r>
        <w:r>
          <w:rPr>
            <w:noProof/>
            <w:webHidden/>
          </w:rPr>
        </w:r>
        <w:r>
          <w:rPr>
            <w:noProof/>
            <w:webHidden/>
          </w:rPr>
          <w:fldChar w:fldCharType="separate"/>
        </w:r>
        <w:r w:rsidR="00CE096F">
          <w:rPr>
            <w:noProof/>
            <w:webHidden/>
          </w:rPr>
          <w:t>187</w:t>
        </w:r>
        <w:r>
          <w:rPr>
            <w:noProof/>
            <w:webHidden/>
          </w:rPr>
          <w:fldChar w:fldCharType="end"/>
        </w:r>
      </w:hyperlink>
    </w:p>
    <w:p w14:paraId="56FC5B95" w14:textId="41AEB559"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33" w:history="1">
        <w:r w:rsidRPr="00B61D2D">
          <w:rPr>
            <w:rStyle w:val="Hyperlink"/>
            <w:noProof/>
          </w:rPr>
          <w:t>Ilustración 68 Procesamiento Google Earth Engine para modelación en la Sabana de Bogotá.</w:t>
        </w:r>
        <w:r>
          <w:rPr>
            <w:noProof/>
            <w:webHidden/>
          </w:rPr>
          <w:tab/>
        </w:r>
        <w:r>
          <w:rPr>
            <w:noProof/>
            <w:webHidden/>
          </w:rPr>
          <w:fldChar w:fldCharType="begin"/>
        </w:r>
        <w:r>
          <w:rPr>
            <w:noProof/>
            <w:webHidden/>
          </w:rPr>
          <w:instrText xml:space="preserve"> PAGEREF _Toc216468833 \h </w:instrText>
        </w:r>
        <w:r>
          <w:rPr>
            <w:noProof/>
            <w:webHidden/>
          </w:rPr>
        </w:r>
        <w:r>
          <w:rPr>
            <w:noProof/>
            <w:webHidden/>
          </w:rPr>
          <w:fldChar w:fldCharType="separate"/>
        </w:r>
        <w:r w:rsidR="00CE096F">
          <w:rPr>
            <w:noProof/>
            <w:webHidden/>
          </w:rPr>
          <w:t>190</w:t>
        </w:r>
        <w:r>
          <w:rPr>
            <w:noProof/>
            <w:webHidden/>
          </w:rPr>
          <w:fldChar w:fldCharType="end"/>
        </w:r>
      </w:hyperlink>
    </w:p>
    <w:p w14:paraId="2A524463" w14:textId="6D1152D9"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34" w:history="1">
        <w:r w:rsidRPr="00B61D2D">
          <w:rPr>
            <w:rStyle w:val="Hyperlink"/>
            <w:noProof/>
          </w:rPr>
          <w:t>Ilustración 69 Tasa de incremento anual del área construida en los municipios de la Sabana de Bogotá en el periodo 1975 - 2030</w:t>
        </w:r>
        <w:r>
          <w:rPr>
            <w:noProof/>
            <w:webHidden/>
          </w:rPr>
          <w:tab/>
        </w:r>
        <w:r>
          <w:rPr>
            <w:noProof/>
            <w:webHidden/>
          </w:rPr>
          <w:fldChar w:fldCharType="begin"/>
        </w:r>
        <w:r>
          <w:rPr>
            <w:noProof/>
            <w:webHidden/>
          </w:rPr>
          <w:instrText xml:space="preserve"> PAGEREF _Toc216468834 \h </w:instrText>
        </w:r>
        <w:r>
          <w:rPr>
            <w:noProof/>
            <w:webHidden/>
          </w:rPr>
        </w:r>
        <w:r>
          <w:rPr>
            <w:noProof/>
            <w:webHidden/>
          </w:rPr>
          <w:fldChar w:fldCharType="separate"/>
        </w:r>
        <w:r w:rsidR="00CE096F">
          <w:rPr>
            <w:noProof/>
            <w:webHidden/>
          </w:rPr>
          <w:t>191</w:t>
        </w:r>
        <w:r>
          <w:rPr>
            <w:noProof/>
            <w:webHidden/>
          </w:rPr>
          <w:fldChar w:fldCharType="end"/>
        </w:r>
      </w:hyperlink>
    </w:p>
    <w:p w14:paraId="31165AF7" w14:textId="530F0555"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35" w:history="1">
        <w:r w:rsidRPr="00B61D2D">
          <w:rPr>
            <w:rStyle w:val="Hyperlink"/>
            <w:noProof/>
          </w:rPr>
          <w:t>Ilustración 70. Hectáreas de Huella Urbana para la Sabana de Bogotá proyectadas para el periodo 1975 – 2030.</w:t>
        </w:r>
        <w:r>
          <w:rPr>
            <w:noProof/>
            <w:webHidden/>
          </w:rPr>
          <w:tab/>
        </w:r>
        <w:r>
          <w:rPr>
            <w:noProof/>
            <w:webHidden/>
          </w:rPr>
          <w:fldChar w:fldCharType="begin"/>
        </w:r>
        <w:r>
          <w:rPr>
            <w:noProof/>
            <w:webHidden/>
          </w:rPr>
          <w:instrText xml:space="preserve"> PAGEREF _Toc216468835 \h </w:instrText>
        </w:r>
        <w:r>
          <w:rPr>
            <w:noProof/>
            <w:webHidden/>
          </w:rPr>
        </w:r>
        <w:r>
          <w:rPr>
            <w:noProof/>
            <w:webHidden/>
          </w:rPr>
          <w:fldChar w:fldCharType="separate"/>
        </w:r>
        <w:r w:rsidR="00CE096F">
          <w:rPr>
            <w:noProof/>
            <w:webHidden/>
          </w:rPr>
          <w:t>192</w:t>
        </w:r>
        <w:r>
          <w:rPr>
            <w:noProof/>
            <w:webHidden/>
          </w:rPr>
          <w:fldChar w:fldCharType="end"/>
        </w:r>
      </w:hyperlink>
    </w:p>
    <w:p w14:paraId="41AC76C5" w14:textId="4733FB07"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36" w:history="1">
        <w:r w:rsidRPr="00B61D2D">
          <w:rPr>
            <w:rStyle w:val="Hyperlink"/>
            <w:noProof/>
          </w:rPr>
          <w:t>Ilustración 71. Municipios de la Sabana de Bogotá con mayor área construida (km</w:t>
        </w:r>
        <w:r w:rsidRPr="00B61D2D">
          <w:rPr>
            <w:rStyle w:val="Hyperlink"/>
            <w:noProof/>
            <w:vertAlign w:val="superscript"/>
          </w:rPr>
          <w:t>2</w:t>
        </w:r>
        <w:r w:rsidRPr="00B61D2D">
          <w:rPr>
            <w:rStyle w:val="Hyperlink"/>
            <w:noProof/>
          </w:rPr>
          <w:t>), sin incluir Bogotá.</w:t>
        </w:r>
        <w:r>
          <w:rPr>
            <w:noProof/>
            <w:webHidden/>
          </w:rPr>
          <w:tab/>
        </w:r>
        <w:r>
          <w:rPr>
            <w:noProof/>
            <w:webHidden/>
          </w:rPr>
          <w:fldChar w:fldCharType="begin"/>
        </w:r>
        <w:r>
          <w:rPr>
            <w:noProof/>
            <w:webHidden/>
          </w:rPr>
          <w:instrText xml:space="preserve"> PAGEREF _Toc216468836 \h </w:instrText>
        </w:r>
        <w:r>
          <w:rPr>
            <w:noProof/>
            <w:webHidden/>
          </w:rPr>
        </w:r>
        <w:r>
          <w:rPr>
            <w:noProof/>
            <w:webHidden/>
          </w:rPr>
          <w:fldChar w:fldCharType="separate"/>
        </w:r>
        <w:r w:rsidR="00CE096F">
          <w:rPr>
            <w:noProof/>
            <w:webHidden/>
          </w:rPr>
          <w:t>194</w:t>
        </w:r>
        <w:r>
          <w:rPr>
            <w:noProof/>
            <w:webHidden/>
          </w:rPr>
          <w:fldChar w:fldCharType="end"/>
        </w:r>
      </w:hyperlink>
    </w:p>
    <w:p w14:paraId="10553085" w14:textId="09D33727"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37" w:history="1">
        <w:r w:rsidRPr="00B61D2D">
          <w:rPr>
            <w:rStyle w:val="Hyperlink"/>
            <w:noProof/>
          </w:rPr>
          <w:t>Ilustración 72. Porcentaje de crecimiento de área construida en los periodos 1975 a 2025 y sus proyecciones al periodo 2025 a 2030</w:t>
        </w:r>
        <w:r>
          <w:rPr>
            <w:noProof/>
            <w:webHidden/>
          </w:rPr>
          <w:tab/>
        </w:r>
        <w:r>
          <w:rPr>
            <w:noProof/>
            <w:webHidden/>
          </w:rPr>
          <w:fldChar w:fldCharType="begin"/>
        </w:r>
        <w:r>
          <w:rPr>
            <w:noProof/>
            <w:webHidden/>
          </w:rPr>
          <w:instrText xml:space="preserve"> PAGEREF _Toc216468837 \h </w:instrText>
        </w:r>
        <w:r>
          <w:rPr>
            <w:noProof/>
            <w:webHidden/>
          </w:rPr>
        </w:r>
        <w:r>
          <w:rPr>
            <w:noProof/>
            <w:webHidden/>
          </w:rPr>
          <w:fldChar w:fldCharType="separate"/>
        </w:r>
        <w:r w:rsidR="00CE096F">
          <w:rPr>
            <w:noProof/>
            <w:webHidden/>
          </w:rPr>
          <w:t>194</w:t>
        </w:r>
        <w:r>
          <w:rPr>
            <w:noProof/>
            <w:webHidden/>
          </w:rPr>
          <w:fldChar w:fldCharType="end"/>
        </w:r>
      </w:hyperlink>
    </w:p>
    <w:p w14:paraId="2F3326B3" w14:textId="6436D41B"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38" w:history="1">
        <w:r w:rsidRPr="00B61D2D">
          <w:rPr>
            <w:rStyle w:val="Hyperlink"/>
            <w:noProof/>
          </w:rPr>
          <w:t>Ilustración 73 Dinámica de expansión del área construida para Chía (1975 - 2025)</w:t>
        </w:r>
        <w:r>
          <w:rPr>
            <w:noProof/>
            <w:webHidden/>
          </w:rPr>
          <w:tab/>
        </w:r>
        <w:r>
          <w:rPr>
            <w:noProof/>
            <w:webHidden/>
          </w:rPr>
          <w:fldChar w:fldCharType="begin"/>
        </w:r>
        <w:r>
          <w:rPr>
            <w:noProof/>
            <w:webHidden/>
          </w:rPr>
          <w:instrText xml:space="preserve"> PAGEREF _Toc216468838 \h </w:instrText>
        </w:r>
        <w:r>
          <w:rPr>
            <w:noProof/>
            <w:webHidden/>
          </w:rPr>
        </w:r>
        <w:r>
          <w:rPr>
            <w:noProof/>
            <w:webHidden/>
          </w:rPr>
          <w:fldChar w:fldCharType="separate"/>
        </w:r>
        <w:r w:rsidR="00CE096F">
          <w:rPr>
            <w:noProof/>
            <w:webHidden/>
          </w:rPr>
          <w:t>195</w:t>
        </w:r>
        <w:r>
          <w:rPr>
            <w:noProof/>
            <w:webHidden/>
          </w:rPr>
          <w:fldChar w:fldCharType="end"/>
        </w:r>
      </w:hyperlink>
    </w:p>
    <w:p w14:paraId="58606656" w14:textId="4CA59FA0"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39" w:history="1">
        <w:r w:rsidRPr="00B61D2D">
          <w:rPr>
            <w:rStyle w:val="Hyperlink"/>
            <w:noProof/>
          </w:rPr>
          <w:t>Ilustración 74. Dinámica de expansión del área construida para Madrid (1975 - 2025)</w:t>
        </w:r>
        <w:r>
          <w:rPr>
            <w:noProof/>
            <w:webHidden/>
          </w:rPr>
          <w:tab/>
        </w:r>
        <w:r>
          <w:rPr>
            <w:noProof/>
            <w:webHidden/>
          </w:rPr>
          <w:fldChar w:fldCharType="begin"/>
        </w:r>
        <w:r>
          <w:rPr>
            <w:noProof/>
            <w:webHidden/>
          </w:rPr>
          <w:instrText xml:space="preserve"> PAGEREF _Toc216468839 \h </w:instrText>
        </w:r>
        <w:r>
          <w:rPr>
            <w:noProof/>
            <w:webHidden/>
          </w:rPr>
        </w:r>
        <w:r>
          <w:rPr>
            <w:noProof/>
            <w:webHidden/>
          </w:rPr>
          <w:fldChar w:fldCharType="separate"/>
        </w:r>
        <w:r w:rsidR="00CE096F">
          <w:rPr>
            <w:noProof/>
            <w:webHidden/>
          </w:rPr>
          <w:t>195</w:t>
        </w:r>
        <w:r>
          <w:rPr>
            <w:noProof/>
            <w:webHidden/>
          </w:rPr>
          <w:fldChar w:fldCharType="end"/>
        </w:r>
      </w:hyperlink>
    </w:p>
    <w:p w14:paraId="0542CBC2" w14:textId="046292A1"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40" w:history="1">
        <w:r w:rsidRPr="00B61D2D">
          <w:rPr>
            <w:rStyle w:val="Hyperlink"/>
            <w:noProof/>
          </w:rPr>
          <w:t>Ilustración 75. Dinámica de expansión del área construida para Facatativá (1975 - 2025)</w:t>
        </w:r>
        <w:r>
          <w:rPr>
            <w:noProof/>
            <w:webHidden/>
          </w:rPr>
          <w:tab/>
        </w:r>
        <w:r>
          <w:rPr>
            <w:noProof/>
            <w:webHidden/>
          </w:rPr>
          <w:fldChar w:fldCharType="begin"/>
        </w:r>
        <w:r>
          <w:rPr>
            <w:noProof/>
            <w:webHidden/>
          </w:rPr>
          <w:instrText xml:space="preserve"> PAGEREF _Toc216468840 \h </w:instrText>
        </w:r>
        <w:r>
          <w:rPr>
            <w:noProof/>
            <w:webHidden/>
          </w:rPr>
        </w:r>
        <w:r>
          <w:rPr>
            <w:noProof/>
            <w:webHidden/>
          </w:rPr>
          <w:fldChar w:fldCharType="separate"/>
        </w:r>
        <w:r w:rsidR="00CE096F">
          <w:rPr>
            <w:noProof/>
            <w:webHidden/>
          </w:rPr>
          <w:t>196</w:t>
        </w:r>
        <w:r>
          <w:rPr>
            <w:noProof/>
            <w:webHidden/>
          </w:rPr>
          <w:fldChar w:fldCharType="end"/>
        </w:r>
      </w:hyperlink>
    </w:p>
    <w:p w14:paraId="6E8F9522" w14:textId="160D07A5"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41" w:history="1">
        <w:r w:rsidRPr="00B61D2D">
          <w:rPr>
            <w:rStyle w:val="Hyperlink"/>
            <w:noProof/>
          </w:rPr>
          <w:t>Ilustración 76. Dinámica de expansión del área construida para Soacha (1975 - 2025)</w:t>
        </w:r>
        <w:r>
          <w:rPr>
            <w:noProof/>
            <w:webHidden/>
          </w:rPr>
          <w:tab/>
        </w:r>
        <w:r>
          <w:rPr>
            <w:noProof/>
            <w:webHidden/>
          </w:rPr>
          <w:fldChar w:fldCharType="begin"/>
        </w:r>
        <w:r>
          <w:rPr>
            <w:noProof/>
            <w:webHidden/>
          </w:rPr>
          <w:instrText xml:space="preserve"> PAGEREF _Toc216468841 \h </w:instrText>
        </w:r>
        <w:r>
          <w:rPr>
            <w:noProof/>
            <w:webHidden/>
          </w:rPr>
        </w:r>
        <w:r>
          <w:rPr>
            <w:noProof/>
            <w:webHidden/>
          </w:rPr>
          <w:fldChar w:fldCharType="separate"/>
        </w:r>
        <w:r w:rsidR="00CE096F">
          <w:rPr>
            <w:noProof/>
            <w:webHidden/>
          </w:rPr>
          <w:t>196</w:t>
        </w:r>
        <w:r>
          <w:rPr>
            <w:noProof/>
            <w:webHidden/>
          </w:rPr>
          <w:fldChar w:fldCharType="end"/>
        </w:r>
      </w:hyperlink>
    </w:p>
    <w:p w14:paraId="15593A62" w14:textId="2DC1AD1D"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42" w:history="1">
        <w:r w:rsidRPr="00B61D2D">
          <w:rPr>
            <w:rStyle w:val="Hyperlink"/>
            <w:noProof/>
          </w:rPr>
          <w:t>Ilustración 77. Dinámica de expansión del área construida para Bogotá D.C. (1975 - 2025)</w:t>
        </w:r>
        <w:r>
          <w:rPr>
            <w:noProof/>
            <w:webHidden/>
          </w:rPr>
          <w:tab/>
        </w:r>
        <w:r>
          <w:rPr>
            <w:noProof/>
            <w:webHidden/>
          </w:rPr>
          <w:fldChar w:fldCharType="begin"/>
        </w:r>
        <w:r>
          <w:rPr>
            <w:noProof/>
            <w:webHidden/>
          </w:rPr>
          <w:instrText xml:space="preserve"> PAGEREF _Toc216468842 \h </w:instrText>
        </w:r>
        <w:r>
          <w:rPr>
            <w:noProof/>
            <w:webHidden/>
          </w:rPr>
        </w:r>
        <w:r>
          <w:rPr>
            <w:noProof/>
            <w:webHidden/>
          </w:rPr>
          <w:fldChar w:fldCharType="separate"/>
        </w:r>
        <w:r w:rsidR="00CE096F">
          <w:rPr>
            <w:noProof/>
            <w:webHidden/>
          </w:rPr>
          <w:t>197</w:t>
        </w:r>
        <w:r>
          <w:rPr>
            <w:noProof/>
            <w:webHidden/>
          </w:rPr>
          <w:fldChar w:fldCharType="end"/>
        </w:r>
      </w:hyperlink>
    </w:p>
    <w:p w14:paraId="1B216CFD" w14:textId="778DD634"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43" w:history="1">
        <w:r w:rsidRPr="00B61D2D">
          <w:rPr>
            <w:rStyle w:val="Hyperlink"/>
            <w:noProof/>
          </w:rPr>
          <w:t>Ilustración 78. Huella construida en la Sabana de Bogotá (Google Footprint, 2025)</w:t>
        </w:r>
        <w:r>
          <w:rPr>
            <w:noProof/>
            <w:webHidden/>
          </w:rPr>
          <w:tab/>
        </w:r>
        <w:r>
          <w:rPr>
            <w:noProof/>
            <w:webHidden/>
          </w:rPr>
          <w:fldChar w:fldCharType="begin"/>
        </w:r>
        <w:r>
          <w:rPr>
            <w:noProof/>
            <w:webHidden/>
          </w:rPr>
          <w:instrText xml:space="preserve"> PAGEREF _Toc216468843 \h </w:instrText>
        </w:r>
        <w:r>
          <w:rPr>
            <w:noProof/>
            <w:webHidden/>
          </w:rPr>
        </w:r>
        <w:r>
          <w:rPr>
            <w:noProof/>
            <w:webHidden/>
          </w:rPr>
          <w:fldChar w:fldCharType="separate"/>
        </w:r>
        <w:r w:rsidR="00CE096F">
          <w:rPr>
            <w:noProof/>
            <w:webHidden/>
          </w:rPr>
          <w:t>199</w:t>
        </w:r>
        <w:r>
          <w:rPr>
            <w:noProof/>
            <w:webHidden/>
          </w:rPr>
          <w:fldChar w:fldCharType="end"/>
        </w:r>
      </w:hyperlink>
    </w:p>
    <w:p w14:paraId="6C5EDFE7" w14:textId="45D93DF3"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44" w:history="1">
        <w:r w:rsidRPr="00B61D2D">
          <w:rPr>
            <w:rStyle w:val="Hyperlink"/>
            <w:noProof/>
          </w:rPr>
          <w:t>Ilustración 79. Huella Construida en centros poblados de la Sabana de Bogotá. (Google Footprint, 2025)</w:t>
        </w:r>
        <w:r>
          <w:rPr>
            <w:noProof/>
            <w:webHidden/>
          </w:rPr>
          <w:tab/>
        </w:r>
        <w:r>
          <w:rPr>
            <w:noProof/>
            <w:webHidden/>
          </w:rPr>
          <w:fldChar w:fldCharType="begin"/>
        </w:r>
        <w:r>
          <w:rPr>
            <w:noProof/>
            <w:webHidden/>
          </w:rPr>
          <w:instrText xml:space="preserve"> PAGEREF _Toc216468844 \h </w:instrText>
        </w:r>
        <w:r>
          <w:rPr>
            <w:noProof/>
            <w:webHidden/>
          </w:rPr>
        </w:r>
        <w:r>
          <w:rPr>
            <w:noProof/>
            <w:webHidden/>
          </w:rPr>
          <w:fldChar w:fldCharType="separate"/>
        </w:r>
        <w:r w:rsidR="00CE096F">
          <w:rPr>
            <w:noProof/>
            <w:webHidden/>
          </w:rPr>
          <w:t>200</w:t>
        </w:r>
        <w:r>
          <w:rPr>
            <w:noProof/>
            <w:webHidden/>
          </w:rPr>
          <w:fldChar w:fldCharType="end"/>
        </w:r>
      </w:hyperlink>
    </w:p>
    <w:p w14:paraId="0EC09163" w14:textId="09D0FC41"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45" w:history="1">
        <w:r w:rsidRPr="00B61D2D">
          <w:rPr>
            <w:rStyle w:val="Hyperlink"/>
            <w:noProof/>
          </w:rPr>
          <w:t>Ilustración 80 Proyecciones de población Sabana de Bogotá</w:t>
        </w:r>
        <w:r>
          <w:rPr>
            <w:noProof/>
            <w:webHidden/>
          </w:rPr>
          <w:tab/>
        </w:r>
        <w:r>
          <w:rPr>
            <w:noProof/>
            <w:webHidden/>
          </w:rPr>
          <w:fldChar w:fldCharType="begin"/>
        </w:r>
        <w:r>
          <w:rPr>
            <w:noProof/>
            <w:webHidden/>
          </w:rPr>
          <w:instrText xml:space="preserve"> PAGEREF _Toc216468845 \h </w:instrText>
        </w:r>
        <w:r>
          <w:rPr>
            <w:noProof/>
            <w:webHidden/>
          </w:rPr>
        </w:r>
        <w:r>
          <w:rPr>
            <w:noProof/>
            <w:webHidden/>
          </w:rPr>
          <w:fldChar w:fldCharType="separate"/>
        </w:r>
        <w:r w:rsidR="00CE096F">
          <w:rPr>
            <w:noProof/>
            <w:webHidden/>
          </w:rPr>
          <w:t>201</w:t>
        </w:r>
        <w:r>
          <w:rPr>
            <w:noProof/>
            <w:webHidden/>
          </w:rPr>
          <w:fldChar w:fldCharType="end"/>
        </w:r>
      </w:hyperlink>
    </w:p>
    <w:p w14:paraId="0C964F2C" w14:textId="49AF1212"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46" w:history="1">
        <w:r w:rsidRPr="00B61D2D">
          <w:rPr>
            <w:rStyle w:val="Hyperlink"/>
            <w:noProof/>
          </w:rPr>
          <w:t>Ilustración 81. Ecuación compensadora Bogotá región (DANE).</w:t>
        </w:r>
        <w:r>
          <w:rPr>
            <w:noProof/>
            <w:webHidden/>
          </w:rPr>
          <w:tab/>
        </w:r>
        <w:r>
          <w:rPr>
            <w:noProof/>
            <w:webHidden/>
          </w:rPr>
          <w:fldChar w:fldCharType="begin"/>
        </w:r>
        <w:r>
          <w:rPr>
            <w:noProof/>
            <w:webHidden/>
          </w:rPr>
          <w:instrText xml:space="preserve"> PAGEREF _Toc216468846 \h </w:instrText>
        </w:r>
        <w:r>
          <w:rPr>
            <w:noProof/>
            <w:webHidden/>
          </w:rPr>
        </w:r>
        <w:r>
          <w:rPr>
            <w:noProof/>
            <w:webHidden/>
          </w:rPr>
          <w:fldChar w:fldCharType="separate"/>
        </w:r>
        <w:r w:rsidR="00CE096F">
          <w:rPr>
            <w:noProof/>
            <w:webHidden/>
          </w:rPr>
          <w:t>208</w:t>
        </w:r>
        <w:r>
          <w:rPr>
            <w:noProof/>
            <w:webHidden/>
          </w:rPr>
          <w:fldChar w:fldCharType="end"/>
        </w:r>
      </w:hyperlink>
    </w:p>
    <w:p w14:paraId="7D67F40B" w14:textId="484DED24"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47" w:history="1">
        <w:r w:rsidRPr="00B61D2D">
          <w:rPr>
            <w:rStyle w:val="Hyperlink"/>
            <w:noProof/>
          </w:rPr>
          <w:t>Ilustración 82. Proyección de nacimientos en municipios de la sabana. Fuente: SMOB (2025)</w:t>
        </w:r>
        <w:r>
          <w:rPr>
            <w:noProof/>
            <w:webHidden/>
          </w:rPr>
          <w:tab/>
        </w:r>
        <w:r>
          <w:rPr>
            <w:noProof/>
            <w:webHidden/>
          </w:rPr>
          <w:fldChar w:fldCharType="begin"/>
        </w:r>
        <w:r>
          <w:rPr>
            <w:noProof/>
            <w:webHidden/>
          </w:rPr>
          <w:instrText xml:space="preserve"> PAGEREF _Toc216468847 \h </w:instrText>
        </w:r>
        <w:r>
          <w:rPr>
            <w:noProof/>
            <w:webHidden/>
          </w:rPr>
        </w:r>
        <w:r>
          <w:rPr>
            <w:noProof/>
            <w:webHidden/>
          </w:rPr>
          <w:fldChar w:fldCharType="separate"/>
        </w:r>
        <w:r w:rsidR="00CE096F">
          <w:rPr>
            <w:noProof/>
            <w:webHidden/>
          </w:rPr>
          <w:t>209</w:t>
        </w:r>
        <w:r>
          <w:rPr>
            <w:noProof/>
            <w:webHidden/>
          </w:rPr>
          <w:fldChar w:fldCharType="end"/>
        </w:r>
      </w:hyperlink>
    </w:p>
    <w:p w14:paraId="180A3885" w14:textId="4765F5F2"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48" w:history="1">
        <w:r w:rsidRPr="00B61D2D">
          <w:rPr>
            <w:rStyle w:val="Hyperlink"/>
            <w:noProof/>
          </w:rPr>
          <w:t>Ilustración 83. Proyección de población - municipios de la sabana. Fuente: SMOB (2025)</w:t>
        </w:r>
        <w:r>
          <w:rPr>
            <w:noProof/>
            <w:webHidden/>
          </w:rPr>
          <w:tab/>
        </w:r>
        <w:r>
          <w:rPr>
            <w:noProof/>
            <w:webHidden/>
          </w:rPr>
          <w:fldChar w:fldCharType="begin"/>
        </w:r>
        <w:r>
          <w:rPr>
            <w:noProof/>
            <w:webHidden/>
          </w:rPr>
          <w:instrText xml:space="preserve"> PAGEREF _Toc216468848 \h </w:instrText>
        </w:r>
        <w:r>
          <w:rPr>
            <w:noProof/>
            <w:webHidden/>
          </w:rPr>
        </w:r>
        <w:r>
          <w:rPr>
            <w:noProof/>
            <w:webHidden/>
          </w:rPr>
          <w:fldChar w:fldCharType="separate"/>
        </w:r>
        <w:r w:rsidR="00CE096F">
          <w:rPr>
            <w:noProof/>
            <w:webHidden/>
          </w:rPr>
          <w:t>209</w:t>
        </w:r>
        <w:r>
          <w:rPr>
            <w:noProof/>
            <w:webHidden/>
          </w:rPr>
          <w:fldChar w:fldCharType="end"/>
        </w:r>
      </w:hyperlink>
    </w:p>
    <w:p w14:paraId="5B26F6CB" w14:textId="67DB9129"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49" w:history="1">
        <w:r w:rsidRPr="00B61D2D">
          <w:rPr>
            <w:rStyle w:val="Hyperlink"/>
            <w:noProof/>
          </w:rPr>
          <w:t>Ilustración 84. Proyección de población – Bogotá. Fuente: SMOB (2025)</w:t>
        </w:r>
        <w:r>
          <w:rPr>
            <w:noProof/>
            <w:webHidden/>
          </w:rPr>
          <w:tab/>
        </w:r>
        <w:r>
          <w:rPr>
            <w:noProof/>
            <w:webHidden/>
          </w:rPr>
          <w:fldChar w:fldCharType="begin"/>
        </w:r>
        <w:r>
          <w:rPr>
            <w:noProof/>
            <w:webHidden/>
          </w:rPr>
          <w:instrText xml:space="preserve"> PAGEREF _Toc216468849 \h </w:instrText>
        </w:r>
        <w:r>
          <w:rPr>
            <w:noProof/>
            <w:webHidden/>
          </w:rPr>
        </w:r>
        <w:r>
          <w:rPr>
            <w:noProof/>
            <w:webHidden/>
          </w:rPr>
          <w:fldChar w:fldCharType="separate"/>
        </w:r>
        <w:r w:rsidR="00CE096F">
          <w:rPr>
            <w:noProof/>
            <w:webHidden/>
          </w:rPr>
          <w:t>210</w:t>
        </w:r>
        <w:r>
          <w:rPr>
            <w:noProof/>
            <w:webHidden/>
          </w:rPr>
          <w:fldChar w:fldCharType="end"/>
        </w:r>
      </w:hyperlink>
    </w:p>
    <w:p w14:paraId="00D6B798" w14:textId="1A31BA92"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50" w:history="1">
        <w:r w:rsidRPr="00B61D2D">
          <w:rPr>
            <w:rStyle w:val="Hyperlink"/>
            <w:noProof/>
          </w:rPr>
          <w:t>Ilustración 85. Cambio en la composición del hogar – municipios de la sabana. Fuente: SMOB (2025)</w:t>
        </w:r>
        <w:r>
          <w:rPr>
            <w:noProof/>
            <w:webHidden/>
          </w:rPr>
          <w:tab/>
        </w:r>
        <w:r>
          <w:rPr>
            <w:noProof/>
            <w:webHidden/>
          </w:rPr>
          <w:fldChar w:fldCharType="begin"/>
        </w:r>
        <w:r>
          <w:rPr>
            <w:noProof/>
            <w:webHidden/>
          </w:rPr>
          <w:instrText xml:space="preserve"> PAGEREF _Toc216468850 \h </w:instrText>
        </w:r>
        <w:r>
          <w:rPr>
            <w:noProof/>
            <w:webHidden/>
          </w:rPr>
        </w:r>
        <w:r>
          <w:rPr>
            <w:noProof/>
            <w:webHidden/>
          </w:rPr>
          <w:fldChar w:fldCharType="separate"/>
        </w:r>
        <w:r w:rsidR="00CE096F">
          <w:rPr>
            <w:noProof/>
            <w:webHidden/>
          </w:rPr>
          <w:t>210</w:t>
        </w:r>
        <w:r>
          <w:rPr>
            <w:noProof/>
            <w:webHidden/>
          </w:rPr>
          <w:fldChar w:fldCharType="end"/>
        </w:r>
      </w:hyperlink>
    </w:p>
    <w:p w14:paraId="484E00A2" w14:textId="2866CC36"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51" w:history="1">
        <w:r w:rsidRPr="00B61D2D">
          <w:rPr>
            <w:rStyle w:val="Hyperlink"/>
            <w:noProof/>
          </w:rPr>
          <w:t>Ilustración 86. Cambio en la composición del hogar – Bogotá. Fuente: SMOB (2025)</w:t>
        </w:r>
        <w:r>
          <w:rPr>
            <w:noProof/>
            <w:webHidden/>
          </w:rPr>
          <w:tab/>
        </w:r>
        <w:r>
          <w:rPr>
            <w:noProof/>
            <w:webHidden/>
          </w:rPr>
          <w:fldChar w:fldCharType="begin"/>
        </w:r>
        <w:r>
          <w:rPr>
            <w:noProof/>
            <w:webHidden/>
          </w:rPr>
          <w:instrText xml:space="preserve"> PAGEREF _Toc216468851 \h </w:instrText>
        </w:r>
        <w:r>
          <w:rPr>
            <w:noProof/>
            <w:webHidden/>
          </w:rPr>
        </w:r>
        <w:r>
          <w:rPr>
            <w:noProof/>
            <w:webHidden/>
          </w:rPr>
          <w:fldChar w:fldCharType="separate"/>
        </w:r>
        <w:r w:rsidR="00CE096F">
          <w:rPr>
            <w:noProof/>
            <w:webHidden/>
          </w:rPr>
          <w:t>211</w:t>
        </w:r>
        <w:r>
          <w:rPr>
            <w:noProof/>
            <w:webHidden/>
          </w:rPr>
          <w:fldChar w:fldCharType="end"/>
        </w:r>
      </w:hyperlink>
    </w:p>
    <w:p w14:paraId="737B2C74" w14:textId="5A4E92AA"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52" w:history="1">
        <w:r w:rsidRPr="00B61D2D">
          <w:rPr>
            <w:rStyle w:val="Hyperlink"/>
            <w:noProof/>
          </w:rPr>
          <w:t>Ilustración 87. Área requerida vs área disponible (2025 – 2035).</w:t>
        </w:r>
        <w:r>
          <w:rPr>
            <w:noProof/>
            <w:webHidden/>
          </w:rPr>
          <w:tab/>
        </w:r>
        <w:r>
          <w:rPr>
            <w:noProof/>
            <w:webHidden/>
          </w:rPr>
          <w:fldChar w:fldCharType="begin"/>
        </w:r>
        <w:r>
          <w:rPr>
            <w:noProof/>
            <w:webHidden/>
          </w:rPr>
          <w:instrText xml:space="preserve"> PAGEREF _Toc216468852 \h </w:instrText>
        </w:r>
        <w:r>
          <w:rPr>
            <w:noProof/>
            <w:webHidden/>
          </w:rPr>
        </w:r>
        <w:r>
          <w:rPr>
            <w:noProof/>
            <w:webHidden/>
          </w:rPr>
          <w:fldChar w:fldCharType="separate"/>
        </w:r>
        <w:r w:rsidR="00CE096F">
          <w:rPr>
            <w:noProof/>
            <w:webHidden/>
          </w:rPr>
          <w:t>211</w:t>
        </w:r>
        <w:r>
          <w:rPr>
            <w:noProof/>
            <w:webHidden/>
          </w:rPr>
          <w:fldChar w:fldCharType="end"/>
        </w:r>
      </w:hyperlink>
    </w:p>
    <w:p w14:paraId="57654F22" w14:textId="030B73A2"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53" w:history="1">
        <w:r w:rsidRPr="00B61D2D">
          <w:rPr>
            <w:rStyle w:val="Hyperlink"/>
            <w:noProof/>
          </w:rPr>
          <w:t>Ilustración 88. Pérdida de capacidad por la localización de asentamientos e infraestructuras.</w:t>
        </w:r>
        <w:r>
          <w:rPr>
            <w:noProof/>
            <w:webHidden/>
          </w:rPr>
          <w:tab/>
        </w:r>
        <w:r>
          <w:rPr>
            <w:noProof/>
            <w:webHidden/>
          </w:rPr>
          <w:fldChar w:fldCharType="begin"/>
        </w:r>
        <w:r>
          <w:rPr>
            <w:noProof/>
            <w:webHidden/>
          </w:rPr>
          <w:instrText xml:space="preserve"> PAGEREF _Toc216468853 \h </w:instrText>
        </w:r>
        <w:r>
          <w:rPr>
            <w:noProof/>
            <w:webHidden/>
          </w:rPr>
        </w:r>
        <w:r>
          <w:rPr>
            <w:noProof/>
            <w:webHidden/>
          </w:rPr>
          <w:fldChar w:fldCharType="separate"/>
        </w:r>
        <w:r w:rsidR="00CE096F">
          <w:rPr>
            <w:noProof/>
            <w:webHidden/>
          </w:rPr>
          <w:t>212</w:t>
        </w:r>
        <w:r>
          <w:rPr>
            <w:noProof/>
            <w:webHidden/>
          </w:rPr>
          <w:fldChar w:fldCharType="end"/>
        </w:r>
      </w:hyperlink>
    </w:p>
    <w:p w14:paraId="6499A1E4" w14:textId="17609E06"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54" w:history="1">
        <w:r w:rsidRPr="00B61D2D">
          <w:rPr>
            <w:rStyle w:val="Hyperlink"/>
            <w:noProof/>
          </w:rPr>
          <w:t>Ilustración 89. Análisis de vulnerabilidad y riesgo por cambio climático. IDEAM, 2017</w:t>
        </w:r>
        <w:r>
          <w:rPr>
            <w:noProof/>
            <w:webHidden/>
          </w:rPr>
          <w:tab/>
        </w:r>
        <w:r>
          <w:rPr>
            <w:noProof/>
            <w:webHidden/>
          </w:rPr>
          <w:fldChar w:fldCharType="begin"/>
        </w:r>
        <w:r>
          <w:rPr>
            <w:noProof/>
            <w:webHidden/>
          </w:rPr>
          <w:instrText xml:space="preserve"> PAGEREF _Toc216468854 \h </w:instrText>
        </w:r>
        <w:r>
          <w:rPr>
            <w:noProof/>
            <w:webHidden/>
          </w:rPr>
        </w:r>
        <w:r>
          <w:rPr>
            <w:noProof/>
            <w:webHidden/>
          </w:rPr>
          <w:fldChar w:fldCharType="separate"/>
        </w:r>
        <w:r w:rsidR="00CE096F">
          <w:rPr>
            <w:noProof/>
            <w:webHidden/>
          </w:rPr>
          <w:t>218</w:t>
        </w:r>
        <w:r>
          <w:rPr>
            <w:noProof/>
            <w:webHidden/>
          </w:rPr>
          <w:fldChar w:fldCharType="end"/>
        </w:r>
      </w:hyperlink>
    </w:p>
    <w:p w14:paraId="74E4A029" w14:textId="0687F39C"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55" w:history="1">
        <w:r w:rsidRPr="00B61D2D">
          <w:rPr>
            <w:rStyle w:val="Hyperlink"/>
            <w:noProof/>
          </w:rPr>
          <w:t>Ilustración 90. Cambios de temperatura en escenarios de cambio climático. IDEAM, 2017</w:t>
        </w:r>
        <w:r>
          <w:rPr>
            <w:noProof/>
            <w:webHidden/>
          </w:rPr>
          <w:tab/>
        </w:r>
        <w:r>
          <w:rPr>
            <w:noProof/>
            <w:webHidden/>
          </w:rPr>
          <w:fldChar w:fldCharType="begin"/>
        </w:r>
        <w:r>
          <w:rPr>
            <w:noProof/>
            <w:webHidden/>
          </w:rPr>
          <w:instrText xml:space="preserve"> PAGEREF _Toc216468855 \h </w:instrText>
        </w:r>
        <w:r>
          <w:rPr>
            <w:noProof/>
            <w:webHidden/>
          </w:rPr>
        </w:r>
        <w:r>
          <w:rPr>
            <w:noProof/>
            <w:webHidden/>
          </w:rPr>
          <w:fldChar w:fldCharType="separate"/>
        </w:r>
        <w:r w:rsidR="00CE096F">
          <w:rPr>
            <w:noProof/>
            <w:webHidden/>
          </w:rPr>
          <w:t>219</w:t>
        </w:r>
        <w:r>
          <w:rPr>
            <w:noProof/>
            <w:webHidden/>
          </w:rPr>
          <w:fldChar w:fldCharType="end"/>
        </w:r>
      </w:hyperlink>
    </w:p>
    <w:p w14:paraId="01E13A29" w14:textId="1FE87FDB"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56" w:history="1">
        <w:r w:rsidRPr="00B61D2D">
          <w:rPr>
            <w:rStyle w:val="Hyperlink"/>
            <w:noProof/>
          </w:rPr>
          <w:t>Ilustración 91 Cambios de precipitación en escenarios de cambio climático. IDEAM, 2017</w:t>
        </w:r>
        <w:r>
          <w:rPr>
            <w:noProof/>
            <w:webHidden/>
          </w:rPr>
          <w:tab/>
        </w:r>
        <w:r>
          <w:rPr>
            <w:noProof/>
            <w:webHidden/>
          </w:rPr>
          <w:fldChar w:fldCharType="begin"/>
        </w:r>
        <w:r>
          <w:rPr>
            <w:noProof/>
            <w:webHidden/>
          </w:rPr>
          <w:instrText xml:space="preserve"> PAGEREF _Toc216468856 \h </w:instrText>
        </w:r>
        <w:r>
          <w:rPr>
            <w:noProof/>
            <w:webHidden/>
          </w:rPr>
        </w:r>
        <w:r>
          <w:rPr>
            <w:noProof/>
            <w:webHidden/>
          </w:rPr>
          <w:fldChar w:fldCharType="separate"/>
        </w:r>
        <w:r w:rsidR="00CE096F">
          <w:rPr>
            <w:noProof/>
            <w:webHidden/>
          </w:rPr>
          <w:t>219</w:t>
        </w:r>
        <w:r>
          <w:rPr>
            <w:noProof/>
            <w:webHidden/>
          </w:rPr>
          <w:fldChar w:fldCharType="end"/>
        </w:r>
      </w:hyperlink>
    </w:p>
    <w:p w14:paraId="3880F4B6" w14:textId="33A0D08B"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57" w:history="1">
        <w:r w:rsidRPr="00B61D2D">
          <w:rPr>
            <w:rStyle w:val="Hyperlink"/>
            <w:noProof/>
          </w:rPr>
          <w:t>Ilustración 92 Áreas de Amenazas Naturales en la Sabana de Bogotá</w:t>
        </w:r>
        <w:r>
          <w:rPr>
            <w:noProof/>
            <w:webHidden/>
          </w:rPr>
          <w:tab/>
        </w:r>
        <w:r>
          <w:rPr>
            <w:noProof/>
            <w:webHidden/>
          </w:rPr>
          <w:fldChar w:fldCharType="begin"/>
        </w:r>
        <w:r>
          <w:rPr>
            <w:noProof/>
            <w:webHidden/>
          </w:rPr>
          <w:instrText xml:space="preserve"> PAGEREF _Toc216468857 \h </w:instrText>
        </w:r>
        <w:r>
          <w:rPr>
            <w:noProof/>
            <w:webHidden/>
          </w:rPr>
        </w:r>
        <w:r>
          <w:rPr>
            <w:noProof/>
            <w:webHidden/>
          </w:rPr>
          <w:fldChar w:fldCharType="separate"/>
        </w:r>
        <w:r w:rsidR="00CE096F">
          <w:rPr>
            <w:noProof/>
            <w:webHidden/>
          </w:rPr>
          <w:t>223</w:t>
        </w:r>
        <w:r>
          <w:rPr>
            <w:noProof/>
            <w:webHidden/>
          </w:rPr>
          <w:fldChar w:fldCharType="end"/>
        </w:r>
      </w:hyperlink>
    </w:p>
    <w:p w14:paraId="4638BE57" w14:textId="659EE1B6"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58" w:history="1">
        <w:r w:rsidRPr="00B61D2D">
          <w:rPr>
            <w:rStyle w:val="Hyperlink"/>
            <w:noProof/>
          </w:rPr>
          <w:t>Ilustración 93. Incremento de áreas de territorios artificializados 2002 - 2018.</w:t>
        </w:r>
        <w:r>
          <w:rPr>
            <w:noProof/>
            <w:webHidden/>
          </w:rPr>
          <w:tab/>
        </w:r>
        <w:r>
          <w:rPr>
            <w:noProof/>
            <w:webHidden/>
          </w:rPr>
          <w:fldChar w:fldCharType="begin"/>
        </w:r>
        <w:r>
          <w:rPr>
            <w:noProof/>
            <w:webHidden/>
          </w:rPr>
          <w:instrText xml:space="preserve"> PAGEREF _Toc216468858 \h </w:instrText>
        </w:r>
        <w:r>
          <w:rPr>
            <w:noProof/>
            <w:webHidden/>
          </w:rPr>
        </w:r>
        <w:r>
          <w:rPr>
            <w:noProof/>
            <w:webHidden/>
          </w:rPr>
          <w:fldChar w:fldCharType="separate"/>
        </w:r>
        <w:r w:rsidR="00CE096F">
          <w:rPr>
            <w:noProof/>
            <w:webHidden/>
          </w:rPr>
          <w:t>226</w:t>
        </w:r>
        <w:r>
          <w:rPr>
            <w:noProof/>
            <w:webHidden/>
          </w:rPr>
          <w:fldChar w:fldCharType="end"/>
        </w:r>
      </w:hyperlink>
    </w:p>
    <w:p w14:paraId="09EAE062" w14:textId="6376A673"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59" w:history="1">
        <w:r w:rsidRPr="00B61D2D">
          <w:rPr>
            <w:rStyle w:val="Hyperlink"/>
            <w:noProof/>
          </w:rPr>
          <w:t>Ilustración 94.Áreas artificializadas del 2018 sobre coberturas Corine Land Cover de 2002.</w:t>
        </w:r>
        <w:r>
          <w:rPr>
            <w:noProof/>
            <w:webHidden/>
          </w:rPr>
          <w:tab/>
        </w:r>
        <w:r>
          <w:rPr>
            <w:noProof/>
            <w:webHidden/>
          </w:rPr>
          <w:fldChar w:fldCharType="begin"/>
        </w:r>
        <w:r>
          <w:rPr>
            <w:noProof/>
            <w:webHidden/>
          </w:rPr>
          <w:instrText xml:space="preserve"> PAGEREF _Toc216468859 \h </w:instrText>
        </w:r>
        <w:r>
          <w:rPr>
            <w:noProof/>
            <w:webHidden/>
          </w:rPr>
        </w:r>
        <w:r>
          <w:rPr>
            <w:noProof/>
            <w:webHidden/>
          </w:rPr>
          <w:fldChar w:fldCharType="separate"/>
        </w:r>
        <w:r w:rsidR="00CE096F">
          <w:rPr>
            <w:noProof/>
            <w:webHidden/>
          </w:rPr>
          <w:t>229</w:t>
        </w:r>
        <w:r>
          <w:rPr>
            <w:noProof/>
            <w:webHidden/>
          </w:rPr>
          <w:fldChar w:fldCharType="end"/>
        </w:r>
      </w:hyperlink>
    </w:p>
    <w:p w14:paraId="12AEBBBD" w14:textId="77E36AB0"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60" w:history="1">
        <w:r w:rsidRPr="00B61D2D">
          <w:rPr>
            <w:rStyle w:val="Hyperlink"/>
            <w:noProof/>
          </w:rPr>
          <w:t>Ilustración 95. Clases agrológicas en la Sabana de Bogotá, escala 1:100 mil.</w:t>
        </w:r>
        <w:r>
          <w:rPr>
            <w:noProof/>
            <w:webHidden/>
          </w:rPr>
          <w:tab/>
        </w:r>
        <w:r>
          <w:rPr>
            <w:noProof/>
            <w:webHidden/>
          </w:rPr>
          <w:fldChar w:fldCharType="begin"/>
        </w:r>
        <w:r>
          <w:rPr>
            <w:noProof/>
            <w:webHidden/>
          </w:rPr>
          <w:instrText xml:space="preserve"> PAGEREF _Toc216468860 \h </w:instrText>
        </w:r>
        <w:r>
          <w:rPr>
            <w:noProof/>
            <w:webHidden/>
          </w:rPr>
        </w:r>
        <w:r>
          <w:rPr>
            <w:noProof/>
            <w:webHidden/>
          </w:rPr>
          <w:fldChar w:fldCharType="separate"/>
        </w:r>
        <w:r w:rsidR="00CE096F">
          <w:rPr>
            <w:noProof/>
            <w:webHidden/>
          </w:rPr>
          <w:t>232</w:t>
        </w:r>
        <w:r>
          <w:rPr>
            <w:noProof/>
            <w:webHidden/>
          </w:rPr>
          <w:fldChar w:fldCharType="end"/>
        </w:r>
      </w:hyperlink>
    </w:p>
    <w:p w14:paraId="5464F49C" w14:textId="6AC42F9A"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61" w:history="1">
        <w:r w:rsidRPr="00B61D2D">
          <w:rPr>
            <w:rStyle w:val="Hyperlink"/>
            <w:noProof/>
          </w:rPr>
          <w:t>Ilustración 96 Suelos en planicie según clasificación agrológica</w:t>
        </w:r>
        <w:r>
          <w:rPr>
            <w:noProof/>
            <w:webHidden/>
          </w:rPr>
          <w:tab/>
        </w:r>
        <w:r>
          <w:rPr>
            <w:noProof/>
            <w:webHidden/>
          </w:rPr>
          <w:fldChar w:fldCharType="begin"/>
        </w:r>
        <w:r>
          <w:rPr>
            <w:noProof/>
            <w:webHidden/>
          </w:rPr>
          <w:instrText xml:space="preserve"> PAGEREF _Toc216468861 \h </w:instrText>
        </w:r>
        <w:r>
          <w:rPr>
            <w:noProof/>
            <w:webHidden/>
          </w:rPr>
        </w:r>
        <w:r>
          <w:rPr>
            <w:noProof/>
            <w:webHidden/>
          </w:rPr>
          <w:fldChar w:fldCharType="separate"/>
        </w:r>
        <w:r w:rsidR="00CE096F">
          <w:rPr>
            <w:noProof/>
            <w:webHidden/>
          </w:rPr>
          <w:t>233</w:t>
        </w:r>
        <w:r>
          <w:rPr>
            <w:noProof/>
            <w:webHidden/>
          </w:rPr>
          <w:fldChar w:fldCharType="end"/>
        </w:r>
      </w:hyperlink>
    </w:p>
    <w:p w14:paraId="4008F24B" w14:textId="0C5D9FF0"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62" w:history="1">
        <w:r w:rsidRPr="00B61D2D">
          <w:rPr>
            <w:rStyle w:val="Hyperlink"/>
            <w:noProof/>
          </w:rPr>
          <w:t>Ilustración 97  Registro fotográfico del uso del suelo clase 2 en la Sabana de Bogotá</w:t>
        </w:r>
        <w:r>
          <w:rPr>
            <w:noProof/>
            <w:webHidden/>
          </w:rPr>
          <w:tab/>
        </w:r>
        <w:r>
          <w:rPr>
            <w:noProof/>
            <w:webHidden/>
          </w:rPr>
          <w:fldChar w:fldCharType="begin"/>
        </w:r>
        <w:r>
          <w:rPr>
            <w:noProof/>
            <w:webHidden/>
          </w:rPr>
          <w:instrText xml:space="preserve"> PAGEREF _Toc216468862 \h </w:instrText>
        </w:r>
        <w:r>
          <w:rPr>
            <w:noProof/>
            <w:webHidden/>
          </w:rPr>
        </w:r>
        <w:r>
          <w:rPr>
            <w:noProof/>
            <w:webHidden/>
          </w:rPr>
          <w:fldChar w:fldCharType="separate"/>
        </w:r>
        <w:r w:rsidR="00CE096F">
          <w:rPr>
            <w:noProof/>
            <w:webHidden/>
          </w:rPr>
          <w:t>235</w:t>
        </w:r>
        <w:r>
          <w:rPr>
            <w:noProof/>
            <w:webHidden/>
          </w:rPr>
          <w:fldChar w:fldCharType="end"/>
        </w:r>
      </w:hyperlink>
    </w:p>
    <w:p w14:paraId="3243F71F" w14:textId="2CC663F8"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63" w:history="1">
        <w:r w:rsidRPr="00B61D2D">
          <w:rPr>
            <w:rStyle w:val="Hyperlink"/>
            <w:noProof/>
          </w:rPr>
          <w:t>Ilustración 98Aspecto del uso del suelo clase 3 en la Sabana de Bogotá</w:t>
        </w:r>
        <w:r>
          <w:rPr>
            <w:noProof/>
            <w:webHidden/>
          </w:rPr>
          <w:tab/>
        </w:r>
        <w:r>
          <w:rPr>
            <w:noProof/>
            <w:webHidden/>
          </w:rPr>
          <w:fldChar w:fldCharType="begin"/>
        </w:r>
        <w:r>
          <w:rPr>
            <w:noProof/>
            <w:webHidden/>
          </w:rPr>
          <w:instrText xml:space="preserve"> PAGEREF _Toc216468863 \h </w:instrText>
        </w:r>
        <w:r>
          <w:rPr>
            <w:noProof/>
            <w:webHidden/>
          </w:rPr>
        </w:r>
        <w:r>
          <w:rPr>
            <w:noProof/>
            <w:webHidden/>
          </w:rPr>
          <w:fldChar w:fldCharType="separate"/>
        </w:r>
        <w:r w:rsidR="00CE096F">
          <w:rPr>
            <w:noProof/>
            <w:webHidden/>
          </w:rPr>
          <w:t>235</w:t>
        </w:r>
        <w:r>
          <w:rPr>
            <w:noProof/>
            <w:webHidden/>
          </w:rPr>
          <w:fldChar w:fldCharType="end"/>
        </w:r>
      </w:hyperlink>
    </w:p>
    <w:p w14:paraId="746C2BDD" w14:textId="64D0B2AF"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64" w:history="1">
        <w:r w:rsidRPr="00B61D2D">
          <w:rPr>
            <w:rStyle w:val="Hyperlink"/>
            <w:noProof/>
          </w:rPr>
          <w:t>Ilustración 99 Registro fotográfico del uso del suelo clase 4 en la Sabana de Bogotá</w:t>
        </w:r>
        <w:r>
          <w:rPr>
            <w:noProof/>
            <w:webHidden/>
          </w:rPr>
          <w:tab/>
        </w:r>
        <w:r>
          <w:rPr>
            <w:noProof/>
            <w:webHidden/>
          </w:rPr>
          <w:fldChar w:fldCharType="begin"/>
        </w:r>
        <w:r>
          <w:rPr>
            <w:noProof/>
            <w:webHidden/>
          </w:rPr>
          <w:instrText xml:space="preserve"> PAGEREF _Toc216468864 \h </w:instrText>
        </w:r>
        <w:r>
          <w:rPr>
            <w:noProof/>
            <w:webHidden/>
          </w:rPr>
        </w:r>
        <w:r>
          <w:rPr>
            <w:noProof/>
            <w:webHidden/>
          </w:rPr>
          <w:fldChar w:fldCharType="separate"/>
        </w:r>
        <w:r w:rsidR="00CE096F">
          <w:rPr>
            <w:noProof/>
            <w:webHidden/>
          </w:rPr>
          <w:t>236</w:t>
        </w:r>
        <w:r>
          <w:rPr>
            <w:noProof/>
            <w:webHidden/>
          </w:rPr>
          <w:fldChar w:fldCharType="end"/>
        </w:r>
      </w:hyperlink>
    </w:p>
    <w:p w14:paraId="74DBA1B0" w14:textId="512F3D1B"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65" w:history="1">
        <w:r w:rsidRPr="00B61D2D">
          <w:rPr>
            <w:rStyle w:val="Hyperlink"/>
            <w:noProof/>
          </w:rPr>
          <w:t>Ilustración 100 Registro fotográfico del uso del suelo clase 5 en la Sabana de Bogotá</w:t>
        </w:r>
        <w:r>
          <w:rPr>
            <w:noProof/>
            <w:webHidden/>
          </w:rPr>
          <w:tab/>
        </w:r>
        <w:r>
          <w:rPr>
            <w:noProof/>
            <w:webHidden/>
          </w:rPr>
          <w:fldChar w:fldCharType="begin"/>
        </w:r>
        <w:r>
          <w:rPr>
            <w:noProof/>
            <w:webHidden/>
          </w:rPr>
          <w:instrText xml:space="preserve"> PAGEREF _Toc216468865 \h </w:instrText>
        </w:r>
        <w:r>
          <w:rPr>
            <w:noProof/>
            <w:webHidden/>
          </w:rPr>
        </w:r>
        <w:r>
          <w:rPr>
            <w:noProof/>
            <w:webHidden/>
          </w:rPr>
          <w:fldChar w:fldCharType="separate"/>
        </w:r>
        <w:r w:rsidR="00CE096F">
          <w:rPr>
            <w:noProof/>
            <w:webHidden/>
          </w:rPr>
          <w:t>236</w:t>
        </w:r>
        <w:r>
          <w:rPr>
            <w:noProof/>
            <w:webHidden/>
          </w:rPr>
          <w:fldChar w:fldCharType="end"/>
        </w:r>
      </w:hyperlink>
    </w:p>
    <w:p w14:paraId="28D6C610" w14:textId="156670F6"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66" w:history="1">
        <w:r w:rsidRPr="00B61D2D">
          <w:rPr>
            <w:rStyle w:val="Hyperlink"/>
            <w:noProof/>
          </w:rPr>
          <w:t>Ilustración 101 Registro fotográfico del uso del suelo clase 6 en la Sabana de Bogotá</w:t>
        </w:r>
        <w:r>
          <w:rPr>
            <w:noProof/>
            <w:webHidden/>
          </w:rPr>
          <w:tab/>
        </w:r>
        <w:r>
          <w:rPr>
            <w:noProof/>
            <w:webHidden/>
          </w:rPr>
          <w:fldChar w:fldCharType="begin"/>
        </w:r>
        <w:r>
          <w:rPr>
            <w:noProof/>
            <w:webHidden/>
          </w:rPr>
          <w:instrText xml:space="preserve"> PAGEREF _Toc216468866 \h </w:instrText>
        </w:r>
        <w:r>
          <w:rPr>
            <w:noProof/>
            <w:webHidden/>
          </w:rPr>
        </w:r>
        <w:r>
          <w:rPr>
            <w:noProof/>
            <w:webHidden/>
          </w:rPr>
          <w:fldChar w:fldCharType="separate"/>
        </w:r>
        <w:r w:rsidR="00CE096F">
          <w:rPr>
            <w:noProof/>
            <w:webHidden/>
          </w:rPr>
          <w:t>237</w:t>
        </w:r>
        <w:r>
          <w:rPr>
            <w:noProof/>
            <w:webHidden/>
          </w:rPr>
          <w:fldChar w:fldCharType="end"/>
        </w:r>
      </w:hyperlink>
    </w:p>
    <w:p w14:paraId="527927A8" w14:textId="54E8F8EF"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67" w:history="1">
        <w:r w:rsidRPr="00B61D2D">
          <w:rPr>
            <w:rStyle w:val="Hyperlink"/>
            <w:noProof/>
          </w:rPr>
          <w:t>Ilustración 102 Aspecto del uso del suelo clase 7 en la Sabana de Bogotá</w:t>
        </w:r>
        <w:r>
          <w:rPr>
            <w:noProof/>
            <w:webHidden/>
          </w:rPr>
          <w:tab/>
        </w:r>
        <w:r>
          <w:rPr>
            <w:noProof/>
            <w:webHidden/>
          </w:rPr>
          <w:fldChar w:fldCharType="begin"/>
        </w:r>
        <w:r>
          <w:rPr>
            <w:noProof/>
            <w:webHidden/>
          </w:rPr>
          <w:instrText xml:space="preserve"> PAGEREF _Toc216468867 \h </w:instrText>
        </w:r>
        <w:r>
          <w:rPr>
            <w:noProof/>
            <w:webHidden/>
          </w:rPr>
        </w:r>
        <w:r>
          <w:rPr>
            <w:noProof/>
            <w:webHidden/>
          </w:rPr>
          <w:fldChar w:fldCharType="separate"/>
        </w:r>
        <w:r w:rsidR="00CE096F">
          <w:rPr>
            <w:noProof/>
            <w:webHidden/>
          </w:rPr>
          <w:t>237</w:t>
        </w:r>
        <w:r>
          <w:rPr>
            <w:noProof/>
            <w:webHidden/>
          </w:rPr>
          <w:fldChar w:fldCharType="end"/>
        </w:r>
      </w:hyperlink>
    </w:p>
    <w:p w14:paraId="0CF33BB0" w14:textId="68C1F207"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68" w:history="1">
        <w:r w:rsidRPr="00B61D2D">
          <w:rPr>
            <w:rStyle w:val="Hyperlink"/>
            <w:noProof/>
          </w:rPr>
          <w:t>Ilustración 103. Cultivos Confinados Corine Land Cover 2018 (IGAC, 2018)</w:t>
        </w:r>
        <w:r>
          <w:rPr>
            <w:noProof/>
            <w:webHidden/>
          </w:rPr>
          <w:tab/>
        </w:r>
        <w:r>
          <w:rPr>
            <w:noProof/>
            <w:webHidden/>
          </w:rPr>
          <w:fldChar w:fldCharType="begin"/>
        </w:r>
        <w:r>
          <w:rPr>
            <w:noProof/>
            <w:webHidden/>
          </w:rPr>
          <w:instrText xml:space="preserve"> PAGEREF _Toc216468868 \h </w:instrText>
        </w:r>
        <w:r>
          <w:rPr>
            <w:noProof/>
            <w:webHidden/>
          </w:rPr>
        </w:r>
        <w:r>
          <w:rPr>
            <w:noProof/>
            <w:webHidden/>
          </w:rPr>
          <w:fldChar w:fldCharType="separate"/>
        </w:r>
        <w:r w:rsidR="00CE096F">
          <w:rPr>
            <w:noProof/>
            <w:webHidden/>
          </w:rPr>
          <w:t>239</w:t>
        </w:r>
        <w:r>
          <w:rPr>
            <w:noProof/>
            <w:webHidden/>
          </w:rPr>
          <w:fldChar w:fldCharType="end"/>
        </w:r>
      </w:hyperlink>
    </w:p>
    <w:p w14:paraId="6A4598BD" w14:textId="0244D757"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69" w:history="1">
        <w:r w:rsidRPr="00B61D2D">
          <w:rPr>
            <w:rStyle w:val="Hyperlink"/>
            <w:noProof/>
          </w:rPr>
          <w:t>Ilustración 104. Mapa Digital de suelos para el ámbito de aplicación.</w:t>
        </w:r>
        <w:r>
          <w:rPr>
            <w:noProof/>
            <w:webHidden/>
          </w:rPr>
          <w:tab/>
        </w:r>
        <w:r>
          <w:rPr>
            <w:noProof/>
            <w:webHidden/>
          </w:rPr>
          <w:fldChar w:fldCharType="begin"/>
        </w:r>
        <w:r>
          <w:rPr>
            <w:noProof/>
            <w:webHidden/>
          </w:rPr>
          <w:instrText xml:space="preserve"> PAGEREF _Toc216468869 \h </w:instrText>
        </w:r>
        <w:r>
          <w:rPr>
            <w:noProof/>
            <w:webHidden/>
          </w:rPr>
        </w:r>
        <w:r>
          <w:rPr>
            <w:noProof/>
            <w:webHidden/>
          </w:rPr>
          <w:fldChar w:fldCharType="separate"/>
        </w:r>
        <w:r w:rsidR="00CE096F">
          <w:rPr>
            <w:noProof/>
            <w:webHidden/>
          </w:rPr>
          <w:t>240</w:t>
        </w:r>
        <w:r>
          <w:rPr>
            <w:noProof/>
            <w:webHidden/>
          </w:rPr>
          <w:fldChar w:fldCharType="end"/>
        </w:r>
      </w:hyperlink>
    </w:p>
    <w:p w14:paraId="0B0187A5" w14:textId="487BF819"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70" w:history="1">
        <w:r w:rsidRPr="00B61D2D">
          <w:rPr>
            <w:rStyle w:val="Hyperlink"/>
            <w:i/>
            <w:noProof/>
          </w:rPr>
          <w:t>Ilustración 105. Territorios artificializados sobre suelos de clase I, II, IV y V año 2002.</w:t>
        </w:r>
        <w:r>
          <w:rPr>
            <w:noProof/>
            <w:webHidden/>
          </w:rPr>
          <w:tab/>
        </w:r>
        <w:r>
          <w:rPr>
            <w:noProof/>
            <w:webHidden/>
          </w:rPr>
          <w:fldChar w:fldCharType="begin"/>
        </w:r>
        <w:r>
          <w:rPr>
            <w:noProof/>
            <w:webHidden/>
          </w:rPr>
          <w:instrText xml:space="preserve"> PAGEREF _Toc216468870 \h </w:instrText>
        </w:r>
        <w:r>
          <w:rPr>
            <w:noProof/>
            <w:webHidden/>
          </w:rPr>
        </w:r>
        <w:r>
          <w:rPr>
            <w:noProof/>
            <w:webHidden/>
          </w:rPr>
          <w:fldChar w:fldCharType="separate"/>
        </w:r>
        <w:r w:rsidR="00CE096F">
          <w:rPr>
            <w:noProof/>
            <w:webHidden/>
          </w:rPr>
          <w:t>241</w:t>
        </w:r>
        <w:r>
          <w:rPr>
            <w:noProof/>
            <w:webHidden/>
          </w:rPr>
          <w:fldChar w:fldCharType="end"/>
        </w:r>
      </w:hyperlink>
    </w:p>
    <w:p w14:paraId="54BD7784" w14:textId="5D970685"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71" w:history="1">
        <w:r w:rsidRPr="00B61D2D">
          <w:rPr>
            <w:rStyle w:val="Hyperlink"/>
            <w:noProof/>
          </w:rPr>
          <w:t>Ilustración 106. Territorios artificializados sobre suelos de clase I, II y IV año 2018.</w:t>
        </w:r>
        <w:r>
          <w:rPr>
            <w:noProof/>
            <w:webHidden/>
          </w:rPr>
          <w:tab/>
        </w:r>
        <w:r>
          <w:rPr>
            <w:noProof/>
            <w:webHidden/>
          </w:rPr>
          <w:fldChar w:fldCharType="begin"/>
        </w:r>
        <w:r>
          <w:rPr>
            <w:noProof/>
            <w:webHidden/>
          </w:rPr>
          <w:instrText xml:space="preserve"> PAGEREF _Toc216468871 \h </w:instrText>
        </w:r>
        <w:r>
          <w:rPr>
            <w:noProof/>
            <w:webHidden/>
          </w:rPr>
        </w:r>
        <w:r>
          <w:rPr>
            <w:noProof/>
            <w:webHidden/>
          </w:rPr>
          <w:fldChar w:fldCharType="separate"/>
        </w:r>
        <w:r w:rsidR="00CE096F">
          <w:rPr>
            <w:noProof/>
            <w:webHidden/>
          </w:rPr>
          <w:t>242</w:t>
        </w:r>
        <w:r>
          <w:rPr>
            <w:noProof/>
            <w:webHidden/>
          </w:rPr>
          <w:fldChar w:fldCharType="end"/>
        </w:r>
      </w:hyperlink>
    </w:p>
    <w:p w14:paraId="039EF419" w14:textId="4814D50F"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72" w:history="1">
        <w:r w:rsidRPr="00B61D2D">
          <w:rPr>
            <w:rStyle w:val="Hyperlink"/>
            <w:noProof/>
          </w:rPr>
          <w:t>Ilustración 107 Superposición de huella de ocupación con Estructura Ecológica Principal Regional</w:t>
        </w:r>
        <w:r>
          <w:rPr>
            <w:noProof/>
            <w:webHidden/>
          </w:rPr>
          <w:tab/>
        </w:r>
        <w:r>
          <w:rPr>
            <w:noProof/>
            <w:webHidden/>
          </w:rPr>
          <w:fldChar w:fldCharType="begin"/>
        </w:r>
        <w:r>
          <w:rPr>
            <w:noProof/>
            <w:webHidden/>
          </w:rPr>
          <w:instrText xml:space="preserve"> PAGEREF _Toc216468872 \h </w:instrText>
        </w:r>
        <w:r>
          <w:rPr>
            <w:noProof/>
            <w:webHidden/>
          </w:rPr>
        </w:r>
        <w:r>
          <w:rPr>
            <w:noProof/>
            <w:webHidden/>
          </w:rPr>
          <w:fldChar w:fldCharType="separate"/>
        </w:r>
        <w:r w:rsidR="00CE096F">
          <w:rPr>
            <w:noProof/>
            <w:webHidden/>
          </w:rPr>
          <w:t>253</w:t>
        </w:r>
        <w:r>
          <w:rPr>
            <w:noProof/>
            <w:webHidden/>
          </w:rPr>
          <w:fldChar w:fldCharType="end"/>
        </w:r>
      </w:hyperlink>
    </w:p>
    <w:p w14:paraId="04072134" w14:textId="1011AFA3"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73" w:history="1">
        <w:r w:rsidRPr="00B61D2D">
          <w:rPr>
            <w:rStyle w:val="Hyperlink"/>
            <w:noProof/>
          </w:rPr>
          <w:t>Ilustración 108. Huella construida sobre páramo en la Sabana de Bogotá. (Google footprint, 2025)</w:t>
        </w:r>
        <w:r>
          <w:rPr>
            <w:noProof/>
            <w:webHidden/>
          </w:rPr>
          <w:tab/>
        </w:r>
        <w:r>
          <w:rPr>
            <w:noProof/>
            <w:webHidden/>
          </w:rPr>
          <w:fldChar w:fldCharType="begin"/>
        </w:r>
        <w:r>
          <w:rPr>
            <w:noProof/>
            <w:webHidden/>
          </w:rPr>
          <w:instrText xml:space="preserve"> PAGEREF _Toc216468873 \h </w:instrText>
        </w:r>
        <w:r>
          <w:rPr>
            <w:noProof/>
            <w:webHidden/>
          </w:rPr>
        </w:r>
        <w:r>
          <w:rPr>
            <w:noProof/>
            <w:webHidden/>
          </w:rPr>
          <w:fldChar w:fldCharType="separate"/>
        </w:r>
        <w:r w:rsidR="00CE096F">
          <w:rPr>
            <w:noProof/>
            <w:webHidden/>
          </w:rPr>
          <w:t>254</w:t>
        </w:r>
        <w:r>
          <w:rPr>
            <w:noProof/>
            <w:webHidden/>
          </w:rPr>
          <w:fldChar w:fldCharType="end"/>
        </w:r>
      </w:hyperlink>
    </w:p>
    <w:p w14:paraId="20916B42" w14:textId="3A565DFF"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74" w:history="1">
        <w:r w:rsidRPr="00B61D2D">
          <w:rPr>
            <w:rStyle w:val="Hyperlink"/>
            <w:noProof/>
          </w:rPr>
          <w:t>Ilustración 109. Huella construida sobre humedales en la Sabana de Bogotá.</w:t>
        </w:r>
        <w:r>
          <w:rPr>
            <w:noProof/>
            <w:webHidden/>
          </w:rPr>
          <w:tab/>
        </w:r>
        <w:r>
          <w:rPr>
            <w:noProof/>
            <w:webHidden/>
          </w:rPr>
          <w:fldChar w:fldCharType="begin"/>
        </w:r>
        <w:r>
          <w:rPr>
            <w:noProof/>
            <w:webHidden/>
          </w:rPr>
          <w:instrText xml:space="preserve"> PAGEREF _Toc216468874 \h </w:instrText>
        </w:r>
        <w:r>
          <w:rPr>
            <w:noProof/>
            <w:webHidden/>
          </w:rPr>
        </w:r>
        <w:r>
          <w:rPr>
            <w:noProof/>
            <w:webHidden/>
          </w:rPr>
          <w:fldChar w:fldCharType="separate"/>
        </w:r>
        <w:r w:rsidR="00CE096F">
          <w:rPr>
            <w:noProof/>
            <w:webHidden/>
          </w:rPr>
          <w:t>255</w:t>
        </w:r>
        <w:r>
          <w:rPr>
            <w:noProof/>
            <w:webHidden/>
          </w:rPr>
          <w:fldChar w:fldCharType="end"/>
        </w:r>
      </w:hyperlink>
    </w:p>
    <w:p w14:paraId="05CC92A1" w14:textId="0230E9C4"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75" w:history="1">
        <w:r w:rsidRPr="00B61D2D">
          <w:rPr>
            <w:rStyle w:val="Hyperlink"/>
            <w:noProof/>
          </w:rPr>
          <w:t>Ilustración 110. Huella construida sobre áreas protegidas en la Sabana de Bogotá.</w:t>
        </w:r>
        <w:r>
          <w:rPr>
            <w:noProof/>
            <w:webHidden/>
          </w:rPr>
          <w:tab/>
        </w:r>
        <w:r>
          <w:rPr>
            <w:noProof/>
            <w:webHidden/>
          </w:rPr>
          <w:fldChar w:fldCharType="begin"/>
        </w:r>
        <w:r>
          <w:rPr>
            <w:noProof/>
            <w:webHidden/>
          </w:rPr>
          <w:instrText xml:space="preserve"> PAGEREF _Toc216468875 \h </w:instrText>
        </w:r>
        <w:r>
          <w:rPr>
            <w:noProof/>
            <w:webHidden/>
          </w:rPr>
        </w:r>
        <w:r>
          <w:rPr>
            <w:noProof/>
            <w:webHidden/>
          </w:rPr>
          <w:fldChar w:fldCharType="separate"/>
        </w:r>
        <w:r w:rsidR="00CE096F">
          <w:rPr>
            <w:noProof/>
            <w:webHidden/>
          </w:rPr>
          <w:t>256</w:t>
        </w:r>
        <w:r>
          <w:rPr>
            <w:noProof/>
            <w:webHidden/>
          </w:rPr>
          <w:fldChar w:fldCharType="end"/>
        </w:r>
      </w:hyperlink>
    </w:p>
    <w:p w14:paraId="1421E130" w14:textId="64D1F103"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76" w:history="1">
        <w:r w:rsidRPr="00B61D2D">
          <w:rPr>
            <w:rStyle w:val="Hyperlink"/>
            <w:noProof/>
          </w:rPr>
          <w:t>Ilustración 111 Índice de huella humana en el ámbito Sabana 2020 (IAVH)</w:t>
        </w:r>
        <w:r>
          <w:rPr>
            <w:noProof/>
            <w:webHidden/>
          </w:rPr>
          <w:tab/>
        </w:r>
        <w:r>
          <w:rPr>
            <w:noProof/>
            <w:webHidden/>
          </w:rPr>
          <w:fldChar w:fldCharType="begin"/>
        </w:r>
        <w:r>
          <w:rPr>
            <w:noProof/>
            <w:webHidden/>
          </w:rPr>
          <w:instrText xml:space="preserve"> PAGEREF _Toc216468876 \h </w:instrText>
        </w:r>
        <w:r>
          <w:rPr>
            <w:noProof/>
            <w:webHidden/>
          </w:rPr>
        </w:r>
        <w:r>
          <w:rPr>
            <w:noProof/>
            <w:webHidden/>
          </w:rPr>
          <w:fldChar w:fldCharType="separate"/>
        </w:r>
        <w:r w:rsidR="00CE096F">
          <w:rPr>
            <w:noProof/>
            <w:webHidden/>
          </w:rPr>
          <w:t>257</w:t>
        </w:r>
        <w:r>
          <w:rPr>
            <w:noProof/>
            <w:webHidden/>
          </w:rPr>
          <w:fldChar w:fldCharType="end"/>
        </w:r>
      </w:hyperlink>
    </w:p>
    <w:p w14:paraId="72C8B8D7" w14:textId="6069419D"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77" w:history="1">
        <w:r w:rsidRPr="00B61D2D">
          <w:rPr>
            <w:rStyle w:val="Hyperlink"/>
            <w:noProof/>
          </w:rPr>
          <w:t xml:space="preserve">Ilustración 112 </w:t>
        </w:r>
        <w:r w:rsidRPr="00B61D2D">
          <w:rPr>
            <w:rStyle w:val="Hyperlink"/>
            <w:rFonts w:ascii="Baskerville" w:hAnsi="Baskerville"/>
            <w:noProof/>
            <w:shd w:val="clear" w:color="auto" w:fill="FEFEFE"/>
          </w:rPr>
          <w:t>La relación entre la ocupación (izquierda) y el sellado del suelo (derecha, superficies sombreadas)</w:t>
        </w:r>
        <w:r>
          <w:rPr>
            <w:noProof/>
            <w:webHidden/>
          </w:rPr>
          <w:tab/>
        </w:r>
        <w:r>
          <w:rPr>
            <w:noProof/>
            <w:webHidden/>
          </w:rPr>
          <w:fldChar w:fldCharType="begin"/>
        </w:r>
        <w:r>
          <w:rPr>
            <w:noProof/>
            <w:webHidden/>
          </w:rPr>
          <w:instrText xml:space="preserve"> PAGEREF _Toc216468877 \h </w:instrText>
        </w:r>
        <w:r>
          <w:rPr>
            <w:noProof/>
            <w:webHidden/>
          </w:rPr>
        </w:r>
        <w:r>
          <w:rPr>
            <w:noProof/>
            <w:webHidden/>
          </w:rPr>
          <w:fldChar w:fldCharType="separate"/>
        </w:r>
        <w:r w:rsidR="00CE096F">
          <w:rPr>
            <w:noProof/>
            <w:webHidden/>
          </w:rPr>
          <w:t>261</w:t>
        </w:r>
        <w:r>
          <w:rPr>
            <w:noProof/>
            <w:webHidden/>
          </w:rPr>
          <w:fldChar w:fldCharType="end"/>
        </w:r>
      </w:hyperlink>
    </w:p>
    <w:p w14:paraId="1967F81C" w14:textId="44D60595"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78" w:history="1">
        <w:r w:rsidRPr="00B61D2D">
          <w:rPr>
            <w:rStyle w:val="Hyperlink"/>
            <w:noProof/>
          </w:rPr>
          <w:t>Ilustración 113. Ilustración 113. Árbol de problemas - sellamiento del suelo</w:t>
        </w:r>
        <w:r>
          <w:rPr>
            <w:noProof/>
            <w:webHidden/>
          </w:rPr>
          <w:tab/>
        </w:r>
        <w:r>
          <w:rPr>
            <w:noProof/>
            <w:webHidden/>
          </w:rPr>
          <w:fldChar w:fldCharType="begin"/>
        </w:r>
        <w:r>
          <w:rPr>
            <w:noProof/>
            <w:webHidden/>
          </w:rPr>
          <w:instrText xml:space="preserve"> PAGEREF _Toc216468878 \h </w:instrText>
        </w:r>
        <w:r>
          <w:rPr>
            <w:noProof/>
            <w:webHidden/>
          </w:rPr>
        </w:r>
        <w:r>
          <w:rPr>
            <w:noProof/>
            <w:webHidden/>
          </w:rPr>
          <w:fldChar w:fldCharType="separate"/>
        </w:r>
        <w:r w:rsidR="00CE096F">
          <w:rPr>
            <w:noProof/>
            <w:webHidden/>
          </w:rPr>
          <w:t>265</w:t>
        </w:r>
        <w:r>
          <w:rPr>
            <w:noProof/>
            <w:webHidden/>
          </w:rPr>
          <w:fldChar w:fldCharType="end"/>
        </w:r>
      </w:hyperlink>
    </w:p>
    <w:p w14:paraId="44A60225" w14:textId="762EDB1C"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79" w:history="1">
        <w:r w:rsidRPr="00B61D2D">
          <w:rPr>
            <w:rStyle w:val="Hyperlink"/>
            <w:noProof/>
          </w:rPr>
          <w:t>Ilustración 114 Maquinaria utilizada para labores de mantenimiento y adecuaciones hidráulicas.</w:t>
        </w:r>
        <w:r>
          <w:rPr>
            <w:noProof/>
            <w:webHidden/>
          </w:rPr>
          <w:tab/>
        </w:r>
        <w:r>
          <w:rPr>
            <w:noProof/>
            <w:webHidden/>
          </w:rPr>
          <w:fldChar w:fldCharType="begin"/>
        </w:r>
        <w:r>
          <w:rPr>
            <w:noProof/>
            <w:webHidden/>
          </w:rPr>
          <w:instrText xml:space="preserve"> PAGEREF _Toc216468879 \h </w:instrText>
        </w:r>
        <w:r>
          <w:rPr>
            <w:noProof/>
            <w:webHidden/>
          </w:rPr>
        </w:r>
        <w:r>
          <w:rPr>
            <w:noProof/>
            <w:webHidden/>
          </w:rPr>
          <w:fldChar w:fldCharType="separate"/>
        </w:r>
        <w:r w:rsidR="00CE096F">
          <w:rPr>
            <w:noProof/>
            <w:webHidden/>
          </w:rPr>
          <w:t>277</w:t>
        </w:r>
        <w:r>
          <w:rPr>
            <w:noProof/>
            <w:webHidden/>
          </w:rPr>
          <w:fldChar w:fldCharType="end"/>
        </w:r>
      </w:hyperlink>
    </w:p>
    <w:p w14:paraId="2FAD1338" w14:textId="457E8EC7"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80" w:history="1">
        <w:r w:rsidRPr="00B61D2D">
          <w:rPr>
            <w:rStyle w:val="Hyperlink"/>
            <w:noProof/>
          </w:rPr>
          <w:t>Ilustración 115 Vista general de los tres sistemas de abastecimiento de fuentes superficiales región Sabana</w:t>
        </w:r>
        <w:r>
          <w:rPr>
            <w:noProof/>
            <w:webHidden/>
          </w:rPr>
          <w:tab/>
        </w:r>
        <w:r>
          <w:rPr>
            <w:noProof/>
            <w:webHidden/>
          </w:rPr>
          <w:fldChar w:fldCharType="begin"/>
        </w:r>
        <w:r>
          <w:rPr>
            <w:noProof/>
            <w:webHidden/>
          </w:rPr>
          <w:instrText xml:space="preserve"> PAGEREF _Toc216468880 \h </w:instrText>
        </w:r>
        <w:r>
          <w:rPr>
            <w:noProof/>
            <w:webHidden/>
          </w:rPr>
        </w:r>
        <w:r>
          <w:rPr>
            <w:noProof/>
            <w:webHidden/>
          </w:rPr>
          <w:fldChar w:fldCharType="separate"/>
        </w:r>
        <w:r w:rsidR="00CE096F">
          <w:rPr>
            <w:noProof/>
            <w:webHidden/>
          </w:rPr>
          <w:t>280</w:t>
        </w:r>
        <w:r>
          <w:rPr>
            <w:noProof/>
            <w:webHidden/>
          </w:rPr>
          <w:fldChar w:fldCharType="end"/>
        </w:r>
      </w:hyperlink>
    </w:p>
    <w:p w14:paraId="1DC713A7" w14:textId="3F3430B3"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81" w:history="1">
        <w:r w:rsidRPr="00B61D2D">
          <w:rPr>
            <w:rStyle w:val="Hyperlink"/>
            <w:noProof/>
          </w:rPr>
          <w:t>Ilustración 116 Índice de retención y regulación hídrica región Sabana de Bogotá</w:t>
        </w:r>
        <w:r>
          <w:rPr>
            <w:noProof/>
            <w:webHidden/>
          </w:rPr>
          <w:tab/>
        </w:r>
        <w:r>
          <w:rPr>
            <w:noProof/>
            <w:webHidden/>
          </w:rPr>
          <w:fldChar w:fldCharType="begin"/>
        </w:r>
        <w:r>
          <w:rPr>
            <w:noProof/>
            <w:webHidden/>
          </w:rPr>
          <w:instrText xml:space="preserve"> PAGEREF _Toc216468881 \h </w:instrText>
        </w:r>
        <w:r>
          <w:rPr>
            <w:noProof/>
            <w:webHidden/>
          </w:rPr>
        </w:r>
        <w:r>
          <w:rPr>
            <w:noProof/>
            <w:webHidden/>
          </w:rPr>
          <w:fldChar w:fldCharType="separate"/>
        </w:r>
        <w:r w:rsidR="00CE096F">
          <w:rPr>
            <w:noProof/>
            <w:webHidden/>
          </w:rPr>
          <w:t>282</w:t>
        </w:r>
        <w:r>
          <w:rPr>
            <w:noProof/>
            <w:webHidden/>
          </w:rPr>
          <w:fldChar w:fldCharType="end"/>
        </w:r>
      </w:hyperlink>
    </w:p>
    <w:p w14:paraId="7949AC01" w14:textId="50C06264"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82" w:history="1">
        <w:r w:rsidRPr="00B61D2D">
          <w:rPr>
            <w:rStyle w:val="Hyperlink"/>
            <w:noProof/>
          </w:rPr>
          <w:t>Ilustración 117 Comparación Índice de retención y regulación hídrica región Sabana de Bogotá</w:t>
        </w:r>
        <w:r>
          <w:rPr>
            <w:noProof/>
            <w:webHidden/>
          </w:rPr>
          <w:tab/>
        </w:r>
        <w:r>
          <w:rPr>
            <w:noProof/>
            <w:webHidden/>
          </w:rPr>
          <w:fldChar w:fldCharType="begin"/>
        </w:r>
        <w:r>
          <w:rPr>
            <w:noProof/>
            <w:webHidden/>
          </w:rPr>
          <w:instrText xml:space="preserve"> PAGEREF _Toc216468882 \h </w:instrText>
        </w:r>
        <w:r>
          <w:rPr>
            <w:noProof/>
            <w:webHidden/>
          </w:rPr>
        </w:r>
        <w:r>
          <w:rPr>
            <w:noProof/>
            <w:webHidden/>
          </w:rPr>
          <w:fldChar w:fldCharType="separate"/>
        </w:r>
        <w:r w:rsidR="00CE096F">
          <w:rPr>
            <w:noProof/>
            <w:webHidden/>
          </w:rPr>
          <w:t>284</w:t>
        </w:r>
        <w:r>
          <w:rPr>
            <w:noProof/>
            <w:webHidden/>
          </w:rPr>
          <w:fldChar w:fldCharType="end"/>
        </w:r>
      </w:hyperlink>
    </w:p>
    <w:p w14:paraId="1A58A75D" w14:textId="26F889A7"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83" w:history="1">
        <w:r w:rsidRPr="00B61D2D">
          <w:rPr>
            <w:rStyle w:val="Hyperlink"/>
            <w:noProof/>
          </w:rPr>
          <w:t>Ilustración 118 Índice de vulnerabilidad a los eventos torrenciales región Sabana de Bogotá</w:t>
        </w:r>
        <w:r>
          <w:rPr>
            <w:noProof/>
            <w:webHidden/>
          </w:rPr>
          <w:tab/>
        </w:r>
        <w:r>
          <w:rPr>
            <w:noProof/>
            <w:webHidden/>
          </w:rPr>
          <w:fldChar w:fldCharType="begin"/>
        </w:r>
        <w:r>
          <w:rPr>
            <w:noProof/>
            <w:webHidden/>
          </w:rPr>
          <w:instrText xml:space="preserve"> PAGEREF _Toc216468883 \h </w:instrText>
        </w:r>
        <w:r>
          <w:rPr>
            <w:noProof/>
            <w:webHidden/>
          </w:rPr>
        </w:r>
        <w:r>
          <w:rPr>
            <w:noProof/>
            <w:webHidden/>
          </w:rPr>
          <w:fldChar w:fldCharType="separate"/>
        </w:r>
        <w:r w:rsidR="00CE096F">
          <w:rPr>
            <w:noProof/>
            <w:webHidden/>
          </w:rPr>
          <w:t>286</w:t>
        </w:r>
        <w:r>
          <w:rPr>
            <w:noProof/>
            <w:webHidden/>
          </w:rPr>
          <w:fldChar w:fldCharType="end"/>
        </w:r>
      </w:hyperlink>
    </w:p>
    <w:p w14:paraId="56195E25" w14:textId="60F5E5BB"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84" w:history="1">
        <w:r w:rsidRPr="00B61D2D">
          <w:rPr>
            <w:rStyle w:val="Hyperlink"/>
            <w:noProof/>
          </w:rPr>
          <w:t>Ilustración 119 Puntos de agua con seguimiento y control por parte de la SDA</w:t>
        </w:r>
        <w:r>
          <w:rPr>
            <w:noProof/>
            <w:webHidden/>
          </w:rPr>
          <w:tab/>
        </w:r>
        <w:r>
          <w:rPr>
            <w:noProof/>
            <w:webHidden/>
          </w:rPr>
          <w:fldChar w:fldCharType="begin"/>
        </w:r>
        <w:r>
          <w:rPr>
            <w:noProof/>
            <w:webHidden/>
          </w:rPr>
          <w:instrText xml:space="preserve"> PAGEREF _Toc216468884 \h </w:instrText>
        </w:r>
        <w:r>
          <w:rPr>
            <w:noProof/>
            <w:webHidden/>
          </w:rPr>
        </w:r>
        <w:r>
          <w:rPr>
            <w:noProof/>
            <w:webHidden/>
          </w:rPr>
          <w:fldChar w:fldCharType="separate"/>
        </w:r>
        <w:r w:rsidR="00CE096F">
          <w:rPr>
            <w:noProof/>
            <w:webHidden/>
          </w:rPr>
          <w:t>289</w:t>
        </w:r>
        <w:r>
          <w:rPr>
            <w:noProof/>
            <w:webHidden/>
          </w:rPr>
          <w:fldChar w:fldCharType="end"/>
        </w:r>
      </w:hyperlink>
    </w:p>
    <w:p w14:paraId="263D9699" w14:textId="10AC88B1"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85" w:history="1">
        <w:r w:rsidRPr="00B61D2D">
          <w:rPr>
            <w:rStyle w:val="Hyperlink"/>
            <w:noProof/>
          </w:rPr>
          <w:t>Ilustración 120 Gráfica caudal concesionado cuenca río Bogotá</w:t>
        </w:r>
        <w:r>
          <w:rPr>
            <w:noProof/>
            <w:webHidden/>
          </w:rPr>
          <w:tab/>
        </w:r>
        <w:r>
          <w:rPr>
            <w:noProof/>
            <w:webHidden/>
          </w:rPr>
          <w:fldChar w:fldCharType="begin"/>
        </w:r>
        <w:r>
          <w:rPr>
            <w:noProof/>
            <w:webHidden/>
          </w:rPr>
          <w:instrText xml:space="preserve"> PAGEREF _Toc216468885 \h </w:instrText>
        </w:r>
        <w:r>
          <w:rPr>
            <w:noProof/>
            <w:webHidden/>
          </w:rPr>
        </w:r>
        <w:r>
          <w:rPr>
            <w:noProof/>
            <w:webHidden/>
          </w:rPr>
          <w:fldChar w:fldCharType="separate"/>
        </w:r>
        <w:r w:rsidR="00CE096F">
          <w:rPr>
            <w:noProof/>
            <w:webHidden/>
          </w:rPr>
          <w:t>290</w:t>
        </w:r>
        <w:r>
          <w:rPr>
            <w:noProof/>
            <w:webHidden/>
          </w:rPr>
          <w:fldChar w:fldCharType="end"/>
        </w:r>
      </w:hyperlink>
    </w:p>
    <w:p w14:paraId="23C7274D" w14:textId="3A35272C"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86" w:history="1">
        <w:r w:rsidRPr="00B61D2D">
          <w:rPr>
            <w:rStyle w:val="Hyperlink"/>
            <w:noProof/>
          </w:rPr>
          <w:t>Ilustración 121 Captaciones cuenca río Bogotá</w:t>
        </w:r>
        <w:r>
          <w:rPr>
            <w:noProof/>
            <w:webHidden/>
          </w:rPr>
          <w:tab/>
        </w:r>
        <w:r>
          <w:rPr>
            <w:noProof/>
            <w:webHidden/>
          </w:rPr>
          <w:fldChar w:fldCharType="begin"/>
        </w:r>
        <w:r>
          <w:rPr>
            <w:noProof/>
            <w:webHidden/>
          </w:rPr>
          <w:instrText xml:space="preserve"> PAGEREF _Toc216468886 \h </w:instrText>
        </w:r>
        <w:r>
          <w:rPr>
            <w:noProof/>
            <w:webHidden/>
          </w:rPr>
        </w:r>
        <w:r>
          <w:rPr>
            <w:noProof/>
            <w:webHidden/>
          </w:rPr>
          <w:fldChar w:fldCharType="separate"/>
        </w:r>
        <w:r w:rsidR="00CE096F">
          <w:rPr>
            <w:noProof/>
            <w:webHidden/>
          </w:rPr>
          <w:t>291</w:t>
        </w:r>
        <w:r>
          <w:rPr>
            <w:noProof/>
            <w:webHidden/>
          </w:rPr>
          <w:fldChar w:fldCharType="end"/>
        </w:r>
      </w:hyperlink>
    </w:p>
    <w:p w14:paraId="2A3B85E6" w14:textId="5F5DD2C1"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87" w:history="1">
        <w:r w:rsidRPr="00B61D2D">
          <w:rPr>
            <w:rStyle w:val="Hyperlink"/>
            <w:noProof/>
          </w:rPr>
          <w:t>Ilustración 122 Índice de uso del agua región Sabana de Bogotá</w:t>
        </w:r>
        <w:r>
          <w:rPr>
            <w:noProof/>
            <w:webHidden/>
          </w:rPr>
          <w:tab/>
        </w:r>
        <w:r>
          <w:rPr>
            <w:noProof/>
            <w:webHidden/>
          </w:rPr>
          <w:fldChar w:fldCharType="begin"/>
        </w:r>
        <w:r>
          <w:rPr>
            <w:noProof/>
            <w:webHidden/>
          </w:rPr>
          <w:instrText xml:space="preserve"> PAGEREF _Toc216468887 \h </w:instrText>
        </w:r>
        <w:r>
          <w:rPr>
            <w:noProof/>
            <w:webHidden/>
          </w:rPr>
        </w:r>
        <w:r>
          <w:rPr>
            <w:noProof/>
            <w:webHidden/>
          </w:rPr>
          <w:fldChar w:fldCharType="separate"/>
        </w:r>
        <w:r w:rsidR="00CE096F">
          <w:rPr>
            <w:noProof/>
            <w:webHidden/>
          </w:rPr>
          <w:t>291</w:t>
        </w:r>
        <w:r>
          <w:rPr>
            <w:noProof/>
            <w:webHidden/>
          </w:rPr>
          <w:fldChar w:fldCharType="end"/>
        </w:r>
      </w:hyperlink>
    </w:p>
    <w:p w14:paraId="488C82A0" w14:textId="7F8952B9"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88" w:history="1">
        <w:r w:rsidRPr="00B61D2D">
          <w:rPr>
            <w:rStyle w:val="Hyperlink"/>
            <w:noProof/>
          </w:rPr>
          <w:t>Ilustración 123 Comparación índice de uso del agua región Sabana de Bogotá</w:t>
        </w:r>
        <w:r>
          <w:rPr>
            <w:noProof/>
            <w:webHidden/>
          </w:rPr>
          <w:tab/>
        </w:r>
        <w:r>
          <w:rPr>
            <w:noProof/>
            <w:webHidden/>
          </w:rPr>
          <w:fldChar w:fldCharType="begin"/>
        </w:r>
        <w:r>
          <w:rPr>
            <w:noProof/>
            <w:webHidden/>
          </w:rPr>
          <w:instrText xml:space="preserve"> PAGEREF _Toc216468888 \h </w:instrText>
        </w:r>
        <w:r>
          <w:rPr>
            <w:noProof/>
            <w:webHidden/>
          </w:rPr>
        </w:r>
        <w:r>
          <w:rPr>
            <w:noProof/>
            <w:webHidden/>
          </w:rPr>
          <w:fldChar w:fldCharType="separate"/>
        </w:r>
        <w:r w:rsidR="00CE096F">
          <w:rPr>
            <w:noProof/>
            <w:webHidden/>
          </w:rPr>
          <w:t>293</w:t>
        </w:r>
        <w:r>
          <w:rPr>
            <w:noProof/>
            <w:webHidden/>
          </w:rPr>
          <w:fldChar w:fldCharType="end"/>
        </w:r>
      </w:hyperlink>
    </w:p>
    <w:p w14:paraId="517C0532" w14:textId="35CD6F7F"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89" w:history="1">
        <w:r w:rsidRPr="00B61D2D">
          <w:rPr>
            <w:rStyle w:val="Hyperlink"/>
            <w:noProof/>
          </w:rPr>
          <w:t>Ilustración 124 Comparación índice de vulnerabilidad al desabastecimiento región Sabana de Bogotá</w:t>
        </w:r>
        <w:r>
          <w:rPr>
            <w:noProof/>
            <w:webHidden/>
          </w:rPr>
          <w:tab/>
        </w:r>
        <w:r>
          <w:rPr>
            <w:noProof/>
            <w:webHidden/>
          </w:rPr>
          <w:fldChar w:fldCharType="begin"/>
        </w:r>
        <w:r>
          <w:rPr>
            <w:noProof/>
            <w:webHidden/>
          </w:rPr>
          <w:instrText xml:space="preserve"> PAGEREF _Toc216468889 \h </w:instrText>
        </w:r>
        <w:r>
          <w:rPr>
            <w:noProof/>
            <w:webHidden/>
          </w:rPr>
        </w:r>
        <w:r>
          <w:rPr>
            <w:noProof/>
            <w:webHidden/>
          </w:rPr>
          <w:fldChar w:fldCharType="separate"/>
        </w:r>
        <w:r w:rsidR="00CE096F">
          <w:rPr>
            <w:noProof/>
            <w:webHidden/>
          </w:rPr>
          <w:t>296</w:t>
        </w:r>
        <w:r>
          <w:rPr>
            <w:noProof/>
            <w:webHidden/>
          </w:rPr>
          <w:fldChar w:fldCharType="end"/>
        </w:r>
      </w:hyperlink>
    </w:p>
    <w:p w14:paraId="1DE03D89" w14:textId="6B4C8DEA"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90" w:history="1">
        <w:r w:rsidRPr="00B61D2D">
          <w:rPr>
            <w:rStyle w:val="Hyperlink"/>
            <w:noProof/>
          </w:rPr>
          <w:t>Ilustración 125 Zonas de recarga de acuíferos</w:t>
        </w:r>
        <w:r>
          <w:rPr>
            <w:noProof/>
            <w:webHidden/>
          </w:rPr>
          <w:tab/>
        </w:r>
        <w:r>
          <w:rPr>
            <w:noProof/>
            <w:webHidden/>
          </w:rPr>
          <w:fldChar w:fldCharType="begin"/>
        </w:r>
        <w:r>
          <w:rPr>
            <w:noProof/>
            <w:webHidden/>
          </w:rPr>
          <w:instrText xml:space="preserve"> PAGEREF _Toc216468890 \h </w:instrText>
        </w:r>
        <w:r>
          <w:rPr>
            <w:noProof/>
            <w:webHidden/>
          </w:rPr>
        </w:r>
        <w:r>
          <w:rPr>
            <w:noProof/>
            <w:webHidden/>
          </w:rPr>
          <w:fldChar w:fldCharType="separate"/>
        </w:r>
        <w:r w:rsidR="00CE096F">
          <w:rPr>
            <w:noProof/>
            <w:webHidden/>
          </w:rPr>
          <w:t>298</w:t>
        </w:r>
        <w:r>
          <w:rPr>
            <w:noProof/>
            <w:webHidden/>
          </w:rPr>
          <w:fldChar w:fldCharType="end"/>
        </w:r>
      </w:hyperlink>
    </w:p>
    <w:p w14:paraId="3EA5799A" w14:textId="0F7F2268"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91" w:history="1">
        <w:r w:rsidRPr="00B61D2D">
          <w:rPr>
            <w:rStyle w:val="Hyperlink"/>
            <w:noProof/>
          </w:rPr>
          <w:t xml:space="preserve">Ilustración 126 </w:t>
        </w:r>
        <w:r w:rsidRPr="00B61D2D">
          <w:rPr>
            <w:rStyle w:val="Hyperlink"/>
            <w:rFonts w:ascii="Baskerville" w:hAnsi="Baskerville"/>
            <w:noProof/>
          </w:rPr>
          <w:t>Localización de los pozos que integran la Red de Monitoreo de Aguas Subterráneas de la CAR en la Sabana de Bogotá</w:t>
        </w:r>
        <w:r>
          <w:rPr>
            <w:noProof/>
            <w:webHidden/>
          </w:rPr>
          <w:tab/>
        </w:r>
        <w:r>
          <w:rPr>
            <w:noProof/>
            <w:webHidden/>
          </w:rPr>
          <w:fldChar w:fldCharType="begin"/>
        </w:r>
        <w:r>
          <w:rPr>
            <w:noProof/>
            <w:webHidden/>
          </w:rPr>
          <w:instrText xml:space="preserve"> PAGEREF _Toc216468891 \h </w:instrText>
        </w:r>
        <w:r>
          <w:rPr>
            <w:noProof/>
            <w:webHidden/>
          </w:rPr>
        </w:r>
        <w:r>
          <w:rPr>
            <w:noProof/>
            <w:webHidden/>
          </w:rPr>
          <w:fldChar w:fldCharType="separate"/>
        </w:r>
        <w:r w:rsidR="00CE096F">
          <w:rPr>
            <w:noProof/>
            <w:webHidden/>
          </w:rPr>
          <w:t>300</w:t>
        </w:r>
        <w:r>
          <w:rPr>
            <w:noProof/>
            <w:webHidden/>
          </w:rPr>
          <w:fldChar w:fldCharType="end"/>
        </w:r>
      </w:hyperlink>
    </w:p>
    <w:p w14:paraId="6D36D1B3" w14:textId="0C2A6C22"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92" w:history="1">
        <w:r w:rsidRPr="00B61D2D">
          <w:rPr>
            <w:rStyle w:val="Hyperlink"/>
            <w:noProof/>
          </w:rPr>
          <w:t>Ilustración 127 Concentraciones de CO2 proyectadas por los escenarios de emisión SRES del AR4 y por las 4 vías representativas de concentración (RCP) del AR5.</w:t>
        </w:r>
        <w:r>
          <w:rPr>
            <w:noProof/>
            <w:webHidden/>
          </w:rPr>
          <w:tab/>
        </w:r>
        <w:r>
          <w:rPr>
            <w:noProof/>
            <w:webHidden/>
          </w:rPr>
          <w:fldChar w:fldCharType="begin"/>
        </w:r>
        <w:r>
          <w:rPr>
            <w:noProof/>
            <w:webHidden/>
          </w:rPr>
          <w:instrText xml:space="preserve"> PAGEREF _Toc216468892 \h </w:instrText>
        </w:r>
        <w:r>
          <w:rPr>
            <w:noProof/>
            <w:webHidden/>
          </w:rPr>
        </w:r>
        <w:r>
          <w:rPr>
            <w:noProof/>
            <w:webHidden/>
          </w:rPr>
          <w:fldChar w:fldCharType="separate"/>
        </w:r>
        <w:r w:rsidR="00CE096F">
          <w:rPr>
            <w:noProof/>
            <w:webHidden/>
          </w:rPr>
          <w:t>302</w:t>
        </w:r>
        <w:r>
          <w:rPr>
            <w:noProof/>
            <w:webHidden/>
          </w:rPr>
          <w:fldChar w:fldCharType="end"/>
        </w:r>
      </w:hyperlink>
    </w:p>
    <w:p w14:paraId="6B17A82D" w14:textId="0B063CB4"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93" w:history="1">
        <w:r w:rsidRPr="00B61D2D">
          <w:rPr>
            <w:rStyle w:val="Hyperlink"/>
            <w:noProof/>
          </w:rPr>
          <w:t>Ilustración 128 Rendimiento hídrico corredor de conservación de páramos</w:t>
        </w:r>
        <w:r>
          <w:rPr>
            <w:noProof/>
            <w:webHidden/>
          </w:rPr>
          <w:tab/>
        </w:r>
        <w:r>
          <w:rPr>
            <w:noProof/>
            <w:webHidden/>
          </w:rPr>
          <w:fldChar w:fldCharType="begin"/>
        </w:r>
        <w:r>
          <w:rPr>
            <w:noProof/>
            <w:webHidden/>
          </w:rPr>
          <w:instrText xml:space="preserve"> PAGEREF _Toc216468893 \h </w:instrText>
        </w:r>
        <w:r>
          <w:rPr>
            <w:noProof/>
            <w:webHidden/>
          </w:rPr>
        </w:r>
        <w:r>
          <w:rPr>
            <w:noProof/>
            <w:webHidden/>
          </w:rPr>
          <w:fldChar w:fldCharType="separate"/>
        </w:r>
        <w:r w:rsidR="00CE096F">
          <w:rPr>
            <w:noProof/>
            <w:webHidden/>
          </w:rPr>
          <w:t>303</w:t>
        </w:r>
        <w:r>
          <w:rPr>
            <w:noProof/>
            <w:webHidden/>
          </w:rPr>
          <w:fldChar w:fldCharType="end"/>
        </w:r>
      </w:hyperlink>
    </w:p>
    <w:p w14:paraId="059BB2C6" w14:textId="63D79CBB"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94" w:history="1">
        <w:r w:rsidRPr="00B61D2D">
          <w:rPr>
            <w:rStyle w:val="Hyperlink"/>
            <w:noProof/>
          </w:rPr>
          <w:t>Ilustración 129 Cambio en la precipitación según el escenario de cambio climático RCP 6.0</w:t>
        </w:r>
        <w:r>
          <w:rPr>
            <w:noProof/>
            <w:webHidden/>
          </w:rPr>
          <w:tab/>
        </w:r>
        <w:r>
          <w:rPr>
            <w:noProof/>
            <w:webHidden/>
          </w:rPr>
          <w:fldChar w:fldCharType="begin"/>
        </w:r>
        <w:r>
          <w:rPr>
            <w:noProof/>
            <w:webHidden/>
          </w:rPr>
          <w:instrText xml:space="preserve"> PAGEREF _Toc216468894 \h </w:instrText>
        </w:r>
        <w:r>
          <w:rPr>
            <w:noProof/>
            <w:webHidden/>
          </w:rPr>
        </w:r>
        <w:r>
          <w:rPr>
            <w:noProof/>
            <w:webHidden/>
          </w:rPr>
          <w:fldChar w:fldCharType="separate"/>
        </w:r>
        <w:r w:rsidR="00CE096F">
          <w:rPr>
            <w:noProof/>
            <w:webHidden/>
          </w:rPr>
          <w:t>304</w:t>
        </w:r>
        <w:r>
          <w:rPr>
            <w:noProof/>
            <w:webHidden/>
          </w:rPr>
          <w:fldChar w:fldCharType="end"/>
        </w:r>
      </w:hyperlink>
    </w:p>
    <w:p w14:paraId="4126031D" w14:textId="02C0A384"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95" w:history="1">
        <w:r w:rsidRPr="00B61D2D">
          <w:rPr>
            <w:rStyle w:val="Hyperlink"/>
            <w:noProof/>
          </w:rPr>
          <w:t>Ilustración 130  Índice de vegetación remanente región Sabana de Bogotá</w:t>
        </w:r>
        <w:r>
          <w:rPr>
            <w:noProof/>
            <w:webHidden/>
          </w:rPr>
          <w:tab/>
        </w:r>
        <w:r>
          <w:rPr>
            <w:noProof/>
            <w:webHidden/>
          </w:rPr>
          <w:fldChar w:fldCharType="begin"/>
        </w:r>
        <w:r>
          <w:rPr>
            <w:noProof/>
            <w:webHidden/>
          </w:rPr>
          <w:instrText xml:space="preserve"> PAGEREF _Toc216468895 \h </w:instrText>
        </w:r>
        <w:r>
          <w:rPr>
            <w:noProof/>
            <w:webHidden/>
          </w:rPr>
        </w:r>
        <w:r>
          <w:rPr>
            <w:noProof/>
            <w:webHidden/>
          </w:rPr>
          <w:fldChar w:fldCharType="separate"/>
        </w:r>
        <w:r w:rsidR="00CE096F">
          <w:rPr>
            <w:noProof/>
            <w:webHidden/>
          </w:rPr>
          <w:t>307</w:t>
        </w:r>
        <w:r>
          <w:rPr>
            <w:noProof/>
            <w:webHidden/>
          </w:rPr>
          <w:fldChar w:fldCharType="end"/>
        </w:r>
      </w:hyperlink>
    </w:p>
    <w:p w14:paraId="6A523750" w14:textId="479D6DCE"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96" w:history="1">
        <w:r w:rsidRPr="00B61D2D">
          <w:rPr>
            <w:rStyle w:val="Hyperlink"/>
            <w:noProof/>
          </w:rPr>
          <w:t>Ilustración 131 Índice de fragmentación región Sabana de Bogotá</w:t>
        </w:r>
        <w:r>
          <w:rPr>
            <w:noProof/>
            <w:webHidden/>
          </w:rPr>
          <w:tab/>
        </w:r>
        <w:r>
          <w:rPr>
            <w:noProof/>
            <w:webHidden/>
          </w:rPr>
          <w:fldChar w:fldCharType="begin"/>
        </w:r>
        <w:r>
          <w:rPr>
            <w:noProof/>
            <w:webHidden/>
          </w:rPr>
          <w:instrText xml:space="preserve"> PAGEREF _Toc216468896 \h </w:instrText>
        </w:r>
        <w:r>
          <w:rPr>
            <w:noProof/>
            <w:webHidden/>
          </w:rPr>
        </w:r>
        <w:r>
          <w:rPr>
            <w:noProof/>
            <w:webHidden/>
          </w:rPr>
          <w:fldChar w:fldCharType="separate"/>
        </w:r>
        <w:r w:rsidR="00CE096F">
          <w:rPr>
            <w:noProof/>
            <w:webHidden/>
          </w:rPr>
          <w:t>308</w:t>
        </w:r>
        <w:r>
          <w:rPr>
            <w:noProof/>
            <w:webHidden/>
          </w:rPr>
          <w:fldChar w:fldCharType="end"/>
        </w:r>
      </w:hyperlink>
    </w:p>
    <w:p w14:paraId="6F20F8B6" w14:textId="40DBEF75"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97" w:history="1">
        <w:r w:rsidRPr="00B61D2D">
          <w:rPr>
            <w:rStyle w:val="Hyperlink"/>
            <w:noProof/>
          </w:rPr>
          <w:t>Ilustración 132 Conflicto por uso del suelo región Sabana de Bogotá</w:t>
        </w:r>
        <w:r>
          <w:rPr>
            <w:noProof/>
            <w:webHidden/>
          </w:rPr>
          <w:tab/>
        </w:r>
        <w:r>
          <w:rPr>
            <w:noProof/>
            <w:webHidden/>
          </w:rPr>
          <w:fldChar w:fldCharType="begin"/>
        </w:r>
        <w:r>
          <w:rPr>
            <w:noProof/>
            <w:webHidden/>
          </w:rPr>
          <w:instrText xml:space="preserve"> PAGEREF _Toc216468897 \h </w:instrText>
        </w:r>
        <w:r>
          <w:rPr>
            <w:noProof/>
            <w:webHidden/>
          </w:rPr>
        </w:r>
        <w:r>
          <w:rPr>
            <w:noProof/>
            <w:webHidden/>
          </w:rPr>
          <w:fldChar w:fldCharType="separate"/>
        </w:r>
        <w:r w:rsidR="00CE096F">
          <w:rPr>
            <w:noProof/>
            <w:webHidden/>
          </w:rPr>
          <w:t>309</w:t>
        </w:r>
        <w:r>
          <w:rPr>
            <w:noProof/>
            <w:webHidden/>
          </w:rPr>
          <w:fldChar w:fldCharType="end"/>
        </w:r>
      </w:hyperlink>
    </w:p>
    <w:p w14:paraId="5EF25999" w14:textId="12F9D7DA"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98" w:history="1">
        <w:r w:rsidRPr="00B61D2D">
          <w:rPr>
            <w:rStyle w:val="Hyperlink"/>
            <w:noProof/>
          </w:rPr>
          <w:t>Ilustración 133 . Tasa de cambio de coberturas región Sabana de Bogotá</w:t>
        </w:r>
        <w:r>
          <w:rPr>
            <w:noProof/>
            <w:webHidden/>
          </w:rPr>
          <w:tab/>
        </w:r>
        <w:r>
          <w:rPr>
            <w:noProof/>
            <w:webHidden/>
          </w:rPr>
          <w:fldChar w:fldCharType="begin"/>
        </w:r>
        <w:r>
          <w:rPr>
            <w:noProof/>
            <w:webHidden/>
          </w:rPr>
          <w:instrText xml:space="preserve"> PAGEREF _Toc216468898 \h </w:instrText>
        </w:r>
        <w:r>
          <w:rPr>
            <w:noProof/>
            <w:webHidden/>
          </w:rPr>
        </w:r>
        <w:r>
          <w:rPr>
            <w:noProof/>
            <w:webHidden/>
          </w:rPr>
          <w:fldChar w:fldCharType="separate"/>
        </w:r>
        <w:r w:rsidR="00CE096F">
          <w:rPr>
            <w:noProof/>
            <w:webHidden/>
          </w:rPr>
          <w:t>310</w:t>
        </w:r>
        <w:r>
          <w:rPr>
            <w:noProof/>
            <w:webHidden/>
          </w:rPr>
          <w:fldChar w:fldCharType="end"/>
        </w:r>
      </w:hyperlink>
    </w:p>
    <w:p w14:paraId="1264299D" w14:textId="7CF5A510"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899" w:history="1">
        <w:r w:rsidRPr="00B61D2D">
          <w:rPr>
            <w:rStyle w:val="Hyperlink"/>
            <w:noProof/>
          </w:rPr>
          <w:t>Ilustración 134 Comparación del comportamiento del ICA años 2014, 2021 y 2023 Río Bogotá</w:t>
        </w:r>
        <w:r>
          <w:rPr>
            <w:noProof/>
            <w:webHidden/>
          </w:rPr>
          <w:tab/>
        </w:r>
        <w:r>
          <w:rPr>
            <w:noProof/>
            <w:webHidden/>
          </w:rPr>
          <w:fldChar w:fldCharType="begin"/>
        </w:r>
        <w:r>
          <w:rPr>
            <w:noProof/>
            <w:webHidden/>
          </w:rPr>
          <w:instrText xml:space="preserve"> PAGEREF _Toc216468899 \h </w:instrText>
        </w:r>
        <w:r>
          <w:rPr>
            <w:noProof/>
            <w:webHidden/>
          </w:rPr>
        </w:r>
        <w:r>
          <w:rPr>
            <w:noProof/>
            <w:webHidden/>
          </w:rPr>
          <w:fldChar w:fldCharType="separate"/>
        </w:r>
        <w:r w:rsidR="00CE096F">
          <w:rPr>
            <w:noProof/>
            <w:webHidden/>
          </w:rPr>
          <w:t>312</w:t>
        </w:r>
        <w:r>
          <w:rPr>
            <w:noProof/>
            <w:webHidden/>
          </w:rPr>
          <w:fldChar w:fldCharType="end"/>
        </w:r>
      </w:hyperlink>
    </w:p>
    <w:p w14:paraId="279D1626" w14:textId="49AD1AE4"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00" w:history="1">
        <w:r w:rsidRPr="00B61D2D">
          <w:rPr>
            <w:rStyle w:val="Hyperlink"/>
            <w:noProof/>
          </w:rPr>
          <w:t>Ilustración 135 Comportamiento del ICA años 2014, 2021 y 2023 Río Bogotá</w:t>
        </w:r>
        <w:r>
          <w:rPr>
            <w:noProof/>
            <w:webHidden/>
          </w:rPr>
          <w:tab/>
        </w:r>
        <w:r>
          <w:rPr>
            <w:noProof/>
            <w:webHidden/>
          </w:rPr>
          <w:fldChar w:fldCharType="begin"/>
        </w:r>
        <w:r>
          <w:rPr>
            <w:noProof/>
            <w:webHidden/>
          </w:rPr>
          <w:instrText xml:space="preserve"> PAGEREF _Toc216468900 \h </w:instrText>
        </w:r>
        <w:r>
          <w:rPr>
            <w:noProof/>
            <w:webHidden/>
          </w:rPr>
        </w:r>
        <w:r>
          <w:rPr>
            <w:noProof/>
            <w:webHidden/>
          </w:rPr>
          <w:fldChar w:fldCharType="separate"/>
        </w:r>
        <w:r w:rsidR="00CE096F">
          <w:rPr>
            <w:noProof/>
            <w:webHidden/>
          </w:rPr>
          <w:t>316</w:t>
        </w:r>
        <w:r>
          <w:rPr>
            <w:noProof/>
            <w:webHidden/>
          </w:rPr>
          <w:fldChar w:fldCharType="end"/>
        </w:r>
      </w:hyperlink>
    </w:p>
    <w:p w14:paraId="5067666D" w14:textId="02FF3800"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01" w:history="1">
        <w:r w:rsidRPr="00B61D2D">
          <w:rPr>
            <w:rStyle w:val="Hyperlink"/>
            <w:noProof/>
          </w:rPr>
          <w:t>Ilustración 136 Resultados del ICA (siete variables) para el 2024 de las estaciones de la RCHB-T3</w:t>
        </w:r>
        <w:r>
          <w:rPr>
            <w:noProof/>
            <w:webHidden/>
          </w:rPr>
          <w:tab/>
        </w:r>
        <w:r>
          <w:rPr>
            <w:noProof/>
            <w:webHidden/>
          </w:rPr>
          <w:fldChar w:fldCharType="begin"/>
        </w:r>
        <w:r>
          <w:rPr>
            <w:noProof/>
            <w:webHidden/>
          </w:rPr>
          <w:instrText xml:space="preserve"> PAGEREF _Toc216468901 \h </w:instrText>
        </w:r>
        <w:r>
          <w:rPr>
            <w:noProof/>
            <w:webHidden/>
          </w:rPr>
        </w:r>
        <w:r>
          <w:rPr>
            <w:noProof/>
            <w:webHidden/>
          </w:rPr>
          <w:fldChar w:fldCharType="separate"/>
        </w:r>
        <w:r w:rsidR="00CE096F">
          <w:rPr>
            <w:noProof/>
            <w:webHidden/>
          </w:rPr>
          <w:t>317</w:t>
        </w:r>
        <w:r>
          <w:rPr>
            <w:noProof/>
            <w:webHidden/>
          </w:rPr>
          <w:fldChar w:fldCharType="end"/>
        </w:r>
      </w:hyperlink>
    </w:p>
    <w:p w14:paraId="29D14D66" w14:textId="6150CA40"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02" w:history="1">
        <w:r w:rsidRPr="00B61D2D">
          <w:rPr>
            <w:rStyle w:val="Hyperlink"/>
            <w:noProof/>
          </w:rPr>
          <w:t>Ilustración 137 Alteración potencial de la calidad de agua (IACAL) región Sabana de Bogotá</w:t>
        </w:r>
        <w:r>
          <w:rPr>
            <w:noProof/>
            <w:webHidden/>
          </w:rPr>
          <w:tab/>
        </w:r>
        <w:r>
          <w:rPr>
            <w:noProof/>
            <w:webHidden/>
          </w:rPr>
          <w:fldChar w:fldCharType="begin"/>
        </w:r>
        <w:r>
          <w:rPr>
            <w:noProof/>
            <w:webHidden/>
          </w:rPr>
          <w:instrText xml:space="preserve"> PAGEREF _Toc216468902 \h </w:instrText>
        </w:r>
        <w:r>
          <w:rPr>
            <w:noProof/>
            <w:webHidden/>
          </w:rPr>
        </w:r>
        <w:r>
          <w:rPr>
            <w:noProof/>
            <w:webHidden/>
          </w:rPr>
          <w:fldChar w:fldCharType="separate"/>
        </w:r>
        <w:r w:rsidR="00CE096F">
          <w:rPr>
            <w:noProof/>
            <w:webHidden/>
          </w:rPr>
          <w:t>318</w:t>
        </w:r>
        <w:r>
          <w:rPr>
            <w:noProof/>
            <w:webHidden/>
          </w:rPr>
          <w:fldChar w:fldCharType="end"/>
        </w:r>
      </w:hyperlink>
    </w:p>
    <w:p w14:paraId="5D9307D0" w14:textId="0C84F466"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03" w:history="1">
        <w:r w:rsidRPr="00B61D2D">
          <w:rPr>
            <w:rStyle w:val="Hyperlink"/>
            <w:noProof/>
          </w:rPr>
          <w:t>Ilustración 138 Información general de los PMAA en la cuenca del río Bogotá</w:t>
        </w:r>
        <w:r>
          <w:rPr>
            <w:noProof/>
            <w:webHidden/>
          </w:rPr>
          <w:tab/>
        </w:r>
        <w:r>
          <w:rPr>
            <w:noProof/>
            <w:webHidden/>
          </w:rPr>
          <w:fldChar w:fldCharType="begin"/>
        </w:r>
        <w:r>
          <w:rPr>
            <w:noProof/>
            <w:webHidden/>
          </w:rPr>
          <w:instrText xml:space="preserve"> PAGEREF _Toc216468903 \h </w:instrText>
        </w:r>
        <w:r>
          <w:rPr>
            <w:noProof/>
            <w:webHidden/>
          </w:rPr>
        </w:r>
        <w:r>
          <w:rPr>
            <w:noProof/>
            <w:webHidden/>
          </w:rPr>
          <w:fldChar w:fldCharType="separate"/>
        </w:r>
        <w:r w:rsidR="00CE096F">
          <w:rPr>
            <w:noProof/>
            <w:webHidden/>
          </w:rPr>
          <w:t>320</w:t>
        </w:r>
        <w:r>
          <w:rPr>
            <w:noProof/>
            <w:webHidden/>
          </w:rPr>
          <w:fldChar w:fldCharType="end"/>
        </w:r>
      </w:hyperlink>
    </w:p>
    <w:p w14:paraId="6C9F9485" w14:textId="25550668"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04" w:history="1">
        <w:r w:rsidRPr="00B61D2D">
          <w:rPr>
            <w:rStyle w:val="Hyperlink"/>
            <w:noProof/>
          </w:rPr>
          <w:t xml:space="preserve">Ilustración 139 </w:t>
        </w:r>
        <w:r w:rsidRPr="00B61D2D">
          <w:rPr>
            <w:rStyle w:val="Hyperlink"/>
            <w:rFonts w:ascii="Baskerville" w:hAnsi="Baskerville"/>
            <w:noProof/>
          </w:rPr>
          <w:t>Ubicación del inventario de puntos de vertimientos PSMV vigente a 20277 en Bogotá</w:t>
        </w:r>
        <w:r>
          <w:rPr>
            <w:noProof/>
            <w:webHidden/>
          </w:rPr>
          <w:tab/>
        </w:r>
        <w:r>
          <w:rPr>
            <w:noProof/>
            <w:webHidden/>
          </w:rPr>
          <w:fldChar w:fldCharType="begin"/>
        </w:r>
        <w:r>
          <w:rPr>
            <w:noProof/>
            <w:webHidden/>
          </w:rPr>
          <w:instrText xml:space="preserve"> PAGEREF _Toc216468904 \h </w:instrText>
        </w:r>
        <w:r>
          <w:rPr>
            <w:noProof/>
            <w:webHidden/>
          </w:rPr>
        </w:r>
        <w:r>
          <w:rPr>
            <w:noProof/>
            <w:webHidden/>
          </w:rPr>
          <w:fldChar w:fldCharType="separate"/>
        </w:r>
        <w:r w:rsidR="00CE096F">
          <w:rPr>
            <w:noProof/>
            <w:webHidden/>
          </w:rPr>
          <w:t>321</w:t>
        </w:r>
        <w:r>
          <w:rPr>
            <w:noProof/>
            <w:webHidden/>
          </w:rPr>
          <w:fldChar w:fldCharType="end"/>
        </w:r>
      </w:hyperlink>
    </w:p>
    <w:p w14:paraId="4111A9FA" w14:textId="39095221"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05" w:history="1">
        <w:r w:rsidRPr="00B61D2D">
          <w:rPr>
            <w:rStyle w:val="Hyperlink"/>
            <w:noProof/>
          </w:rPr>
          <w:t xml:space="preserve">Ilustración 140 </w:t>
        </w:r>
        <w:r w:rsidRPr="00B61D2D">
          <w:rPr>
            <w:rStyle w:val="Hyperlink"/>
            <w:rFonts w:ascii="Baskerville" w:hAnsi="Baskerville"/>
            <w:noProof/>
          </w:rPr>
          <w:t>Cobertura de alcantarillado Región Sabana de Bogotá</w:t>
        </w:r>
        <w:r>
          <w:rPr>
            <w:noProof/>
            <w:webHidden/>
          </w:rPr>
          <w:tab/>
        </w:r>
        <w:r>
          <w:rPr>
            <w:noProof/>
            <w:webHidden/>
          </w:rPr>
          <w:fldChar w:fldCharType="begin"/>
        </w:r>
        <w:r>
          <w:rPr>
            <w:noProof/>
            <w:webHidden/>
          </w:rPr>
          <w:instrText xml:space="preserve"> PAGEREF _Toc216468905 \h </w:instrText>
        </w:r>
        <w:r>
          <w:rPr>
            <w:noProof/>
            <w:webHidden/>
          </w:rPr>
        </w:r>
        <w:r>
          <w:rPr>
            <w:noProof/>
            <w:webHidden/>
          </w:rPr>
          <w:fldChar w:fldCharType="separate"/>
        </w:r>
        <w:r w:rsidR="00CE096F">
          <w:rPr>
            <w:noProof/>
            <w:webHidden/>
          </w:rPr>
          <w:t>322</w:t>
        </w:r>
        <w:r>
          <w:rPr>
            <w:noProof/>
            <w:webHidden/>
          </w:rPr>
          <w:fldChar w:fldCharType="end"/>
        </w:r>
      </w:hyperlink>
    </w:p>
    <w:p w14:paraId="5DB2B8CE" w14:textId="6A8A0FBD"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06" w:history="1">
        <w:r w:rsidRPr="00B61D2D">
          <w:rPr>
            <w:rStyle w:val="Hyperlink"/>
            <w:noProof/>
          </w:rPr>
          <w:t>Ilustración 141  Tipo de tratamiento de las descargas existentes</w:t>
        </w:r>
        <w:r>
          <w:rPr>
            <w:noProof/>
            <w:webHidden/>
          </w:rPr>
          <w:tab/>
        </w:r>
        <w:r>
          <w:rPr>
            <w:noProof/>
            <w:webHidden/>
          </w:rPr>
          <w:fldChar w:fldCharType="begin"/>
        </w:r>
        <w:r>
          <w:rPr>
            <w:noProof/>
            <w:webHidden/>
          </w:rPr>
          <w:instrText xml:space="preserve"> PAGEREF _Toc216468906 \h </w:instrText>
        </w:r>
        <w:r>
          <w:rPr>
            <w:noProof/>
            <w:webHidden/>
          </w:rPr>
        </w:r>
        <w:r>
          <w:rPr>
            <w:noProof/>
            <w:webHidden/>
          </w:rPr>
          <w:fldChar w:fldCharType="separate"/>
        </w:r>
        <w:r w:rsidR="00CE096F">
          <w:rPr>
            <w:noProof/>
            <w:webHidden/>
          </w:rPr>
          <w:t>323</w:t>
        </w:r>
        <w:r>
          <w:rPr>
            <w:noProof/>
            <w:webHidden/>
          </w:rPr>
          <w:fldChar w:fldCharType="end"/>
        </w:r>
      </w:hyperlink>
    </w:p>
    <w:p w14:paraId="2C68A0A3" w14:textId="5FA78306"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07" w:history="1">
        <w:r w:rsidRPr="00B61D2D">
          <w:rPr>
            <w:rStyle w:val="Hyperlink"/>
            <w:noProof/>
          </w:rPr>
          <w:t xml:space="preserve">Ilustración 142 </w:t>
        </w:r>
        <w:r w:rsidRPr="00B61D2D">
          <w:rPr>
            <w:rStyle w:val="Hyperlink"/>
            <w:rFonts w:ascii="Baskerville" w:hAnsi="Baskerville"/>
            <w:noProof/>
          </w:rPr>
          <w:t>Distribución de los vertimientos en la cuenca</w:t>
        </w:r>
        <w:r>
          <w:rPr>
            <w:noProof/>
            <w:webHidden/>
          </w:rPr>
          <w:tab/>
        </w:r>
        <w:r>
          <w:rPr>
            <w:noProof/>
            <w:webHidden/>
          </w:rPr>
          <w:fldChar w:fldCharType="begin"/>
        </w:r>
        <w:r>
          <w:rPr>
            <w:noProof/>
            <w:webHidden/>
          </w:rPr>
          <w:instrText xml:space="preserve"> PAGEREF _Toc216468907 \h </w:instrText>
        </w:r>
        <w:r>
          <w:rPr>
            <w:noProof/>
            <w:webHidden/>
          </w:rPr>
        </w:r>
        <w:r>
          <w:rPr>
            <w:noProof/>
            <w:webHidden/>
          </w:rPr>
          <w:fldChar w:fldCharType="separate"/>
        </w:r>
        <w:r w:rsidR="00CE096F">
          <w:rPr>
            <w:noProof/>
            <w:webHidden/>
          </w:rPr>
          <w:t>324</w:t>
        </w:r>
        <w:r>
          <w:rPr>
            <w:noProof/>
            <w:webHidden/>
          </w:rPr>
          <w:fldChar w:fldCharType="end"/>
        </w:r>
      </w:hyperlink>
    </w:p>
    <w:p w14:paraId="44E752F9" w14:textId="00D9BDAD"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08" w:history="1">
        <w:r w:rsidRPr="00B61D2D">
          <w:rPr>
            <w:rStyle w:val="Hyperlink"/>
            <w:noProof/>
          </w:rPr>
          <w:t xml:space="preserve">Ilustración 143 </w:t>
        </w:r>
        <w:r w:rsidRPr="00B61D2D">
          <w:rPr>
            <w:rStyle w:val="Hyperlink"/>
            <w:rFonts w:ascii="Baskerville" w:hAnsi="Baskerville"/>
            <w:noProof/>
          </w:rPr>
          <w:t>Aportes de carga contaminante en DBO (Kg/día)</w:t>
        </w:r>
        <w:r>
          <w:rPr>
            <w:noProof/>
            <w:webHidden/>
          </w:rPr>
          <w:tab/>
        </w:r>
        <w:r>
          <w:rPr>
            <w:noProof/>
            <w:webHidden/>
          </w:rPr>
          <w:fldChar w:fldCharType="begin"/>
        </w:r>
        <w:r>
          <w:rPr>
            <w:noProof/>
            <w:webHidden/>
          </w:rPr>
          <w:instrText xml:space="preserve"> PAGEREF _Toc216468908 \h </w:instrText>
        </w:r>
        <w:r>
          <w:rPr>
            <w:noProof/>
            <w:webHidden/>
          </w:rPr>
        </w:r>
        <w:r>
          <w:rPr>
            <w:noProof/>
            <w:webHidden/>
          </w:rPr>
          <w:fldChar w:fldCharType="separate"/>
        </w:r>
        <w:r w:rsidR="00CE096F">
          <w:rPr>
            <w:noProof/>
            <w:webHidden/>
          </w:rPr>
          <w:t>325</w:t>
        </w:r>
        <w:r>
          <w:rPr>
            <w:noProof/>
            <w:webHidden/>
          </w:rPr>
          <w:fldChar w:fldCharType="end"/>
        </w:r>
      </w:hyperlink>
    </w:p>
    <w:p w14:paraId="7966F86A" w14:textId="22F5401A"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09" w:history="1">
        <w:r w:rsidRPr="00B61D2D">
          <w:rPr>
            <w:rStyle w:val="Hyperlink"/>
            <w:noProof/>
          </w:rPr>
          <w:t>Ilustración 144 . Árbol De Problemas De Conflictos Sobre Ciclo Del Agua</w:t>
        </w:r>
        <w:r>
          <w:rPr>
            <w:noProof/>
            <w:webHidden/>
          </w:rPr>
          <w:tab/>
        </w:r>
        <w:r>
          <w:rPr>
            <w:noProof/>
            <w:webHidden/>
          </w:rPr>
          <w:fldChar w:fldCharType="begin"/>
        </w:r>
        <w:r>
          <w:rPr>
            <w:noProof/>
            <w:webHidden/>
          </w:rPr>
          <w:instrText xml:space="preserve"> PAGEREF _Toc216468909 \h </w:instrText>
        </w:r>
        <w:r>
          <w:rPr>
            <w:noProof/>
            <w:webHidden/>
          </w:rPr>
        </w:r>
        <w:r>
          <w:rPr>
            <w:noProof/>
            <w:webHidden/>
          </w:rPr>
          <w:fldChar w:fldCharType="separate"/>
        </w:r>
        <w:r w:rsidR="00CE096F">
          <w:rPr>
            <w:noProof/>
            <w:webHidden/>
          </w:rPr>
          <w:t>328</w:t>
        </w:r>
        <w:r>
          <w:rPr>
            <w:noProof/>
            <w:webHidden/>
          </w:rPr>
          <w:fldChar w:fldCharType="end"/>
        </w:r>
      </w:hyperlink>
    </w:p>
    <w:p w14:paraId="7E54F22A" w14:textId="2D9E98FB"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10" w:history="1">
        <w:r w:rsidRPr="00B61D2D">
          <w:rPr>
            <w:rStyle w:val="Hyperlink"/>
            <w:noProof/>
          </w:rPr>
          <w:t>Ilustración 145. Cartografía de los sitios sagrados para las comunidades Muyscas identificadas durante la construcción de las Directrices ambientales para la Sabana de Bogotá.</w:t>
        </w:r>
        <w:r>
          <w:rPr>
            <w:noProof/>
            <w:webHidden/>
          </w:rPr>
          <w:tab/>
        </w:r>
        <w:r>
          <w:rPr>
            <w:noProof/>
            <w:webHidden/>
          </w:rPr>
          <w:fldChar w:fldCharType="begin"/>
        </w:r>
        <w:r>
          <w:rPr>
            <w:noProof/>
            <w:webHidden/>
          </w:rPr>
          <w:instrText xml:space="preserve"> PAGEREF _Toc216468910 \h </w:instrText>
        </w:r>
        <w:r>
          <w:rPr>
            <w:noProof/>
            <w:webHidden/>
          </w:rPr>
        </w:r>
        <w:r>
          <w:rPr>
            <w:noProof/>
            <w:webHidden/>
          </w:rPr>
          <w:fldChar w:fldCharType="separate"/>
        </w:r>
        <w:r w:rsidR="00CE096F">
          <w:rPr>
            <w:noProof/>
            <w:webHidden/>
          </w:rPr>
          <w:t>337</w:t>
        </w:r>
        <w:r>
          <w:rPr>
            <w:noProof/>
            <w:webHidden/>
          </w:rPr>
          <w:fldChar w:fldCharType="end"/>
        </w:r>
      </w:hyperlink>
    </w:p>
    <w:p w14:paraId="325A69CC" w14:textId="13B34646" w:rsidR="00D23F92" w:rsidRPr="00131EED" w:rsidRDefault="005C5E5B" w:rsidP="105C49C5">
      <w:r w:rsidRPr="00131EED">
        <w:fldChar w:fldCharType="end"/>
      </w:r>
    </w:p>
    <w:p w14:paraId="347830CC" w14:textId="5FEF08A7" w:rsidR="00CB02F8" w:rsidRPr="00131EED" w:rsidRDefault="004009AD" w:rsidP="00782283">
      <w:pPr>
        <w:jc w:val="center"/>
        <w:rPr>
          <w:rFonts w:eastAsia="Arial" w:cs="Arial"/>
          <w:b/>
          <w:color w:val="000000"/>
        </w:rPr>
      </w:pPr>
      <w:r w:rsidRPr="00131EED">
        <w:rPr>
          <w:rFonts w:eastAsia="Arial" w:cs="Arial"/>
          <w:b/>
          <w:bCs/>
          <w:color w:val="000000" w:themeColor="text1"/>
        </w:rPr>
        <w:t xml:space="preserve">LISTA DE </w:t>
      </w:r>
      <w:r w:rsidRPr="00131EED">
        <w:rPr>
          <w:rFonts w:eastAsia="Arial" w:cs="Arial"/>
          <w:b/>
          <w:color w:val="000000" w:themeColor="text1"/>
        </w:rPr>
        <w:t>TABLAS</w:t>
      </w:r>
    </w:p>
    <w:p w14:paraId="33DAF795" w14:textId="234920AF" w:rsidR="00CB02F8" w:rsidRPr="00131EED" w:rsidRDefault="00CB02F8" w:rsidP="00CB02F8">
      <w:pPr>
        <w:pBdr>
          <w:top w:val="nil"/>
          <w:left w:val="nil"/>
          <w:bottom w:val="nil"/>
          <w:right w:val="nil"/>
          <w:between w:val="nil"/>
        </w:pBdr>
        <w:rPr>
          <w:rFonts w:eastAsia="Arial" w:cs="Arial"/>
          <w:b/>
          <w:color w:val="000000"/>
          <w:sz w:val="22"/>
          <w:szCs w:val="22"/>
        </w:rPr>
      </w:pPr>
    </w:p>
    <w:p w14:paraId="7772555E" w14:textId="467A5101" w:rsidR="00A40D9C" w:rsidRDefault="00CB02F8">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r w:rsidRPr="00131EED">
        <w:rPr>
          <w:rFonts w:ascii="Baskerville Old Face" w:eastAsia="Arial" w:hAnsi="Baskerville Old Face"/>
          <w:b/>
          <w:color w:val="000000" w:themeColor="text1"/>
          <w:sz w:val="24"/>
          <w:szCs w:val="24"/>
        </w:rPr>
        <w:fldChar w:fldCharType="begin"/>
      </w:r>
      <w:r w:rsidRPr="00131EED">
        <w:rPr>
          <w:rFonts w:ascii="Baskerville Old Face" w:eastAsia="Arial" w:hAnsi="Baskerville Old Face"/>
          <w:b/>
          <w:bCs/>
          <w:color w:val="000000"/>
          <w:sz w:val="24"/>
          <w:szCs w:val="24"/>
        </w:rPr>
        <w:instrText xml:space="preserve"> TOC \h \z \c "Tabla" </w:instrText>
      </w:r>
      <w:r w:rsidRPr="00131EED">
        <w:rPr>
          <w:rFonts w:ascii="Baskerville Old Face" w:eastAsia="Arial" w:hAnsi="Baskerville Old Face"/>
          <w:b/>
          <w:color w:val="000000" w:themeColor="text1"/>
          <w:sz w:val="24"/>
          <w:szCs w:val="24"/>
        </w:rPr>
        <w:fldChar w:fldCharType="separate"/>
      </w:r>
      <w:hyperlink w:anchor="_Toc216468911" w:history="1">
        <w:r w:rsidR="00A40D9C" w:rsidRPr="002D6704">
          <w:rPr>
            <w:rStyle w:val="Hyperlink"/>
            <w:noProof/>
          </w:rPr>
          <w:t>Tabla 1. Relación de los acuerdos internacionales más relevantes a los cuales aportan las Directrices de la Sabana de Bogotá</w:t>
        </w:r>
        <w:r w:rsidR="00A40D9C">
          <w:rPr>
            <w:noProof/>
            <w:webHidden/>
          </w:rPr>
          <w:tab/>
        </w:r>
        <w:r w:rsidR="00A40D9C">
          <w:rPr>
            <w:noProof/>
            <w:webHidden/>
          </w:rPr>
          <w:fldChar w:fldCharType="begin"/>
        </w:r>
        <w:r w:rsidR="00A40D9C">
          <w:rPr>
            <w:noProof/>
            <w:webHidden/>
          </w:rPr>
          <w:instrText xml:space="preserve"> PAGEREF _Toc216468911 \h </w:instrText>
        </w:r>
        <w:r w:rsidR="00A40D9C">
          <w:rPr>
            <w:noProof/>
            <w:webHidden/>
          </w:rPr>
        </w:r>
        <w:r w:rsidR="00A40D9C">
          <w:rPr>
            <w:noProof/>
            <w:webHidden/>
          </w:rPr>
          <w:fldChar w:fldCharType="separate"/>
        </w:r>
        <w:r w:rsidR="00CE096F">
          <w:rPr>
            <w:noProof/>
            <w:webHidden/>
          </w:rPr>
          <w:t>26</w:t>
        </w:r>
        <w:r w:rsidR="00A40D9C">
          <w:rPr>
            <w:noProof/>
            <w:webHidden/>
          </w:rPr>
          <w:fldChar w:fldCharType="end"/>
        </w:r>
      </w:hyperlink>
    </w:p>
    <w:p w14:paraId="7841DCAC" w14:textId="6DC9EAE6"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12" w:history="1">
        <w:r w:rsidRPr="002D6704">
          <w:rPr>
            <w:rStyle w:val="Hyperlink"/>
            <w:noProof/>
          </w:rPr>
          <w:t>Tabla 2. Listado de Páramos al interior del ámbito propuesto de la Sabana de Bogotá.</w:t>
        </w:r>
        <w:r>
          <w:rPr>
            <w:noProof/>
            <w:webHidden/>
          </w:rPr>
          <w:tab/>
        </w:r>
        <w:r>
          <w:rPr>
            <w:noProof/>
            <w:webHidden/>
          </w:rPr>
          <w:fldChar w:fldCharType="begin"/>
        </w:r>
        <w:r>
          <w:rPr>
            <w:noProof/>
            <w:webHidden/>
          </w:rPr>
          <w:instrText xml:space="preserve"> PAGEREF _Toc216468912 \h </w:instrText>
        </w:r>
        <w:r>
          <w:rPr>
            <w:noProof/>
            <w:webHidden/>
          </w:rPr>
        </w:r>
        <w:r>
          <w:rPr>
            <w:noProof/>
            <w:webHidden/>
          </w:rPr>
          <w:fldChar w:fldCharType="separate"/>
        </w:r>
        <w:r w:rsidR="00CE096F">
          <w:rPr>
            <w:noProof/>
            <w:webHidden/>
          </w:rPr>
          <w:t>39</w:t>
        </w:r>
        <w:r>
          <w:rPr>
            <w:noProof/>
            <w:webHidden/>
          </w:rPr>
          <w:fldChar w:fldCharType="end"/>
        </w:r>
      </w:hyperlink>
    </w:p>
    <w:p w14:paraId="11BBB77C" w14:textId="60B64C28"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13" w:history="1">
        <w:r w:rsidRPr="002D6704">
          <w:rPr>
            <w:rStyle w:val="Hyperlink"/>
            <w:noProof/>
          </w:rPr>
          <w:t>Tabla 3. Municipios del ámbito de aplicación de Directrices de Sabana de Bogotá.</w:t>
        </w:r>
        <w:r>
          <w:rPr>
            <w:noProof/>
            <w:webHidden/>
          </w:rPr>
          <w:tab/>
        </w:r>
        <w:r>
          <w:rPr>
            <w:noProof/>
            <w:webHidden/>
          </w:rPr>
          <w:fldChar w:fldCharType="begin"/>
        </w:r>
        <w:r>
          <w:rPr>
            <w:noProof/>
            <w:webHidden/>
          </w:rPr>
          <w:instrText xml:space="preserve"> PAGEREF _Toc216468913 \h </w:instrText>
        </w:r>
        <w:r>
          <w:rPr>
            <w:noProof/>
            <w:webHidden/>
          </w:rPr>
        </w:r>
        <w:r>
          <w:rPr>
            <w:noProof/>
            <w:webHidden/>
          </w:rPr>
          <w:fldChar w:fldCharType="separate"/>
        </w:r>
        <w:r w:rsidR="00CE096F">
          <w:rPr>
            <w:noProof/>
            <w:webHidden/>
          </w:rPr>
          <w:t>41</w:t>
        </w:r>
        <w:r>
          <w:rPr>
            <w:noProof/>
            <w:webHidden/>
          </w:rPr>
          <w:fldChar w:fldCharType="end"/>
        </w:r>
      </w:hyperlink>
    </w:p>
    <w:p w14:paraId="697AD368" w14:textId="7ABEFE73"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14" w:history="1">
        <w:r w:rsidRPr="002D6704">
          <w:rPr>
            <w:rStyle w:val="Hyperlink"/>
            <w:noProof/>
          </w:rPr>
          <w:t>Tabla 4. Municipios que colindan con el ámbito de aplicación.</w:t>
        </w:r>
        <w:r>
          <w:rPr>
            <w:noProof/>
            <w:webHidden/>
          </w:rPr>
          <w:tab/>
        </w:r>
        <w:r>
          <w:rPr>
            <w:noProof/>
            <w:webHidden/>
          </w:rPr>
          <w:fldChar w:fldCharType="begin"/>
        </w:r>
        <w:r>
          <w:rPr>
            <w:noProof/>
            <w:webHidden/>
          </w:rPr>
          <w:instrText xml:space="preserve"> PAGEREF _Toc216468914 \h </w:instrText>
        </w:r>
        <w:r>
          <w:rPr>
            <w:noProof/>
            <w:webHidden/>
          </w:rPr>
        </w:r>
        <w:r>
          <w:rPr>
            <w:noProof/>
            <w:webHidden/>
          </w:rPr>
          <w:fldChar w:fldCharType="separate"/>
        </w:r>
        <w:r w:rsidR="00CE096F">
          <w:rPr>
            <w:noProof/>
            <w:webHidden/>
          </w:rPr>
          <w:t>41</w:t>
        </w:r>
        <w:r>
          <w:rPr>
            <w:noProof/>
            <w:webHidden/>
          </w:rPr>
          <w:fldChar w:fldCharType="end"/>
        </w:r>
      </w:hyperlink>
    </w:p>
    <w:p w14:paraId="280D21F0" w14:textId="55880AA3"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15" w:history="1">
        <w:r w:rsidRPr="002D6704">
          <w:rPr>
            <w:rStyle w:val="Hyperlink"/>
            <w:noProof/>
          </w:rPr>
          <w:t>Tabla 5. Síntesis de municipios incorporados y colindantes al ámbito de aplicación propuesto.</w:t>
        </w:r>
        <w:r>
          <w:rPr>
            <w:noProof/>
            <w:webHidden/>
          </w:rPr>
          <w:tab/>
        </w:r>
        <w:r>
          <w:rPr>
            <w:noProof/>
            <w:webHidden/>
          </w:rPr>
          <w:fldChar w:fldCharType="begin"/>
        </w:r>
        <w:r>
          <w:rPr>
            <w:noProof/>
            <w:webHidden/>
          </w:rPr>
          <w:instrText xml:space="preserve"> PAGEREF _Toc216468915 \h </w:instrText>
        </w:r>
        <w:r>
          <w:rPr>
            <w:noProof/>
            <w:webHidden/>
          </w:rPr>
        </w:r>
        <w:r>
          <w:rPr>
            <w:noProof/>
            <w:webHidden/>
          </w:rPr>
          <w:fldChar w:fldCharType="separate"/>
        </w:r>
        <w:r w:rsidR="00CE096F">
          <w:rPr>
            <w:noProof/>
            <w:webHidden/>
          </w:rPr>
          <w:t>41</w:t>
        </w:r>
        <w:r>
          <w:rPr>
            <w:noProof/>
            <w:webHidden/>
          </w:rPr>
          <w:fldChar w:fldCharType="end"/>
        </w:r>
      </w:hyperlink>
    </w:p>
    <w:p w14:paraId="1ADBAFE8" w14:textId="0DE2696D"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16" w:history="1">
        <w:r w:rsidRPr="002D6704">
          <w:rPr>
            <w:rStyle w:val="Hyperlink"/>
            <w:noProof/>
          </w:rPr>
          <w:t>Tabla 6. Comparativo de áreas - insumos para la definición del ámbito de aplicación de la propuesta de resolución.</w:t>
        </w:r>
        <w:r>
          <w:rPr>
            <w:noProof/>
            <w:webHidden/>
          </w:rPr>
          <w:tab/>
        </w:r>
        <w:r>
          <w:rPr>
            <w:noProof/>
            <w:webHidden/>
          </w:rPr>
          <w:fldChar w:fldCharType="begin"/>
        </w:r>
        <w:r>
          <w:rPr>
            <w:noProof/>
            <w:webHidden/>
          </w:rPr>
          <w:instrText xml:space="preserve"> PAGEREF _Toc216468916 \h </w:instrText>
        </w:r>
        <w:r>
          <w:rPr>
            <w:noProof/>
            <w:webHidden/>
          </w:rPr>
        </w:r>
        <w:r>
          <w:rPr>
            <w:noProof/>
            <w:webHidden/>
          </w:rPr>
          <w:fldChar w:fldCharType="separate"/>
        </w:r>
        <w:r w:rsidR="00CE096F">
          <w:rPr>
            <w:noProof/>
            <w:webHidden/>
          </w:rPr>
          <w:t>42</w:t>
        </w:r>
        <w:r>
          <w:rPr>
            <w:noProof/>
            <w:webHidden/>
          </w:rPr>
          <w:fldChar w:fldCharType="end"/>
        </w:r>
      </w:hyperlink>
    </w:p>
    <w:p w14:paraId="78F82833" w14:textId="27A612D0"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17" w:history="1">
        <w:r w:rsidRPr="002D6704">
          <w:rPr>
            <w:rStyle w:val="Hyperlink"/>
            <w:noProof/>
          </w:rPr>
          <w:t>Tabla 7. Porcentaje estimado de área municipal al interior del ámbito de aplicación.</w:t>
        </w:r>
        <w:r>
          <w:rPr>
            <w:noProof/>
            <w:webHidden/>
          </w:rPr>
          <w:tab/>
        </w:r>
        <w:r>
          <w:rPr>
            <w:noProof/>
            <w:webHidden/>
          </w:rPr>
          <w:fldChar w:fldCharType="begin"/>
        </w:r>
        <w:r>
          <w:rPr>
            <w:noProof/>
            <w:webHidden/>
          </w:rPr>
          <w:instrText xml:space="preserve"> PAGEREF _Toc216468917 \h </w:instrText>
        </w:r>
        <w:r>
          <w:rPr>
            <w:noProof/>
            <w:webHidden/>
          </w:rPr>
        </w:r>
        <w:r>
          <w:rPr>
            <w:noProof/>
            <w:webHidden/>
          </w:rPr>
          <w:fldChar w:fldCharType="separate"/>
        </w:r>
        <w:r w:rsidR="00CE096F">
          <w:rPr>
            <w:noProof/>
            <w:webHidden/>
          </w:rPr>
          <w:t>43</w:t>
        </w:r>
        <w:r>
          <w:rPr>
            <w:noProof/>
            <w:webHidden/>
          </w:rPr>
          <w:fldChar w:fldCharType="end"/>
        </w:r>
      </w:hyperlink>
    </w:p>
    <w:p w14:paraId="632B3352" w14:textId="288CCD62"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18" w:history="1">
        <w:r w:rsidRPr="002D6704">
          <w:rPr>
            <w:rStyle w:val="Hyperlink"/>
            <w:noProof/>
          </w:rPr>
          <w:t>Tabla 8 Relación de biomas y ecosistemas identificados en la Sabana de Bogota, según clasificación IDEAM 2024.</w:t>
        </w:r>
        <w:r>
          <w:rPr>
            <w:noProof/>
            <w:webHidden/>
          </w:rPr>
          <w:tab/>
        </w:r>
        <w:r>
          <w:rPr>
            <w:noProof/>
            <w:webHidden/>
          </w:rPr>
          <w:fldChar w:fldCharType="begin"/>
        </w:r>
        <w:r>
          <w:rPr>
            <w:noProof/>
            <w:webHidden/>
          </w:rPr>
          <w:instrText xml:space="preserve"> PAGEREF _Toc216468918 \h </w:instrText>
        </w:r>
        <w:r>
          <w:rPr>
            <w:noProof/>
            <w:webHidden/>
          </w:rPr>
        </w:r>
        <w:r>
          <w:rPr>
            <w:noProof/>
            <w:webHidden/>
          </w:rPr>
          <w:fldChar w:fldCharType="separate"/>
        </w:r>
        <w:r w:rsidR="00CE096F">
          <w:rPr>
            <w:noProof/>
            <w:webHidden/>
          </w:rPr>
          <w:t>56</w:t>
        </w:r>
        <w:r>
          <w:rPr>
            <w:noProof/>
            <w:webHidden/>
          </w:rPr>
          <w:fldChar w:fldCharType="end"/>
        </w:r>
      </w:hyperlink>
    </w:p>
    <w:p w14:paraId="0B5CC84E" w14:textId="44EAB6C9"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19" w:history="1">
        <w:r w:rsidRPr="002D6704">
          <w:rPr>
            <w:rStyle w:val="Hyperlink"/>
            <w:noProof/>
          </w:rPr>
          <w:t>Tabla 9.Relación de categorías de manejo pertenecientes al SINAP identificadas en la Sabana de Bogotá</w:t>
        </w:r>
        <w:r>
          <w:rPr>
            <w:noProof/>
            <w:webHidden/>
          </w:rPr>
          <w:tab/>
        </w:r>
        <w:r>
          <w:rPr>
            <w:noProof/>
            <w:webHidden/>
          </w:rPr>
          <w:fldChar w:fldCharType="begin"/>
        </w:r>
        <w:r>
          <w:rPr>
            <w:noProof/>
            <w:webHidden/>
          </w:rPr>
          <w:instrText xml:space="preserve"> PAGEREF _Toc216468919 \h </w:instrText>
        </w:r>
        <w:r>
          <w:rPr>
            <w:noProof/>
            <w:webHidden/>
          </w:rPr>
        </w:r>
        <w:r>
          <w:rPr>
            <w:noProof/>
            <w:webHidden/>
          </w:rPr>
          <w:fldChar w:fldCharType="separate"/>
        </w:r>
        <w:r w:rsidR="00CE096F">
          <w:rPr>
            <w:noProof/>
            <w:webHidden/>
          </w:rPr>
          <w:t>64</w:t>
        </w:r>
        <w:r>
          <w:rPr>
            <w:noProof/>
            <w:webHidden/>
          </w:rPr>
          <w:fldChar w:fldCharType="end"/>
        </w:r>
      </w:hyperlink>
    </w:p>
    <w:p w14:paraId="017D00F4" w14:textId="0AF893CF"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20" w:history="1">
        <w:r w:rsidRPr="002D6704">
          <w:rPr>
            <w:rStyle w:val="Hyperlink"/>
            <w:noProof/>
          </w:rPr>
          <w:t>Tabla 10 Áreas Protegidas del SINAP en la ecorregión Sabana de Bogotá con Planes de Manejo reportados en RUNAP</w:t>
        </w:r>
        <w:r>
          <w:rPr>
            <w:noProof/>
            <w:webHidden/>
          </w:rPr>
          <w:tab/>
        </w:r>
        <w:r>
          <w:rPr>
            <w:noProof/>
            <w:webHidden/>
          </w:rPr>
          <w:fldChar w:fldCharType="begin"/>
        </w:r>
        <w:r>
          <w:rPr>
            <w:noProof/>
            <w:webHidden/>
          </w:rPr>
          <w:instrText xml:space="preserve"> PAGEREF _Toc216468920 \h </w:instrText>
        </w:r>
        <w:r>
          <w:rPr>
            <w:noProof/>
            <w:webHidden/>
          </w:rPr>
        </w:r>
        <w:r>
          <w:rPr>
            <w:noProof/>
            <w:webHidden/>
          </w:rPr>
          <w:fldChar w:fldCharType="separate"/>
        </w:r>
        <w:r w:rsidR="00CE096F">
          <w:rPr>
            <w:noProof/>
            <w:webHidden/>
          </w:rPr>
          <w:t>68</w:t>
        </w:r>
        <w:r>
          <w:rPr>
            <w:noProof/>
            <w:webHidden/>
          </w:rPr>
          <w:fldChar w:fldCharType="end"/>
        </w:r>
      </w:hyperlink>
    </w:p>
    <w:p w14:paraId="339A2EFD" w14:textId="493B5CCA"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21" w:history="1">
        <w:r w:rsidRPr="002D6704">
          <w:rPr>
            <w:rStyle w:val="Hyperlink"/>
            <w:noProof/>
          </w:rPr>
          <w:t>Tabla 11 :Relación de las OMEC presentes dentro de la Sabana de Bogotá.</w:t>
        </w:r>
        <w:r>
          <w:rPr>
            <w:noProof/>
            <w:webHidden/>
          </w:rPr>
          <w:tab/>
        </w:r>
        <w:r>
          <w:rPr>
            <w:noProof/>
            <w:webHidden/>
          </w:rPr>
          <w:fldChar w:fldCharType="begin"/>
        </w:r>
        <w:r>
          <w:rPr>
            <w:noProof/>
            <w:webHidden/>
          </w:rPr>
          <w:instrText xml:space="preserve"> PAGEREF _Toc216468921 \h </w:instrText>
        </w:r>
        <w:r>
          <w:rPr>
            <w:noProof/>
            <w:webHidden/>
          </w:rPr>
        </w:r>
        <w:r>
          <w:rPr>
            <w:noProof/>
            <w:webHidden/>
          </w:rPr>
          <w:fldChar w:fldCharType="separate"/>
        </w:r>
        <w:r w:rsidR="00CE096F">
          <w:rPr>
            <w:noProof/>
            <w:webHidden/>
          </w:rPr>
          <w:t>69</w:t>
        </w:r>
        <w:r>
          <w:rPr>
            <w:noProof/>
            <w:webHidden/>
          </w:rPr>
          <w:fldChar w:fldCharType="end"/>
        </w:r>
      </w:hyperlink>
    </w:p>
    <w:p w14:paraId="3D09690B" w14:textId="59A9BB4E"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22" w:history="1">
        <w:r w:rsidRPr="002D6704">
          <w:rPr>
            <w:rStyle w:val="Hyperlink"/>
            <w:noProof/>
          </w:rPr>
          <w:t>Tabla 12. Síntesis del inventario de humedales realizado por la Corporación Autónoma Regional de Cundinamarca en la Sabana de Bogotá, a corte 2025.</w:t>
        </w:r>
        <w:r>
          <w:rPr>
            <w:noProof/>
            <w:webHidden/>
          </w:rPr>
          <w:tab/>
        </w:r>
        <w:r>
          <w:rPr>
            <w:noProof/>
            <w:webHidden/>
          </w:rPr>
          <w:fldChar w:fldCharType="begin"/>
        </w:r>
        <w:r>
          <w:rPr>
            <w:noProof/>
            <w:webHidden/>
          </w:rPr>
          <w:instrText xml:space="preserve"> PAGEREF _Toc216468922 \h </w:instrText>
        </w:r>
        <w:r>
          <w:rPr>
            <w:noProof/>
            <w:webHidden/>
          </w:rPr>
        </w:r>
        <w:r>
          <w:rPr>
            <w:noProof/>
            <w:webHidden/>
          </w:rPr>
          <w:fldChar w:fldCharType="separate"/>
        </w:r>
        <w:r w:rsidR="00CE096F">
          <w:rPr>
            <w:noProof/>
            <w:webHidden/>
          </w:rPr>
          <w:t>78</w:t>
        </w:r>
        <w:r>
          <w:rPr>
            <w:noProof/>
            <w:webHidden/>
          </w:rPr>
          <w:fldChar w:fldCharType="end"/>
        </w:r>
      </w:hyperlink>
    </w:p>
    <w:p w14:paraId="2D0F94C4" w14:textId="53CC2E00"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23" w:history="1">
        <w:r w:rsidRPr="002D6704">
          <w:rPr>
            <w:rStyle w:val="Hyperlink"/>
            <w:noProof/>
          </w:rPr>
          <w:t>Tabla 13 Humedales regionales incorporados en áreas protegidas e iniciativas de conservación in situ en jurisdicción CAR.</w:t>
        </w:r>
        <w:r>
          <w:rPr>
            <w:noProof/>
            <w:webHidden/>
          </w:rPr>
          <w:tab/>
        </w:r>
        <w:r>
          <w:rPr>
            <w:noProof/>
            <w:webHidden/>
          </w:rPr>
          <w:fldChar w:fldCharType="begin"/>
        </w:r>
        <w:r>
          <w:rPr>
            <w:noProof/>
            <w:webHidden/>
          </w:rPr>
          <w:instrText xml:space="preserve"> PAGEREF _Toc216468923 \h </w:instrText>
        </w:r>
        <w:r>
          <w:rPr>
            <w:noProof/>
            <w:webHidden/>
          </w:rPr>
        </w:r>
        <w:r>
          <w:rPr>
            <w:noProof/>
            <w:webHidden/>
          </w:rPr>
          <w:fldChar w:fldCharType="separate"/>
        </w:r>
        <w:r w:rsidR="00CE096F">
          <w:rPr>
            <w:noProof/>
            <w:webHidden/>
          </w:rPr>
          <w:t>78</w:t>
        </w:r>
        <w:r>
          <w:rPr>
            <w:noProof/>
            <w:webHidden/>
          </w:rPr>
          <w:fldChar w:fldCharType="end"/>
        </w:r>
      </w:hyperlink>
    </w:p>
    <w:p w14:paraId="49CAE331" w14:textId="31908593"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24" w:history="1">
        <w:r w:rsidRPr="002D6704">
          <w:rPr>
            <w:rStyle w:val="Hyperlink"/>
            <w:noProof/>
          </w:rPr>
          <w:t>Tabla 14 Planes de Manejo adoptados para Humedales incorporados en áreas protegidas o iniciativas de conservación in situ en jurisdicción CAR</w:t>
        </w:r>
        <w:r>
          <w:rPr>
            <w:noProof/>
            <w:webHidden/>
          </w:rPr>
          <w:tab/>
        </w:r>
        <w:r>
          <w:rPr>
            <w:noProof/>
            <w:webHidden/>
          </w:rPr>
          <w:fldChar w:fldCharType="begin"/>
        </w:r>
        <w:r>
          <w:rPr>
            <w:noProof/>
            <w:webHidden/>
          </w:rPr>
          <w:instrText xml:space="preserve"> PAGEREF _Toc216468924 \h </w:instrText>
        </w:r>
        <w:r>
          <w:rPr>
            <w:noProof/>
            <w:webHidden/>
          </w:rPr>
        </w:r>
        <w:r>
          <w:rPr>
            <w:noProof/>
            <w:webHidden/>
          </w:rPr>
          <w:fldChar w:fldCharType="separate"/>
        </w:r>
        <w:r w:rsidR="00CE096F">
          <w:rPr>
            <w:noProof/>
            <w:webHidden/>
          </w:rPr>
          <w:t>80</w:t>
        </w:r>
        <w:r>
          <w:rPr>
            <w:noProof/>
            <w:webHidden/>
          </w:rPr>
          <w:fldChar w:fldCharType="end"/>
        </w:r>
      </w:hyperlink>
    </w:p>
    <w:p w14:paraId="077AAD4A" w14:textId="77C0B502"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25" w:history="1">
        <w:r w:rsidRPr="002D6704">
          <w:rPr>
            <w:rStyle w:val="Hyperlink"/>
            <w:noProof/>
          </w:rPr>
          <w:t>Tabla 15. Síntesis de la sintaxonomía regional-enclaves subxerofíticos en sabana de Bogotá</w:t>
        </w:r>
        <w:r>
          <w:rPr>
            <w:noProof/>
            <w:webHidden/>
          </w:rPr>
          <w:tab/>
        </w:r>
        <w:r>
          <w:rPr>
            <w:noProof/>
            <w:webHidden/>
          </w:rPr>
          <w:fldChar w:fldCharType="begin"/>
        </w:r>
        <w:r>
          <w:rPr>
            <w:noProof/>
            <w:webHidden/>
          </w:rPr>
          <w:instrText xml:space="preserve"> PAGEREF _Toc216468925 \h </w:instrText>
        </w:r>
        <w:r>
          <w:rPr>
            <w:noProof/>
            <w:webHidden/>
          </w:rPr>
        </w:r>
        <w:r>
          <w:rPr>
            <w:noProof/>
            <w:webHidden/>
          </w:rPr>
          <w:fldChar w:fldCharType="separate"/>
        </w:r>
        <w:r w:rsidR="00CE096F">
          <w:rPr>
            <w:noProof/>
            <w:webHidden/>
          </w:rPr>
          <w:t>90</w:t>
        </w:r>
        <w:r>
          <w:rPr>
            <w:noProof/>
            <w:webHidden/>
          </w:rPr>
          <w:fldChar w:fldCharType="end"/>
        </w:r>
      </w:hyperlink>
    </w:p>
    <w:p w14:paraId="0856A53C" w14:textId="3E843D7C"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26" w:history="1">
        <w:r w:rsidRPr="002D6704">
          <w:rPr>
            <w:rStyle w:val="Hyperlink"/>
            <w:noProof/>
          </w:rPr>
          <w:t>Tabla 16 Registros de presencia de especies en la sabana de Bogotá</w:t>
        </w:r>
        <w:r>
          <w:rPr>
            <w:noProof/>
            <w:webHidden/>
          </w:rPr>
          <w:tab/>
        </w:r>
        <w:r>
          <w:rPr>
            <w:noProof/>
            <w:webHidden/>
          </w:rPr>
          <w:fldChar w:fldCharType="begin"/>
        </w:r>
        <w:r>
          <w:rPr>
            <w:noProof/>
            <w:webHidden/>
          </w:rPr>
          <w:instrText xml:space="preserve"> PAGEREF _Toc216468926 \h </w:instrText>
        </w:r>
        <w:r>
          <w:rPr>
            <w:noProof/>
            <w:webHidden/>
          </w:rPr>
        </w:r>
        <w:r>
          <w:rPr>
            <w:noProof/>
            <w:webHidden/>
          </w:rPr>
          <w:fldChar w:fldCharType="separate"/>
        </w:r>
        <w:r w:rsidR="00CE096F">
          <w:rPr>
            <w:noProof/>
            <w:webHidden/>
          </w:rPr>
          <w:t>98</w:t>
        </w:r>
        <w:r>
          <w:rPr>
            <w:noProof/>
            <w:webHidden/>
          </w:rPr>
          <w:fldChar w:fldCharType="end"/>
        </w:r>
      </w:hyperlink>
    </w:p>
    <w:p w14:paraId="7F0DAEDB" w14:textId="5A0CCE29"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27" w:history="1">
        <w:r w:rsidRPr="002D6704">
          <w:rPr>
            <w:rStyle w:val="Hyperlink"/>
            <w:noProof/>
          </w:rPr>
          <w:t>Tabla 17 Número de especies con alguna categoría de amenaza en la Sabana de Bogotá, según criterios de la UICN y el Ministerio de Ambiente y Desarrollo Sostenible</w:t>
        </w:r>
        <w:r>
          <w:rPr>
            <w:noProof/>
            <w:webHidden/>
          </w:rPr>
          <w:tab/>
        </w:r>
        <w:r>
          <w:rPr>
            <w:noProof/>
            <w:webHidden/>
          </w:rPr>
          <w:fldChar w:fldCharType="begin"/>
        </w:r>
        <w:r>
          <w:rPr>
            <w:noProof/>
            <w:webHidden/>
          </w:rPr>
          <w:instrText xml:space="preserve"> PAGEREF _Toc216468927 \h </w:instrText>
        </w:r>
        <w:r>
          <w:rPr>
            <w:noProof/>
            <w:webHidden/>
          </w:rPr>
        </w:r>
        <w:r>
          <w:rPr>
            <w:noProof/>
            <w:webHidden/>
          </w:rPr>
          <w:fldChar w:fldCharType="separate"/>
        </w:r>
        <w:r w:rsidR="00CE096F">
          <w:rPr>
            <w:noProof/>
            <w:webHidden/>
          </w:rPr>
          <w:t>99</w:t>
        </w:r>
        <w:r>
          <w:rPr>
            <w:noProof/>
            <w:webHidden/>
          </w:rPr>
          <w:fldChar w:fldCharType="end"/>
        </w:r>
      </w:hyperlink>
    </w:p>
    <w:p w14:paraId="4AFA1360" w14:textId="1FE39F92"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28" w:history="1">
        <w:r w:rsidRPr="002D6704">
          <w:rPr>
            <w:rStyle w:val="Hyperlink"/>
            <w:noProof/>
          </w:rPr>
          <w:t>Tabla 18 Número de especies en la Sabana de Bogotá con alguna categoría de amenaza según la resolución MinAmbiente No 0126 de 2024.</w:t>
        </w:r>
        <w:r>
          <w:rPr>
            <w:noProof/>
            <w:webHidden/>
          </w:rPr>
          <w:tab/>
        </w:r>
        <w:r>
          <w:rPr>
            <w:noProof/>
            <w:webHidden/>
          </w:rPr>
          <w:fldChar w:fldCharType="begin"/>
        </w:r>
        <w:r>
          <w:rPr>
            <w:noProof/>
            <w:webHidden/>
          </w:rPr>
          <w:instrText xml:space="preserve"> PAGEREF _Toc216468928 \h </w:instrText>
        </w:r>
        <w:r>
          <w:rPr>
            <w:noProof/>
            <w:webHidden/>
          </w:rPr>
        </w:r>
        <w:r>
          <w:rPr>
            <w:noProof/>
            <w:webHidden/>
          </w:rPr>
          <w:fldChar w:fldCharType="separate"/>
        </w:r>
        <w:r w:rsidR="00CE096F">
          <w:rPr>
            <w:noProof/>
            <w:webHidden/>
          </w:rPr>
          <w:t>99</w:t>
        </w:r>
        <w:r>
          <w:rPr>
            <w:noProof/>
            <w:webHidden/>
          </w:rPr>
          <w:fldChar w:fldCharType="end"/>
        </w:r>
      </w:hyperlink>
    </w:p>
    <w:p w14:paraId="76C6219D" w14:textId="52249935"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29" w:history="1">
        <w:r w:rsidRPr="002D6704">
          <w:rPr>
            <w:rStyle w:val="Hyperlink"/>
            <w:noProof/>
          </w:rPr>
          <w:t>Tabla 19 Análisis del número de especies en la Sabana de Bogotá con alguna categoría de amenaza, según las resoluciones Minambiente No 1912 de 2017 y 0126 de 2024, clasificadas por grupos biológicos.</w:t>
        </w:r>
        <w:r>
          <w:rPr>
            <w:noProof/>
            <w:webHidden/>
          </w:rPr>
          <w:tab/>
        </w:r>
        <w:r>
          <w:rPr>
            <w:noProof/>
            <w:webHidden/>
          </w:rPr>
          <w:fldChar w:fldCharType="begin"/>
        </w:r>
        <w:r>
          <w:rPr>
            <w:noProof/>
            <w:webHidden/>
          </w:rPr>
          <w:instrText xml:space="preserve"> PAGEREF _Toc216468929 \h </w:instrText>
        </w:r>
        <w:r>
          <w:rPr>
            <w:noProof/>
            <w:webHidden/>
          </w:rPr>
        </w:r>
        <w:r>
          <w:rPr>
            <w:noProof/>
            <w:webHidden/>
          </w:rPr>
          <w:fldChar w:fldCharType="separate"/>
        </w:r>
        <w:r w:rsidR="00CE096F">
          <w:rPr>
            <w:noProof/>
            <w:webHidden/>
          </w:rPr>
          <w:t>104</w:t>
        </w:r>
        <w:r>
          <w:rPr>
            <w:noProof/>
            <w:webHidden/>
          </w:rPr>
          <w:fldChar w:fldCharType="end"/>
        </w:r>
      </w:hyperlink>
    </w:p>
    <w:p w14:paraId="2A0478C6" w14:textId="33B33BE8"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30" w:history="1">
        <w:r w:rsidRPr="002D6704">
          <w:rPr>
            <w:rStyle w:val="Hyperlink"/>
            <w:noProof/>
          </w:rPr>
          <w:t>Tabla 20. Relación de especies en estado crítico de conservación en la Sabana de Bogotá</w:t>
        </w:r>
        <w:r>
          <w:rPr>
            <w:noProof/>
            <w:webHidden/>
          </w:rPr>
          <w:tab/>
        </w:r>
        <w:r>
          <w:rPr>
            <w:noProof/>
            <w:webHidden/>
          </w:rPr>
          <w:fldChar w:fldCharType="begin"/>
        </w:r>
        <w:r>
          <w:rPr>
            <w:noProof/>
            <w:webHidden/>
          </w:rPr>
          <w:instrText xml:space="preserve"> PAGEREF _Toc216468930 \h </w:instrText>
        </w:r>
        <w:r>
          <w:rPr>
            <w:noProof/>
            <w:webHidden/>
          </w:rPr>
        </w:r>
        <w:r>
          <w:rPr>
            <w:noProof/>
            <w:webHidden/>
          </w:rPr>
          <w:fldChar w:fldCharType="separate"/>
        </w:r>
        <w:r w:rsidR="00CE096F">
          <w:rPr>
            <w:noProof/>
            <w:webHidden/>
          </w:rPr>
          <w:t>104</w:t>
        </w:r>
        <w:r>
          <w:rPr>
            <w:noProof/>
            <w:webHidden/>
          </w:rPr>
          <w:fldChar w:fldCharType="end"/>
        </w:r>
      </w:hyperlink>
    </w:p>
    <w:p w14:paraId="089A1DC6" w14:textId="7BDAF2C7"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31" w:history="1">
        <w:r w:rsidRPr="002D6704">
          <w:rPr>
            <w:rStyle w:val="Hyperlink"/>
            <w:noProof/>
          </w:rPr>
          <w:t>Tabla 21. Relación de especies invasoras identificadas en la Sabana de Bogotá</w:t>
        </w:r>
        <w:r>
          <w:rPr>
            <w:noProof/>
            <w:webHidden/>
          </w:rPr>
          <w:tab/>
        </w:r>
        <w:r>
          <w:rPr>
            <w:noProof/>
            <w:webHidden/>
          </w:rPr>
          <w:fldChar w:fldCharType="begin"/>
        </w:r>
        <w:r>
          <w:rPr>
            <w:noProof/>
            <w:webHidden/>
          </w:rPr>
          <w:instrText xml:space="preserve"> PAGEREF _Toc216468931 \h </w:instrText>
        </w:r>
        <w:r>
          <w:rPr>
            <w:noProof/>
            <w:webHidden/>
          </w:rPr>
        </w:r>
        <w:r>
          <w:rPr>
            <w:noProof/>
            <w:webHidden/>
          </w:rPr>
          <w:fldChar w:fldCharType="separate"/>
        </w:r>
        <w:r w:rsidR="00CE096F">
          <w:rPr>
            <w:noProof/>
            <w:webHidden/>
          </w:rPr>
          <w:t>105</w:t>
        </w:r>
        <w:r>
          <w:rPr>
            <w:noProof/>
            <w:webHidden/>
          </w:rPr>
          <w:fldChar w:fldCharType="end"/>
        </w:r>
      </w:hyperlink>
    </w:p>
    <w:p w14:paraId="1B74E03E" w14:textId="42B1D0D2"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32" w:history="1">
        <w:r w:rsidRPr="002D6704">
          <w:rPr>
            <w:rStyle w:val="Hyperlink"/>
            <w:noProof/>
          </w:rPr>
          <w:t>Tabla 22 Títulos mineros en Cundinamarca.</w:t>
        </w:r>
        <w:r>
          <w:rPr>
            <w:noProof/>
            <w:webHidden/>
          </w:rPr>
          <w:tab/>
        </w:r>
        <w:r>
          <w:rPr>
            <w:noProof/>
            <w:webHidden/>
          </w:rPr>
          <w:fldChar w:fldCharType="begin"/>
        </w:r>
        <w:r>
          <w:rPr>
            <w:noProof/>
            <w:webHidden/>
          </w:rPr>
          <w:instrText xml:space="preserve"> PAGEREF _Toc216468932 \h </w:instrText>
        </w:r>
        <w:r>
          <w:rPr>
            <w:noProof/>
            <w:webHidden/>
          </w:rPr>
        </w:r>
        <w:r>
          <w:rPr>
            <w:noProof/>
            <w:webHidden/>
          </w:rPr>
          <w:fldChar w:fldCharType="separate"/>
        </w:r>
        <w:r w:rsidR="00CE096F">
          <w:rPr>
            <w:noProof/>
            <w:webHidden/>
          </w:rPr>
          <w:t>117</w:t>
        </w:r>
        <w:r>
          <w:rPr>
            <w:noProof/>
            <w:webHidden/>
          </w:rPr>
          <w:fldChar w:fldCharType="end"/>
        </w:r>
      </w:hyperlink>
    </w:p>
    <w:p w14:paraId="6DCB5D8C" w14:textId="618F88A7"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33" w:history="1">
        <w:r w:rsidRPr="002D6704">
          <w:rPr>
            <w:rStyle w:val="Hyperlink"/>
            <w:noProof/>
          </w:rPr>
          <w:t>Tabla 23. Producción total por material para el periodo 2016 – 2022</w:t>
        </w:r>
        <w:r>
          <w:rPr>
            <w:noProof/>
            <w:webHidden/>
          </w:rPr>
          <w:tab/>
        </w:r>
        <w:r>
          <w:rPr>
            <w:noProof/>
            <w:webHidden/>
          </w:rPr>
          <w:fldChar w:fldCharType="begin"/>
        </w:r>
        <w:r>
          <w:rPr>
            <w:noProof/>
            <w:webHidden/>
          </w:rPr>
          <w:instrText xml:space="preserve"> PAGEREF _Toc216468933 \h </w:instrText>
        </w:r>
        <w:r>
          <w:rPr>
            <w:noProof/>
            <w:webHidden/>
          </w:rPr>
        </w:r>
        <w:r>
          <w:rPr>
            <w:noProof/>
            <w:webHidden/>
          </w:rPr>
          <w:fldChar w:fldCharType="separate"/>
        </w:r>
        <w:r w:rsidR="00CE096F">
          <w:rPr>
            <w:noProof/>
            <w:webHidden/>
          </w:rPr>
          <w:t>117</w:t>
        </w:r>
        <w:r>
          <w:rPr>
            <w:noProof/>
            <w:webHidden/>
          </w:rPr>
          <w:fldChar w:fldCharType="end"/>
        </w:r>
      </w:hyperlink>
    </w:p>
    <w:p w14:paraId="2DD0B873" w14:textId="20EBCD03"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34" w:history="1">
        <w:r w:rsidRPr="002D6704">
          <w:rPr>
            <w:rStyle w:val="Hyperlink"/>
            <w:noProof/>
          </w:rPr>
          <w:t>Tabla 24. Instrumentos mineros</w:t>
        </w:r>
        <w:r>
          <w:rPr>
            <w:noProof/>
            <w:webHidden/>
          </w:rPr>
          <w:tab/>
        </w:r>
        <w:r>
          <w:rPr>
            <w:noProof/>
            <w:webHidden/>
          </w:rPr>
          <w:fldChar w:fldCharType="begin"/>
        </w:r>
        <w:r>
          <w:rPr>
            <w:noProof/>
            <w:webHidden/>
          </w:rPr>
          <w:instrText xml:space="preserve"> PAGEREF _Toc216468934 \h </w:instrText>
        </w:r>
        <w:r>
          <w:rPr>
            <w:noProof/>
            <w:webHidden/>
          </w:rPr>
        </w:r>
        <w:r>
          <w:rPr>
            <w:noProof/>
            <w:webHidden/>
          </w:rPr>
          <w:fldChar w:fldCharType="separate"/>
        </w:r>
        <w:r w:rsidR="00CE096F">
          <w:rPr>
            <w:noProof/>
            <w:webHidden/>
          </w:rPr>
          <w:t>119</w:t>
        </w:r>
        <w:r>
          <w:rPr>
            <w:noProof/>
            <w:webHidden/>
          </w:rPr>
          <w:fldChar w:fldCharType="end"/>
        </w:r>
      </w:hyperlink>
    </w:p>
    <w:p w14:paraId="3B40DF88" w14:textId="478B5282"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35" w:history="1">
        <w:r w:rsidRPr="002D6704">
          <w:rPr>
            <w:rStyle w:val="Hyperlink"/>
            <w:noProof/>
          </w:rPr>
          <w:t>Tabla 25  Instrumentos Mineros en la Ecorregión de La Sabana de Bogotá.</w:t>
        </w:r>
        <w:r>
          <w:rPr>
            <w:noProof/>
            <w:webHidden/>
          </w:rPr>
          <w:tab/>
        </w:r>
        <w:r>
          <w:rPr>
            <w:noProof/>
            <w:webHidden/>
          </w:rPr>
          <w:fldChar w:fldCharType="begin"/>
        </w:r>
        <w:r>
          <w:rPr>
            <w:noProof/>
            <w:webHidden/>
          </w:rPr>
          <w:instrText xml:space="preserve"> PAGEREF _Toc216468935 \h </w:instrText>
        </w:r>
        <w:r>
          <w:rPr>
            <w:noProof/>
            <w:webHidden/>
          </w:rPr>
        </w:r>
        <w:r>
          <w:rPr>
            <w:noProof/>
            <w:webHidden/>
          </w:rPr>
          <w:fldChar w:fldCharType="separate"/>
        </w:r>
        <w:r w:rsidR="00CE096F">
          <w:rPr>
            <w:noProof/>
            <w:webHidden/>
          </w:rPr>
          <w:t>120</w:t>
        </w:r>
        <w:r>
          <w:rPr>
            <w:noProof/>
            <w:webHidden/>
          </w:rPr>
          <w:fldChar w:fldCharType="end"/>
        </w:r>
      </w:hyperlink>
    </w:p>
    <w:p w14:paraId="42CC3062" w14:textId="788A7EA5"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36" w:history="1">
        <w:r w:rsidRPr="002D6704">
          <w:rPr>
            <w:rStyle w:val="Hyperlink"/>
            <w:noProof/>
          </w:rPr>
          <w:t>Tabla 26 Modalidad de los títulos mineros de la Sabana de Bogotá</w:t>
        </w:r>
        <w:r>
          <w:rPr>
            <w:noProof/>
            <w:webHidden/>
          </w:rPr>
          <w:tab/>
        </w:r>
        <w:r>
          <w:rPr>
            <w:noProof/>
            <w:webHidden/>
          </w:rPr>
          <w:fldChar w:fldCharType="begin"/>
        </w:r>
        <w:r>
          <w:rPr>
            <w:noProof/>
            <w:webHidden/>
          </w:rPr>
          <w:instrText xml:space="preserve"> PAGEREF _Toc216468936 \h </w:instrText>
        </w:r>
        <w:r>
          <w:rPr>
            <w:noProof/>
            <w:webHidden/>
          </w:rPr>
        </w:r>
        <w:r>
          <w:rPr>
            <w:noProof/>
            <w:webHidden/>
          </w:rPr>
          <w:fldChar w:fldCharType="separate"/>
        </w:r>
        <w:r w:rsidR="00CE096F">
          <w:rPr>
            <w:noProof/>
            <w:webHidden/>
          </w:rPr>
          <w:t>120</w:t>
        </w:r>
        <w:r>
          <w:rPr>
            <w:noProof/>
            <w:webHidden/>
          </w:rPr>
          <w:fldChar w:fldCharType="end"/>
        </w:r>
      </w:hyperlink>
    </w:p>
    <w:p w14:paraId="2E69007C" w14:textId="78147287"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37" w:history="1">
        <w:r w:rsidRPr="002D6704">
          <w:rPr>
            <w:rStyle w:val="Hyperlink"/>
            <w:noProof/>
          </w:rPr>
          <w:t>Tabla 27 Títulos mineros traslapados con áreas de páramos en la jurisdicción CAR</w:t>
        </w:r>
        <w:r>
          <w:rPr>
            <w:noProof/>
            <w:webHidden/>
          </w:rPr>
          <w:tab/>
        </w:r>
        <w:r>
          <w:rPr>
            <w:noProof/>
            <w:webHidden/>
          </w:rPr>
          <w:fldChar w:fldCharType="begin"/>
        </w:r>
        <w:r>
          <w:rPr>
            <w:noProof/>
            <w:webHidden/>
          </w:rPr>
          <w:instrText xml:space="preserve"> PAGEREF _Toc216468937 \h </w:instrText>
        </w:r>
        <w:r>
          <w:rPr>
            <w:noProof/>
            <w:webHidden/>
          </w:rPr>
        </w:r>
        <w:r>
          <w:rPr>
            <w:noProof/>
            <w:webHidden/>
          </w:rPr>
          <w:fldChar w:fldCharType="separate"/>
        </w:r>
        <w:r w:rsidR="00CE096F">
          <w:rPr>
            <w:noProof/>
            <w:webHidden/>
          </w:rPr>
          <w:t>124</w:t>
        </w:r>
        <w:r>
          <w:rPr>
            <w:noProof/>
            <w:webHidden/>
          </w:rPr>
          <w:fldChar w:fldCharType="end"/>
        </w:r>
      </w:hyperlink>
    </w:p>
    <w:p w14:paraId="0D446992" w14:textId="4FE658E1"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38" w:history="1">
        <w:r w:rsidRPr="002D6704">
          <w:rPr>
            <w:rStyle w:val="Hyperlink"/>
            <w:noProof/>
          </w:rPr>
          <w:t>Tabla 28 Títulos mineros traslapados con las áreas protegidas de la CAR</w:t>
        </w:r>
        <w:r>
          <w:rPr>
            <w:noProof/>
            <w:webHidden/>
          </w:rPr>
          <w:tab/>
        </w:r>
        <w:r>
          <w:rPr>
            <w:noProof/>
            <w:webHidden/>
          </w:rPr>
          <w:fldChar w:fldCharType="begin"/>
        </w:r>
        <w:r>
          <w:rPr>
            <w:noProof/>
            <w:webHidden/>
          </w:rPr>
          <w:instrText xml:space="preserve"> PAGEREF _Toc216468938 \h </w:instrText>
        </w:r>
        <w:r>
          <w:rPr>
            <w:noProof/>
            <w:webHidden/>
          </w:rPr>
        </w:r>
        <w:r>
          <w:rPr>
            <w:noProof/>
            <w:webHidden/>
          </w:rPr>
          <w:fldChar w:fldCharType="separate"/>
        </w:r>
        <w:r w:rsidR="00CE096F">
          <w:rPr>
            <w:noProof/>
            <w:webHidden/>
          </w:rPr>
          <w:t>132</w:t>
        </w:r>
        <w:r>
          <w:rPr>
            <w:noProof/>
            <w:webHidden/>
          </w:rPr>
          <w:fldChar w:fldCharType="end"/>
        </w:r>
      </w:hyperlink>
    </w:p>
    <w:p w14:paraId="1492B552" w14:textId="5804DD53"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39" w:history="1">
        <w:r w:rsidRPr="002D6704">
          <w:rPr>
            <w:rStyle w:val="Hyperlink"/>
            <w:noProof/>
          </w:rPr>
          <w:t>Tabla 29. Superposiciones de la actividad minera con humedales, subxerofitia, bosque andino y páramos</w:t>
        </w:r>
        <w:r>
          <w:rPr>
            <w:noProof/>
            <w:webHidden/>
          </w:rPr>
          <w:tab/>
        </w:r>
        <w:r>
          <w:rPr>
            <w:noProof/>
            <w:webHidden/>
          </w:rPr>
          <w:fldChar w:fldCharType="begin"/>
        </w:r>
        <w:r>
          <w:rPr>
            <w:noProof/>
            <w:webHidden/>
          </w:rPr>
          <w:instrText xml:space="preserve"> PAGEREF _Toc216468939 \h </w:instrText>
        </w:r>
        <w:r>
          <w:rPr>
            <w:noProof/>
            <w:webHidden/>
          </w:rPr>
        </w:r>
        <w:r>
          <w:rPr>
            <w:noProof/>
            <w:webHidden/>
          </w:rPr>
          <w:fldChar w:fldCharType="separate"/>
        </w:r>
        <w:r w:rsidR="00CE096F">
          <w:rPr>
            <w:noProof/>
            <w:webHidden/>
          </w:rPr>
          <w:t>135</w:t>
        </w:r>
        <w:r>
          <w:rPr>
            <w:noProof/>
            <w:webHidden/>
          </w:rPr>
          <w:fldChar w:fldCharType="end"/>
        </w:r>
      </w:hyperlink>
    </w:p>
    <w:p w14:paraId="5B42D5DE" w14:textId="4AA8C6A5"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40" w:history="1">
        <w:r w:rsidRPr="002D6704">
          <w:rPr>
            <w:rStyle w:val="Hyperlink"/>
            <w:noProof/>
          </w:rPr>
          <w:t>Tabla 30. instrumentos mineros fuera de zonas compatibles en la Sabana</w:t>
        </w:r>
        <w:r>
          <w:rPr>
            <w:noProof/>
            <w:webHidden/>
          </w:rPr>
          <w:tab/>
        </w:r>
        <w:r>
          <w:rPr>
            <w:noProof/>
            <w:webHidden/>
          </w:rPr>
          <w:fldChar w:fldCharType="begin"/>
        </w:r>
        <w:r>
          <w:rPr>
            <w:noProof/>
            <w:webHidden/>
          </w:rPr>
          <w:instrText xml:space="preserve"> PAGEREF _Toc216468940 \h </w:instrText>
        </w:r>
        <w:r>
          <w:rPr>
            <w:noProof/>
            <w:webHidden/>
          </w:rPr>
        </w:r>
        <w:r>
          <w:rPr>
            <w:noProof/>
            <w:webHidden/>
          </w:rPr>
          <w:fldChar w:fldCharType="separate"/>
        </w:r>
        <w:r w:rsidR="00CE096F">
          <w:rPr>
            <w:noProof/>
            <w:webHidden/>
          </w:rPr>
          <w:t>140</w:t>
        </w:r>
        <w:r>
          <w:rPr>
            <w:noProof/>
            <w:webHidden/>
          </w:rPr>
          <w:fldChar w:fldCharType="end"/>
        </w:r>
      </w:hyperlink>
    </w:p>
    <w:p w14:paraId="2E137FA4" w14:textId="7BF062DF"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41" w:history="1">
        <w:r w:rsidRPr="002D6704">
          <w:rPr>
            <w:rStyle w:val="Hyperlink"/>
            <w:noProof/>
          </w:rPr>
          <w:t>Tabla 31. Desagregado de los instrumentos mineros</w:t>
        </w:r>
        <w:r>
          <w:rPr>
            <w:noProof/>
            <w:webHidden/>
          </w:rPr>
          <w:tab/>
        </w:r>
        <w:r>
          <w:rPr>
            <w:noProof/>
            <w:webHidden/>
          </w:rPr>
          <w:fldChar w:fldCharType="begin"/>
        </w:r>
        <w:r>
          <w:rPr>
            <w:noProof/>
            <w:webHidden/>
          </w:rPr>
          <w:instrText xml:space="preserve"> PAGEREF _Toc216468941 \h </w:instrText>
        </w:r>
        <w:r>
          <w:rPr>
            <w:noProof/>
            <w:webHidden/>
          </w:rPr>
        </w:r>
        <w:r>
          <w:rPr>
            <w:noProof/>
            <w:webHidden/>
          </w:rPr>
          <w:fldChar w:fldCharType="separate"/>
        </w:r>
        <w:r w:rsidR="00CE096F">
          <w:rPr>
            <w:noProof/>
            <w:webHidden/>
          </w:rPr>
          <w:t>140</w:t>
        </w:r>
        <w:r>
          <w:rPr>
            <w:noProof/>
            <w:webHidden/>
          </w:rPr>
          <w:fldChar w:fldCharType="end"/>
        </w:r>
      </w:hyperlink>
    </w:p>
    <w:p w14:paraId="3D146FD3" w14:textId="442A4951"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42" w:history="1">
        <w:r w:rsidRPr="002D6704">
          <w:rPr>
            <w:rStyle w:val="Hyperlink"/>
            <w:noProof/>
          </w:rPr>
          <w:t>Tabla 32. Vocación para el uso del suelo de áreas compatibles con la minería y títulos mineros</w:t>
        </w:r>
        <w:r>
          <w:rPr>
            <w:noProof/>
            <w:webHidden/>
          </w:rPr>
          <w:tab/>
        </w:r>
        <w:r>
          <w:rPr>
            <w:noProof/>
            <w:webHidden/>
          </w:rPr>
          <w:fldChar w:fldCharType="begin"/>
        </w:r>
        <w:r>
          <w:rPr>
            <w:noProof/>
            <w:webHidden/>
          </w:rPr>
          <w:instrText xml:space="preserve"> PAGEREF _Toc216468942 \h </w:instrText>
        </w:r>
        <w:r>
          <w:rPr>
            <w:noProof/>
            <w:webHidden/>
          </w:rPr>
        </w:r>
        <w:r>
          <w:rPr>
            <w:noProof/>
            <w:webHidden/>
          </w:rPr>
          <w:fldChar w:fldCharType="separate"/>
        </w:r>
        <w:r w:rsidR="00CE096F">
          <w:rPr>
            <w:noProof/>
            <w:webHidden/>
          </w:rPr>
          <w:t>146</w:t>
        </w:r>
        <w:r>
          <w:rPr>
            <w:noProof/>
            <w:webHidden/>
          </w:rPr>
          <w:fldChar w:fldCharType="end"/>
        </w:r>
      </w:hyperlink>
    </w:p>
    <w:p w14:paraId="5412C2CC" w14:textId="5DE25016"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43" w:history="1">
        <w:r w:rsidRPr="002D6704">
          <w:rPr>
            <w:rStyle w:val="Hyperlink"/>
            <w:noProof/>
          </w:rPr>
          <w:t>Tabla 33 Proyectos con competencia para otorgar licencia por parte de la ANLA en La Sabana</w:t>
        </w:r>
        <w:r>
          <w:rPr>
            <w:noProof/>
            <w:webHidden/>
          </w:rPr>
          <w:tab/>
        </w:r>
        <w:r>
          <w:rPr>
            <w:noProof/>
            <w:webHidden/>
          </w:rPr>
          <w:fldChar w:fldCharType="begin"/>
        </w:r>
        <w:r>
          <w:rPr>
            <w:noProof/>
            <w:webHidden/>
          </w:rPr>
          <w:instrText xml:space="preserve"> PAGEREF _Toc216468943 \h </w:instrText>
        </w:r>
        <w:r>
          <w:rPr>
            <w:noProof/>
            <w:webHidden/>
          </w:rPr>
        </w:r>
        <w:r>
          <w:rPr>
            <w:noProof/>
            <w:webHidden/>
          </w:rPr>
          <w:fldChar w:fldCharType="separate"/>
        </w:r>
        <w:r w:rsidR="00CE096F">
          <w:rPr>
            <w:noProof/>
            <w:webHidden/>
          </w:rPr>
          <w:t>148</w:t>
        </w:r>
        <w:r>
          <w:rPr>
            <w:noProof/>
            <w:webHidden/>
          </w:rPr>
          <w:fldChar w:fldCharType="end"/>
        </w:r>
      </w:hyperlink>
    </w:p>
    <w:p w14:paraId="6EC80172" w14:textId="55C9AA31"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44" w:history="1">
        <w:r w:rsidRPr="002D6704">
          <w:rPr>
            <w:rStyle w:val="Hyperlink"/>
            <w:noProof/>
          </w:rPr>
          <w:t>Tabla 34 . Variación porcentual del comportamiento del tejido urbano en 22 municipios de la Sabana de Bogotá</w:t>
        </w:r>
        <w:r>
          <w:rPr>
            <w:noProof/>
            <w:webHidden/>
          </w:rPr>
          <w:tab/>
        </w:r>
        <w:r>
          <w:rPr>
            <w:noProof/>
            <w:webHidden/>
          </w:rPr>
          <w:fldChar w:fldCharType="begin"/>
        </w:r>
        <w:r>
          <w:rPr>
            <w:noProof/>
            <w:webHidden/>
          </w:rPr>
          <w:instrText xml:space="preserve"> PAGEREF _Toc216468944 \h </w:instrText>
        </w:r>
        <w:r>
          <w:rPr>
            <w:noProof/>
            <w:webHidden/>
          </w:rPr>
        </w:r>
        <w:r>
          <w:rPr>
            <w:noProof/>
            <w:webHidden/>
          </w:rPr>
          <w:fldChar w:fldCharType="separate"/>
        </w:r>
        <w:r w:rsidR="00CE096F">
          <w:rPr>
            <w:noProof/>
            <w:webHidden/>
          </w:rPr>
          <w:t>172</w:t>
        </w:r>
        <w:r>
          <w:rPr>
            <w:noProof/>
            <w:webHidden/>
          </w:rPr>
          <w:fldChar w:fldCharType="end"/>
        </w:r>
      </w:hyperlink>
    </w:p>
    <w:p w14:paraId="09EC5D7D" w14:textId="04185213"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45" w:history="1">
        <w:r w:rsidRPr="002D6704">
          <w:rPr>
            <w:rStyle w:val="Hyperlink"/>
            <w:noProof/>
          </w:rPr>
          <w:t>Tabla 35  Cociente entre área del tejido urbano fuera del perímetro urbano</w:t>
        </w:r>
        <w:r>
          <w:rPr>
            <w:noProof/>
            <w:webHidden/>
          </w:rPr>
          <w:tab/>
        </w:r>
        <w:r>
          <w:rPr>
            <w:noProof/>
            <w:webHidden/>
          </w:rPr>
          <w:fldChar w:fldCharType="begin"/>
        </w:r>
        <w:r>
          <w:rPr>
            <w:noProof/>
            <w:webHidden/>
          </w:rPr>
          <w:instrText xml:space="preserve"> PAGEREF _Toc216468945 \h </w:instrText>
        </w:r>
        <w:r>
          <w:rPr>
            <w:noProof/>
            <w:webHidden/>
          </w:rPr>
        </w:r>
        <w:r>
          <w:rPr>
            <w:noProof/>
            <w:webHidden/>
          </w:rPr>
          <w:fldChar w:fldCharType="separate"/>
        </w:r>
        <w:r w:rsidR="00CE096F">
          <w:rPr>
            <w:noProof/>
            <w:webHidden/>
          </w:rPr>
          <w:t>173</w:t>
        </w:r>
        <w:r>
          <w:rPr>
            <w:noProof/>
            <w:webHidden/>
          </w:rPr>
          <w:fldChar w:fldCharType="end"/>
        </w:r>
      </w:hyperlink>
    </w:p>
    <w:p w14:paraId="4BCB4D9D" w14:textId="172604AE"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46" w:history="1">
        <w:r w:rsidRPr="002D6704">
          <w:rPr>
            <w:rStyle w:val="Hyperlink"/>
            <w:noProof/>
          </w:rPr>
          <w:t>Tabla 36. Planes de Ordenamiento Territorial utilizados para análisis de huella de ocupación.</w:t>
        </w:r>
        <w:r>
          <w:rPr>
            <w:noProof/>
            <w:webHidden/>
          </w:rPr>
          <w:tab/>
        </w:r>
        <w:r>
          <w:rPr>
            <w:noProof/>
            <w:webHidden/>
          </w:rPr>
          <w:fldChar w:fldCharType="begin"/>
        </w:r>
        <w:r>
          <w:rPr>
            <w:noProof/>
            <w:webHidden/>
          </w:rPr>
          <w:instrText xml:space="preserve"> PAGEREF _Toc216468946 \h </w:instrText>
        </w:r>
        <w:r>
          <w:rPr>
            <w:noProof/>
            <w:webHidden/>
          </w:rPr>
        </w:r>
        <w:r>
          <w:rPr>
            <w:noProof/>
            <w:webHidden/>
          </w:rPr>
          <w:fldChar w:fldCharType="separate"/>
        </w:r>
        <w:r w:rsidR="00CE096F">
          <w:rPr>
            <w:noProof/>
            <w:webHidden/>
          </w:rPr>
          <w:t>173</w:t>
        </w:r>
        <w:r>
          <w:rPr>
            <w:noProof/>
            <w:webHidden/>
          </w:rPr>
          <w:fldChar w:fldCharType="end"/>
        </w:r>
      </w:hyperlink>
    </w:p>
    <w:p w14:paraId="516D6BA2" w14:textId="77D2310A"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47" w:history="1">
        <w:r w:rsidRPr="002D6704">
          <w:rPr>
            <w:rStyle w:val="Hyperlink"/>
            <w:noProof/>
          </w:rPr>
          <w:t>Tabla 37 Huella de ocupación y clasificación del suelo</w:t>
        </w:r>
        <w:r>
          <w:rPr>
            <w:noProof/>
            <w:webHidden/>
          </w:rPr>
          <w:tab/>
        </w:r>
        <w:r>
          <w:rPr>
            <w:noProof/>
            <w:webHidden/>
          </w:rPr>
          <w:fldChar w:fldCharType="begin"/>
        </w:r>
        <w:r>
          <w:rPr>
            <w:noProof/>
            <w:webHidden/>
          </w:rPr>
          <w:instrText xml:space="preserve"> PAGEREF _Toc216468947 \h </w:instrText>
        </w:r>
        <w:r>
          <w:rPr>
            <w:noProof/>
            <w:webHidden/>
          </w:rPr>
        </w:r>
        <w:r>
          <w:rPr>
            <w:noProof/>
            <w:webHidden/>
          </w:rPr>
          <w:fldChar w:fldCharType="separate"/>
        </w:r>
        <w:r w:rsidR="00CE096F">
          <w:rPr>
            <w:noProof/>
            <w:webHidden/>
          </w:rPr>
          <w:t>174</w:t>
        </w:r>
        <w:r>
          <w:rPr>
            <w:noProof/>
            <w:webHidden/>
          </w:rPr>
          <w:fldChar w:fldCharType="end"/>
        </w:r>
      </w:hyperlink>
    </w:p>
    <w:p w14:paraId="6DC6F965" w14:textId="676C6051"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48" w:history="1">
        <w:r w:rsidRPr="002D6704">
          <w:rPr>
            <w:rStyle w:val="Hyperlink"/>
            <w:noProof/>
          </w:rPr>
          <w:t>Tabla 38. POT del ámbito Sabana y concertación de asuntos ambientales</w:t>
        </w:r>
        <w:r>
          <w:rPr>
            <w:noProof/>
            <w:webHidden/>
          </w:rPr>
          <w:tab/>
        </w:r>
        <w:r>
          <w:rPr>
            <w:noProof/>
            <w:webHidden/>
          </w:rPr>
          <w:fldChar w:fldCharType="begin"/>
        </w:r>
        <w:r>
          <w:rPr>
            <w:noProof/>
            <w:webHidden/>
          </w:rPr>
          <w:instrText xml:space="preserve"> PAGEREF _Toc216468948 \h </w:instrText>
        </w:r>
        <w:r>
          <w:rPr>
            <w:noProof/>
            <w:webHidden/>
          </w:rPr>
        </w:r>
        <w:r>
          <w:rPr>
            <w:noProof/>
            <w:webHidden/>
          </w:rPr>
          <w:fldChar w:fldCharType="separate"/>
        </w:r>
        <w:r w:rsidR="00CE096F">
          <w:rPr>
            <w:noProof/>
            <w:webHidden/>
          </w:rPr>
          <w:t>179</w:t>
        </w:r>
        <w:r>
          <w:rPr>
            <w:noProof/>
            <w:webHidden/>
          </w:rPr>
          <w:fldChar w:fldCharType="end"/>
        </w:r>
      </w:hyperlink>
    </w:p>
    <w:p w14:paraId="055A85D7" w14:textId="03F1BA5D"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49" w:history="1">
        <w:r w:rsidRPr="002D6704">
          <w:rPr>
            <w:rStyle w:val="Hyperlink"/>
            <w:noProof/>
          </w:rPr>
          <w:t>Tabla 39. Extensión de la clasificación del uso del suelo en 10 municipios de la Sabana de Bogotá (Entes Territoriales, 2025)</w:t>
        </w:r>
        <w:r>
          <w:rPr>
            <w:noProof/>
            <w:webHidden/>
          </w:rPr>
          <w:tab/>
        </w:r>
        <w:r>
          <w:rPr>
            <w:noProof/>
            <w:webHidden/>
          </w:rPr>
          <w:fldChar w:fldCharType="begin"/>
        </w:r>
        <w:r>
          <w:rPr>
            <w:noProof/>
            <w:webHidden/>
          </w:rPr>
          <w:instrText xml:space="preserve"> PAGEREF _Toc216468949 \h </w:instrText>
        </w:r>
        <w:r>
          <w:rPr>
            <w:noProof/>
            <w:webHidden/>
          </w:rPr>
        </w:r>
        <w:r>
          <w:rPr>
            <w:noProof/>
            <w:webHidden/>
          </w:rPr>
          <w:fldChar w:fldCharType="separate"/>
        </w:r>
        <w:r w:rsidR="00CE096F">
          <w:rPr>
            <w:noProof/>
            <w:webHidden/>
          </w:rPr>
          <w:t>180</w:t>
        </w:r>
        <w:r>
          <w:rPr>
            <w:noProof/>
            <w:webHidden/>
          </w:rPr>
          <w:fldChar w:fldCharType="end"/>
        </w:r>
      </w:hyperlink>
    </w:p>
    <w:p w14:paraId="7CCD3D2D" w14:textId="3EA86AC7"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50" w:history="1">
        <w:r w:rsidRPr="002D6704">
          <w:rPr>
            <w:rStyle w:val="Hyperlink"/>
            <w:noProof/>
          </w:rPr>
          <w:t>Tabla 40. Estado de los Planes Parciales en Sabana de Bogotá.</w:t>
        </w:r>
        <w:r>
          <w:rPr>
            <w:noProof/>
            <w:webHidden/>
          </w:rPr>
          <w:tab/>
        </w:r>
        <w:r>
          <w:rPr>
            <w:noProof/>
            <w:webHidden/>
          </w:rPr>
          <w:fldChar w:fldCharType="begin"/>
        </w:r>
        <w:r>
          <w:rPr>
            <w:noProof/>
            <w:webHidden/>
          </w:rPr>
          <w:instrText xml:space="preserve"> PAGEREF _Toc216468950 \h </w:instrText>
        </w:r>
        <w:r>
          <w:rPr>
            <w:noProof/>
            <w:webHidden/>
          </w:rPr>
        </w:r>
        <w:r>
          <w:rPr>
            <w:noProof/>
            <w:webHidden/>
          </w:rPr>
          <w:fldChar w:fldCharType="separate"/>
        </w:r>
        <w:r w:rsidR="00CE096F">
          <w:rPr>
            <w:noProof/>
            <w:webHidden/>
          </w:rPr>
          <w:t>182</w:t>
        </w:r>
        <w:r>
          <w:rPr>
            <w:noProof/>
            <w:webHidden/>
          </w:rPr>
          <w:fldChar w:fldCharType="end"/>
        </w:r>
      </w:hyperlink>
    </w:p>
    <w:p w14:paraId="68B0F0C4" w14:textId="6CB1AA5E"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51" w:history="1">
        <w:r w:rsidRPr="002D6704">
          <w:rPr>
            <w:rStyle w:val="Hyperlink"/>
            <w:noProof/>
          </w:rPr>
          <w:t>Tabla 41. Relación de los municipios en los cuales se realizó el análisis estadístico en el ámbito Sabana de Bogotá.</w:t>
        </w:r>
        <w:r>
          <w:rPr>
            <w:noProof/>
            <w:webHidden/>
          </w:rPr>
          <w:tab/>
        </w:r>
        <w:r>
          <w:rPr>
            <w:noProof/>
            <w:webHidden/>
          </w:rPr>
          <w:fldChar w:fldCharType="begin"/>
        </w:r>
        <w:r>
          <w:rPr>
            <w:noProof/>
            <w:webHidden/>
          </w:rPr>
          <w:instrText xml:space="preserve"> PAGEREF _Toc216468951 \h </w:instrText>
        </w:r>
        <w:r>
          <w:rPr>
            <w:noProof/>
            <w:webHidden/>
          </w:rPr>
        </w:r>
        <w:r>
          <w:rPr>
            <w:noProof/>
            <w:webHidden/>
          </w:rPr>
          <w:fldChar w:fldCharType="separate"/>
        </w:r>
        <w:r w:rsidR="00CE096F">
          <w:rPr>
            <w:noProof/>
            <w:webHidden/>
          </w:rPr>
          <w:t>189</w:t>
        </w:r>
        <w:r>
          <w:rPr>
            <w:noProof/>
            <w:webHidden/>
          </w:rPr>
          <w:fldChar w:fldCharType="end"/>
        </w:r>
      </w:hyperlink>
    </w:p>
    <w:p w14:paraId="67116E23" w14:textId="4ECEA21E"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52" w:history="1">
        <w:r w:rsidRPr="002D6704">
          <w:rPr>
            <w:rStyle w:val="Hyperlink"/>
            <w:noProof/>
          </w:rPr>
          <w:t>Tabla 42. Detalle de la extensión de la huella construida y tasa de incremento anual en el periodo 1975 - 2030 para los municipios de la Sabana de Bogotá.</w:t>
        </w:r>
        <w:r>
          <w:rPr>
            <w:noProof/>
            <w:webHidden/>
          </w:rPr>
          <w:tab/>
        </w:r>
        <w:r>
          <w:rPr>
            <w:noProof/>
            <w:webHidden/>
          </w:rPr>
          <w:fldChar w:fldCharType="begin"/>
        </w:r>
        <w:r>
          <w:rPr>
            <w:noProof/>
            <w:webHidden/>
          </w:rPr>
          <w:instrText xml:space="preserve"> PAGEREF _Toc216468952 \h </w:instrText>
        </w:r>
        <w:r>
          <w:rPr>
            <w:noProof/>
            <w:webHidden/>
          </w:rPr>
        </w:r>
        <w:r>
          <w:rPr>
            <w:noProof/>
            <w:webHidden/>
          </w:rPr>
          <w:fldChar w:fldCharType="separate"/>
        </w:r>
        <w:r w:rsidR="00CE096F">
          <w:rPr>
            <w:noProof/>
            <w:webHidden/>
          </w:rPr>
          <w:t>190</w:t>
        </w:r>
        <w:r>
          <w:rPr>
            <w:noProof/>
            <w:webHidden/>
          </w:rPr>
          <w:fldChar w:fldCharType="end"/>
        </w:r>
      </w:hyperlink>
    </w:p>
    <w:p w14:paraId="22BB13E0" w14:textId="504903BA"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53" w:history="1">
        <w:r w:rsidRPr="002D6704">
          <w:rPr>
            <w:rStyle w:val="Hyperlink"/>
            <w:noProof/>
          </w:rPr>
          <w:t>Tabla 43. Total de Área de Huella Construida por Municipio de la Sabana.</w:t>
        </w:r>
        <w:r>
          <w:rPr>
            <w:noProof/>
            <w:webHidden/>
          </w:rPr>
          <w:tab/>
        </w:r>
        <w:r>
          <w:rPr>
            <w:noProof/>
            <w:webHidden/>
          </w:rPr>
          <w:fldChar w:fldCharType="begin"/>
        </w:r>
        <w:r>
          <w:rPr>
            <w:noProof/>
            <w:webHidden/>
          </w:rPr>
          <w:instrText xml:space="preserve"> PAGEREF _Toc216468953 \h </w:instrText>
        </w:r>
        <w:r>
          <w:rPr>
            <w:noProof/>
            <w:webHidden/>
          </w:rPr>
        </w:r>
        <w:r>
          <w:rPr>
            <w:noProof/>
            <w:webHidden/>
          </w:rPr>
          <w:fldChar w:fldCharType="separate"/>
        </w:r>
        <w:r w:rsidR="00CE096F">
          <w:rPr>
            <w:noProof/>
            <w:webHidden/>
          </w:rPr>
          <w:t>192</w:t>
        </w:r>
        <w:r>
          <w:rPr>
            <w:noProof/>
            <w:webHidden/>
          </w:rPr>
          <w:fldChar w:fldCharType="end"/>
        </w:r>
      </w:hyperlink>
    </w:p>
    <w:p w14:paraId="7DF64612" w14:textId="32F091EB"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54" w:history="1">
        <w:r w:rsidRPr="002D6704">
          <w:rPr>
            <w:rStyle w:val="Hyperlink"/>
            <w:noProof/>
          </w:rPr>
          <w:t>Tabla 44. Municipios con mayor área construida estimada en el periodo 1975 - 2023.</w:t>
        </w:r>
        <w:r>
          <w:rPr>
            <w:noProof/>
            <w:webHidden/>
          </w:rPr>
          <w:tab/>
        </w:r>
        <w:r>
          <w:rPr>
            <w:noProof/>
            <w:webHidden/>
          </w:rPr>
          <w:fldChar w:fldCharType="begin"/>
        </w:r>
        <w:r>
          <w:rPr>
            <w:noProof/>
            <w:webHidden/>
          </w:rPr>
          <w:instrText xml:space="preserve"> PAGEREF _Toc216468954 \h </w:instrText>
        </w:r>
        <w:r>
          <w:rPr>
            <w:noProof/>
            <w:webHidden/>
          </w:rPr>
        </w:r>
        <w:r>
          <w:rPr>
            <w:noProof/>
            <w:webHidden/>
          </w:rPr>
          <w:fldChar w:fldCharType="separate"/>
        </w:r>
        <w:r w:rsidR="00CE096F">
          <w:rPr>
            <w:noProof/>
            <w:webHidden/>
          </w:rPr>
          <w:t>193</w:t>
        </w:r>
        <w:r>
          <w:rPr>
            <w:noProof/>
            <w:webHidden/>
          </w:rPr>
          <w:fldChar w:fldCharType="end"/>
        </w:r>
      </w:hyperlink>
    </w:p>
    <w:p w14:paraId="6BEB2E9A" w14:textId="679B284E"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55" w:history="1">
        <w:r w:rsidRPr="002D6704">
          <w:rPr>
            <w:rStyle w:val="Hyperlink"/>
            <w:noProof/>
          </w:rPr>
          <w:t>Tabla 45. Estadísticas de la huella construida de la Sabana de Bogotá.</w:t>
        </w:r>
        <w:r>
          <w:rPr>
            <w:noProof/>
            <w:webHidden/>
          </w:rPr>
          <w:tab/>
        </w:r>
        <w:r>
          <w:rPr>
            <w:noProof/>
            <w:webHidden/>
          </w:rPr>
          <w:fldChar w:fldCharType="begin"/>
        </w:r>
        <w:r>
          <w:rPr>
            <w:noProof/>
            <w:webHidden/>
          </w:rPr>
          <w:instrText xml:space="preserve"> PAGEREF _Toc216468955 \h </w:instrText>
        </w:r>
        <w:r>
          <w:rPr>
            <w:noProof/>
            <w:webHidden/>
          </w:rPr>
        </w:r>
        <w:r>
          <w:rPr>
            <w:noProof/>
            <w:webHidden/>
          </w:rPr>
          <w:fldChar w:fldCharType="separate"/>
        </w:r>
        <w:r w:rsidR="00CE096F">
          <w:rPr>
            <w:noProof/>
            <w:webHidden/>
          </w:rPr>
          <w:t>198</w:t>
        </w:r>
        <w:r>
          <w:rPr>
            <w:noProof/>
            <w:webHidden/>
          </w:rPr>
          <w:fldChar w:fldCharType="end"/>
        </w:r>
      </w:hyperlink>
    </w:p>
    <w:p w14:paraId="3867B2C5" w14:textId="55E80D9A"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56" w:history="1">
        <w:r w:rsidRPr="002D6704">
          <w:rPr>
            <w:rStyle w:val="Hyperlink"/>
            <w:noProof/>
          </w:rPr>
          <w:t>Tabla 46. Huella Construida en centros poblados de la Sabana de Bogotá.</w:t>
        </w:r>
        <w:r>
          <w:rPr>
            <w:noProof/>
            <w:webHidden/>
          </w:rPr>
          <w:tab/>
        </w:r>
        <w:r>
          <w:rPr>
            <w:noProof/>
            <w:webHidden/>
          </w:rPr>
          <w:fldChar w:fldCharType="begin"/>
        </w:r>
        <w:r>
          <w:rPr>
            <w:noProof/>
            <w:webHidden/>
          </w:rPr>
          <w:instrText xml:space="preserve"> PAGEREF _Toc216468956 \h </w:instrText>
        </w:r>
        <w:r>
          <w:rPr>
            <w:noProof/>
            <w:webHidden/>
          </w:rPr>
        </w:r>
        <w:r>
          <w:rPr>
            <w:noProof/>
            <w:webHidden/>
          </w:rPr>
          <w:fldChar w:fldCharType="separate"/>
        </w:r>
        <w:r w:rsidR="00CE096F">
          <w:rPr>
            <w:noProof/>
            <w:webHidden/>
          </w:rPr>
          <w:t>200</w:t>
        </w:r>
        <w:r>
          <w:rPr>
            <w:noProof/>
            <w:webHidden/>
          </w:rPr>
          <w:fldChar w:fldCharType="end"/>
        </w:r>
      </w:hyperlink>
    </w:p>
    <w:p w14:paraId="7D420DE6" w14:textId="4813D1F2"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57" w:history="1">
        <w:r w:rsidRPr="002D6704">
          <w:rPr>
            <w:rStyle w:val="Hyperlink"/>
            <w:noProof/>
          </w:rPr>
          <w:t>Tabla 47. Número de huella de construcción rural.</w:t>
        </w:r>
        <w:r>
          <w:rPr>
            <w:noProof/>
            <w:webHidden/>
          </w:rPr>
          <w:tab/>
        </w:r>
        <w:r>
          <w:rPr>
            <w:noProof/>
            <w:webHidden/>
          </w:rPr>
          <w:fldChar w:fldCharType="begin"/>
        </w:r>
        <w:r>
          <w:rPr>
            <w:noProof/>
            <w:webHidden/>
          </w:rPr>
          <w:instrText xml:space="preserve"> PAGEREF _Toc216468957 \h </w:instrText>
        </w:r>
        <w:r>
          <w:rPr>
            <w:noProof/>
            <w:webHidden/>
          </w:rPr>
        </w:r>
        <w:r>
          <w:rPr>
            <w:noProof/>
            <w:webHidden/>
          </w:rPr>
          <w:fldChar w:fldCharType="separate"/>
        </w:r>
        <w:r w:rsidR="00CE096F">
          <w:rPr>
            <w:noProof/>
            <w:webHidden/>
          </w:rPr>
          <w:t>201</w:t>
        </w:r>
        <w:r>
          <w:rPr>
            <w:noProof/>
            <w:webHidden/>
          </w:rPr>
          <w:fldChar w:fldCharType="end"/>
        </w:r>
      </w:hyperlink>
    </w:p>
    <w:p w14:paraId="6A1C24B1" w14:textId="6D22EBAE"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58" w:history="1">
        <w:r w:rsidRPr="002D6704">
          <w:rPr>
            <w:rStyle w:val="Hyperlink"/>
            <w:noProof/>
          </w:rPr>
          <w:t>Tabla 48. Síntesis de área de huella construida.</w:t>
        </w:r>
        <w:r>
          <w:rPr>
            <w:noProof/>
            <w:webHidden/>
          </w:rPr>
          <w:tab/>
        </w:r>
        <w:r>
          <w:rPr>
            <w:noProof/>
            <w:webHidden/>
          </w:rPr>
          <w:fldChar w:fldCharType="begin"/>
        </w:r>
        <w:r>
          <w:rPr>
            <w:noProof/>
            <w:webHidden/>
          </w:rPr>
          <w:instrText xml:space="preserve"> PAGEREF _Toc216468958 \h </w:instrText>
        </w:r>
        <w:r>
          <w:rPr>
            <w:noProof/>
            <w:webHidden/>
          </w:rPr>
        </w:r>
        <w:r>
          <w:rPr>
            <w:noProof/>
            <w:webHidden/>
          </w:rPr>
          <w:fldChar w:fldCharType="separate"/>
        </w:r>
        <w:r w:rsidR="00CE096F">
          <w:rPr>
            <w:noProof/>
            <w:webHidden/>
          </w:rPr>
          <w:t>201</w:t>
        </w:r>
        <w:r>
          <w:rPr>
            <w:noProof/>
            <w:webHidden/>
          </w:rPr>
          <w:fldChar w:fldCharType="end"/>
        </w:r>
      </w:hyperlink>
    </w:p>
    <w:p w14:paraId="54B8891E" w14:textId="114C66CB"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59" w:history="1">
        <w:r w:rsidRPr="002D6704">
          <w:rPr>
            <w:rStyle w:val="Hyperlink"/>
            <w:noProof/>
          </w:rPr>
          <w:t>Tabla 49. Proyección poblacional Sabana de Bogotá - 2025 - 2042</w:t>
        </w:r>
        <w:r>
          <w:rPr>
            <w:noProof/>
            <w:webHidden/>
          </w:rPr>
          <w:tab/>
        </w:r>
        <w:r>
          <w:rPr>
            <w:noProof/>
            <w:webHidden/>
          </w:rPr>
          <w:fldChar w:fldCharType="begin"/>
        </w:r>
        <w:r>
          <w:rPr>
            <w:noProof/>
            <w:webHidden/>
          </w:rPr>
          <w:instrText xml:space="preserve"> PAGEREF _Toc216468959 \h </w:instrText>
        </w:r>
        <w:r>
          <w:rPr>
            <w:noProof/>
            <w:webHidden/>
          </w:rPr>
        </w:r>
        <w:r>
          <w:rPr>
            <w:noProof/>
            <w:webHidden/>
          </w:rPr>
          <w:fldChar w:fldCharType="separate"/>
        </w:r>
        <w:r w:rsidR="00CE096F">
          <w:rPr>
            <w:noProof/>
            <w:webHidden/>
          </w:rPr>
          <w:t>202</w:t>
        </w:r>
        <w:r>
          <w:rPr>
            <w:noProof/>
            <w:webHidden/>
          </w:rPr>
          <w:fldChar w:fldCharType="end"/>
        </w:r>
      </w:hyperlink>
    </w:p>
    <w:p w14:paraId="4671368A" w14:textId="7824E40C"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60" w:history="1">
        <w:r w:rsidRPr="002D6704">
          <w:rPr>
            <w:rStyle w:val="Hyperlink"/>
            <w:noProof/>
          </w:rPr>
          <w:t>Tabla 50  Proyecciones de viviendas, hogares y personas. DANE 2024</w:t>
        </w:r>
        <w:r>
          <w:rPr>
            <w:noProof/>
            <w:webHidden/>
          </w:rPr>
          <w:tab/>
        </w:r>
        <w:r>
          <w:rPr>
            <w:noProof/>
            <w:webHidden/>
          </w:rPr>
          <w:fldChar w:fldCharType="begin"/>
        </w:r>
        <w:r>
          <w:rPr>
            <w:noProof/>
            <w:webHidden/>
          </w:rPr>
          <w:instrText xml:space="preserve"> PAGEREF _Toc216468960 \h </w:instrText>
        </w:r>
        <w:r>
          <w:rPr>
            <w:noProof/>
            <w:webHidden/>
          </w:rPr>
        </w:r>
        <w:r>
          <w:rPr>
            <w:noProof/>
            <w:webHidden/>
          </w:rPr>
          <w:fldChar w:fldCharType="separate"/>
        </w:r>
        <w:r w:rsidR="00CE096F">
          <w:rPr>
            <w:noProof/>
            <w:webHidden/>
          </w:rPr>
          <w:t>204</w:t>
        </w:r>
        <w:r>
          <w:rPr>
            <w:noProof/>
            <w:webHidden/>
          </w:rPr>
          <w:fldChar w:fldCharType="end"/>
        </w:r>
      </w:hyperlink>
    </w:p>
    <w:p w14:paraId="00462288" w14:textId="4CBFA0F5"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61" w:history="1">
        <w:r w:rsidRPr="002D6704">
          <w:rPr>
            <w:rStyle w:val="Hyperlink"/>
            <w:noProof/>
          </w:rPr>
          <w:t>Tabla 51. Proyecciones de Población 2025 y 2035 - Indicadores de Estructura</w:t>
        </w:r>
        <w:r>
          <w:rPr>
            <w:noProof/>
            <w:webHidden/>
          </w:rPr>
          <w:tab/>
        </w:r>
        <w:r>
          <w:rPr>
            <w:noProof/>
            <w:webHidden/>
          </w:rPr>
          <w:fldChar w:fldCharType="begin"/>
        </w:r>
        <w:r>
          <w:rPr>
            <w:noProof/>
            <w:webHidden/>
          </w:rPr>
          <w:instrText xml:space="preserve"> PAGEREF _Toc216468961 \h </w:instrText>
        </w:r>
        <w:r>
          <w:rPr>
            <w:noProof/>
            <w:webHidden/>
          </w:rPr>
        </w:r>
        <w:r>
          <w:rPr>
            <w:noProof/>
            <w:webHidden/>
          </w:rPr>
          <w:fldChar w:fldCharType="separate"/>
        </w:r>
        <w:r w:rsidR="00CE096F">
          <w:rPr>
            <w:noProof/>
            <w:webHidden/>
          </w:rPr>
          <w:t>204</w:t>
        </w:r>
        <w:r>
          <w:rPr>
            <w:noProof/>
            <w:webHidden/>
          </w:rPr>
          <w:fldChar w:fldCharType="end"/>
        </w:r>
      </w:hyperlink>
    </w:p>
    <w:p w14:paraId="1DA75915" w14:textId="76171E20"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62" w:history="1">
        <w:r w:rsidRPr="002D6704">
          <w:rPr>
            <w:rStyle w:val="Hyperlink"/>
            <w:noProof/>
          </w:rPr>
          <w:t>Tabla 52  Escenarios de población y necesidades habitacionales. Decreto 555 de 2021. POT de Bogotá</w:t>
        </w:r>
        <w:r>
          <w:rPr>
            <w:noProof/>
            <w:webHidden/>
          </w:rPr>
          <w:tab/>
        </w:r>
        <w:r>
          <w:rPr>
            <w:noProof/>
            <w:webHidden/>
          </w:rPr>
          <w:fldChar w:fldCharType="begin"/>
        </w:r>
        <w:r>
          <w:rPr>
            <w:noProof/>
            <w:webHidden/>
          </w:rPr>
          <w:instrText xml:space="preserve"> PAGEREF _Toc216468962 \h </w:instrText>
        </w:r>
        <w:r>
          <w:rPr>
            <w:noProof/>
            <w:webHidden/>
          </w:rPr>
        </w:r>
        <w:r>
          <w:rPr>
            <w:noProof/>
            <w:webHidden/>
          </w:rPr>
          <w:fldChar w:fldCharType="separate"/>
        </w:r>
        <w:r w:rsidR="00CE096F">
          <w:rPr>
            <w:noProof/>
            <w:webHidden/>
          </w:rPr>
          <w:t>205</w:t>
        </w:r>
        <w:r>
          <w:rPr>
            <w:noProof/>
            <w:webHidden/>
          </w:rPr>
          <w:fldChar w:fldCharType="end"/>
        </w:r>
      </w:hyperlink>
    </w:p>
    <w:p w14:paraId="38112B69" w14:textId="3E90B518"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63" w:history="1">
        <w:r w:rsidRPr="002D6704">
          <w:rPr>
            <w:rStyle w:val="Hyperlink"/>
            <w:noProof/>
          </w:rPr>
          <w:t>Tabla 53  Balance entre producción y necesidades habitacionales 2035. POT de Bogotá</w:t>
        </w:r>
        <w:r>
          <w:rPr>
            <w:noProof/>
            <w:webHidden/>
          </w:rPr>
          <w:tab/>
        </w:r>
        <w:r>
          <w:rPr>
            <w:noProof/>
            <w:webHidden/>
          </w:rPr>
          <w:fldChar w:fldCharType="begin"/>
        </w:r>
        <w:r>
          <w:rPr>
            <w:noProof/>
            <w:webHidden/>
          </w:rPr>
          <w:instrText xml:space="preserve"> PAGEREF _Toc216468963 \h </w:instrText>
        </w:r>
        <w:r>
          <w:rPr>
            <w:noProof/>
            <w:webHidden/>
          </w:rPr>
        </w:r>
        <w:r>
          <w:rPr>
            <w:noProof/>
            <w:webHidden/>
          </w:rPr>
          <w:fldChar w:fldCharType="separate"/>
        </w:r>
        <w:r w:rsidR="00CE096F">
          <w:rPr>
            <w:noProof/>
            <w:webHidden/>
          </w:rPr>
          <w:t>206</w:t>
        </w:r>
        <w:r>
          <w:rPr>
            <w:noProof/>
            <w:webHidden/>
          </w:rPr>
          <w:fldChar w:fldCharType="end"/>
        </w:r>
      </w:hyperlink>
    </w:p>
    <w:p w14:paraId="05BB2687" w14:textId="5EC8A354"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64" w:history="1">
        <w:r w:rsidRPr="002D6704">
          <w:rPr>
            <w:rStyle w:val="Hyperlink"/>
            <w:noProof/>
          </w:rPr>
          <w:t>Tabla 54. Proyección del potencial normativo ajustado al ritmo de mercado a 2035 por tratamiento</w:t>
        </w:r>
        <w:r>
          <w:rPr>
            <w:noProof/>
            <w:webHidden/>
          </w:rPr>
          <w:tab/>
        </w:r>
        <w:r>
          <w:rPr>
            <w:noProof/>
            <w:webHidden/>
          </w:rPr>
          <w:fldChar w:fldCharType="begin"/>
        </w:r>
        <w:r>
          <w:rPr>
            <w:noProof/>
            <w:webHidden/>
          </w:rPr>
          <w:instrText xml:space="preserve"> PAGEREF _Toc216468964 \h </w:instrText>
        </w:r>
        <w:r>
          <w:rPr>
            <w:noProof/>
            <w:webHidden/>
          </w:rPr>
        </w:r>
        <w:r>
          <w:rPr>
            <w:noProof/>
            <w:webHidden/>
          </w:rPr>
          <w:fldChar w:fldCharType="separate"/>
        </w:r>
        <w:r w:rsidR="00CE096F">
          <w:rPr>
            <w:noProof/>
            <w:webHidden/>
          </w:rPr>
          <w:t>206</w:t>
        </w:r>
        <w:r>
          <w:rPr>
            <w:noProof/>
            <w:webHidden/>
          </w:rPr>
          <w:fldChar w:fldCharType="end"/>
        </w:r>
      </w:hyperlink>
    </w:p>
    <w:p w14:paraId="77C1B22D" w14:textId="67A56860"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65" w:history="1">
        <w:r w:rsidRPr="002D6704">
          <w:rPr>
            <w:rStyle w:val="Hyperlink"/>
            <w:noProof/>
          </w:rPr>
          <w:t>Tabla 55. Hectáreas disponibles de suelo urbanizable por clasificación de suelo en municipios de la Sabana</w:t>
        </w:r>
        <w:r>
          <w:rPr>
            <w:noProof/>
            <w:webHidden/>
          </w:rPr>
          <w:tab/>
        </w:r>
        <w:r>
          <w:rPr>
            <w:noProof/>
            <w:webHidden/>
          </w:rPr>
          <w:fldChar w:fldCharType="begin"/>
        </w:r>
        <w:r>
          <w:rPr>
            <w:noProof/>
            <w:webHidden/>
          </w:rPr>
          <w:instrText xml:space="preserve"> PAGEREF _Toc216468965 \h </w:instrText>
        </w:r>
        <w:r>
          <w:rPr>
            <w:noProof/>
            <w:webHidden/>
          </w:rPr>
        </w:r>
        <w:r>
          <w:rPr>
            <w:noProof/>
            <w:webHidden/>
          </w:rPr>
          <w:fldChar w:fldCharType="separate"/>
        </w:r>
        <w:r w:rsidR="00CE096F">
          <w:rPr>
            <w:noProof/>
            <w:webHidden/>
          </w:rPr>
          <w:t>207</w:t>
        </w:r>
        <w:r>
          <w:rPr>
            <w:noProof/>
            <w:webHidden/>
          </w:rPr>
          <w:fldChar w:fldCharType="end"/>
        </w:r>
      </w:hyperlink>
    </w:p>
    <w:p w14:paraId="5CDD5DD5" w14:textId="1B6CAF2A"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66" w:history="1">
        <w:r w:rsidRPr="002D6704">
          <w:rPr>
            <w:rStyle w:val="Hyperlink"/>
            <w:noProof/>
          </w:rPr>
          <w:t>Tabla 56. Incremento de áreas de territorios artificializados 2002 - 2018.</w:t>
        </w:r>
        <w:r>
          <w:rPr>
            <w:noProof/>
            <w:webHidden/>
          </w:rPr>
          <w:tab/>
        </w:r>
        <w:r>
          <w:rPr>
            <w:noProof/>
            <w:webHidden/>
          </w:rPr>
          <w:fldChar w:fldCharType="begin"/>
        </w:r>
        <w:r>
          <w:rPr>
            <w:noProof/>
            <w:webHidden/>
          </w:rPr>
          <w:instrText xml:space="preserve"> PAGEREF _Toc216468966 \h </w:instrText>
        </w:r>
        <w:r>
          <w:rPr>
            <w:noProof/>
            <w:webHidden/>
          </w:rPr>
        </w:r>
        <w:r>
          <w:rPr>
            <w:noProof/>
            <w:webHidden/>
          </w:rPr>
          <w:fldChar w:fldCharType="separate"/>
        </w:r>
        <w:r w:rsidR="00CE096F">
          <w:rPr>
            <w:noProof/>
            <w:webHidden/>
          </w:rPr>
          <w:t>225</w:t>
        </w:r>
        <w:r>
          <w:rPr>
            <w:noProof/>
            <w:webHidden/>
          </w:rPr>
          <w:fldChar w:fldCharType="end"/>
        </w:r>
      </w:hyperlink>
    </w:p>
    <w:p w14:paraId="3365AD64" w14:textId="1B459436"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67" w:history="1">
        <w:r w:rsidRPr="002D6704">
          <w:rPr>
            <w:rStyle w:val="Hyperlink"/>
            <w:noProof/>
          </w:rPr>
          <w:t>Tabla 57. Variación de coberturas años 2002 – 2018.</w:t>
        </w:r>
        <w:r>
          <w:rPr>
            <w:noProof/>
            <w:webHidden/>
          </w:rPr>
          <w:tab/>
        </w:r>
        <w:r>
          <w:rPr>
            <w:noProof/>
            <w:webHidden/>
          </w:rPr>
          <w:fldChar w:fldCharType="begin"/>
        </w:r>
        <w:r>
          <w:rPr>
            <w:noProof/>
            <w:webHidden/>
          </w:rPr>
          <w:instrText xml:space="preserve"> PAGEREF _Toc216468967 \h </w:instrText>
        </w:r>
        <w:r>
          <w:rPr>
            <w:noProof/>
            <w:webHidden/>
          </w:rPr>
        </w:r>
        <w:r>
          <w:rPr>
            <w:noProof/>
            <w:webHidden/>
          </w:rPr>
          <w:fldChar w:fldCharType="separate"/>
        </w:r>
        <w:r w:rsidR="00CE096F">
          <w:rPr>
            <w:noProof/>
            <w:webHidden/>
          </w:rPr>
          <w:t>226</w:t>
        </w:r>
        <w:r>
          <w:rPr>
            <w:noProof/>
            <w:webHidden/>
          </w:rPr>
          <w:fldChar w:fldCharType="end"/>
        </w:r>
      </w:hyperlink>
    </w:p>
    <w:p w14:paraId="5EB99637" w14:textId="3C1E17F6"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68" w:history="1">
        <w:r w:rsidRPr="002D6704">
          <w:rPr>
            <w:rStyle w:val="Hyperlink"/>
            <w:noProof/>
          </w:rPr>
          <w:t>Tabla 58. Coberturas transformadas en la Sabana de Bogotá entre 2002 y 2018.</w:t>
        </w:r>
        <w:r>
          <w:rPr>
            <w:noProof/>
            <w:webHidden/>
          </w:rPr>
          <w:tab/>
        </w:r>
        <w:r>
          <w:rPr>
            <w:noProof/>
            <w:webHidden/>
          </w:rPr>
          <w:fldChar w:fldCharType="begin"/>
        </w:r>
        <w:r>
          <w:rPr>
            <w:noProof/>
            <w:webHidden/>
          </w:rPr>
          <w:instrText xml:space="preserve"> PAGEREF _Toc216468968 \h </w:instrText>
        </w:r>
        <w:r>
          <w:rPr>
            <w:noProof/>
            <w:webHidden/>
          </w:rPr>
        </w:r>
        <w:r>
          <w:rPr>
            <w:noProof/>
            <w:webHidden/>
          </w:rPr>
          <w:fldChar w:fldCharType="separate"/>
        </w:r>
        <w:r w:rsidR="00CE096F">
          <w:rPr>
            <w:noProof/>
            <w:webHidden/>
          </w:rPr>
          <w:t>229</w:t>
        </w:r>
        <w:r>
          <w:rPr>
            <w:noProof/>
            <w:webHidden/>
          </w:rPr>
          <w:fldChar w:fldCharType="end"/>
        </w:r>
      </w:hyperlink>
    </w:p>
    <w:p w14:paraId="10C4A15D" w14:textId="6DE6EF95"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69" w:history="1">
        <w:r w:rsidRPr="002D6704">
          <w:rPr>
            <w:rStyle w:val="Hyperlink"/>
            <w:noProof/>
          </w:rPr>
          <w:t>Tabla 59 Áreas ocupadas en planicie, clasificados por su capacidad agrológica</w:t>
        </w:r>
        <w:r>
          <w:rPr>
            <w:noProof/>
            <w:webHidden/>
          </w:rPr>
          <w:tab/>
        </w:r>
        <w:r>
          <w:rPr>
            <w:noProof/>
            <w:webHidden/>
          </w:rPr>
          <w:fldChar w:fldCharType="begin"/>
        </w:r>
        <w:r>
          <w:rPr>
            <w:noProof/>
            <w:webHidden/>
          </w:rPr>
          <w:instrText xml:space="preserve"> PAGEREF _Toc216468969 \h </w:instrText>
        </w:r>
        <w:r>
          <w:rPr>
            <w:noProof/>
            <w:webHidden/>
          </w:rPr>
        </w:r>
        <w:r>
          <w:rPr>
            <w:noProof/>
            <w:webHidden/>
          </w:rPr>
          <w:fldChar w:fldCharType="separate"/>
        </w:r>
        <w:r w:rsidR="00CE096F">
          <w:rPr>
            <w:noProof/>
            <w:webHidden/>
          </w:rPr>
          <w:t>233</w:t>
        </w:r>
        <w:r>
          <w:rPr>
            <w:noProof/>
            <w:webHidden/>
          </w:rPr>
          <w:fldChar w:fldCharType="end"/>
        </w:r>
      </w:hyperlink>
    </w:p>
    <w:p w14:paraId="626F170B" w14:textId="4DE4085E"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70" w:history="1">
        <w:r w:rsidRPr="002D6704">
          <w:rPr>
            <w:rStyle w:val="Hyperlink"/>
            <w:noProof/>
          </w:rPr>
          <w:t>Tabla 60. Área de territorios artificializados sobre suelos de clase II, III, IV y V año 2002.</w:t>
        </w:r>
        <w:r>
          <w:rPr>
            <w:noProof/>
            <w:webHidden/>
          </w:rPr>
          <w:tab/>
        </w:r>
        <w:r>
          <w:rPr>
            <w:noProof/>
            <w:webHidden/>
          </w:rPr>
          <w:fldChar w:fldCharType="begin"/>
        </w:r>
        <w:r>
          <w:rPr>
            <w:noProof/>
            <w:webHidden/>
          </w:rPr>
          <w:instrText xml:space="preserve"> PAGEREF _Toc216468970 \h </w:instrText>
        </w:r>
        <w:r>
          <w:rPr>
            <w:noProof/>
            <w:webHidden/>
          </w:rPr>
        </w:r>
        <w:r>
          <w:rPr>
            <w:noProof/>
            <w:webHidden/>
          </w:rPr>
          <w:fldChar w:fldCharType="separate"/>
        </w:r>
        <w:r w:rsidR="00CE096F">
          <w:rPr>
            <w:noProof/>
            <w:webHidden/>
          </w:rPr>
          <w:t>241</w:t>
        </w:r>
        <w:r>
          <w:rPr>
            <w:noProof/>
            <w:webHidden/>
          </w:rPr>
          <w:fldChar w:fldCharType="end"/>
        </w:r>
      </w:hyperlink>
    </w:p>
    <w:p w14:paraId="5AD3EBEB" w14:textId="6FCC1B08"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71" w:history="1">
        <w:r w:rsidRPr="002D6704">
          <w:rPr>
            <w:rStyle w:val="Hyperlink"/>
            <w:noProof/>
          </w:rPr>
          <w:t>Tabla 61. Área de territorios artificializados sobre suelos de clase II, III y IV año 2018.</w:t>
        </w:r>
        <w:r>
          <w:rPr>
            <w:noProof/>
            <w:webHidden/>
          </w:rPr>
          <w:tab/>
        </w:r>
        <w:r>
          <w:rPr>
            <w:noProof/>
            <w:webHidden/>
          </w:rPr>
          <w:fldChar w:fldCharType="begin"/>
        </w:r>
        <w:r>
          <w:rPr>
            <w:noProof/>
            <w:webHidden/>
          </w:rPr>
          <w:instrText xml:space="preserve"> PAGEREF _Toc216468971 \h </w:instrText>
        </w:r>
        <w:r>
          <w:rPr>
            <w:noProof/>
            <w:webHidden/>
          </w:rPr>
        </w:r>
        <w:r>
          <w:rPr>
            <w:noProof/>
            <w:webHidden/>
          </w:rPr>
          <w:fldChar w:fldCharType="separate"/>
        </w:r>
        <w:r w:rsidR="00CE096F">
          <w:rPr>
            <w:noProof/>
            <w:webHidden/>
          </w:rPr>
          <w:t>242</w:t>
        </w:r>
        <w:r>
          <w:rPr>
            <w:noProof/>
            <w:webHidden/>
          </w:rPr>
          <w:fldChar w:fldCharType="end"/>
        </w:r>
      </w:hyperlink>
    </w:p>
    <w:p w14:paraId="0F0E77EE" w14:textId="2799D6E2"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72" w:history="1">
        <w:r w:rsidRPr="002D6704">
          <w:rPr>
            <w:rStyle w:val="Hyperlink"/>
            <w:noProof/>
          </w:rPr>
          <w:t>Tabla 62. Áreas artificializadas en suelos de clases II, III y IV en 2002.</w:t>
        </w:r>
        <w:r>
          <w:rPr>
            <w:noProof/>
            <w:webHidden/>
          </w:rPr>
          <w:tab/>
        </w:r>
        <w:r>
          <w:rPr>
            <w:noProof/>
            <w:webHidden/>
          </w:rPr>
          <w:fldChar w:fldCharType="begin"/>
        </w:r>
        <w:r>
          <w:rPr>
            <w:noProof/>
            <w:webHidden/>
          </w:rPr>
          <w:instrText xml:space="preserve"> PAGEREF _Toc216468972 \h </w:instrText>
        </w:r>
        <w:r>
          <w:rPr>
            <w:noProof/>
            <w:webHidden/>
          </w:rPr>
        </w:r>
        <w:r>
          <w:rPr>
            <w:noProof/>
            <w:webHidden/>
          </w:rPr>
          <w:fldChar w:fldCharType="separate"/>
        </w:r>
        <w:r w:rsidR="00CE096F">
          <w:rPr>
            <w:noProof/>
            <w:webHidden/>
          </w:rPr>
          <w:t>243</w:t>
        </w:r>
        <w:r>
          <w:rPr>
            <w:noProof/>
            <w:webHidden/>
          </w:rPr>
          <w:fldChar w:fldCharType="end"/>
        </w:r>
      </w:hyperlink>
    </w:p>
    <w:p w14:paraId="391BABF8" w14:textId="3BE73515"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73" w:history="1">
        <w:r w:rsidRPr="002D6704">
          <w:rPr>
            <w:rStyle w:val="Hyperlink"/>
            <w:noProof/>
          </w:rPr>
          <w:t>Tabla 63. Áreas artificializadas en suelos de clase II durante el año 2002.</w:t>
        </w:r>
        <w:r>
          <w:rPr>
            <w:noProof/>
            <w:webHidden/>
          </w:rPr>
          <w:tab/>
        </w:r>
        <w:r>
          <w:rPr>
            <w:noProof/>
            <w:webHidden/>
          </w:rPr>
          <w:fldChar w:fldCharType="begin"/>
        </w:r>
        <w:r>
          <w:rPr>
            <w:noProof/>
            <w:webHidden/>
          </w:rPr>
          <w:instrText xml:space="preserve"> PAGEREF _Toc216468973 \h </w:instrText>
        </w:r>
        <w:r>
          <w:rPr>
            <w:noProof/>
            <w:webHidden/>
          </w:rPr>
        </w:r>
        <w:r>
          <w:rPr>
            <w:noProof/>
            <w:webHidden/>
          </w:rPr>
          <w:fldChar w:fldCharType="separate"/>
        </w:r>
        <w:r w:rsidR="00CE096F">
          <w:rPr>
            <w:noProof/>
            <w:webHidden/>
          </w:rPr>
          <w:t>244</w:t>
        </w:r>
        <w:r>
          <w:rPr>
            <w:noProof/>
            <w:webHidden/>
          </w:rPr>
          <w:fldChar w:fldCharType="end"/>
        </w:r>
      </w:hyperlink>
    </w:p>
    <w:p w14:paraId="75A12002" w14:textId="132A8786"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74" w:history="1">
        <w:r w:rsidRPr="002D6704">
          <w:rPr>
            <w:rStyle w:val="Hyperlink"/>
            <w:noProof/>
          </w:rPr>
          <w:t>Tabla 64. Áreas artificializadas en suelos de clase III durante el año 2002.</w:t>
        </w:r>
        <w:r>
          <w:rPr>
            <w:noProof/>
            <w:webHidden/>
          </w:rPr>
          <w:tab/>
        </w:r>
        <w:r>
          <w:rPr>
            <w:noProof/>
            <w:webHidden/>
          </w:rPr>
          <w:fldChar w:fldCharType="begin"/>
        </w:r>
        <w:r>
          <w:rPr>
            <w:noProof/>
            <w:webHidden/>
          </w:rPr>
          <w:instrText xml:space="preserve"> PAGEREF _Toc216468974 \h </w:instrText>
        </w:r>
        <w:r>
          <w:rPr>
            <w:noProof/>
            <w:webHidden/>
          </w:rPr>
        </w:r>
        <w:r>
          <w:rPr>
            <w:noProof/>
            <w:webHidden/>
          </w:rPr>
          <w:fldChar w:fldCharType="separate"/>
        </w:r>
        <w:r w:rsidR="00CE096F">
          <w:rPr>
            <w:noProof/>
            <w:webHidden/>
          </w:rPr>
          <w:t>245</w:t>
        </w:r>
        <w:r>
          <w:rPr>
            <w:noProof/>
            <w:webHidden/>
          </w:rPr>
          <w:fldChar w:fldCharType="end"/>
        </w:r>
      </w:hyperlink>
    </w:p>
    <w:p w14:paraId="4155E18A" w14:textId="7D8CA4C7"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75" w:history="1">
        <w:r w:rsidRPr="002D6704">
          <w:rPr>
            <w:rStyle w:val="Hyperlink"/>
            <w:noProof/>
          </w:rPr>
          <w:t>Tabla 65. Áreas artificializadas en suelos de clase IV durante el año 2002.</w:t>
        </w:r>
        <w:r>
          <w:rPr>
            <w:noProof/>
            <w:webHidden/>
          </w:rPr>
          <w:tab/>
        </w:r>
        <w:r>
          <w:rPr>
            <w:noProof/>
            <w:webHidden/>
          </w:rPr>
          <w:fldChar w:fldCharType="begin"/>
        </w:r>
        <w:r>
          <w:rPr>
            <w:noProof/>
            <w:webHidden/>
          </w:rPr>
          <w:instrText xml:space="preserve"> PAGEREF _Toc216468975 \h </w:instrText>
        </w:r>
        <w:r>
          <w:rPr>
            <w:noProof/>
            <w:webHidden/>
          </w:rPr>
        </w:r>
        <w:r>
          <w:rPr>
            <w:noProof/>
            <w:webHidden/>
          </w:rPr>
          <w:fldChar w:fldCharType="separate"/>
        </w:r>
        <w:r w:rsidR="00CE096F">
          <w:rPr>
            <w:noProof/>
            <w:webHidden/>
          </w:rPr>
          <w:t>245</w:t>
        </w:r>
        <w:r>
          <w:rPr>
            <w:noProof/>
            <w:webHidden/>
          </w:rPr>
          <w:fldChar w:fldCharType="end"/>
        </w:r>
      </w:hyperlink>
    </w:p>
    <w:p w14:paraId="16BA4BDE" w14:textId="1AE4B618"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76" w:history="1">
        <w:r w:rsidRPr="002D6704">
          <w:rPr>
            <w:rStyle w:val="Hyperlink"/>
            <w:noProof/>
          </w:rPr>
          <w:t>Tabla 66. Áreas artificializadas en suelos de clase II, III y IV durante el año 2018.</w:t>
        </w:r>
        <w:r>
          <w:rPr>
            <w:noProof/>
            <w:webHidden/>
          </w:rPr>
          <w:tab/>
        </w:r>
        <w:r>
          <w:rPr>
            <w:noProof/>
            <w:webHidden/>
          </w:rPr>
          <w:fldChar w:fldCharType="begin"/>
        </w:r>
        <w:r>
          <w:rPr>
            <w:noProof/>
            <w:webHidden/>
          </w:rPr>
          <w:instrText xml:space="preserve"> PAGEREF _Toc216468976 \h </w:instrText>
        </w:r>
        <w:r>
          <w:rPr>
            <w:noProof/>
            <w:webHidden/>
          </w:rPr>
        </w:r>
        <w:r>
          <w:rPr>
            <w:noProof/>
            <w:webHidden/>
          </w:rPr>
          <w:fldChar w:fldCharType="separate"/>
        </w:r>
        <w:r w:rsidR="00CE096F">
          <w:rPr>
            <w:noProof/>
            <w:webHidden/>
          </w:rPr>
          <w:t>246</w:t>
        </w:r>
        <w:r>
          <w:rPr>
            <w:noProof/>
            <w:webHidden/>
          </w:rPr>
          <w:fldChar w:fldCharType="end"/>
        </w:r>
      </w:hyperlink>
    </w:p>
    <w:p w14:paraId="03FD4A3C" w14:textId="1EC85FDD"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77" w:history="1">
        <w:r w:rsidRPr="002D6704">
          <w:rPr>
            <w:rStyle w:val="Hyperlink"/>
            <w:noProof/>
          </w:rPr>
          <w:t>Tabla 67. Áreas artificializadas en suelos de clase II durante el año 2018.</w:t>
        </w:r>
        <w:r>
          <w:rPr>
            <w:noProof/>
            <w:webHidden/>
          </w:rPr>
          <w:tab/>
        </w:r>
        <w:r>
          <w:rPr>
            <w:noProof/>
            <w:webHidden/>
          </w:rPr>
          <w:fldChar w:fldCharType="begin"/>
        </w:r>
        <w:r>
          <w:rPr>
            <w:noProof/>
            <w:webHidden/>
          </w:rPr>
          <w:instrText xml:space="preserve"> PAGEREF _Toc216468977 \h </w:instrText>
        </w:r>
        <w:r>
          <w:rPr>
            <w:noProof/>
            <w:webHidden/>
          </w:rPr>
        </w:r>
        <w:r>
          <w:rPr>
            <w:noProof/>
            <w:webHidden/>
          </w:rPr>
          <w:fldChar w:fldCharType="separate"/>
        </w:r>
        <w:r w:rsidR="00CE096F">
          <w:rPr>
            <w:noProof/>
            <w:webHidden/>
          </w:rPr>
          <w:t>247</w:t>
        </w:r>
        <w:r>
          <w:rPr>
            <w:noProof/>
            <w:webHidden/>
          </w:rPr>
          <w:fldChar w:fldCharType="end"/>
        </w:r>
      </w:hyperlink>
    </w:p>
    <w:p w14:paraId="27159752" w14:textId="429DEAC3"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78" w:history="1">
        <w:r w:rsidRPr="002D6704">
          <w:rPr>
            <w:rStyle w:val="Hyperlink"/>
            <w:noProof/>
          </w:rPr>
          <w:t>Tabla 68. Áreas artificializadas en suelos de clase III durante el año 2018.</w:t>
        </w:r>
        <w:r>
          <w:rPr>
            <w:noProof/>
            <w:webHidden/>
          </w:rPr>
          <w:tab/>
        </w:r>
        <w:r>
          <w:rPr>
            <w:noProof/>
            <w:webHidden/>
          </w:rPr>
          <w:fldChar w:fldCharType="begin"/>
        </w:r>
        <w:r>
          <w:rPr>
            <w:noProof/>
            <w:webHidden/>
          </w:rPr>
          <w:instrText xml:space="preserve"> PAGEREF _Toc216468978 \h </w:instrText>
        </w:r>
        <w:r>
          <w:rPr>
            <w:noProof/>
            <w:webHidden/>
          </w:rPr>
        </w:r>
        <w:r>
          <w:rPr>
            <w:noProof/>
            <w:webHidden/>
          </w:rPr>
          <w:fldChar w:fldCharType="separate"/>
        </w:r>
        <w:r w:rsidR="00CE096F">
          <w:rPr>
            <w:noProof/>
            <w:webHidden/>
          </w:rPr>
          <w:t>248</w:t>
        </w:r>
        <w:r>
          <w:rPr>
            <w:noProof/>
            <w:webHidden/>
          </w:rPr>
          <w:fldChar w:fldCharType="end"/>
        </w:r>
      </w:hyperlink>
    </w:p>
    <w:p w14:paraId="025AEF1F" w14:textId="311F514A"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79" w:history="1">
        <w:r w:rsidRPr="002D6704">
          <w:rPr>
            <w:rStyle w:val="Hyperlink"/>
            <w:noProof/>
          </w:rPr>
          <w:t>Tabla 69. Áreas artificializadas en suelos de clase IV durante el año 2018.</w:t>
        </w:r>
        <w:r>
          <w:rPr>
            <w:noProof/>
            <w:webHidden/>
          </w:rPr>
          <w:tab/>
        </w:r>
        <w:r>
          <w:rPr>
            <w:noProof/>
            <w:webHidden/>
          </w:rPr>
          <w:fldChar w:fldCharType="begin"/>
        </w:r>
        <w:r>
          <w:rPr>
            <w:noProof/>
            <w:webHidden/>
          </w:rPr>
          <w:instrText xml:space="preserve"> PAGEREF _Toc216468979 \h </w:instrText>
        </w:r>
        <w:r>
          <w:rPr>
            <w:noProof/>
            <w:webHidden/>
          </w:rPr>
        </w:r>
        <w:r>
          <w:rPr>
            <w:noProof/>
            <w:webHidden/>
          </w:rPr>
          <w:fldChar w:fldCharType="separate"/>
        </w:r>
        <w:r w:rsidR="00CE096F">
          <w:rPr>
            <w:noProof/>
            <w:webHidden/>
          </w:rPr>
          <w:t>249</w:t>
        </w:r>
        <w:r>
          <w:rPr>
            <w:noProof/>
            <w:webHidden/>
          </w:rPr>
          <w:fldChar w:fldCharType="end"/>
        </w:r>
      </w:hyperlink>
    </w:p>
    <w:p w14:paraId="759432ED" w14:textId="1FB335D2"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80" w:history="1">
        <w:r w:rsidRPr="002D6704">
          <w:rPr>
            <w:rStyle w:val="Hyperlink"/>
            <w:noProof/>
          </w:rPr>
          <w:t>Tabla 70. Crecimiento entre 2018 - 2002 de áreas artificializadas en suelos de clase II, III y IV.</w:t>
        </w:r>
        <w:r>
          <w:rPr>
            <w:noProof/>
            <w:webHidden/>
          </w:rPr>
          <w:tab/>
        </w:r>
        <w:r>
          <w:rPr>
            <w:noProof/>
            <w:webHidden/>
          </w:rPr>
          <w:fldChar w:fldCharType="begin"/>
        </w:r>
        <w:r>
          <w:rPr>
            <w:noProof/>
            <w:webHidden/>
          </w:rPr>
          <w:instrText xml:space="preserve"> PAGEREF _Toc216468980 \h </w:instrText>
        </w:r>
        <w:r>
          <w:rPr>
            <w:noProof/>
            <w:webHidden/>
          </w:rPr>
        </w:r>
        <w:r>
          <w:rPr>
            <w:noProof/>
            <w:webHidden/>
          </w:rPr>
          <w:fldChar w:fldCharType="separate"/>
        </w:r>
        <w:r w:rsidR="00CE096F">
          <w:rPr>
            <w:noProof/>
            <w:webHidden/>
          </w:rPr>
          <w:t>250</w:t>
        </w:r>
        <w:r>
          <w:rPr>
            <w:noProof/>
            <w:webHidden/>
          </w:rPr>
          <w:fldChar w:fldCharType="end"/>
        </w:r>
      </w:hyperlink>
    </w:p>
    <w:p w14:paraId="5172B6EB" w14:textId="48DFE52C"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81" w:history="1">
        <w:r w:rsidRPr="002D6704">
          <w:rPr>
            <w:rStyle w:val="Hyperlink"/>
            <w:noProof/>
          </w:rPr>
          <w:t>Tabla 71  Superposiciones de huella de ocupación con Estructura Ecológica Principal Regional</w:t>
        </w:r>
        <w:r>
          <w:rPr>
            <w:noProof/>
            <w:webHidden/>
          </w:rPr>
          <w:tab/>
        </w:r>
        <w:r>
          <w:rPr>
            <w:noProof/>
            <w:webHidden/>
          </w:rPr>
          <w:fldChar w:fldCharType="begin"/>
        </w:r>
        <w:r>
          <w:rPr>
            <w:noProof/>
            <w:webHidden/>
          </w:rPr>
          <w:instrText xml:space="preserve"> PAGEREF _Toc216468981 \h </w:instrText>
        </w:r>
        <w:r>
          <w:rPr>
            <w:noProof/>
            <w:webHidden/>
          </w:rPr>
        </w:r>
        <w:r>
          <w:rPr>
            <w:noProof/>
            <w:webHidden/>
          </w:rPr>
          <w:fldChar w:fldCharType="separate"/>
        </w:r>
        <w:r w:rsidR="00CE096F">
          <w:rPr>
            <w:noProof/>
            <w:webHidden/>
          </w:rPr>
          <w:t>251</w:t>
        </w:r>
        <w:r>
          <w:rPr>
            <w:noProof/>
            <w:webHidden/>
          </w:rPr>
          <w:fldChar w:fldCharType="end"/>
        </w:r>
      </w:hyperlink>
    </w:p>
    <w:p w14:paraId="38E039DA" w14:textId="32ECA9AE"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82" w:history="1">
        <w:r w:rsidRPr="002D6704">
          <w:rPr>
            <w:rStyle w:val="Hyperlink"/>
            <w:noProof/>
          </w:rPr>
          <w:t>Tabla 72. Área construida sobre humedales en la Sabana de Bogotá.</w:t>
        </w:r>
        <w:r>
          <w:rPr>
            <w:noProof/>
            <w:webHidden/>
          </w:rPr>
          <w:tab/>
        </w:r>
        <w:r>
          <w:rPr>
            <w:noProof/>
            <w:webHidden/>
          </w:rPr>
          <w:fldChar w:fldCharType="begin"/>
        </w:r>
        <w:r>
          <w:rPr>
            <w:noProof/>
            <w:webHidden/>
          </w:rPr>
          <w:instrText xml:space="preserve"> PAGEREF _Toc216468982 \h </w:instrText>
        </w:r>
        <w:r>
          <w:rPr>
            <w:noProof/>
            <w:webHidden/>
          </w:rPr>
        </w:r>
        <w:r>
          <w:rPr>
            <w:noProof/>
            <w:webHidden/>
          </w:rPr>
          <w:fldChar w:fldCharType="separate"/>
        </w:r>
        <w:r w:rsidR="00CE096F">
          <w:rPr>
            <w:noProof/>
            <w:webHidden/>
          </w:rPr>
          <w:t>255</w:t>
        </w:r>
        <w:r>
          <w:rPr>
            <w:noProof/>
            <w:webHidden/>
          </w:rPr>
          <w:fldChar w:fldCharType="end"/>
        </w:r>
      </w:hyperlink>
    </w:p>
    <w:p w14:paraId="0D1829EE" w14:textId="07CED2BD"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83" w:history="1">
        <w:r w:rsidRPr="002D6704">
          <w:rPr>
            <w:rStyle w:val="Hyperlink"/>
            <w:noProof/>
          </w:rPr>
          <w:t>Tabla 73. Elementos espaciales estructurantes del sistema</w:t>
        </w:r>
        <w:r>
          <w:rPr>
            <w:noProof/>
            <w:webHidden/>
          </w:rPr>
          <w:tab/>
        </w:r>
        <w:r>
          <w:rPr>
            <w:noProof/>
            <w:webHidden/>
          </w:rPr>
          <w:fldChar w:fldCharType="begin"/>
        </w:r>
        <w:r>
          <w:rPr>
            <w:noProof/>
            <w:webHidden/>
          </w:rPr>
          <w:instrText xml:space="preserve"> PAGEREF _Toc216468983 \h </w:instrText>
        </w:r>
        <w:r>
          <w:rPr>
            <w:noProof/>
            <w:webHidden/>
          </w:rPr>
        </w:r>
        <w:r>
          <w:rPr>
            <w:noProof/>
            <w:webHidden/>
          </w:rPr>
          <w:fldChar w:fldCharType="separate"/>
        </w:r>
        <w:r w:rsidR="00CE096F">
          <w:rPr>
            <w:noProof/>
            <w:webHidden/>
          </w:rPr>
          <w:t>257</w:t>
        </w:r>
        <w:r>
          <w:rPr>
            <w:noProof/>
            <w:webHidden/>
          </w:rPr>
          <w:fldChar w:fldCharType="end"/>
        </w:r>
      </w:hyperlink>
    </w:p>
    <w:p w14:paraId="730D38BE" w14:textId="1149F4E1"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84" w:history="1">
        <w:r w:rsidRPr="002D6704">
          <w:rPr>
            <w:rStyle w:val="Hyperlink"/>
            <w:noProof/>
          </w:rPr>
          <w:t>Tabla 74. Escenarios principales usos de la tierra.</w:t>
        </w:r>
        <w:r>
          <w:rPr>
            <w:noProof/>
            <w:webHidden/>
          </w:rPr>
          <w:tab/>
        </w:r>
        <w:r>
          <w:rPr>
            <w:noProof/>
            <w:webHidden/>
          </w:rPr>
          <w:fldChar w:fldCharType="begin"/>
        </w:r>
        <w:r>
          <w:rPr>
            <w:noProof/>
            <w:webHidden/>
          </w:rPr>
          <w:instrText xml:space="preserve"> PAGEREF _Toc216468984 \h </w:instrText>
        </w:r>
        <w:r>
          <w:rPr>
            <w:noProof/>
            <w:webHidden/>
          </w:rPr>
        </w:r>
        <w:r>
          <w:rPr>
            <w:noProof/>
            <w:webHidden/>
          </w:rPr>
          <w:fldChar w:fldCharType="separate"/>
        </w:r>
        <w:r w:rsidR="00CE096F">
          <w:rPr>
            <w:noProof/>
            <w:webHidden/>
          </w:rPr>
          <w:t>258</w:t>
        </w:r>
        <w:r>
          <w:rPr>
            <w:noProof/>
            <w:webHidden/>
          </w:rPr>
          <w:fldChar w:fldCharType="end"/>
        </w:r>
      </w:hyperlink>
    </w:p>
    <w:p w14:paraId="5D46D472" w14:textId="197E0655"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85" w:history="1">
        <w:r w:rsidRPr="002D6704">
          <w:rPr>
            <w:rStyle w:val="Hyperlink"/>
            <w:noProof/>
          </w:rPr>
          <w:t>Tabla 75. Descriptores del ICA</w:t>
        </w:r>
        <w:r>
          <w:rPr>
            <w:noProof/>
            <w:webHidden/>
          </w:rPr>
          <w:tab/>
        </w:r>
        <w:r>
          <w:rPr>
            <w:noProof/>
            <w:webHidden/>
          </w:rPr>
          <w:fldChar w:fldCharType="begin"/>
        </w:r>
        <w:r>
          <w:rPr>
            <w:noProof/>
            <w:webHidden/>
          </w:rPr>
          <w:instrText xml:space="preserve"> PAGEREF _Toc216468985 \h </w:instrText>
        </w:r>
        <w:r>
          <w:rPr>
            <w:noProof/>
            <w:webHidden/>
          </w:rPr>
        </w:r>
        <w:r>
          <w:rPr>
            <w:noProof/>
            <w:webHidden/>
          </w:rPr>
          <w:fldChar w:fldCharType="separate"/>
        </w:r>
        <w:r w:rsidR="00CE096F">
          <w:rPr>
            <w:noProof/>
            <w:webHidden/>
          </w:rPr>
          <w:t>272</w:t>
        </w:r>
        <w:r>
          <w:rPr>
            <w:noProof/>
            <w:webHidden/>
          </w:rPr>
          <w:fldChar w:fldCharType="end"/>
        </w:r>
      </w:hyperlink>
    </w:p>
    <w:p w14:paraId="01510A56" w14:textId="45021C15"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86" w:history="1">
        <w:r w:rsidRPr="002D6704">
          <w:rPr>
            <w:rStyle w:val="Hyperlink"/>
            <w:noProof/>
          </w:rPr>
          <w:t>Tabla 76. Rangos y categorías del índice de uso del agua – IUA</w:t>
        </w:r>
        <w:r>
          <w:rPr>
            <w:noProof/>
            <w:webHidden/>
          </w:rPr>
          <w:tab/>
        </w:r>
        <w:r>
          <w:rPr>
            <w:noProof/>
            <w:webHidden/>
          </w:rPr>
          <w:fldChar w:fldCharType="begin"/>
        </w:r>
        <w:r>
          <w:rPr>
            <w:noProof/>
            <w:webHidden/>
          </w:rPr>
          <w:instrText xml:space="preserve"> PAGEREF _Toc216468986 \h </w:instrText>
        </w:r>
        <w:r>
          <w:rPr>
            <w:noProof/>
            <w:webHidden/>
          </w:rPr>
        </w:r>
        <w:r>
          <w:rPr>
            <w:noProof/>
            <w:webHidden/>
          </w:rPr>
          <w:fldChar w:fldCharType="separate"/>
        </w:r>
        <w:r w:rsidR="00CE096F">
          <w:rPr>
            <w:noProof/>
            <w:webHidden/>
          </w:rPr>
          <w:t>272</w:t>
        </w:r>
        <w:r>
          <w:rPr>
            <w:noProof/>
            <w:webHidden/>
          </w:rPr>
          <w:fldChar w:fldCharType="end"/>
        </w:r>
      </w:hyperlink>
    </w:p>
    <w:p w14:paraId="1D062E75" w14:textId="6E67AB6E"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87" w:history="1">
        <w:r w:rsidRPr="002D6704">
          <w:rPr>
            <w:rStyle w:val="Hyperlink"/>
            <w:noProof/>
          </w:rPr>
          <w:t>Tabla 77. Categorías del índice de Vulnerabilidad al Desabastecimiento – IVDH</w:t>
        </w:r>
        <w:r>
          <w:rPr>
            <w:noProof/>
            <w:webHidden/>
          </w:rPr>
          <w:tab/>
        </w:r>
        <w:r>
          <w:rPr>
            <w:noProof/>
            <w:webHidden/>
          </w:rPr>
          <w:fldChar w:fldCharType="begin"/>
        </w:r>
        <w:r>
          <w:rPr>
            <w:noProof/>
            <w:webHidden/>
          </w:rPr>
          <w:instrText xml:space="preserve"> PAGEREF _Toc216468987 \h </w:instrText>
        </w:r>
        <w:r>
          <w:rPr>
            <w:noProof/>
            <w:webHidden/>
          </w:rPr>
        </w:r>
        <w:r>
          <w:rPr>
            <w:noProof/>
            <w:webHidden/>
          </w:rPr>
          <w:fldChar w:fldCharType="separate"/>
        </w:r>
        <w:r w:rsidR="00CE096F">
          <w:rPr>
            <w:noProof/>
            <w:webHidden/>
          </w:rPr>
          <w:t>273</w:t>
        </w:r>
        <w:r>
          <w:rPr>
            <w:noProof/>
            <w:webHidden/>
          </w:rPr>
          <w:fldChar w:fldCharType="end"/>
        </w:r>
      </w:hyperlink>
    </w:p>
    <w:p w14:paraId="1130EE3D" w14:textId="22233406"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88" w:history="1">
        <w:r w:rsidRPr="002D6704">
          <w:rPr>
            <w:rStyle w:val="Hyperlink"/>
            <w:noProof/>
          </w:rPr>
          <w:t>Tabla 78. Calificación de la calidad de agua según rangos del IACAL</w:t>
        </w:r>
        <w:r>
          <w:rPr>
            <w:noProof/>
            <w:webHidden/>
          </w:rPr>
          <w:tab/>
        </w:r>
        <w:r>
          <w:rPr>
            <w:noProof/>
            <w:webHidden/>
          </w:rPr>
          <w:fldChar w:fldCharType="begin"/>
        </w:r>
        <w:r>
          <w:rPr>
            <w:noProof/>
            <w:webHidden/>
          </w:rPr>
          <w:instrText xml:space="preserve"> PAGEREF _Toc216468988 \h </w:instrText>
        </w:r>
        <w:r>
          <w:rPr>
            <w:noProof/>
            <w:webHidden/>
          </w:rPr>
        </w:r>
        <w:r>
          <w:rPr>
            <w:noProof/>
            <w:webHidden/>
          </w:rPr>
          <w:fldChar w:fldCharType="separate"/>
        </w:r>
        <w:r w:rsidR="00CE096F">
          <w:rPr>
            <w:noProof/>
            <w:webHidden/>
          </w:rPr>
          <w:t>273</w:t>
        </w:r>
        <w:r>
          <w:rPr>
            <w:noProof/>
            <w:webHidden/>
          </w:rPr>
          <w:fldChar w:fldCharType="end"/>
        </w:r>
      </w:hyperlink>
    </w:p>
    <w:p w14:paraId="1D304DD3" w14:textId="0F9A10BE"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89" w:history="1">
        <w:r w:rsidRPr="002D6704">
          <w:rPr>
            <w:rStyle w:val="Hyperlink"/>
            <w:noProof/>
          </w:rPr>
          <w:t>Tabla 79. Categoría del índice de variabilidad</w:t>
        </w:r>
        <w:r>
          <w:rPr>
            <w:noProof/>
            <w:webHidden/>
          </w:rPr>
          <w:tab/>
        </w:r>
        <w:r>
          <w:rPr>
            <w:noProof/>
            <w:webHidden/>
          </w:rPr>
          <w:fldChar w:fldCharType="begin"/>
        </w:r>
        <w:r>
          <w:rPr>
            <w:noProof/>
            <w:webHidden/>
          </w:rPr>
          <w:instrText xml:space="preserve"> PAGEREF _Toc216468989 \h </w:instrText>
        </w:r>
        <w:r>
          <w:rPr>
            <w:noProof/>
            <w:webHidden/>
          </w:rPr>
        </w:r>
        <w:r>
          <w:rPr>
            <w:noProof/>
            <w:webHidden/>
          </w:rPr>
          <w:fldChar w:fldCharType="separate"/>
        </w:r>
        <w:r w:rsidR="00CE096F">
          <w:rPr>
            <w:noProof/>
            <w:webHidden/>
          </w:rPr>
          <w:t>274</w:t>
        </w:r>
        <w:r>
          <w:rPr>
            <w:noProof/>
            <w:webHidden/>
          </w:rPr>
          <w:fldChar w:fldCharType="end"/>
        </w:r>
      </w:hyperlink>
    </w:p>
    <w:p w14:paraId="61266790" w14:textId="054F1610"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90" w:history="1">
        <w:r w:rsidRPr="002D6704">
          <w:rPr>
            <w:rStyle w:val="Hyperlink"/>
            <w:noProof/>
          </w:rPr>
          <w:t>Tabla 80. Rangos y categorías del Índice de retención y regulación hídrica.</w:t>
        </w:r>
        <w:r>
          <w:rPr>
            <w:noProof/>
            <w:webHidden/>
          </w:rPr>
          <w:tab/>
        </w:r>
        <w:r>
          <w:rPr>
            <w:noProof/>
            <w:webHidden/>
          </w:rPr>
          <w:fldChar w:fldCharType="begin"/>
        </w:r>
        <w:r>
          <w:rPr>
            <w:noProof/>
            <w:webHidden/>
          </w:rPr>
          <w:instrText xml:space="preserve"> PAGEREF _Toc216468990 \h </w:instrText>
        </w:r>
        <w:r>
          <w:rPr>
            <w:noProof/>
            <w:webHidden/>
          </w:rPr>
        </w:r>
        <w:r>
          <w:rPr>
            <w:noProof/>
            <w:webHidden/>
          </w:rPr>
          <w:fldChar w:fldCharType="separate"/>
        </w:r>
        <w:r w:rsidR="00CE096F">
          <w:rPr>
            <w:noProof/>
            <w:webHidden/>
          </w:rPr>
          <w:t>274</w:t>
        </w:r>
        <w:r>
          <w:rPr>
            <w:noProof/>
            <w:webHidden/>
          </w:rPr>
          <w:fldChar w:fldCharType="end"/>
        </w:r>
      </w:hyperlink>
    </w:p>
    <w:p w14:paraId="195FE195" w14:textId="236FBCC6"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91" w:history="1">
        <w:r w:rsidRPr="002D6704">
          <w:rPr>
            <w:rStyle w:val="Hyperlink"/>
            <w:noProof/>
          </w:rPr>
          <w:t>Tabla 81. Volumen de almacenamiento de embalses en la Sabana de Bogotá</w:t>
        </w:r>
        <w:r>
          <w:rPr>
            <w:noProof/>
            <w:webHidden/>
          </w:rPr>
          <w:tab/>
        </w:r>
        <w:r>
          <w:rPr>
            <w:noProof/>
            <w:webHidden/>
          </w:rPr>
          <w:fldChar w:fldCharType="begin"/>
        </w:r>
        <w:r>
          <w:rPr>
            <w:noProof/>
            <w:webHidden/>
          </w:rPr>
          <w:instrText xml:space="preserve"> PAGEREF _Toc216468991 \h </w:instrText>
        </w:r>
        <w:r>
          <w:rPr>
            <w:noProof/>
            <w:webHidden/>
          </w:rPr>
        </w:r>
        <w:r>
          <w:rPr>
            <w:noProof/>
            <w:webHidden/>
          </w:rPr>
          <w:fldChar w:fldCharType="separate"/>
        </w:r>
        <w:r w:rsidR="00CE096F">
          <w:rPr>
            <w:noProof/>
            <w:webHidden/>
          </w:rPr>
          <w:t>281</w:t>
        </w:r>
        <w:r>
          <w:rPr>
            <w:noProof/>
            <w:webHidden/>
          </w:rPr>
          <w:fldChar w:fldCharType="end"/>
        </w:r>
      </w:hyperlink>
    </w:p>
    <w:p w14:paraId="0E5DE042" w14:textId="5D826881"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92" w:history="1">
        <w:r w:rsidRPr="002D6704">
          <w:rPr>
            <w:rStyle w:val="Hyperlink"/>
            <w:noProof/>
          </w:rPr>
          <w:t>Tabla 82. Comparación índice de regulación y retención hídrica (IRH)</w:t>
        </w:r>
        <w:r>
          <w:rPr>
            <w:noProof/>
            <w:webHidden/>
          </w:rPr>
          <w:tab/>
        </w:r>
        <w:r>
          <w:rPr>
            <w:noProof/>
            <w:webHidden/>
          </w:rPr>
          <w:fldChar w:fldCharType="begin"/>
        </w:r>
        <w:r>
          <w:rPr>
            <w:noProof/>
            <w:webHidden/>
          </w:rPr>
          <w:instrText xml:space="preserve"> PAGEREF _Toc216468992 \h </w:instrText>
        </w:r>
        <w:r>
          <w:rPr>
            <w:noProof/>
            <w:webHidden/>
          </w:rPr>
        </w:r>
        <w:r>
          <w:rPr>
            <w:noProof/>
            <w:webHidden/>
          </w:rPr>
          <w:fldChar w:fldCharType="separate"/>
        </w:r>
        <w:r w:rsidR="00CE096F">
          <w:rPr>
            <w:noProof/>
            <w:webHidden/>
          </w:rPr>
          <w:t>283</w:t>
        </w:r>
        <w:r>
          <w:rPr>
            <w:noProof/>
            <w:webHidden/>
          </w:rPr>
          <w:fldChar w:fldCharType="end"/>
        </w:r>
      </w:hyperlink>
    </w:p>
    <w:p w14:paraId="4270F042" w14:textId="09E8E5C3"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93" w:history="1">
        <w:r w:rsidRPr="002D6704">
          <w:rPr>
            <w:rStyle w:val="Hyperlink"/>
            <w:noProof/>
          </w:rPr>
          <w:t>Tabla 83.Caudal concesionado cuenca del río Bogotá</w:t>
        </w:r>
        <w:r>
          <w:rPr>
            <w:noProof/>
            <w:webHidden/>
          </w:rPr>
          <w:tab/>
        </w:r>
        <w:r>
          <w:rPr>
            <w:noProof/>
            <w:webHidden/>
          </w:rPr>
          <w:fldChar w:fldCharType="begin"/>
        </w:r>
        <w:r>
          <w:rPr>
            <w:noProof/>
            <w:webHidden/>
          </w:rPr>
          <w:instrText xml:space="preserve"> PAGEREF _Toc216468993 \h </w:instrText>
        </w:r>
        <w:r>
          <w:rPr>
            <w:noProof/>
            <w:webHidden/>
          </w:rPr>
        </w:r>
        <w:r>
          <w:rPr>
            <w:noProof/>
            <w:webHidden/>
          </w:rPr>
          <w:fldChar w:fldCharType="separate"/>
        </w:r>
        <w:r w:rsidR="00CE096F">
          <w:rPr>
            <w:noProof/>
            <w:webHidden/>
          </w:rPr>
          <w:t>290</w:t>
        </w:r>
        <w:r>
          <w:rPr>
            <w:noProof/>
            <w:webHidden/>
          </w:rPr>
          <w:fldChar w:fldCharType="end"/>
        </w:r>
      </w:hyperlink>
    </w:p>
    <w:p w14:paraId="01BDFB3B" w14:textId="445A1457"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94" w:history="1">
        <w:r w:rsidRPr="002D6704">
          <w:rPr>
            <w:rStyle w:val="Hyperlink"/>
            <w:noProof/>
          </w:rPr>
          <w:t>Tabla 84. Comparación índice de uso del agua (IUA), oferta y demanda subcuencas Sabana de Bogotá (m3/s)</w:t>
        </w:r>
        <w:r>
          <w:rPr>
            <w:noProof/>
            <w:webHidden/>
          </w:rPr>
          <w:tab/>
        </w:r>
        <w:r>
          <w:rPr>
            <w:noProof/>
            <w:webHidden/>
          </w:rPr>
          <w:fldChar w:fldCharType="begin"/>
        </w:r>
        <w:r>
          <w:rPr>
            <w:noProof/>
            <w:webHidden/>
          </w:rPr>
          <w:instrText xml:space="preserve"> PAGEREF _Toc216468994 \h </w:instrText>
        </w:r>
        <w:r>
          <w:rPr>
            <w:noProof/>
            <w:webHidden/>
          </w:rPr>
        </w:r>
        <w:r>
          <w:rPr>
            <w:noProof/>
            <w:webHidden/>
          </w:rPr>
          <w:fldChar w:fldCharType="separate"/>
        </w:r>
        <w:r w:rsidR="00CE096F">
          <w:rPr>
            <w:noProof/>
            <w:webHidden/>
          </w:rPr>
          <w:t>292</w:t>
        </w:r>
        <w:r>
          <w:rPr>
            <w:noProof/>
            <w:webHidden/>
          </w:rPr>
          <w:fldChar w:fldCharType="end"/>
        </w:r>
      </w:hyperlink>
    </w:p>
    <w:p w14:paraId="705BC572" w14:textId="6561334E" w:rsidR="00A40D9C" w:rsidRDefault="00A40D9C">
      <w:pPr>
        <w:pStyle w:val="TableofFigures"/>
        <w:tabs>
          <w:tab w:val="right" w:leader="dot" w:pos="8828"/>
        </w:tabs>
        <w:rPr>
          <w:rFonts w:asciiTheme="minorHAnsi" w:eastAsiaTheme="minorEastAsia" w:hAnsiTheme="minorHAnsi" w:cstheme="minorBidi"/>
          <w:noProof/>
          <w:kern w:val="2"/>
          <w:sz w:val="24"/>
          <w:szCs w:val="24"/>
          <w:lang w:val="en-US"/>
          <w14:ligatures w14:val="standardContextual"/>
        </w:rPr>
      </w:pPr>
      <w:hyperlink w:anchor="_Toc216468995" w:history="1">
        <w:r w:rsidRPr="002D6704">
          <w:rPr>
            <w:rStyle w:val="Hyperlink"/>
            <w:noProof/>
          </w:rPr>
          <w:t>Tabla 85. Datos comparativos del ICA entre los años 2014 y 2023</w:t>
        </w:r>
        <w:r>
          <w:rPr>
            <w:noProof/>
            <w:webHidden/>
          </w:rPr>
          <w:tab/>
        </w:r>
        <w:r>
          <w:rPr>
            <w:noProof/>
            <w:webHidden/>
          </w:rPr>
          <w:fldChar w:fldCharType="begin"/>
        </w:r>
        <w:r>
          <w:rPr>
            <w:noProof/>
            <w:webHidden/>
          </w:rPr>
          <w:instrText xml:space="preserve"> PAGEREF _Toc216468995 \h </w:instrText>
        </w:r>
        <w:r>
          <w:rPr>
            <w:noProof/>
            <w:webHidden/>
          </w:rPr>
        </w:r>
        <w:r>
          <w:rPr>
            <w:noProof/>
            <w:webHidden/>
          </w:rPr>
          <w:fldChar w:fldCharType="separate"/>
        </w:r>
        <w:r w:rsidR="00CE096F">
          <w:rPr>
            <w:noProof/>
            <w:webHidden/>
          </w:rPr>
          <w:t>313</w:t>
        </w:r>
        <w:r>
          <w:rPr>
            <w:noProof/>
            <w:webHidden/>
          </w:rPr>
          <w:fldChar w:fldCharType="end"/>
        </w:r>
      </w:hyperlink>
    </w:p>
    <w:p w14:paraId="4777A22E" w14:textId="0BB29D68" w:rsidR="00CB02F8" w:rsidRPr="00131EED" w:rsidRDefault="00CB02F8" w:rsidP="00CB02F8">
      <w:pPr>
        <w:pBdr>
          <w:top w:val="nil"/>
          <w:left w:val="nil"/>
          <w:bottom w:val="nil"/>
          <w:right w:val="nil"/>
          <w:between w:val="nil"/>
        </w:pBdr>
        <w:rPr>
          <w:rFonts w:eastAsia="Arial" w:cs="Arial"/>
          <w:b/>
          <w:color w:val="000000"/>
        </w:rPr>
      </w:pPr>
      <w:r w:rsidRPr="00131EED">
        <w:rPr>
          <w:rFonts w:eastAsia="Arial" w:cs="Arial"/>
          <w:b/>
          <w:bCs/>
          <w:color w:val="000000"/>
        </w:rPr>
        <w:fldChar w:fldCharType="end"/>
      </w:r>
    </w:p>
    <w:p w14:paraId="479489D4" w14:textId="13DA8BA2" w:rsidR="00CB02F8" w:rsidRPr="00131EED" w:rsidRDefault="00CB02F8" w:rsidP="005C5E5B"/>
    <w:p w14:paraId="422B92A7" w14:textId="6A3C5A31" w:rsidR="00CB02F8" w:rsidRPr="00131EED" w:rsidRDefault="00CB02F8" w:rsidP="005C5E5B"/>
    <w:p w14:paraId="285D01B0" w14:textId="532F0BB8" w:rsidR="00CB02F8" w:rsidRPr="00131EED" w:rsidRDefault="00CB02F8" w:rsidP="005C5E5B"/>
    <w:p w14:paraId="4EE17499" w14:textId="4775949D" w:rsidR="00CB02F8" w:rsidRPr="00131EED" w:rsidRDefault="00CB02F8" w:rsidP="005C5E5B"/>
    <w:p w14:paraId="027B164E" w14:textId="77777777" w:rsidR="00DE5113" w:rsidRPr="00131EED" w:rsidRDefault="00DE5113" w:rsidP="00DE5113">
      <w:pPr>
        <w:pBdr>
          <w:top w:val="nil"/>
          <w:left w:val="nil"/>
          <w:bottom w:val="nil"/>
          <w:right w:val="nil"/>
          <w:between w:val="nil"/>
        </w:pBdr>
        <w:rPr>
          <w:rFonts w:eastAsia="Arial" w:cs="Arial"/>
          <w:b/>
          <w:color w:val="000000"/>
        </w:rPr>
      </w:pPr>
    </w:p>
    <w:p w14:paraId="70509827" w14:textId="071D4BE5" w:rsidR="00DE5113" w:rsidRPr="00131EED" w:rsidRDefault="00DE5113" w:rsidP="105C49C5">
      <w:pPr>
        <w:spacing w:after="200" w:line="276" w:lineRule="auto"/>
        <w:jc w:val="left"/>
        <w:rPr>
          <w:rFonts w:eastAsia="Arial" w:cs="Arial"/>
          <w:b/>
          <w:bCs/>
          <w:color w:val="000000" w:themeColor="text1"/>
        </w:rPr>
      </w:pPr>
    </w:p>
    <w:p w14:paraId="37AF3E82" w14:textId="62C9DE54" w:rsidR="00DE5113" w:rsidRPr="00131EED" w:rsidRDefault="00DE5113" w:rsidP="105C49C5">
      <w:pPr>
        <w:rPr>
          <w:rFonts w:eastAsia="Arial"/>
          <w:sz w:val="22"/>
          <w:szCs w:val="22"/>
        </w:rPr>
      </w:pPr>
    </w:p>
    <w:p w14:paraId="04D330DE" w14:textId="7E038E4B" w:rsidR="00CB02F8" w:rsidRPr="00131EED" w:rsidRDefault="00CB02F8" w:rsidP="005C5E5B"/>
    <w:p w14:paraId="275CF1E5" w14:textId="77777777" w:rsidR="00CB02F8" w:rsidRPr="00131EED" w:rsidRDefault="00CB02F8" w:rsidP="005C5E5B"/>
    <w:p w14:paraId="1969E7C4" w14:textId="477E2C53" w:rsidR="005C5E5B" w:rsidRPr="00131EED" w:rsidRDefault="005C5E5B" w:rsidP="005C5E5B"/>
    <w:p w14:paraId="4E773D00" w14:textId="77777777" w:rsidR="005C5E5B" w:rsidRPr="00131EED" w:rsidRDefault="005C5E5B" w:rsidP="005C5E5B"/>
    <w:p w14:paraId="0998169F" w14:textId="77777777" w:rsidR="00BC6300" w:rsidRPr="00131EED" w:rsidRDefault="00BC6300">
      <w:pPr>
        <w:spacing w:after="200" w:line="276" w:lineRule="auto"/>
        <w:jc w:val="left"/>
        <w:rPr>
          <w:rFonts w:ascii="Century Gothic" w:hAnsi="Century Gothic" w:cs="Calibri"/>
          <w:b/>
          <w:bCs/>
          <w:smallCaps/>
          <w:color w:val="000000"/>
          <w:sz w:val="36"/>
          <w:szCs w:val="36"/>
          <w:lang w:eastAsia="en-US"/>
        </w:rPr>
      </w:pPr>
      <w:r w:rsidRPr="00131EED">
        <w:br w:type="page"/>
      </w:r>
    </w:p>
    <w:p w14:paraId="3BBC7923" w14:textId="284C1395" w:rsidR="003E1F0C" w:rsidRPr="00131EED" w:rsidRDefault="00B9208D" w:rsidP="00410194">
      <w:pPr>
        <w:pStyle w:val="Heading1"/>
        <w:numPr>
          <w:ilvl w:val="0"/>
          <w:numId w:val="31"/>
        </w:numPr>
      </w:pPr>
      <w:bookmarkStart w:id="2" w:name="_Toc216468674"/>
      <w:r w:rsidRPr="00131EED">
        <w:t>INTRODUCCIÓN</w:t>
      </w:r>
      <w:bookmarkEnd w:id="2"/>
    </w:p>
    <w:p w14:paraId="4A73B16A" w14:textId="77777777" w:rsidR="00CE58F2" w:rsidRPr="00131EED" w:rsidRDefault="00CE58F2" w:rsidP="00CE58F2">
      <w:pPr>
        <w:rPr>
          <w:rFonts w:ascii="Baskerville" w:hAnsi="Baskerville" w:cs="Arial"/>
          <w:sz w:val="23"/>
          <w:szCs w:val="23"/>
        </w:rPr>
      </w:pPr>
    </w:p>
    <w:p w14:paraId="73A4D0E2" w14:textId="0CF817D0" w:rsidR="00E05EB6" w:rsidRPr="00131EED" w:rsidRDefault="00E05EB6" w:rsidP="00CE58F2">
      <w:pPr>
        <w:rPr>
          <w:rFonts w:eastAsia="Baskerville Old Face" w:cs="Baskerville Old Face"/>
          <w:color w:val="000000" w:themeColor="text1"/>
        </w:rPr>
      </w:pPr>
      <w:r w:rsidRPr="00131EED">
        <w:rPr>
          <w:rFonts w:eastAsia="Baskerville Old Face" w:cs="Baskerville Old Face"/>
        </w:rPr>
        <w:t xml:space="preserve">La Sabana de Bogotá corresponde a una región estratégica del centro del país, la cual fue declarada al igual que sus páramos, aguas, valles aledaños, cerros circundantes y sistemas montañosos como un área de interés ecológico del orden nacional por la ley 99 de 1993, cuya destinación prioritaria es la agropecuaria y la forestal. Adicionalmente, el marco normativo vigente ha priorizado a la Sabana de Bogotá junto a otras regiones para adelantar procesos de </w:t>
      </w:r>
      <w:r w:rsidRPr="00131EED">
        <w:rPr>
          <w:rFonts w:eastAsia="Baskerville Old Face" w:cs="Baskerville Old Face"/>
          <w:color w:val="000000" w:themeColor="text1"/>
        </w:rPr>
        <w:t xml:space="preserve">ordenamiento territorial alrededor del agua que permitan aumentar sus capacidades adaptativas para enfrentar los impactos del cambio climático, mejorar la gobernanza, la recuperación y conservación de la biodiversidad y su integridad ecológica en condiciones de mayor justicia ambiental. </w:t>
      </w:r>
    </w:p>
    <w:p w14:paraId="2DB1D2C0" w14:textId="77777777" w:rsidR="00CE58F2" w:rsidRPr="00131EED" w:rsidRDefault="00CE58F2" w:rsidP="00CE58F2">
      <w:pPr>
        <w:rPr>
          <w:rFonts w:eastAsia="Baskerville Old Face" w:cs="Baskerville Old Face"/>
          <w:color w:val="000000" w:themeColor="text1"/>
        </w:rPr>
      </w:pPr>
    </w:p>
    <w:p w14:paraId="1927623A" w14:textId="282E2DBD" w:rsidR="00E05EB6" w:rsidRPr="00131EED" w:rsidRDefault="00E05EB6" w:rsidP="00CE58F2">
      <w:pPr>
        <w:rPr>
          <w:rFonts w:eastAsia="Baskerville Old Face" w:cs="Baskerville Old Face"/>
          <w:color w:val="000000" w:themeColor="text1"/>
        </w:rPr>
      </w:pPr>
      <w:r w:rsidRPr="00131EED">
        <w:rPr>
          <w:rFonts w:eastAsia="Baskerville Old Face" w:cs="Baskerville Old Face"/>
          <w:color w:val="000000" w:themeColor="text1"/>
        </w:rPr>
        <w:t xml:space="preserve">La Sabana de Bogotá ha experimentado un rápido deterioro de sus valores ambientales en las últimas décadas, debido a una intensa transformación que ha generado una reducción significativa de sus áreas rurales y allí las agropecuarias y aquellas de alto valor ambiental. Este proceso, impulsado por la desbordada urbanización formal e informal, incluyendo la suburbanización, ha provocado una degradación ambiental que se manifiesta a través de la pérdida de </w:t>
      </w:r>
      <w:r w:rsidR="0052210D" w:rsidRPr="00131EED">
        <w:rPr>
          <w:rFonts w:eastAsia="Baskerville Old Face" w:cs="Baskerville Old Face"/>
          <w:color w:val="000000" w:themeColor="text1"/>
        </w:rPr>
        <w:t xml:space="preserve">biodiversidad, </w:t>
      </w:r>
      <w:r w:rsidR="0026652D" w:rsidRPr="00131EED">
        <w:rPr>
          <w:rFonts w:eastAsia="Baskerville Old Face" w:cs="Baskerville Old Face"/>
          <w:color w:val="000000" w:themeColor="text1"/>
        </w:rPr>
        <w:t>el</w:t>
      </w:r>
      <w:r w:rsidR="0052210D" w:rsidRPr="00131EED">
        <w:rPr>
          <w:rFonts w:eastAsia="Baskerville Old Face" w:cs="Baskerville Old Face"/>
          <w:color w:val="000000" w:themeColor="text1"/>
        </w:rPr>
        <w:t xml:space="preserve"> sellamiento</w:t>
      </w:r>
      <w:r w:rsidR="0026652D" w:rsidRPr="00131EED">
        <w:rPr>
          <w:rFonts w:eastAsia="Baskerville Old Face" w:cs="Baskerville Old Face"/>
          <w:color w:val="000000" w:themeColor="text1"/>
        </w:rPr>
        <w:t xml:space="preserve"> de los suelos</w:t>
      </w:r>
      <w:r w:rsidRPr="00131EED">
        <w:rPr>
          <w:rFonts w:eastAsia="Baskerville Old Face" w:cs="Baskerville Old Face"/>
          <w:color w:val="000000" w:themeColor="text1"/>
        </w:rPr>
        <w:t xml:space="preserve">, </w:t>
      </w:r>
      <w:r w:rsidR="0026652D" w:rsidRPr="00131EED">
        <w:rPr>
          <w:rFonts w:eastAsia="Baskerville Old Face" w:cs="Baskerville Old Face"/>
          <w:color w:val="000000" w:themeColor="text1"/>
        </w:rPr>
        <w:t xml:space="preserve">la </w:t>
      </w:r>
      <w:r w:rsidRPr="00131EED">
        <w:rPr>
          <w:rFonts w:eastAsia="Baskerville Old Face" w:cs="Baskerville Old Face"/>
          <w:color w:val="000000" w:themeColor="text1"/>
        </w:rPr>
        <w:t xml:space="preserve">alteración del ciclo del agua, </w:t>
      </w:r>
      <w:r w:rsidR="0026652D" w:rsidRPr="00131EED">
        <w:rPr>
          <w:rFonts w:eastAsia="Baskerville Old Face" w:cs="Baskerville Old Face"/>
          <w:color w:val="000000" w:themeColor="text1"/>
        </w:rPr>
        <w:t xml:space="preserve">la </w:t>
      </w:r>
      <w:r w:rsidRPr="00131EED">
        <w:rPr>
          <w:rFonts w:eastAsia="Baskerville Old Face" w:cs="Baskerville Old Face"/>
          <w:color w:val="000000" w:themeColor="text1"/>
        </w:rPr>
        <w:t xml:space="preserve">fragmentación de los paisajes y </w:t>
      </w:r>
      <w:r w:rsidR="0026652D" w:rsidRPr="00131EED">
        <w:rPr>
          <w:rFonts w:eastAsia="Baskerville Old Face" w:cs="Baskerville Old Face"/>
          <w:color w:val="000000" w:themeColor="text1"/>
        </w:rPr>
        <w:t xml:space="preserve">la </w:t>
      </w:r>
      <w:r w:rsidRPr="00131EED">
        <w:rPr>
          <w:rFonts w:eastAsia="Baskerville Old Face" w:cs="Baskerville Old Face"/>
          <w:color w:val="000000" w:themeColor="text1"/>
        </w:rPr>
        <w:t xml:space="preserve">pérdida de conectividad ecológica, entre otros. Estos cambios han generado un aumento de conflictos socio ecológicos, </w:t>
      </w:r>
      <w:r w:rsidR="0052210D" w:rsidRPr="00131EED">
        <w:rPr>
          <w:rFonts w:eastAsia="Baskerville Old Face" w:cs="Baskerville Old Face"/>
          <w:color w:val="000000" w:themeColor="text1"/>
        </w:rPr>
        <w:t>p</w:t>
      </w:r>
      <w:r w:rsidR="00217B72" w:rsidRPr="00131EED">
        <w:rPr>
          <w:rFonts w:eastAsia="Baskerville Old Face" w:cs="Baskerville Old Face"/>
          <w:color w:val="000000" w:themeColor="text1"/>
        </w:rPr>
        <w:t>e</w:t>
      </w:r>
      <w:r w:rsidR="0052210D" w:rsidRPr="00131EED">
        <w:rPr>
          <w:rFonts w:eastAsia="Baskerville Old Face" w:cs="Baskerville Old Face"/>
          <w:color w:val="000000" w:themeColor="text1"/>
        </w:rPr>
        <w:t xml:space="preserve">rdida de las contribuciones de la naturaleza a las personas, </w:t>
      </w:r>
      <w:r w:rsidRPr="00131EED">
        <w:rPr>
          <w:rFonts w:eastAsia="Baskerville Old Face" w:cs="Baskerville Old Face"/>
          <w:color w:val="000000" w:themeColor="text1"/>
        </w:rPr>
        <w:t>disminución de áreas agropecuarias para la producción de alimentos, y pérdida de resiliencia y capacidad de adaptación territorial.</w:t>
      </w:r>
    </w:p>
    <w:p w14:paraId="7C8FC284" w14:textId="77777777" w:rsidR="00CE58F2" w:rsidRPr="00131EED" w:rsidRDefault="00CE58F2" w:rsidP="00CE58F2">
      <w:pPr>
        <w:rPr>
          <w:rFonts w:eastAsia="Baskerville Old Face" w:cs="Baskerville Old Face"/>
          <w:color w:val="000000" w:themeColor="text1"/>
        </w:rPr>
      </w:pPr>
    </w:p>
    <w:p w14:paraId="12BF931C" w14:textId="0EAE415A" w:rsidR="00E05EB6" w:rsidRPr="00131EED" w:rsidRDefault="00E05EB6" w:rsidP="00CE58F2">
      <w:pPr>
        <w:rPr>
          <w:rFonts w:eastAsia="Baskerville Old Face" w:cs="Baskerville Old Face"/>
        </w:rPr>
      </w:pPr>
      <w:r w:rsidRPr="00131EED">
        <w:rPr>
          <w:rFonts w:eastAsia="Baskerville Old Face" w:cs="Baskerville Old Face"/>
          <w:color w:val="000000" w:themeColor="text1"/>
        </w:rPr>
        <w:t xml:space="preserve">Distintas causas han generado la rápida transformación de la Sabana de Bogotá: un escenario normativo </w:t>
      </w:r>
      <w:r w:rsidR="00075602" w:rsidRPr="00131EED">
        <w:rPr>
          <w:rFonts w:eastAsia="Baskerville Old Face" w:cs="Baskerville Old Face"/>
          <w:color w:val="000000" w:themeColor="text1"/>
        </w:rPr>
        <w:t xml:space="preserve">insuficiente para </w:t>
      </w:r>
      <w:r w:rsidRPr="00131EED">
        <w:rPr>
          <w:rFonts w:eastAsia="Baskerville Old Face" w:cs="Baskerville Old Face"/>
        </w:rPr>
        <w:t>regula</w:t>
      </w:r>
      <w:r w:rsidR="00075602" w:rsidRPr="00131EED">
        <w:rPr>
          <w:rFonts w:eastAsia="Baskerville Old Face" w:cs="Baskerville Old Face"/>
        </w:rPr>
        <w:t>r</w:t>
      </w:r>
      <w:r w:rsidRPr="00131EED">
        <w:rPr>
          <w:rFonts w:eastAsia="Baskerville Old Face" w:cs="Baskerville Old Face"/>
        </w:rPr>
        <w:t xml:space="preserve"> las decisiones de los actores sociales </w:t>
      </w:r>
      <w:r w:rsidR="008D2002" w:rsidRPr="00131EED">
        <w:rPr>
          <w:rFonts w:eastAsia="Baskerville Old Face" w:cs="Baskerville Old Face"/>
        </w:rPr>
        <w:t xml:space="preserve">que </w:t>
      </w:r>
      <w:r w:rsidRPr="00131EED">
        <w:rPr>
          <w:rFonts w:eastAsia="Baskerville Old Face" w:cs="Baskerville Old Face"/>
        </w:rPr>
        <w:t>garanti</w:t>
      </w:r>
      <w:r w:rsidR="008D2002" w:rsidRPr="00131EED">
        <w:rPr>
          <w:rFonts w:eastAsia="Baskerville Old Face" w:cs="Baskerville Old Face"/>
        </w:rPr>
        <w:t>ce</w:t>
      </w:r>
      <w:r w:rsidRPr="00131EED">
        <w:rPr>
          <w:rFonts w:eastAsia="Baskerville Old Face" w:cs="Baskerville Old Face"/>
        </w:rPr>
        <w:t xml:space="preserve"> la prevalencia del interés general sobre el particular, el desbordado interés particular por aumentar áreas para la ocupación,</w:t>
      </w:r>
      <w:r w:rsidR="0052210D" w:rsidRPr="00131EED">
        <w:rPr>
          <w:rFonts w:eastAsia="Baskerville Old Face" w:cs="Baskerville Old Face"/>
        </w:rPr>
        <w:t xml:space="preserve"> y la ausencia de límites que permitan ordenar el territorio en función de los espacio necesarios para el agua, la conservación y la conectividad de la biodiversidad y</w:t>
      </w:r>
      <w:r w:rsidRPr="00131EED">
        <w:rPr>
          <w:rFonts w:eastAsia="Baskerville Old Face" w:cs="Baskerville Old Face"/>
        </w:rPr>
        <w:t xml:space="preserve"> </w:t>
      </w:r>
      <w:r w:rsidR="0052210D" w:rsidRPr="00131EED">
        <w:rPr>
          <w:rFonts w:eastAsia="Baskerville Old Face" w:cs="Baskerville Old Face"/>
        </w:rPr>
        <w:t xml:space="preserve">la funcionalidad </w:t>
      </w:r>
      <w:r w:rsidR="000805B0" w:rsidRPr="00131EED">
        <w:rPr>
          <w:rFonts w:eastAsia="Baskerville Old Face" w:cs="Baskerville Old Face"/>
        </w:rPr>
        <w:t>eco</w:t>
      </w:r>
      <w:r w:rsidR="00D7126B" w:rsidRPr="00131EED">
        <w:rPr>
          <w:rFonts w:eastAsia="Baskerville Old Face" w:cs="Baskerville Old Face"/>
        </w:rPr>
        <w:t xml:space="preserve">lógica </w:t>
      </w:r>
      <w:r w:rsidR="0052210D" w:rsidRPr="00131EED">
        <w:rPr>
          <w:rFonts w:eastAsia="Baskerville Old Face" w:cs="Baskerville Old Face"/>
        </w:rPr>
        <w:t>del suelo</w:t>
      </w:r>
      <w:r w:rsidRPr="00131EED">
        <w:rPr>
          <w:rFonts w:eastAsia="Baskerville Old Face" w:cs="Baskerville Old Face"/>
        </w:rPr>
        <w:t>.</w:t>
      </w:r>
    </w:p>
    <w:p w14:paraId="01742251" w14:textId="77777777" w:rsidR="00CE58F2" w:rsidRPr="00131EED" w:rsidRDefault="00CE58F2" w:rsidP="00CE58F2">
      <w:pPr>
        <w:rPr>
          <w:rFonts w:eastAsia="Baskerville Old Face" w:cs="Baskerville Old Face"/>
        </w:rPr>
      </w:pPr>
    </w:p>
    <w:p w14:paraId="52BBB61D" w14:textId="580F13BD" w:rsidR="00D07E34" w:rsidRPr="00131EED" w:rsidRDefault="00E05EB6" w:rsidP="00CE58F2">
      <w:pPr>
        <w:shd w:val="clear" w:color="auto" w:fill="FFFFFF" w:themeFill="background1"/>
        <w:rPr>
          <w:rFonts w:eastAsia="Baskerville Old Face" w:cs="Baskerville Old Face"/>
          <w:color w:val="0D0D0D" w:themeColor="text1" w:themeTint="F2"/>
        </w:rPr>
      </w:pPr>
      <w:r w:rsidRPr="00131EED">
        <w:rPr>
          <w:rFonts w:eastAsia="Baskerville Old Face" w:cs="Baskerville Old Face"/>
          <w:color w:val="0D0D0D" w:themeColor="text1" w:themeTint="F2"/>
        </w:rPr>
        <w:t xml:space="preserve">La generación de </w:t>
      </w:r>
      <w:r w:rsidR="00D34198" w:rsidRPr="00131EED">
        <w:rPr>
          <w:rFonts w:eastAsia="Baskerville Old Face" w:cs="Baskerville Old Face"/>
          <w:color w:val="0D0D0D" w:themeColor="text1" w:themeTint="F2"/>
        </w:rPr>
        <w:t>directrices</w:t>
      </w:r>
      <w:r w:rsidRPr="00131EED">
        <w:rPr>
          <w:rFonts w:eastAsia="Baskerville Old Face" w:cs="Baskerville Old Face"/>
          <w:color w:val="0D0D0D" w:themeColor="text1" w:themeTint="F2"/>
        </w:rPr>
        <w:t xml:space="preserve"> de ordenamiento para el uso adecuado del territorio, constituye una oportunidad para materializar el mandato de la Ley 99 de 1993 y facilitar la concurrencia de esfuerzos y acciones por part</w:t>
      </w:r>
      <w:r w:rsidR="00323F59" w:rsidRPr="00131EED">
        <w:rPr>
          <w:rFonts w:eastAsia="Baskerville Old Face" w:cs="Baskerville Old Face"/>
          <w:color w:val="0D0D0D" w:themeColor="text1" w:themeTint="F2"/>
        </w:rPr>
        <w:t>e</w:t>
      </w:r>
      <w:r w:rsidRPr="00131EED">
        <w:rPr>
          <w:rFonts w:eastAsia="Baskerville Old Face" w:cs="Baskerville Old Face"/>
          <w:color w:val="0D0D0D" w:themeColor="text1" w:themeTint="F2"/>
        </w:rPr>
        <w:t xml:space="preserve"> de los actores públicos y privados</w:t>
      </w:r>
      <w:r w:rsidR="00997012" w:rsidRPr="00131EED">
        <w:rPr>
          <w:rFonts w:eastAsia="Baskerville Old Face" w:cs="Baskerville Old Face"/>
          <w:color w:val="0D0D0D" w:themeColor="text1" w:themeTint="F2"/>
        </w:rPr>
        <w:t>,</w:t>
      </w:r>
      <w:r w:rsidR="00323F59" w:rsidRPr="00131EED">
        <w:rPr>
          <w:rFonts w:eastAsia="Baskerville Old Face" w:cs="Baskerville Old Face"/>
          <w:color w:val="0D0D0D" w:themeColor="text1" w:themeTint="F2"/>
        </w:rPr>
        <w:t xml:space="preserve"> para transitar hacia un mayor equilibrio del uso y la </w:t>
      </w:r>
      <w:r w:rsidRPr="00131EED">
        <w:rPr>
          <w:rFonts w:eastAsia="Baskerville Old Face" w:cs="Baskerville Old Face"/>
          <w:color w:val="0D0D0D" w:themeColor="text1" w:themeTint="F2"/>
        </w:rPr>
        <w:t xml:space="preserve">ocupación </w:t>
      </w:r>
      <w:r w:rsidR="00323F59" w:rsidRPr="00131EED">
        <w:rPr>
          <w:rFonts w:eastAsia="Baskerville Old Face" w:cs="Baskerville Old Face"/>
          <w:color w:val="0D0D0D" w:themeColor="text1" w:themeTint="F2"/>
        </w:rPr>
        <w:t xml:space="preserve">de la Sabana de Bogotá. </w:t>
      </w:r>
      <w:r w:rsidRPr="00131EED">
        <w:rPr>
          <w:rFonts w:eastAsia="Baskerville Old Face" w:cs="Baskerville Old Face"/>
          <w:color w:val="0D0D0D" w:themeColor="text1" w:themeTint="F2"/>
        </w:rPr>
        <w:t>El Ministerio de Ambiente y Desarrollo Sostenible como coordinador del Sistema Nacional Ambiental (SINA)</w:t>
      </w:r>
      <w:r w:rsidR="00323F59" w:rsidRPr="00131EED">
        <w:rPr>
          <w:rFonts w:eastAsia="Baskerville Old Face" w:cs="Baskerville Old Face"/>
          <w:color w:val="0D0D0D" w:themeColor="text1" w:themeTint="F2"/>
        </w:rPr>
        <w:t xml:space="preserve"> en </w:t>
      </w:r>
      <w:r w:rsidR="00D07E34" w:rsidRPr="00131EED">
        <w:rPr>
          <w:rFonts w:eastAsia="Baskerville Old Face" w:cs="Baskerville Old Face"/>
          <w:color w:val="0D0D0D" w:themeColor="text1" w:themeTint="F2"/>
        </w:rPr>
        <w:t xml:space="preserve">el marco de sus competencias facilita </w:t>
      </w:r>
      <w:r w:rsidR="0026652D" w:rsidRPr="00131EED">
        <w:rPr>
          <w:rFonts w:eastAsia="Baskerville Old Face" w:cs="Baskerville Old Face"/>
          <w:color w:val="0D0D0D" w:themeColor="text1" w:themeTint="F2"/>
        </w:rPr>
        <w:t>directrices</w:t>
      </w:r>
      <w:r w:rsidR="0076269B" w:rsidRPr="00131EED">
        <w:rPr>
          <w:rFonts w:eastAsia="Baskerville Old Face" w:cs="Baskerville Old Face"/>
          <w:color w:val="0D0D0D" w:themeColor="text1" w:themeTint="F2"/>
        </w:rPr>
        <w:t xml:space="preserve"> relacionada</w:t>
      </w:r>
      <w:r w:rsidR="0026652D" w:rsidRPr="00131EED">
        <w:rPr>
          <w:rFonts w:eastAsia="Baskerville Old Face" w:cs="Baskerville Old Face"/>
          <w:color w:val="0D0D0D" w:themeColor="text1" w:themeTint="F2"/>
        </w:rPr>
        <w:t>s</w:t>
      </w:r>
      <w:r w:rsidR="0076269B" w:rsidRPr="00131EED">
        <w:rPr>
          <w:rFonts w:eastAsia="Baskerville Old Face" w:cs="Baskerville Old Face"/>
          <w:color w:val="0D0D0D" w:themeColor="text1" w:themeTint="F2"/>
        </w:rPr>
        <w:t xml:space="preserve"> con el uso adecuado del territorio</w:t>
      </w:r>
      <w:r w:rsidR="0026652D" w:rsidRPr="00131EED">
        <w:rPr>
          <w:rFonts w:eastAsia="Baskerville Old Face" w:cs="Baskerville Old Face"/>
          <w:color w:val="0D0D0D" w:themeColor="text1" w:themeTint="F2"/>
        </w:rPr>
        <w:t xml:space="preserve">, el agua, la biodiversiad y el </w:t>
      </w:r>
      <w:r w:rsidR="0076269B" w:rsidRPr="00131EED">
        <w:rPr>
          <w:rFonts w:eastAsia="Baskerville Old Face" w:cs="Baskerville Old Face"/>
          <w:color w:val="0D0D0D" w:themeColor="text1" w:themeTint="F2"/>
        </w:rPr>
        <w:t>suelo</w:t>
      </w:r>
      <w:r w:rsidR="00BD725E" w:rsidRPr="00131EED">
        <w:rPr>
          <w:rFonts w:eastAsia="Baskerville Old Face" w:cs="Baskerville Old Face"/>
          <w:color w:val="0D0D0D" w:themeColor="text1" w:themeTint="F2"/>
        </w:rPr>
        <w:t>. L</w:t>
      </w:r>
      <w:r w:rsidR="003445EB" w:rsidRPr="00131EED">
        <w:rPr>
          <w:rFonts w:eastAsia="Baskerville Old Face" w:cs="Baskerville Old Face"/>
          <w:color w:val="0D0D0D" w:themeColor="text1" w:themeTint="F2"/>
        </w:rPr>
        <w:t>as</w:t>
      </w:r>
      <w:r w:rsidR="00BD725E" w:rsidRPr="00131EED">
        <w:rPr>
          <w:rFonts w:eastAsia="Baskerville Old Face" w:cs="Baskerville Old Face"/>
          <w:color w:val="0D0D0D" w:themeColor="text1" w:themeTint="F2"/>
        </w:rPr>
        <w:t xml:space="preserve"> </w:t>
      </w:r>
      <w:r w:rsidR="003445EB" w:rsidRPr="00131EED">
        <w:rPr>
          <w:rFonts w:eastAsia="Baskerville Old Face" w:cs="Baskerville Old Face"/>
          <w:color w:val="0D0D0D" w:themeColor="text1" w:themeTint="F2"/>
        </w:rPr>
        <w:t xml:space="preserve">directrices </w:t>
      </w:r>
      <w:r w:rsidR="00BD725E" w:rsidRPr="00131EED">
        <w:rPr>
          <w:rFonts w:eastAsia="Baskerville Old Face" w:cs="Baskerville Old Face"/>
          <w:color w:val="0D0D0D" w:themeColor="text1" w:themeTint="F2"/>
        </w:rPr>
        <w:t>están dirigid</w:t>
      </w:r>
      <w:r w:rsidR="003445EB" w:rsidRPr="00131EED">
        <w:rPr>
          <w:rFonts w:eastAsia="Baskerville Old Face" w:cs="Baskerville Old Face"/>
          <w:color w:val="0D0D0D" w:themeColor="text1" w:themeTint="F2"/>
        </w:rPr>
        <w:t>a</w:t>
      </w:r>
      <w:r w:rsidR="00BD725E" w:rsidRPr="00131EED">
        <w:rPr>
          <w:rFonts w:eastAsia="Baskerville Old Face" w:cs="Baskerville Old Face"/>
          <w:color w:val="0D0D0D" w:themeColor="text1" w:themeTint="F2"/>
        </w:rPr>
        <w:t>s a las</w:t>
      </w:r>
      <w:r w:rsidR="00D07E34" w:rsidRPr="00131EED">
        <w:rPr>
          <w:rFonts w:eastAsia="Baskerville Old Face" w:cs="Baskerville Old Face"/>
          <w:color w:val="0D0D0D" w:themeColor="text1" w:themeTint="F2"/>
        </w:rPr>
        <w:t xml:space="preserve"> autoridades ambientales, los entes territoriales</w:t>
      </w:r>
      <w:r w:rsidR="00BD725E" w:rsidRPr="00131EED">
        <w:rPr>
          <w:rFonts w:eastAsia="Baskerville Old Face" w:cs="Baskerville Old Face"/>
          <w:color w:val="0D0D0D" w:themeColor="text1" w:themeTint="F2"/>
        </w:rPr>
        <w:t xml:space="preserve"> y</w:t>
      </w:r>
      <w:r w:rsidR="00D07E34" w:rsidRPr="00131EED">
        <w:rPr>
          <w:rFonts w:eastAsia="Baskerville Old Face" w:cs="Baskerville Old Face"/>
          <w:color w:val="0D0D0D" w:themeColor="text1" w:themeTint="F2"/>
        </w:rPr>
        <w:t xml:space="preserve"> </w:t>
      </w:r>
      <w:r w:rsidR="006B195F" w:rsidRPr="00131EED">
        <w:rPr>
          <w:rFonts w:eastAsia="Baskerville Old Face" w:cs="Baskerville Old Face"/>
          <w:color w:val="0D0D0D" w:themeColor="text1" w:themeTint="F2"/>
        </w:rPr>
        <w:t>esquemas asociativos</w:t>
      </w:r>
      <w:r w:rsidR="00BD725E" w:rsidRPr="00131EED">
        <w:rPr>
          <w:rFonts w:eastAsia="Baskerville Old Face" w:cs="Baskerville Old Face"/>
          <w:color w:val="0D0D0D" w:themeColor="text1" w:themeTint="F2"/>
        </w:rPr>
        <w:t xml:space="preserve">, </w:t>
      </w:r>
      <w:r w:rsidR="0026652D" w:rsidRPr="00131EED">
        <w:rPr>
          <w:rFonts w:eastAsia="Baskerville Old Face" w:cs="Baskerville Old Face"/>
          <w:color w:val="0D0D0D" w:themeColor="text1" w:themeTint="F2"/>
        </w:rPr>
        <w:t xml:space="preserve">y </w:t>
      </w:r>
      <w:r w:rsidR="00BD725E" w:rsidRPr="00131EED">
        <w:rPr>
          <w:rFonts w:eastAsia="Baskerville Old Face" w:cs="Baskerville Old Face"/>
          <w:color w:val="0D0D0D" w:themeColor="text1" w:themeTint="F2"/>
        </w:rPr>
        <w:t xml:space="preserve">requieren de la concurrencia de las </w:t>
      </w:r>
      <w:r w:rsidR="00D07E34" w:rsidRPr="00131EED">
        <w:rPr>
          <w:rFonts w:eastAsia="Baskerville Old Face" w:cs="Baskerville Old Face"/>
          <w:color w:val="0D0D0D" w:themeColor="text1" w:themeTint="F2"/>
        </w:rPr>
        <w:t>demás entidades públicas, la academia, las comunidades indígenas, campesinas y urbanas, las organizaciones sociales y ambientales, y el sector productivo de la Sabana</w:t>
      </w:r>
      <w:r w:rsidR="00BD725E" w:rsidRPr="00131EED">
        <w:rPr>
          <w:rFonts w:eastAsia="Baskerville Old Face" w:cs="Baskerville Old Face"/>
          <w:color w:val="0D0D0D" w:themeColor="text1" w:themeTint="F2"/>
        </w:rPr>
        <w:t xml:space="preserve"> para su materialización</w:t>
      </w:r>
      <w:r w:rsidR="00D07E34" w:rsidRPr="00131EED">
        <w:rPr>
          <w:rFonts w:eastAsia="Baskerville Old Face" w:cs="Baskerville Old Face"/>
          <w:color w:val="0D0D0D" w:themeColor="text1" w:themeTint="F2"/>
        </w:rPr>
        <w:t>.</w:t>
      </w:r>
      <w:r w:rsidR="0026652D" w:rsidRPr="00131EED">
        <w:rPr>
          <w:rFonts w:eastAsia="Baskerville Old Face" w:cs="Baskerville Old Face"/>
          <w:color w:val="0D0D0D" w:themeColor="text1" w:themeTint="F2"/>
        </w:rPr>
        <w:t xml:space="preserve"> Es una oportunidad para una mejor Sabana de Bogotá.</w:t>
      </w:r>
      <w:r w:rsidR="00D07E34" w:rsidRPr="00131EED">
        <w:rPr>
          <w:rFonts w:eastAsia="Baskerville Old Face" w:cs="Baskerville Old Face"/>
          <w:color w:val="0D0D0D" w:themeColor="text1" w:themeTint="F2"/>
        </w:rPr>
        <w:t xml:space="preserve"> </w:t>
      </w:r>
    </w:p>
    <w:p w14:paraId="2207CC7E" w14:textId="53ECB500" w:rsidR="003D3FEA" w:rsidRPr="00131EED" w:rsidRDefault="00F84345" w:rsidP="00410194">
      <w:pPr>
        <w:pStyle w:val="Heading1"/>
        <w:numPr>
          <w:ilvl w:val="0"/>
          <w:numId w:val="31"/>
        </w:numPr>
      </w:pPr>
      <w:bookmarkStart w:id="3" w:name="_Toc210901043"/>
      <w:bookmarkStart w:id="4" w:name="_Toc216468675"/>
      <w:bookmarkStart w:id="5" w:name="_Toc167854496"/>
      <w:r w:rsidRPr="00131EED">
        <w:t>MARCO NORMATIVO</w:t>
      </w:r>
      <w:bookmarkEnd w:id="3"/>
      <w:bookmarkEnd w:id="4"/>
    </w:p>
    <w:p w14:paraId="37E6552C" w14:textId="77777777" w:rsidR="003D3FEA" w:rsidRPr="00131EED" w:rsidRDefault="003D3FEA" w:rsidP="003D3FEA">
      <w:pPr>
        <w:rPr>
          <w:rFonts w:eastAsia="Baskerville Old Face" w:cs="Baskerville Old Face"/>
          <w:b/>
          <w:lang w:eastAsia="en-US"/>
        </w:rPr>
      </w:pPr>
      <w:r w:rsidRPr="00131EED">
        <w:rPr>
          <w:rFonts w:eastAsia="Baskerville Old Face" w:cs="Baskerville Old Face"/>
          <w:b/>
          <w:lang w:eastAsia="en-US"/>
        </w:rPr>
        <w:t xml:space="preserve">Marco normativo </w:t>
      </w:r>
    </w:p>
    <w:p w14:paraId="1A5E396D" w14:textId="77777777" w:rsidR="003D3FEA" w:rsidRPr="00131EED" w:rsidRDefault="003D3FEA" w:rsidP="003D3FEA">
      <w:pPr>
        <w:rPr>
          <w:rFonts w:eastAsia="Baskerville Old Face" w:cs="Baskerville Old Face"/>
          <w:b/>
          <w:lang w:eastAsia="en-US"/>
        </w:rPr>
      </w:pPr>
    </w:p>
    <w:p w14:paraId="2BCDC62B" w14:textId="0936C8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 xml:space="preserve">Este apartado recoge el marco normativo que sustenta la expedición de esta resolución y el alcance de la misma. Así, presenta nos normas constitucionales que establecen el marco de protección ambiental y el deber del Estado en este sentido (i). Además, presenta el marco legar en materia ambiental que estable las funciones del Ministerio en el marco de dicho deber de protección (ii). Posteriormente, retoma el marco normativo del ordenamiento territorial y cómo este se relaciona con la protección ambiental (iii). Por último, sustenta el caso particular de la Sabana de Bogotá, como áreas de </w:t>
      </w:r>
      <w:r w:rsidR="008A364C" w:rsidRPr="00131EED">
        <w:rPr>
          <w:rFonts w:eastAsia="Baskerville Old Face" w:cs="Baskerville Old Face"/>
          <w:lang w:eastAsia="en-US"/>
        </w:rPr>
        <w:t>interés ecológico de</w:t>
      </w:r>
      <w:r w:rsidRPr="00131EED">
        <w:rPr>
          <w:rFonts w:eastAsia="Baskerville Old Face" w:cs="Baskerville Old Face"/>
          <w:lang w:eastAsia="en-US"/>
        </w:rPr>
        <w:t xml:space="preserve"> nivel nacional y la importancia y el rol del Ministerio de Ambiente frente a esta denominación particular (iv). Una vez sustentado el marco de competencias, se presentan las normas específicas, que dan fortalecen y sustentan disposiciones particulares que aborda la resolución como es la protección de la biodiversidad y los humedales, la gestión del riesgo y a la adaptación al cambio climático, entre otros. </w:t>
      </w:r>
    </w:p>
    <w:p w14:paraId="1038229C" w14:textId="77777777" w:rsidR="003D3FEA" w:rsidRPr="00131EED" w:rsidRDefault="003D3FEA" w:rsidP="003D3FEA">
      <w:pPr>
        <w:rPr>
          <w:rFonts w:eastAsia="Baskerville Old Face" w:cs="Baskerville Old Face"/>
          <w:lang w:eastAsia="en-US"/>
        </w:rPr>
      </w:pPr>
    </w:p>
    <w:p w14:paraId="54947CFC" w14:textId="77777777" w:rsidR="003D3FEA" w:rsidRPr="00131EED" w:rsidRDefault="003D3FEA" w:rsidP="003D3FEA">
      <w:pPr>
        <w:rPr>
          <w:rFonts w:eastAsia="Baskerville Old Face" w:cs="Baskerville Old Face"/>
          <w:b/>
          <w:lang w:eastAsia="en-US"/>
        </w:rPr>
      </w:pPr>
      <w:r w:rsidRPr="00131EED">
        <w:rPr>
          <w:rFonts w:eastAsia="Baskerville Old Face" w:cs="Baskerville Old Face"/>
          <w:b/>
          <w:lang w:eastAsia="en-US"/>
        </w:rPr>
        <w:t xml:space="preserve">Marco constitucional y deber de protección ambiental </w:t>
      </w:r>
    </w:p>
    <w:p w14:paraId="5F8B9FDE" w14:textId="77777777" w:rsidR="003D3FEA" w:rsidRPr="00131EED" w:rsidRDefault="003D3FEA" w:rsidP="003D3FEA">
      <w:pPr>
        <w:rPr>
          <w:rFonts w:eastAsia="Baskerville Old Face" w:cs="Baskerville Old Face"/>
          <w:lang w:eastAsia="en-US"/>
        </w:rPr>
      </w:pPr>
    </w:p>
    <w:p w14:paraId="0A80FD11"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 xml:space="preserve">Esta resolución se sustenta en un nutrido marco constitucional, jurisprudencial y legal sobre la protección ambiental en general y en particular frente a la Sabana de Bogotá. La Constitución Política de 1991 establece, en sus artículos 8, 79 y 80, el deber del Estado de proteger la riqueza natural, la diversidad e integridad del ambiente, así como conservar las áreas de especial importancia ecológica y planificar el manejo y aprovechamiento de los recursos naturales. Además, establece el deber de prevenir y controlar los factores de deterioro ambiental, y el artículo 58 establece la función ecológica de la propiedad. </w:t>
      </w:r>
    </w:p>
    <w:p w14:paraId="11791A7E" w14:textId="77777777" w:rsidR="003D3FEA" w:rsidRPr="00131EED" w:rsidRDefault="003D3FEA" w:rsidP="003D3FEA">
      <w:pPr>
        <w:rPr>
          <w:rFonts w:eastAsia="Baskerville Old Face" w:cs="Baskerville Old Face"/>
          <w:lang w:eastAsia="en-US"/>
        </w:rPr>
      </w:pPr>
    </w:p>
    <w:p w14:paraId="6DFA18C8"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 xml:space="preserve">La Corte Constitucional en la sentencia C-300 de 2021, en la que analizó la constitucionalidad de uno de los artículos de la denominada ley de páramos, hizo un recuento de su amplia jurisprudencia en materia ambiental, recordando que la Constitución de 1991 establece una “Constitución Ecológica”, la cual reconoce al </w:t>
      </w:r>
      <w:r w:rsidRPr="00131EED">
        <w:rPr>
          <w:rFonts w:eastAsia="Baskerville Old Face" w:cs="Baskerville Old Face"/>
          <w:u w:val="single"/>
          <w:lang w:eastAsia="en-US"/>
        </w:rPr>
        <w:t>medio ambiente como un valor superior</w:t>
      </w:r>
      <w:r w:rsidRPr="00131EED">
        <w:rPr>
          <w:rFonts w:eastAsia="Baskerville Old Face" w:cs="Baskerville Old Face"/>
          <w:lang w:eastAsia="en-US"/>
        </w:rPr>
        <w:t>, protegido no solo por su utilidad para los humanos, sino como un fin en sí mismo. Esta protección se expresa como un principio jurídico transversal al ordenamiento, como un derecho fundamental y colectivo, y como un deber del Estado y de los particulares.</w:t>
      </w:r>
    </w:p>
    <w:p w14:paraId="2E9595A9" w14:textId="6BD3FDF6"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En este contexto, la Corte recoge cuatro deberes ambientales del Estado: la prevención de daños ambientales, la mitigación de impactos ambientales, la reparación o indemnización por los daños causados, y la sanción a los responsables del daño ambiental. Además, subraya que las tensiones entre desarrollo y protección ambiental deben resolverse con participación comunitaria, tecnología apropiada y fomento de prácticas sostenibles. En particular, frente a la sostenibilidad, la Corte resalta que el desarrollo económico y social debe respetar los límites ecológicos y la capacidad de regeneración de los ecosistemas, así como proteger el ambiente para las generaciones futuras, de ahí que el Estado tenga la obligación de planificar y controlar actividades que puedan deteriorar el ambiente.</w:t>
      </w:r>
    </w:p>
    <w:p w14:paraId="3EC2B7BC" w14:textId="77777777" w:rsidR="003D3FEA" w:rsidRPr="00131EED" w:rsidRDefault="003D3FEA" w:rsidP="003D3FEA">
      <w:pPr>
        <w:rPr>
          <w:rFonts w:eastAsia="Baskerville Old Face" w:cs="Baskerville Old Face"/>
          <w:lang w:eastAsia="en-US"/>
        </w:rPr>
      </w:pPr>
    </w:p>
    <w:p w14:paraId="3B9B488A" w14:textId="77777777" w:rsidR="003D3FEA" w:rsidRPr="00131EED" w:rsidRDefault="003D3FEA" w:rsidP="003D3FEA">
      <w:pPr>
        <w:rPr>
          <w:rFonts w:eastAsia="Baskerville Old Face" w:cs="Baskerville Old Face"/>
          <w:b/>
          <w:lang w:eastAsia="en-US"/>
        </w:rPr>
      </w:pPr>
      <w:r w:rsidRPr="00131EED">
        <w:rPr>
          <w:rFonts w:eastAsia="Baskerville Old Face" w:cs="Baskerville Old Face"/>
          <w:b/>
          <w:lang w:eastAsia="en-US"/>
        </w:rPr>
        <w:t xml:space="preserve">Marco legal y funciones del Ministerio de Ambiente y Desarrollo Sostenible </w:t>
      </w:r>
    </w:p>
    <w:p w14:paraId="4F3AAF4C" w14:textId="77777777" w:rsidR="003D3FEA" w:rsidRPr="00131EED" w:rsidRDefault="003D3FEA" w:rsidP="003D3FEA">
      <w:pPr>
        <w:rPr>
          <w:rFonts w:eastAsia="Baskerville Old Face" w:cs="Baskerville Old Face"/>
          <w:b/>
          <w:lang w:eastAsia="en-US"/>
        </w:rPr>
      </w:pPr>
    </w:p>
    <w:p w14:paraId="1963D64C"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La Ley 99 de 1993, que regula el sector ambiental, establece como uno de los principios generales ambientales que “[l]a biodiversidad del país, por ser patrimonio nacional y de interés de la humanidad, deberá ser protegida prioritariamente y aprovechada en forma sostenible”. Además, establece que “[l]as zonas de páramos, subpáramos, los nacimientos de agua y las zonas de recarga de acuíferos serán objeto de protección especial”, así como “[e]l paisaje por ser patrimonio común deberá ser protegido” y que “[l]a acción para la protección y recuperación ambientales del país es una tarea conjunta y coordinada entre el Estado, la comunidad, las organizaciones no gubernamentales y el sector privado.”</w:t>
      </w:r>
    </w:p>
    <w:p w14:paraId="2620D35D" w14:textId="77777777" w:rsidR="003D3FEA" w:rsidRPr="00131EED" w:rsidRDefault="003D3FEA" w:rsidP="003D3FEA">
      <w:pPr>
        <w:rPr>
          <w:rFonts w:eastAsia="Baskerville Old Face" w:cs="Baskerville Old Face"/>
          <w:lang w:eastAsia="en-US"/>
        </w:rPr>
      </w:pPr>
    </w:p>
    <w:p w14:paraId="545961A3"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Esta misma norma, establece en su artículo 5 las funciones que le corresponden al Ministerio de Ambiente y Desarrollo Sostenible, señalando, entre otras, que le corresponde establecer las reglas y criterios de ordenamiento ambiental de uso del territorio, así como determinar las normas ambientales mínimas y las regulaciones de carácter general sobre medio ambiente a las que deberán sujetarse los centros urbanos y asentamientos humanos y las actividades mineras, industriales, de transporte y en general todo servicio o actividad que pueda generar directa o indirectamente daños ambientales. Este mismo artículo también establece como funciones del Ministerio de Ambiente y Desarrollo Sostenible la regulación de las condiciones generales para el uso, manejo, aprovechamiento, conservación, restauración y recuperación de los recursos naturales, a fin de impedir, reprimir, eliminar o mitigar el impacto de actividades que contaminen, deterioren o destruyan del entorno o del patrimonio natural.</w:t>
      </w:r>
    </w:p>
    <w:p w14:paraId="040395AA" w14:textId="77777777" w:rsidR="003D3FEA" w:rsidRPr="00131EED" w:rsidRDefault="003D3FEA" w:rsidP="003D3FEA">
      <w:pPr>
        <w:rPr>
          <w:rFonts w:eastAsia="Baskerville Old Face" w:cs="Baskerville Old Face"/>
          <w:lang w:eastAsia="en-US"/>
        </w:rPr>
      </w:pPr>
    </w:p>
    <w:p w14:paraId="1891605E"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Sumadas a las funciones anteriormente señaladas, el artículo 5 establece que el Ministerio de Ambiente y Desarrollo Sostenible tiene a cargo la dirección y coordinación de la ejecución armónica de las actividades en materia ambiental, de las entidades integrantes del Sistema Nacional Ambiental (SINA), y la adopción de las medidas necesarias para asegurar la protección de las especies de flora y fauna silvestres, así como tomar las medidas para defender especies en extinción o en peligro de serlo.</w:t>
      </w:r>
    </w:p>
    <w:p w14:paraId="1C2AC62D" w14:textId="77777777" w:rsidR="003D3FEA" w:rsidRPr="00131EED" w:rsidRDefault="003D3FEA" w:rsidP="003D3FEA">
      <w:pPr>
        <w:rPr>
          <w:rFonts w:eastAsia="Baskerville Old Face" w:cs="Baskerville Old Face"/>
          <w:lang w:eastAsia="en-US"/>
        </w:rPr>
      </w:pPr>
    </w:p>
    <w:p w14:paraId="30015F86"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De acuerdo con lo establecido en el artículo 30 de la Ley 99 de 1993, las Corporaciones Autónomas Regionales tienen como función principal la ejecución de las políticas, planes, programas y proyectos relacionados con el medio ambiente y los recursos naturales renovables. Esta función debe cumplirse de manera sujeta a las disposiciones legales vigentes, y especialmente, a las regulaciones, pautas y directrices definidas por el Ministerio de Ambiente y Desarrollo Sostenible, en su calidad de autoridad nacional y ente rector de la política ambiental. En este sentido, el Ministerio no solo orienta el quehacer de las Corporaciones, sino que garantiza la articulación técnica y normativa del Sistema Nacional Ambiental, con el fin de asegurar una gestión ambiental coherente y coordinada en todo el territorio nacional.</w:t>
      </w:r>
    </w:p>
    <w:p w14:paraId="3FBA73D8" w14:textId="77777777" w:rsidR="003D3FEA" w:rsidRPr="00131EED" w:rsidRDefault="003D3FEA" w:rsidP="003D3FEA">
      <w:pPr>
        <w:rPr>
          <w:rFonts w:eastAsia="Baskerville Old Face" w:cs="Baskerville Old Face"/>
          <w:lang w:eastAsia="en-US"/>
        </w:rPr>
      </w:pPr>
    </w:p>
    <w:p w14:paraId="6EFAE8FA"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 xml:space="preserve">En este contexto, en el marco de las funciones que tiene el Ministerio de Ambiente y Desarrollo Sostenible, la Ley 99 de 1993 define en su artículo 7 el ordenamiento ambiental del territorio como la función atribuida al Estado de regular y orientar el proceso de diseño y planificación de uso del territorio y de los recursos naturales renovables de la Nación, a fin de garantizar su adecuada explotación y su desarrollo sostenible. Es decir, ordenamiento ambiental del territorio es fundamental para garantizar el desarrollo sostenible. </w:t>
      </w:r>
    </w:p>
    <w:p w14:paraId="2AC8B1E9" w14:textId="77777777" w:rsidR="003D3FEA" w:rsidRPr="00131EED" w:rsidRDefault="003D3FEA" w:rsidP="003D3FEA">
      <w:pPr>
        <w:rPr>
          <w:rFonts w:eastAsia="Baskerville Old Face" w:cs="Baskerville Old Face"/>
          <w:lang w:eastAsia="en-US"/>
        </w:rPr>
      </w:pPr>
    </w:p>
    <w:p w14:paraId="705E117B" w14:textId="77777777" w:rsidR="003D3FEA" w:rsidRPr="00131EED" w:rsidRDefault="003D3FEA" w:rsidP="003D3FEA">
      <w:pPr>
        <w:rPr>
          <w:rFonts w:eastAsia="Baskerville Old Face" w:cs="Baskerville Old Face"/>
          <w:b/>
          <w:lang w:eastAsia="en-US"/>
        </w:rPr>
      </w:pPr>
      <w:r w:rsidRPr="00131EED">
        <w:rPr>
          <w:rFonts w:eastAsia="Baskerville Old Face" w:cs="Baskerville Old Face"/>
          <w:b/>
          <w:lang w:eastAsia="en-US"/>
        </w:rPr>
        <w:t xml:space="preserve">Ordenamiento territorial – ordenamiento ambiental </w:t>
      </w:r>
    </w:p>
    <w:p w14:paraId="63D193B8" w14:textId="77777777" w:rsidR="003D3FEA" w:rsidRPr="00131EED" w:rsidRDefault="003D3FEA" w:rsidP="003D3FEA">
      <w:pPr>
        <w:rPr>
          <w:rFonts w:eastAsia="Baskerville Old Face" w:cs="Baskerville Old Face"/>
          <w:b/>
          <w:lang w:eastAsia="en-US"/>
        </w:rPr>
      </w:pPr>
    </w:p>
    <w:p w14:paraId="7A1CD361"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 xml:space="preserve">La Constitución Política define en sus artículos 311 y 313 al municipio como entidad fundamental de la división político-administrativa del Estado, a quien le corresponde reglamentar los usos del suelo dentro de su jurisdicción, en cabeza de los consejos municipales. Así, las entidades territoriales son las encargadas de definir el ordenamiento territorial, y para ello la Ley 388 de 1997 estableció las normas para ello. Dentro de dichas normas, el artículo 10 establece las determinantes de superior jerarquía, como aquellas que los planes de ordenamiento no pueden modificar y deberán respetar a la hora de tomar las decisiones sobre usos del suelo. </w:t>
      </w:r>
    </w:p>
    <w:p w14:paraId="3EE632C4" w14:textId="77777777" w:rsidR="003D3FEA" w:rsidRPr="00131EED" w:rsidRDefault="003D3FEA" w:rsidP="003D3FEA">
      <w:pPr>
        <w:rPr>
          <w:rFonts w:eastAsia="Baskerville Old Face" w:cs="Baskerville Old Face"/>
          <w:lang w:eastAsia="en-US"/>
        </w:rPr>
      </w:pPr>
    </w:p>
    <w:p w14:paraId="20364CDE"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El establecimiento de determinantes del ordenamiento territorial es el mecanismo por medio del cual se armonizan las decisiones de orden nacional, con las decisiones de orden local que pueden entrar en tensión. Así, el artículo 10 de la Ley 388 establece niveles de determinantes, donde las del nivel 1 corresponden a las ambientales. En la sentencia C-138 de 2020, en la que analizó la constitucionalidad de la figura de los planes departamentales de ordenamiento territorial, la Corte Constitucional resaltó que</w:t>
      </w:r>
      <w:r w:rsidRPr="00131EED">
        <w:rPr>
          <w:rFonts w:eastAsia="Baskerville Old Face" w:cs="Baskerville Old Face"/>
          <w:b/>
          <w:lang w:eastAsia="en-US"/>
        </w:rPr>
        <w:t xml:space="preserve"> “</w:t>
      </w:r>
      <w:r w:rsidRPr="00131EED">
        <w:rPr>
          <w:rFonts w:eastAsia="Baskerville Old Face" w:cs="Baskerville Old Face"/>
          <w:lang w:eastAsia="en-US"/>
        </w:rPr>
        <w:t>la función atribuida expresamente a los concejos municipales para reglamentar los usos del suelo, a pesar de gozar de una especial protección constitucional, no es absoluta y esto por dos razones: se trata de una función subordinada a la Constitución y a la Ley (literal b) y, aunque la competencia se radica expresamente en los concejos municipales, en el ordenamiento territorial concurren competencias de otros niveles territoriales (literal c). De esta manera, resultan legítimos los instrumentos que buscan hacer compatible la autonomía de los municipios para la reglamentación de los usos del suelo, con el principio de unidad estatal.”</w:t>
      </w:r>
    </w:p>
    <w:p w14:paraId="5E2F94F2" w14:textId="77777777" w:rsidR="003D3FEA" w:rsidRPr="00131EED" w:rsidRDefault="003D3FEA" w:rsidP="003D3FEA">
      <w:pPr>
        <w:rPr>
          <w:rFonts w:eastAsia="Baskerville Old Face" w:cs="Baskerville Old Face"/>
          <w:lang w:eastAsia="en-US"/>
        </w:rPr>
      </w:pPr>
    </w:p>
    <w:p w14:paraId="6271FFDF"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En este mismo sentido la Corte recuerda que “(…) aunque resulta constitucional que se establezcan guías, políticas o directivas en la materia, por parte de distintas autoridades</w:t>
      </w:r>
      <w:bookmarkStart w:id="6" w:name="_ftnref51"/>
      <w:r w:rsidRPr="00131EED">
        <w:rPr>
          <w:rFonts w:eastAsia="Baskerville Old Face" w:cs="Baskerville Old Face"/>
          <w:vertAlign w:val="superscript"/>
          <w:lang w:eastAsia="en-US"/>
        </w:rPr>
        <w:t>[51]</w:t>
      </w:r>
      <w:bookmarkEnd w:id="6"/>
      <w:r w:rsidRPr="00131EED">
        <w:rPr>
          <w:rFonts w:eastAsia="Baskerville Old Face" w:cs="Baskerville Old Face"/>
          <w:lang w:eastAsia="en-US"/>
        </w:rPr>
        <w:t>, y que se introduzcan determinantes del ejercicio de la función, escapa a la competencia constitucional del Legislador y de cualquier otra autoridad, definir directamente los usos del suelo, autorizar al Gobierno Nacional para introducir modificaciones a los POT</w:t>
      </w:r>
      <w:bookmarkStart w:id="7" w:name="_ftnref52"/>
      <w:r w:rsidRPr="00131EED">
        <w:rPr>
          <w:rFonts w:eastAsia="Baskerville Old Face" w:cs="Baskerville Old Face"/>
          <w:vertAlign w:val="superscript"/>
          <w:lang w:eastAsia="en-US"/>
        </w:rPr>
        <w:t>[52]</w:t>
      </w:r>
      <w:bookmarkEnd w:id="7"/>
      <w:r w:rsidRPr="00131EED">
        <w:rPr>
          <w:rFonts w:eastAsia="Baskerville Old Face" w:cs="Baskerville Old Face"/>
          <w:lang w:eastAsia="en-US"/>
        </w:rPr>
        <w:t> o autorizar intervenciones urbanísticas que desconozcan las normas municipales en materia de usos del suelo</w:t>
      </w:r>
      <w:bookmarkStart w:id="8" w:name="_ftnref53"/>
      <w:r w:rsidRPr="00131EED">
        <w:rPr>
          <w:rFonts w:eastAsia="Baskerville Old Face" w:cs="Baskerville Old Face"/>
          <w:vertAlign w:val="superscript"/>
          <w:lang w:eastAsia="en-US"/>
        </w:rPr>
        <w:t>[53]</w:t>
      </w:r>
      <w:bookmarkEnd w:id="8"/>
      <w:r w:rsidRPr="00131EED">
        <w:rPr>
          <w:rFonts w:eastAsia="Baskerville Old Face" w:cs="Baskerville Old Face"/>
          <w:lang w:eastAsia="en-US"/>
        </w:rPr>
        <w:t>. La acción estatal coordinada con los municipios, es una manera privilegiada de conciliar los distintos intereses que confluyen en materia de ordenamiento territorial</w:t>
      </w:r>
      <w:bookmarkStart w:id="9" w:name="_ftnref54"/>
      <w:r w:rsidRPr="00131EED">
        <w:rPr>
          <w:rFonts w:eastAsia="Baskerville Old Face" w:cs="Baskerville Old Face"/>
          <w:vertAlign w:val="superscript"/>
          <w:lang w:eastAsia="en-US"/>
        </w:rPr>
        <w:t>[54]</w:t>
      </w:r>
      <w:bookmarkEnd w:id="9"/>
      <w:r w:rsidRPr="00131EED">
        <w:rPr>
          <w:rFonts w:eastAsia="Baskerville Old Face" w:cs="Baskerville Old Face"/>
          <w:vertAlign w:val="superscript"/>
          <w:lang w:eastAsia="en-US"/>
        </w:rPr>
        <w:t xml:space="preserve">”. </w:t>
      </w:r>
      <w:r w:rsidRPr="00131EED">
        <w:rPr>
          <w:rFonts w:eastAsia="Baskerville Old Face" w:cs="Baskerville Old Face"/>
          <w:lang w:eastAsia="en-US"/>
        </w:rPr>
        <w:t>(C-138</w:t>
      </w:r>
      <w:r w:rsidRPr="00131EED">
        <w:rPr>
          <w:rFonts w:eastAsia="Baskerville Old Face" w:cs="Baskerville Old Face"/>
          <w:vertAlign w:val="superscript"/>
          <w:lang w:eastAsia="en-US"/>
        </w:rPr>
        <w:t xml:space="preserve"> </w:t>
      </w:r>
      <w:r w:rsidRPr="00131EED">
        <w:rPr>
          <w:rFonts w:eastAsia="Baskerville Old Face" w:cs="Baskerville Old Face"/>
          <w:lang w:eastAsia="en-US"/>
        </w:rPr>
        <w:t xml:space="preserve">de 2020). </w:t>
      </w:r>
    </w:p>
    <w:p w14:paraId="4A7206CC" w14:textId="77777777" w:rsidR="003D3FEA" w:rsidRPr="00131EED" w:rsidRDefault="003D3FEA" w:rsidP="003D3FEA">
      <w:pPr>
        <w:rPr>
          <w:rFonts w:eastAsia="Baskerville Old Face" w:cs="Baskerville Old Face"/>
          <w:lang w:eastAsia="en-US"/>
        </w:rPr>
      </w:pPr>
    </w:p>
    <w:p w14:paraId="137B9275"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Por su parte, la Ley 1454 de 2011 “Por medio de la cual se dictan normas orgánicas sobre ordenamiento territorial y se modifican otras disposiciones”, establece en su artículo 27 sobre principios del ejercicio de competencias en materia de ordenamiento territorial que la Nación y las entidades territoriales deberán ejercer sus competencias de manera articulada, coherente y armónica. En desarrollo de este principio de coordinación, las entidades territoriales y demás esquemas asociativos se articularán, con las autoridades nacionales y regionales, con el propósito especial de garantizar los derechos fundamentales de los ciudadanos como individuos, los derechos colectivos y del medio ambiente establecidos en la Constitución Política.</w:t>
      </w:r>
    </w:p>
    <w:p w14:paraId="06AE5DE3" w14:textId="77777777" w:rsidR="003D3FEA" w:rsidRPr="00131EED" w:rsidRDefault="003D3FEA" w:rsidP="003D3FEA">
      <w:pPr>
        <w:rPr>
          <w:rFonts w:eastAsia="Baskerville Old Face" w:cs="Baskerville Old Face"/>
          <w:lang w:eastAsia="en-US"/>
        </w:rPr>
      </w:pPr>
    </w:p>
    <w:p w14:paraId="6A547699"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 xml:space="preserve">Para la Corte Constitucional, el principio de coordinación adquiere un sentido profundo en el contexto de la organización territorial del Estado y en la distribución de competencias entre la Nación y las entidades territoriales. En la Sentencia C-983 de 2005, al analizar la constitucionalidad de disposiciones de la Ley Orgánica 715 de 2001, la Corte reiteró que “las competencias atribuidas a los distintos niveles territoriales habrán de ser ejercidas de conformidad con los principios de coordinación, concurrencia y subsidiariedad contenidos en el artículo 288 de la Constitución Nacional”. Aunque estos principios no se encuentran definidos de forma exhaustiva, la Corte resalta su función como guías interpretativas esenciales para encauzar las tensiones que surgen en la distribución de competencias. Particularmente, destaca que “la distribución de competencias entre la Nación y las Entidades Territoriales es una materia compleja que involucra intereses muchas veces contrapuestos”, lo que exige el desarrollo de relaciones institucionales basadas en el respeto mutuo, la comunicación y la búsqueda de fines comunes. </w:t>
      </w:r>
    </w:p>
    <w:p w14:paraId="4556C112" w14:textId="77777777" w:rsidR="003D3FEA" w:rsidRPr="00131EED" w:rsidRDefault="003D3FEA" w:rsidP="003D3FEA">
      <w:pPr>
        <w:rPr>
          <w:rFonts w:eastAsia="Baskerville Old Face" w:cs="Baskerville Old Face"/>
          <w:lang w:eastAsia="en-US"/>
        </w:rPr>
      </w:pPr>
    </w:p>
    <w:p w14:paraId="2C39A230"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La Corte (C-983 de 2005) el deber de coordinación va más allá de la simple colaboración técnica, se trata de una obligación constitucional para que las distintas entidades actúen de manera armónica en la búsqueda de objetivos comunes, como la protección del ambiente. Así lo ratifica también la Ley 489 de 1998, al señalar que “las autoridades administrativas deben garantizar la armonía en el ejercicio de sus respectivas funciones con el fin de lograr los fines y cometidos estatales” y que “prestarán su colaboración a las demás entidades para facilitar el ejercicio de sus funciones y se abstendrán de impedir o estorbar su cumplimiento”. Así, en virtud del principio de coordinación, estas deben articularse activamente, dialogar y aportar desde sus competencias sin interferir en las de otras, con el objetivo común de cumplir los fines estatales, como en este caso, la protección del medio ambiente.</w:t>
      </w:r>
    </w:p>
    <w:p w14:paraId="3A0FCC53" w14:textId="77777777" w:rsidR="003D3FEA" w:rsidRPr="00131EED" w:rsidRDefault="003D3FEA" w:rsidP="003D3FEA">
      <w:pPr>
        <w:rPr>
          <w:rFonts w:eastAsia="Baskerville Old Face" w:cs="Baskerville Old Face"/>
          <w:lang w:eastAsia="en-US"/>
        </w:rPr>
      </w:pPr>
    </w:p>
    <w:p w14:paraId="0B1E7189" w14:textId="77777777" w:rsidR="003D3FEA" w:rsidRPr="00131EED" w:rsidRDefault="003D3FEA" w:rsidP="003D3FEA">
      <w:pPr>
        <w:rPr>
          <w:rFonts w:eastAsia="Baskerville Old Face" w:cs="Baskerville Old Face"/>
          <w:b/>
          <w:lang w:eastAsia="en-US"/>
        </w:rPr>
      </w:pPr>
      <w:r w:rsidRPr="00131EED">
        <w:rPr>
          <w:rFonts w:eastAsia="Baskerville Old Face" w:cs="Baskerville Old Face"/>
          <w:b/>
          <w:lang w:eastAsia="en-US"/>
        </w:rPr>
        <w:t>El caso particular de la Sabana de Bogotá</w:t>
      </w:r>
    </w:p>
    <w:p w14:paraId="29F63F08" w14:textId="77777777" w:rsidR="003D3FEA" w:rsidRPr="00131EED" w:rsidRDefault="003D3FEA" w:rsidP="003D3FEA">
      <w:pPr>
        <w:rPr>
          <w:rFonts w:eastAsia="Baskerville Old Face" w:cs="Baskerville Old Face"/>
          <w:lang w:eastAsia="en-US"/>
        </w:rPr>
      </w:pPr>
    </w:p>
    <w:p w14:paraId="66DCDA77"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 xml:space="preserve">El artículo 61 de la Ley 99 de 1993 declaró la Sabana de Bogotá, sus páramos, aguas, valles aledaños, cerros circundantes y sistemas montañosos como de interés ecológico nacional, cuya destinación prioritaria será la agropecuaria y forestal.  Así mismo, dispuso que el Ministerio de Ambiente y Desarrollo Sostenible determinará las zonas en las cuales exista compatibilidad con las explotaciones mineras. Con base en esta determinación, la Corporación Autónoma Regional de Cundinamarca (CAR), otorgará o negará las correspondientes licencias ambientales. De igual manera, señaló que los municipios y el Distrito Capital, expedirán la reglamentación de los usos del suelo, teniendo en cuenta las disposiciones de que trata este artículo y las que a nivel nacional expida el Ministerio de Ambiente y Desarrollo Sostenible. </w:t>
      </w:r>
    </w:p>
    <w:p w14:paraId="41B5E8CA" w14:textId="77777777" w:rsidR="003D3FEA" w:rsidRPr="00131EED" w:rsidRDefault="003D3FEA" w:rsidP="003D3FEA">
      <w:pPr>
        <w:rPr>
          <w:rFonts w:eastAsia="Baskerville Old Face" w:cs="Baskerville Old Face"/>
          <w:lang w:eastAsia="en-US"/>
        </w:rPr>
      </w:pPr>
    </w:p>
    <w:p w14:paraId="7AB053E3"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 xml:space="preserve">La constitucionalidad del último inciso de dicho artículo 61 fue analizado por la Corte Constitucional 1996, sentando un precedente fundamental en materia de las limitaciones que se pueden imponer desde el nivel central al ordenamiento territorial cuando se trata de la protección ambiental. En este sentido, la Corte Constitucional manifestó, a través de Sentencia C-534 de 1996, en la cual se resolvió la constitucionalidad del artículo 61 de la Ley 99 de 1993, que:  </w:t>
      </w:r>
      <w:r w:rsidRPr="00131EED">
        <w:rPr>
          <w:rFonts w:eastAsia="Baskerville Old Face" w:cs="Baskerville Old Face"/>
          <w:i/>
          <w:lang w:eastAsia="en-US"/>
        </w:rPr>
        <w:t>“[e]n el caso de los municipios de Cundinamarca y de la Sabana de Bogotá, las políticas y definiciones de carácter general se imponen con carácter especial a la facultad reglamentaria de los respectivos concejos municipales, pero no la anulan, dado que los recursos naturales de esos municipios, por sus características, constituyen recursos de interés ecológico nacional, que exigen una protección especial en cuanto bienes constitutivos del patrimonio nacional, cuyo uso compromete el presente y el futuro de la Nación entera, lo que amerita una acción coordinada y dirigida por parte del Estado, tendiente a preservarlos y salvaguardarlos, que impida que la actividad normativa reglamentaria que tienen a su cargo las entidades territoriales, se surta de manera aislada y contradictoria, y de lugar ‘al nacimiento de un ordenamiento de tal naturaleza que desborde el centro de autoridad’.”</w:t>
      </w:r>
      <w:r w:rsidRPr="00131EED">
        <w:rPr>
          <w:rFonts w:eastAsia="Baskerville Old Face" w:cs="Baskerville Old Face"/>
          <w:lang w:eastAsia="en-US"/>
        </w:rPr>
        <w:t xml:space="preserve"> </w:t>
      </w:r>
    </w:p>
    <w:p w14:paraId="598F28BE" w14:textId="77777777" w:rsidR="003D3FEA" w:rsidRPr="00131EED" w:rsidRDefault="003D3FEA" w:rsidP="003D3FEA">
      <w:pPr>
        <w:rPr>
          <w:rFonts w:eastAsia="Baskerville Old Face" w:cs="Baskerville Old Face"/>
          <w:lang w:eastAsia="en-US"/>
        </w:rPr>
      </w:pPr>
    </w:p>
    <w:p w14:paraId="641AF5D6" w14:textId="374FF448" w:rsidR="003D3FEA" w:rsidRPr="00131EED" w:rsidRDefault="003D3FEA" w:rsidP="003D3FEA">
      <w:pPr>
        <w:rPr>
          <w:rFonts w:eastAsia="Baskerville Old Face" w:cs="Baskerville Old Face"/>
          <w:b/>
          <w:lang w:eastAsia="en-US"/>
        </w:rPr>
      </w:pPr>
      <w:r w:rsidRPr="00131EED">
        <w:rPr>
          <w:rFonts w:eastAsia="Baskerville Old Face" w:cs="Baskerville Old Face"/>
          <w:lang w:eastAsia="en-US"/>
        </w:rPr>
        <w:t>En esa misma providencia resaltó que “</w:t>
      </w:r>
      <w:r w:rsidR="6703485E" w:rsidRPr="00131EED">
        <w:rPr>
          <w:rFonts w:eastAsia="Baskerville Old Face" w:cs="Baskerville Old Face"/>
          <w:lang w:eastAsia="en-US"/>
        </w:rPr>
        <w:t>debe</w:t>
      </w:r>
      <w:r w:rsidRPr="00131EED">
        <w:rPr>
          <w:rFonts w:eastAsia="Baskerville Old Face" w:cs="Baskerville Old Face"/>
          <w:lang w:eastAsia="en-US"/>
        </w:rPr>
        <w:t xml:space="preserve"> entenderse entonces que la facultad reglamentaria que el Constituyente consagró para los municipios, reivindicando su autonomía y el principio de descentralización, deberán ejercerla ellos a través de sus Concejos Municipales, con base en las directrices y pautas que a nivel nacional y regional produzcan las autoridades competentes, a las cuales les corresponde dicha función "por mandato de la constitución y de la ley", pues fueron designadas para el efecto por el Constituyente, articulo 208 de la C.P., y por el legislador a través de la ley 99 de 1993, en desarrollo de la facultad de intervención que para las materias específicas a las que se refieren los numerales 7 y 9 del artículo 313 de la Carta Política, le atribuyó categóricamente el Constituyente al Estado, en el artículo 334 de la Carta Política”. Este alcance jurisprudencial es incluso citado en las más recientes providencias de la Corte Constitucional en materia de ordenamiento territorial, como es la ya citada sentencia C-138 de 2020. </w:t>
      </w:r>
    </w:p>
    <w:p w14:paraId="7955F366" w14:textId="77777777" w:rsidR="003D3FEA" w:rsidRPr="00131EED" w:rsidRDefault="003D3FEA" w:rsidP="003D3FEA">
      <w:pPr>
        <w:rPr>
          <w:rFonts w:eastAsia="Baskerville Old Face" w:cs="Baskerville Old Face"/>
          <w:lang w:eastAsia="en-US"/>
        </w:rPr>
      </w:pPr>
    </w:p>
    <w:p w14:paraId="71677608"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En las Bases del Plan Nacional de Desarrollo 2022–2026 “Colombia Potencia Mundial de la Vida”, se establece que “con el fin de asegurar la protección de la Sabana de Bogotá, el Ministerio de Ambiente y Desarrollo Sostenible dentro del término de seis (6) meses, contados a partir de la publicación de la ley del PND 2022–2026, formulará los lineamientos para el ordenamiento ambiental de la región, con el fin de dar cumplimiento al mandato derivado de su declaratoria como de interés ecológico nacional y su destinación prioritaria agropecuaria y forestal, contenida en el artículo 61 de la ley 99 de 1993. El Ministerio expedirá, además, el estatuto de zonificación regional y fijará las pautas para el uso adecuado del territorio y su apropiado ordenamiento, de conformidad con el artículo 5º de la ley 99 de 1993”. Dichas Bases, junto con sus anexos, conforme lo precisa el artículo 2 de la Ley 2294 de 2023, hacen parte integral del Plan Nacional de Desarrollo 2022–2026 “Colombia Potencia Mundial de la Vida”.</w:t>
      </w:r>
    </w:p>
    <w:p w14:paraId="2927F2FD" w14:textId="77777777" w:rsidR="003D3FEA" w:rsidRPr="00131EED" w:rsidRDefault="003D3FEA" w:rsidP="003D3FEA">
      <w:pPr>
        <w:rPr>
          <w:rFonts w:eastAsia="Baskerville Old Face" w:cs="Baskerville Old Face"/>
          <w:lang w:eastAsia="en-US"/>
        </w:rPr>
      </w:pPr>
    </w:p>
    <w:p w14:paraId="7CA1A4E7"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 xml:space="preserve">Además, el Plan Nacional de Desarrollo 2022-2026 tiene como dos de sus ejes </w:t>
      </w:r>
      <w:r w:rsidRPr="00131EED">
        <w:rPr>
          <w:rFonts w:eastAsia="Baskerville Old Face" w:cs="Baskerville Old Face"/>
          <w:i/>
          <w:lang w:eastAsia="en-US"/>
        </w:rPr>
        <w:t>el Ordenamiento del territorio alrededor del agua y el derecho humano a la alimentación,</w:t>
      </w:r>
      <w:r w:rsidRPr="00131EED">
        <w:rPr>
          <w:rFonts w:eastAsia="Baskerville Old Face" w:cs="Baskerville Old Face"/>
          <w:lang w:eastAsia="en-US"/>
        </w:rPr>
        <w:t xml:space="preserve"> los cuales deben ser garantizados en </w:t>
      </w:r>
      <w:r w:rsidRPr="00131EED">
        <w:rPr>
          <w:rFonts w:eastAsia="Baskerville Old Face" w:cs="Baskerville Old Face"/>
          <w:i/>
          <w:lang w:eastAsia="en-US"/>
        </w:rPr>
        <w:t>procura de convertir a Colombia en potencia mundial de la vida</w:t>
      </w:r>
      <w:r w:rsidRPr="00131EED">
        <w:rPr>
          <w:rFonts w:eastAsia="Baskerville Old Face" w:cs="Baskerville Old Face"/>
          <w:lang w:eastAsia="en-US"/>
        </w:rPr>
        <w:t xml:space="preserve">. Estos derechos buscan un cambio en la planificación del ordenamiento y del desarrollo del territorio, donde la protección de los determinantes ambientales y de las áreas de especial interés para garantizar el derecho a la alimentación, sean objetivos centrales. </w:t>
      </w:r>
    </w:p>
    <w:p w14:paraId="60403FAE" w14:textId="77777777" w:rsidR="003D3FEA" w:rsidRPr="00131EED" w:rsidRDefault="003D3FEA" w:rsidP="003D3FEA">
      <w:pPr>
        <w:rPr>
          <w:rFonts w:eastAsia="Baskerville Old Face" w:cs="Baskerville Old Face"/>
          <w:lang w:eastAsia="en-US"/>
        </w:rPr>
      </w:pPr>
    </w:p>
    <w:p w14:paraId="1BD7E987" w14:textId="2A3C716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 xml:space="preserve">Desde la </w:t>
      </w:r>
      <w:r w:rsidR="009122E2" w:rsidRPr="00131EED">
        <w:rPr>
          <w:rFonts w:eastAsia="Baskerville Old Face" w:cs="Baskerville Old Face"/>
          <w:lang w:eastAsia="en-US"/>
        </w:rPr>
        <w:t>declaración</w:t>
      </w:r>
      <w:r w:rsidRPr="00131EED">
        <w:rPr>
          <w:rFonts w:eastAsia="Baskerville Old Face" w:cs="Baskerville Old Face"/>
          <w:lang w:eastAsia="en-US"/>
        </w:rPr>
        <w:t xml:space="preserve"> de la Sabana de Bogotá como área de interés ecológico nacional el Decreto 1077 de 2015, en su artículo 2.2.2.2.4.2 desarrolla el artículo 61 de la Ley 99 de 1993 estableciendo restricciones a la expansión de áreas industriales en suelos rurales no suburbanos de la Sabana de Bogotá, permitiendo únicamente la consolidación controlada de zonas previamente </w:t>
      </w:r>
      <w:r w:rsidR="00E3616B" w:rsidRPr="00131EED">
        <w:rPr>
          <w:rFonts w:eastAsia="Baskerville Old Face" w:cs="Baskerville Old Face"/>
          <w:lang w:eastAsia="en-US"/>
        </w:rPr>
        <w:t>clasificadas</w:t>
      </w:r>
      <w:r w:rsidRPr="00131EED">
        <w:rPr>
          <w:rFonts w:eastAsia="Baskerville Old Face" w:cs="Baskerville Old Face"/>
          <w:lang w:eastAsia="en-US"/>
        </w:rPr>
        <w:t>, bajo estrictas condiciones de ordenamiento y sostenibilidad ambiental.</w:t>
      </w:r>
    </w:p>
    <w:p w14:paraId="4526A86C" w14:textId="77777777" w:rsidR="003D3FEA" w:rsidRPr="00131EED" w:rsidRDefault="003D3FEA" w:rsidP="003D3FEA">
      <w:pPr>
        <w:rPr>
          <w:rFonts w:eastAsia="Baskerville Old Face" w:cs="Baskerville Old Face"/>
          <w:lang w:eastAsia="en-US"/>
        </w:rPr>
      </w:pPr>
    </w:p>
    <w:p w14:paraId="771822E7"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Por su parte, el Ministerio de Ambiente y Desarrollo Sostenible, en desarrollo de lo establecido en el segundo inciso del artículo 61 de la Ley 99 de 1993, el Ministerio de Ambiente y Desarrollo sostenible expidió las Resoluciones 2001 de 2016 y 1499 de 2018, en la que determinó las áreas compatibles con minería en la Sabana de Bogotá. Además, expidió las Resoluciones No. 0475 y 621 del 2000, por medio de las cuales se adoptaron decisiones sobre las áreas denominadas Borde Norte y Borde Noroccidental del proyecto de Plan de Ordenamiento Territorial de Santa Fe de Bogotá D. C., con el objeto de</w:t>
      </w:r>
      <w:r w:rsidRPr="00131EED">
        <w:rPr>
          <w:rFonts w:eastAsia="Baskerville Old Face" w:cs="Baskerville Old Face"/>
          <w:i/>
          <w:lang w:eastAsia="en-US"/>
        </w:rPr>
        <w:t xml:space="preserve"> “constituirse una franja de conexión, restauración y protección de los pequeños relictos de bosque entre sí, con los cerros, la Sabana y el valle aluvial del río Bogotá, de tal suerte que se dé continuidad este-oeste a dichos ecosistemas a fin de no interrumpir los flujos de vida</w:t>
      </w:r>
      <w:r w:rsidRPr="00131EED">
        <w:rPr>
          <w:rFonts w:eastAsia="Baskerville Old Face" w:cs="Baskerville Old Face"/>
          <w:lang w:eastAsia="en-US"/>
        </w:rPr>
        <w:t xml:space="preserve">”, entre otras, con fundamento en el artículo 61 de la Ley 99 de 1993. </w:t>
      </w:r>
    </w:p>
    <w:p w14:paraId="73FFF8CB" w14:textId="77777777" w:rsidR="003D3FEA" w:rsidRPr="00131EED" w:rsidRDefault="003D3FEA" w:rsidP="003D3FEA">
      <w:pPr>
        <w:rPr>
          <w:rFonts w:eastAsia="Baskerville Old Face" w:cs="Baskerville Old Face"/>
          <w:lang w:eastAsia="en-US"/>
        </w:rPr>
      </w:pPr>
    </w:p>
    <w:p w14:paraId="3DF86DC5" w14:textId="77777777" w:rsidR="003D3FEA" w:rsidRPr="00131EED" w:rsidRDefault="003D3FEA" w:rsidP="003D3FEA">
      <w:pPr>
        <w:rPr>
          <w:rFonts w:eastAsia="Baskerville Old Face" w:cs="Baskerville Old Face"/>
          <w:i/>
          <w:lang w:eastAsia="en-US"/>
        </w:rPr>
      </w:pPr>
      <w:r w:rsidRPr="00131EED">
        <w:rPr>
          <w:rFonts w:eastAsia="Baskerville Old Face" w:cs="Baskerville Old Face"/>
          <w:lang w:eastAsia="en-US"/>
        </w:rPr>
        <w:t xml:space="preserve">A nivel regional, la Corporación Autónoma Regional (CAR), expidió el Acuerdo No. 011 de 2011, </w:t>
      </w:r>
      <w:r w:rsidRPr="00131EED">
        <w:rPr>
          <w:rFonts w:eastAsia="Baskerville Old Face" w:cs="Baskerville Old Face"/>
          <w:i/>
          <w:lang w:eastAsia="en-US"/>
        </w:rPr>
        <w:t>“Por medio del cual se declara la Reserva Forestal Regional Productora del Norte de Bogotá D.C., Thomas Van der Hammen, se adoptan unas determinantes ambientales para su manejo, y se dictan otras disposiciones</w:t>
      </w:r>
      <w:r w:rsidRPr="00131EED">
        <w:rPr>
          <w:rFonts w:eastAsia="Baskerville Old Face" w:cs="Baskerville Old Face"/>
          <w:lang w:eastAsia="en-US"/>
        </w:rPr>
        <w:t>”, según el cual el</w:t>
      </w:r>
      <w:r w:rsidRPr="00131EED">
        <w:rPr>
          <w:rFonts w:eastAsia="Baskerville Old Face" w:cs="Baskerville Old Face"/>
          <w:i/>
          <w:lang w:eastAsia="en-US"/>
        </w:rPr>
        <w:t xml:space="preserve"> “Distrito Capital y los municipios vecinos deben armonizar sus instrumentos de planeamiento y gestión con los lineamientos ambientales establecidos en dicho acto de declaratoria y en el Plan de Manejo Ambiental de la Reserva (artículo 8º)”.Y </w:t>
      </w:r>
      <w:r w:rsidRPr="00131EED">
        <w:rPr>
          <w:rFonts w:eastAsia="Baskerville Old Face" w:cs="Baskerville Old Face"/>
          <w:lang w:eastAsia="en-US"/>
        </w:rPr>
        <w:t xml:space="preserve">el Acuerdo 021de 2014 por medio del cual adoptó </w:t>
      </w:r>
      <w:r w:rsidRPr="00131EED">
        <w:rPr>
          <w:rFonts w:eastAsia="Baskerville Old Face" w:cs="Baskerville Old Face"/>
          <w:i/>
          <w:lang w:eastAsia="en-US"/>
        </w:rPr>
        <w:t>el Plan de Manejo Ambiental de la Reserva Forestal Regional Productora del Norte de Bogotá, D.C “Thomas Van der Hammen”</w:t>
      </w:r>
      <w:r w:rsidRPr="00131EED">
        <w:rPr>
          <w:rFonts w:eastAsia="Baskerville Old Face" w:cs="Baskerville Old Face"/>
          <w:lang w:eastAsia="en-US"/>
        </w:rPr>
        <w:t xml:space="preserve">. </w:t>
      </w:r>
    </w:p>
    <w:p w14:paraId="7E97F94D" w14:textId="77777777" w:rsidR="003D3FEA" w:rsidRPr="00131EED" w:rsidRDefault="003D3FEA" w:rsidP="003D3FEA">
      <w:pPr>
        <w:rPr>
          <w:rFonts w:eastAsia="Baskerville Old Face" w:cs="Baskerville Old Face"/>
          <w:lang w:eastAsia="en-US"/>
        </w:rPr>
      </w:pPr>
    </w:p>
    <w:p w14:paraId="2743FDE7"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Por su parte, el 28 de marzo de 2014, el Consejo de Estado emitió sentencia dentro del proceso de acción popular radicado número 25000-23-27-000-2001-90479-01, en la que abordó la descontaminación del Río Bogotá. En ella, se establecieron directrices para la recuperación y conservación del sistema hídrico fluvial de la cuenca, las cuales se estructuran en tres componentes principales: I. El Mejoramiento Ambiental y Social de la Cuenca Hidrográfica del Río Bogotá; II. La Coordinación y Articulación Institucional, Intersectorial y Económica; y III. La Profundización de los Procesos Educativos y de Participación Ciudadana. En estos componentes, se destacan medidas clave para la conservación y protección del ciclo hidrológico, la preservación de los ecosistemas y la biodiversidad, así como la implementación y actualización de los instrumentos de planificación y regulación de los usos del suelo.</w:t>
      </w:r>
    </w:p>
    <w:p w14:paraId="7670555D" w14:textId="77777777" w:rsidR="003D3FEA" w:rsidRPr="00131EED" w:rsidRDefault="003D3FEA" w:rsidP="003D3FEA">
      <w:pPr>
        <w:rPr>
          <w:rFonts w:eastAsia="Baskerville Old Face" w:cs="Baskerville Old Face"/>
          <w:lang w:eastAsia="en-US"/>
        </w:rPr>
      </w:pPr>
    </w:p>
    <w:p w14:paraId="4E87D7CE"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Además, el 5 de noviembre de 2013 El Consejo Estado emitió fallo de la acción popular radicado 250002325000200500662 03 sobre la protección de los cerros orientales, en la que buscó “conciliar, fundamentalmente, la protección del medio ambiente en la reserva forestal protectora denominada  “Bosque Oriental de Bogotá”, con el desarrollo económico y social, respetando el concepto de desarrollo sostenible y buscando el equilibrio entre los derechos adquiridos y la preservación de esta reserva que constituye recurso fundamental no sólo para el país sino también para la humanidad.”</w:t>
      </w:r>
    </w:p>
    <w:p w14:paraId="4C6EDFF6"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 xml:space="preserve"> </w:t>
      </w:r>
    </w:p>
    <w:p w14:paraId="5492D04F"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 xml:space="preserve">En el 2019, a través de la Resolución CAR 0957, se aprobó el ajuste y actualización del Plan de Ordenación y Manejo de la Cuenca Hidrográfica - POMCA del Río Bogotá y se dictaron otras disposiciones, con relación a mejorar la gestión de la cuenca, promover prácticas de uso sostenible del agua, fomentar la participación comunitaria y reducir los riesgos asociados con inundaciones y sequías, entre otras. </w:t>
      </w:r>
    </w:p>
    <w:p w14:paraId="1F4E4EC7" w14:textId="77777777" w:rsidR="003D3FEA" w:rsidRPr="00131EED" w:rsidRDefault="003D3FEA" w:rsidP="003D3FEA">
      <w:pPr>
        <w:rPr>
          <w:rFonts w:eastAsia="Baskerville Old Face" w:cs="Baskerville Old Face"/>
          <w:lang w:eastAsia="en-US"/>
        </w:rPr>
      </w:pPr>
    </w:p>
    <w:p w14:paraId="1A30E73C" w14:textId="4F0F7A64"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Sumadas a las decisiones anteriores, actualmente, dentro del territorio de la Sabana de Bogotá, se encuentran 114 áreas protegidas que hacen parte del Sistema Nacional de Áreas Protegidas e inscritas en el Registro Único Nacional de Áreas Protegidas – RUNAP, equivalente a 86.600 ha, declaradas tanto por las Corporaciones Autónomas Regionales como por el INDERENA y el Ministerio de Ambiente y Desarrollo Sostenible; esta gestión identifica la riqueza e importancia ambiental presente en la Sabana, junto con la urgencia y necesidad de garantizar que estas áreas puedan mantener la biodiversidad y los servicios ecosistémicos ofertados a la región, siendo el más relevante la regulación y oferta hídrica que beneficia tanto a la Sabana de Bogotá como las cuencas Ubaté y Suarez, río Guayuriba, y Sumapaz, que generan agua para departamentos de Cundinamarca, Boyacá, Meta y Huila.</w:t>
      </w:r>
    </w:p>
    <w:p w14:paraId="1FD73907" w14:textId="77777777" w:rsidR="003D3FEA" w:rsidRPr="00131EED" w:rsidRDefault="003D3FEA" w:rsidP="003D3FEA">
      <w:pPr>
        <w:rPr>
          <w:rFonts w:eastAsia="Baskerville Old Face" w:cs="Baskerville Old Face"/>
          <w:lang w:eastAsia="en-US"/>
        </w:rPr>
      </w:pPr>
    </w:p>
    <w:p w14:paraId="73D400F4" w14:textId="77777777" w:rsidR="00ED6EE2" w:rsidRPr="00131EED" w:rsidRDefault="00ED6EE2" w:rsidP="003D3FEA">
      <w:pPr>
        <w:rPr>
          <w:rFonts w:eastAsia="Baskerville Old Face" w:cs="Baskerville Old Face"/>
          <w:b/>
          <w:lang w:eastAsia="en-US"/>
        </w:rPr>
      </w:pPr>
    </w:p>
    <w:p w14:paraId="4B53539D" w14:textId="77777777" w:rsidR="00ED6EE2" w:rsidRPr="00131EED" w:rsidRDefault="00ED6EE2" w:rsidP="003D3FEA">
      <w:pPr>
        <w:rPr>
          <w:rFonts w:eastAsia="Baskerville Old Face" w:cs="Baskerville Old Face"/>
          <w:b/>
          <w:lang w:eastAsia="en-US"/>
        </w:rPr>
      </w:pPr>
    </w:p>
    <w:p w14:paraId="74F93B4B" w14:textId="77777777" w:rsidR="00ED6EE2" w:rsidRPr="00131EED" w:rsidRDefault="00ED6EE2" w:rsidP="003D3FEA">
      <w:pPr>
        <w:rPr>
          <w:rFonts w:eastAsia="Baskerville Old Face" w:cs="Baskerville Old Face"/>
          <w:b/>
          <w:lang w:eastAsia="en-US"/>
        </w:rPr>
      </w:pPr>
    </w:p>
    <w:p w14:paraId="65D75086" w14:textId="77777777" w:rsidR="00ED6EE2" w:rsidRPr="00131EED" w:rsidRDefault="00ED6EE2" w:rsidP="003D3FEA">
      <w:pPr>
        <w:rPr>
          <w:rFonts w:eastAsia="Baskerville Old Face" w:cs="Baskerville Old Face"/>
          <w:b/>
          <w:lang w:eastAsia="en-US"/>
        </w:rPr>
      </w:pPr>
    </w:p>
    <w:p w14:paraId="7979F897" w14:textId="77777777" w:rsidR="00ED6EE2" w:rsidRPr="00131EED" w:rsidRDefault="00ED6EE2" w:rsidP="003D3FEA">
      <w:pPr>
        <w:rPr>
          <w:rFonts w:eastAsia="Baskerville Old Face" w:cs="Baskerville Old Face"/>
          <w:b/>
          <w:lang w:eastAsia="en-US"/>
        </w:rPr>
      </w:pPr>
    </w:p>
    <w:p w14:paraId="3763135F" w14:textId="77777777" w:rsidR="00ED6EE2" w:rsidRPr="00131EED" w:rsidRDefault="00ED6EE2" w:rsidP="003D3FEA">
      <w:pPr>
        <w:rPr>
          <w:rFonts w:eastAsia="Baskerville Old Face" w:cs="Baskerville Old Face"/>
          <w:b/>
          <w:lang w:eastAsia="en-US"/>
        </w:rPr>
      </w:pPr>
    </w:p>
    <w:p w14:paraId="6123B273" w14:textId="5742C3EC" w:rsidR="003D3FEA" w:rsidRPr="00131EED" w:rsidRDefault="003D3FEA" w:rsidP="003D3FEA">
      <w:pPr>
        <w:rPr>
          <w:rFonts w:eastAsia="Baskerville Old Face" w:cs="Baskerville Old Face"/>
          <w:b/>
          <w:lang w:eastAsia="en-US"/>
        </w:rPr>
      </w:pPr>
      <w:r w:rsidRPr="00131EED">
        <w:rPr>
          <w:rFonts w:eastAsia="Baskerville Old Face" w:cs="Baskerville Old Face"/>
          <w:b/>
          <w:lang w:eastAsia="en-US"/>
        </w:rPr>
        <w:t xml:space="preserve">Normatividad ambiental relevante </w:t>
      </w:r>
    </w:p>
    <w:p w14:paraId="7D4D045F" w14:textId="77777777" w:rsidR="00513A67" w:rsidRPr="00131EED" w:rsidRDefault="00513A67" w:rsidP="003D3FEA">
      <w:pPr>
        <w:rPr>
          <w:rFonts w:eastAsia="Baskerville Old Face" w:cs="Baskerville Old Face"/>
          <w:lang w:eastAsia="en-US"/>
        </w:rPr>
      </w:pPr>
    </w:p>
    <w:p w14:paraId="3181D4D3" w14:textId="2A14DC1D"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 xml:space="preserve">Además del marco constitucional ya señalado y el caso particular de la Sabana de Bogotá, existe un amplio desarrollo normativo en materia de protección ambiental que constituyen el sustento de las directrices que se dictan en la presente resolución. </w:t>
      </w:r>
    </w:p>
    <w:p w14:paraId="5CCE5D78" w14:textId="77777777" w:rsidR="003D3FEA" w:rsidRPr="00131EED" w:rsidRDefault="003D3FEA" w:rsidP="003D3FEA">
      <w:pPr>
        <w:rPr>
          <w:rFonts w:eastAsia="Baskerville Old Face" w:cs="Baskerville Old Face"/>
          <w:lang w:eastAsia="en-US"/>
        </w:rPr>
      </w:pPr>
    </w:p>
    <w:p w14:paraId="73E4B4FC"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 xml:space="preserve">Colombia adoptó por medio de la Ley 165 de 1994 el Convenio sobre la Diversidad Biológica, el cual establece en su artículo 8 que las partes firmantes deberán crear un sistema de áreas protegidas y áreas donde haya que tomar medidas especiales para conservar la diversidad biológica. Además, señala la importancia de la rehabilitación y restauración de ecosistemas degradados, así como la recuperación de especies amenazadas por medio de estrategias de ordenación, e impedir la introducción de especies exóticas que amenacen a ecosistemas, hábitats o especies, junto con medidas de control o erradicación.  </w:t>
      </w:r>
    </w:p>
    <w:p w14:paraId="28001312" w14:textId="77777777" w:rsidR="003D3FEA" w:rsidRPr="00131EED" w:rsidRDefault="003D3FEA" w:rsidP="003D3FEA">
      <w:pPr>
        <w:rPr>
          <w:rFonts w:eastAsia="Baskerville Old Face" w:cs="Baskerville Old Face"/>
          <w:lang w:eastAsia="en-US"/>
        </w:rPr>
      </w:pPr>
    </w:p>
    <w:p w14:paraId="25E86631"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En materia de protección de páramos el artículo 1 numeral 4 de la Ley 99 de 1993 señala que “</w:t>
      </w:r>
      <w:r w:rsidRPr="00131EED">
        <w:rPr>
          <w:rFonts w:eastAsia="Baskerville Old Face" w:cs="Baskerville Old Face"/>
          <w:i/>
          <w:lang w:eastAsia="en-US"/>
        </w:rPr>
        <w:t>las zonas de páramos, subpáramos, los nacimientos de agua y las zonas de recarga de acuíferos serán objeto de protección especial</w:t>
      </w:r>
      <w:r w:rsidRPr="00131EED">
        <w:rPr>
          <w:rFonts w:eastAsia="Baskerville Old Face" w:cs="Baskerville Old Face"/>
          <w:lang w:eastAsia="en-US"/>
        </w:rPr>
        <w:t xml:space="preserve">.” Y la Ley 1930 de 2018 “Por medio de la cual se dictan disposiciones para la gestión integral de los páramos en Colombia” reitera que los páramos son ecosistemas estratégicos y establece directrices para propender por su integralidad, preservación, restauración, uso sostenible y generación de conocimiento. Además, establece la necesidad de diseñar estrategias con enfoque diferencial para los habitantes tradicionales de los páramos. </w:t>
      </w:r>
    </w:p>
    <w:p w14:paraId="5FA538AB" w14:textId="77777777" w:rsidR="003D3FEA" w:rsidRPr="00131EED" w:rsidRDefault="003D3FEA" w:rsidP="003D3FEA">
      <w:pPr>
        <w:rPr>
          <w:rFonts w:eastAsia="Baskerville Old Face" w:cs="Baskerville Old Face"/>
          <w:lang w:eastAsia="en-US"/>
        </w:rPr>
      </w:pPr>
    </w:p>
    <w:p w14:paraId="607BF447"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En materia de protección de los ecosistemas de humedal la Ley 357 de 1997 aprobó la "Convención Relativa a los Humedales de Importancia Internacional Especialmente como Hábitat de Aves Acuáticas", suscrita en Ramsar el dos (2) de febrero de mil novecientos setenta y uno (1971), siendo esta convención un acuerdo internacional que promueve la conservación y el uso racional de los humedales. Además, la Ley 2468 de 2025 reconoció la importancia de estos ecosistemas de humedal para la gestión del riesgo y la adaptación al cambio climático basada en ecosistemas y la Ley 2478 de 2025 promueve la protección, conservación y restauración de humedales en el territorio nacional, estableciendo medidas específicas para su protección y fomenta la participación comunitaria.</w:t>
      </w:r>
    </w:p>
    <w:p w14:paraId="0E5720D0" w14:textId="77777777" w:rsidR="003D3FEA" w:rsidRPr="00131EED" w:rsidRDefault="003D3FEA" w:rsidP="003D3FEA">
      <w:pPr>
        <w:rPr>
          <w:rFonts w:eastAsia="Baskerville Old Face" w:cs="Baskerville Old Face"/>
          <w:lang w:eastAsia="en-US"/>
        </w:rPr>
      </w:pPr>
      <w:bookmarkStart w:id="10" w:name="2.2.2.2.4.2"/>
      <w:bookmarkEnd w:id="10"/>
    </w:p>
    <w:p w14:paraId="3F9276F2"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 xml:space="preserve">La Ley 1931 de 2018 “por la cual se establecen directrices para la gestión del cambio climático” en el numeral 1 del artículo 7 establece que corresponde a los Ministerios que hacen parte del SISCLIMA en el ámbito de sus competencias impartir las directrices y adoptar las acciones necesarias para asegurar en el marco de sus competencias el cumplimiento de la meta de reducción de gases de efecto invernadero y las metas de adaptación. Por su parte, la Ley 1523 de 2012 que establece la política nacional de gestión del riesgo reconoce, bajo el principio de sostenibilidad ambiental, que los procesos de uso y ocupación insostenible del territorio derivan el riesgo de desastres y que, por lo tanto, se requiere de una explotación racional de los recursos naturales y la protección del medio ambiente como características irreductibles de sostenibilidad ambiental que contribuyen a la gestión del riesgo de desastres. Por ello, en el artículo 31 de la mencionada ley indica que las corporaciones autónomas regionales deberán propender por la articulación de las acciones de adaptación al cambio climático y la de gestión del riesgo de desastres en su territorio, que permita mejorar la gestión ambiental territorial sostenible. De ahí, que deba desarrollar su competencia, entre otras, en el marco de reglas y criterios de ordenamiento ambiental de uso del territorio que para los efectos dicte el Ministerio de Ambiente y Desarrollo Sostenible como ente rector del SINA. </w:t>
      </w:r>
    </w:p>
    <w:p w14:paraId="70EA0245" w14:textId="77777777" w:rsidR="003D3FEA" w:rsidRPr="00131EED" w:rsidRDefault="003D3FEA" w:rsidP="003D3FEA">
      <w:pPr>
        <w:rPr>
          <w:rFonts w:eastAsia="Baskerville Old Face" w:cs="Baskerville Old Face"/>
          <w:lang w:eastAsia="en-US"/>
        </w:rPr>
      </w:pPr>
    </w:p>
    <w:p w14:paraId="5C660188"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 xml:space="preserve">Recientemente el Congreso de la República adoptó la Ley 2476 de 2025 de ciudades verdes, la cual propende por el aumento significativo de la superficie y la calidad de los espacios verdes y azules en zonas urbanas, de expansión urbana, periurbanas y densamente pobladas, entre otras, integrando la biodiversidad en la planificación y gestión de los centros urbanos e implementando las Soluciones basadas en la Naturaleza para lograr ciudades verdes, resilientes y biodiversas en el país. Define en su artículo 3 numeral 2 a las ciudades verdes, resilientes y biodiversas como </w:t>
      </w:r>
      <w:r w:rsidRPr="00131EED">
        <w:rPr>
          <w:rFonts w:eastAsia="Baskerville Old Face" w:cs="Baskerville Old Face"/>
          <w:b/>
          <w:lang w:eastAsia="en-US"/>
        </w:rPr>
        <w:t>“</w:t>
      </w:r>
      <w:r w:rsidRPr="00131EED">
        <w:rPr>
          <w:rFonts w:eastAsia="Baskerville Old Face" w:cs="Baskerville Old Face"/>
          <w:lang w:eastAsia="en-US"/>
        </w:rPr>
        <w:t>aquellos municipios, distritos y áreas metropolitanas que dentro de sus procesos de planeación y adopción de políticas públicas, reconocen, valoran, priorizan e incorporan criterios de adaptación, restauración ecológica, conservación de la biodiversidad y servicios ecosistémicos, maximizando así el bienestar humano, la salud pública y mental; fomentando dinámicas positivas entre la naturaleza, el espacio público y las personas con el fin de mejorar la calidad ambiental y la calidad de vida de las personas.”</w:t>
      </w:r>
    </w:p>
    <w:p w14:paraId="5055B0F9" w14:textId="77777777" w:rsidR="003D3FEA" w:rsidRPr="00131EED" w:rsidRDefault="003D3FEA" w:rsidP="003D3FEA">
      <w:pPr>
        <w:rPr>
          <w:rFonts w:eastAsia="Baskerville Old Face" w:cs="Baskerville Old Face"/>
          <w:lang w:eastAsia="en-US"/>
        </w:rPr>
      </w:pPr>
    </w:p>
    <w:p w14:paraId="02730FE3"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Por su parte, el Decreto 2245 de 2018, “</w:t>
      </w:r>
      <w:r w:rsidRPr="00131EED">
        <w:rPr>
          <w:rFonts w:eastAsia="Baskerville Old Face" w:cs="Baskerville Old Face"/>
          <w:i/>
          <w:lang w:eastAsia="en-US"/>
        </w:rPr>
        <w:t>Por el cual</w:t>
      </w:r>
      <w:r w:rsidRPr="00131EED">
        <w:rPr>
          <w:rFonts w:eastAsia="Baskerville Old Face" w:cs="Baskerville Old Face"/>
          <w:lang w:eastAsia="en-US"/>
        </w:rPr>
        <w:t xml:space="preserve"> </w:t>
      </w:r>
      <w:r w:rsidRPr="00131EED">
        <w:rPr>
          <w:rFonts w:eastAsia="Baskerville Old Face" w:cs="Baskerville Old Face"/>
          <w:i/>
          <w:lang w:eastAsia="en-US"/>
        </w:rPr>
        <w:t>se reglamenta el artículo 206 de la Ley 1450 de 2011 y se adiciona una sección al Decreto 1076 de 2015, Decreto Único Reglamentario del Sector Ambiente y Desarrollo Sostenible, en lo relacionado con el acotamiento de rondas hídricas</w:t>
      </w:r>
      <w:r w:rsidRPr="00131EED">
        <w:rPr>
          <w:rFonts w:eastAsia="Baskerville Old Face" w:cs="Baskerville Old Face"/>
          <w:lang w:eastAsia="en-US"/>
        </w:rPr>
        <w:t xml:space="preserve">" particularmente, en el artículo 2.2.3.2.3A.1. en el objeto y ámbito de aplicación, establece </w:t>
      </w:r>
      <w:r w:rsidRPr="00131EED">
        <w:rPr>
          <w:rFonts w:eastAsia="Baskerville Old Face" w:cs="Baskerville Old Face"/>
          <w:i/>
          <w:lang w:eastAsia="en-US"/>
        </w:rPr>
        <w:t>“los criterios técnicos con base en los cuales las Autoridades Ambientales competentes realizarán los estudios para el acotamiento de las rondas hídricas en el área de su jurisdicción”</w:t>
      </w:r>
      <w:r w:rsidRPr="00131EED">
        <w:rPr>
          <w:rFonts w:eastAsia="Baskerville Old Face" w:cs="Baskerville Old Face"/>
          <w:lang w:eastAsia="en-US"/>
        </w:rPr>
        <w:t xml:space="preserve">, y es enfática en precisar que </w:t>
      </w:r>
      <w:r w:rsidRPr="00131EED">
        <w:rPr>
          <w:rFonts w:eastAsia="Baskerville Old Face" w:cs="Baskerville Old Face"/>
          <w:i/>
          <w:lang w:eastAsia="en-US"/>
        </w:rPr>
        <w:t>“La ronda hídrica se constituye en una norma de superior jerarquía y determinante ambiental</w:t>
      </w:r>
      <w:r w:rsidRPr="00131EED">
        <w:rPr>
          <w:rFonts w:eastAsia="Baskerville Old Face" w:cs="Baskerville Old Face"/>
          <w:lang w:eastAsia="en-US"/>
        </w:rPr>
        <w:t>”.</w:t>
      </w:r>
    </w:p>
    <w:p w14:paraId="13351943" w14:textId="77777777" w:rsidR="003D3FEA" w:rsidRPr="00131EED" w:rsidRDefault="003D3FEA" w:rsidP="003D3FEA">
      <w:pPr>
        <w:rPr>
          <w:rFonts w:eastAsia="Baskerville Old Face" w:cs="Baskerville Old Face"/>
          <w:lang w:eastAsia="en-US"/>
        </w:rPr>
      </w:pPr>
    </w:p>
    <w:p w14:paraId="7716CFBE"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La Resolución No 126 de 2024 del Ministerio de Ambiente y Desarrollo Sostenible determinó el inventario de especies categorizadas como amenazadas, donde se encuentra dicho listado para la Sabana de Bogotá.</w:t>
      </w:r>
    </w:p>
    <w:p w14:paraId="412CA9E7" w14:textId="77777777" w:rsidR="003D3FEA" w:rsidRPr="00131EED" w:rsidRDefault="003D3FEA" w:rsidP="003D3FEA">
      <w:pPr>
        <w:rPr>
          <w:rFonts w:eastAsia="Baskerville Old Face" w:cs="Baskerville Old Face"/>
          <w:lang w:eastAsia="en-US"/>
        </w:rPr>
      </w:pPr>
    </w:p>
    <w:p w14:paraId="697EE2C0" w14:textId="77777777" w:rsidR="003D3FEA" w:rsidRPr="00131EED" w:rsidRDefault="003D3FEA" w:rsidP="003D3FEA">
      <w:pPr>
        <w:rPr>
          <w:rFonts w:eastAsia="Baskerville Old Face" w:cs="Baskerville Old Face"/>
          <w:b/>
          <w:lang w:eastAsia="en-US"/>
        </w:rPr>
      </w:pPr>
      <w:r w:rsidRPr="00131EED">
        <w:rPr>
          <w:rFonts w:eastAsia="Baskerville Old Face" w:cs="Baskerville Old Face"/>
          <w:b/>
          <w:lang w:eastAsia="en-US"/>
        </w:rPr>
        <w:t>Otras normas relevantes</w:t>
      </w:r>
    </w:p>
    <w:p w14:paraId="43CDC5CD" w14:textId="77777777" w:rsidR="003D3FEA" w:rsidRPr="00131EED" w:rsidRDefault="003D3FEA" w:rsidP="003D3FEA">
      <w:pPr>
        <w:rPr>
          <w:rFonts w:eastAsia="Baskerville Old Face" w:cs="Baskerville Old Face"/>
          <w:lang w:eastAsia="en-US"/>
        </w:rPr>
      </w:pPr>
    </w:p>
    <w:p w14:paraId="482A3272"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 xml:space="preserve">Frente a la relevancia de las comunidades étnicas en el ordenamiento territorial, es pertinente señalar que el parágrafo tercero del artículo 32 de la Ley 2294 de 2023 que modifica el artículo 10 de la Ley 388 de 1997 sobre determinantes del ordenamiento territorial, señala que para los territorios y territorialidades indígenas los determinantes del ordenamiento del territorio respetarán y acatarán los principios de la Palabra de Vida, Leyes de Origen, Derecho Mayor, Derecho Propio de cada pueblo y/o comunidad Indígena. Y que, en todo caso, los fundamentos definidos por los pueblos y comunidades indígenas serán vinculantes para todos los actores públicos y privados en sus territorios y territorialidades. </w:t>
      </w:r>
    </w:p>
    <w:p w14:paraId="15DE2B9D" w14:textId="77777777" w:rsidR="003D3FEA" w:rsidRPr="00131EED" w:rsidRDefault="003D3FEA" w:rsidP="003D3FEA">
      <w:pPr>
        <w:rPr>
          <w:rFonts w:eastAsia="Baskerville Old Face" w:cs="Baskerville Old Face"/>
          <w:lang w:eastAsia="en-US"/>
        </w:rPr>
      </w:pPr>
    </w:p>
    <w:p w14:paraId="073BE49B"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El Decreto 1275 de 2024 reconoce y fortalece las competencias ambientales de las autoridades tradicionales indígenas, las autoridades propias de los territorios indígenas, los consejos indígenas, y otras estructuras similares de gobierno propio, en materia de ordenamiento ambiental territorial, determinación de los mecanismos regulatorios, de gestión y gobierno con fines de preservación, conservación, restauración, protección, cuidado, uso y manejo de los recursos naturales. Estas competencias se reconocen en los resguardos indígenas, los territorios indígenas, los territorios ancestrales, las territorialidades y las áreas poseídas por las comunidades que tengan un gobierno propio y hayan solicitado por las respectivas autoridades la puesta en funcionamiento de la entidad territorial indígena.</w:t>
      </w:r>
    </w:p>
    <w:p w14:paraId="1FBDB520" w14:textId="77777777" w:rsidR="003D3FEA" w:rsidRPr="00131EED" w:rsidRDefault="003D3FEA" w:rsidP="003D3FEA">
      <w:pPr>
        <w:rPr>
          <w:rFonts w:eastAsia="Baskerville Old Face" w:cs="Baskerville Old Face"/>
          <w:lang w:eastAsia="en-US"/>
        </w:rPr>
      </w:pPr>
    </w:p>
    <w:p w14:paraId="4BDA438C"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 xml:space="preserve">Como un antecedente de orden local de la integración de los sitios sagrados en el ordenamiento territorial está el plan de ordenamiento territorial del Distrito Capital. El Decreto Distrital 555 de 2021 por medio cual se adopta el plan de ordenamiento territorial de Bogotá D.C.  define en el 80 la Estructura Integradora de Patrimonios en la que se reconocen y valoran las manifestaciones identitarias como la ancestralidad Muisca, que inciden en la caracterización del territorio y la identificación de oficios ancestrales y tradicionales e infraestructura y prácticas culturales, procurando su permanencia. Para concretar lo anterior, el parágrafo 10 del citado artículo 80 dispone que el Distrito propenderá por el reconocimiento y cuidado del sistema de sitios sagrados de la comunidad Muisca. Así, en desarrollo de esta disposición, mediante la Resolución 2664 de 2023 por la cual se reconoce el Sistema de Sitios Sagrados Muiscas – SSSM, el distrito capital adoptó un mapa de sitios sagrados en la ciudad de Bogotá, el cual está conformado por setenta y ocho (78) sitios y/o elementos. </w:t>
      </w:r>
    </w:p>
    <w:p w14:paraId="0F5E312C" w14:textId="77777777" w:rsidR="003D3FEA" w:rsidRPr="00131EED" w:rsidRDefault="003D3FEA" w:rsidP="003D3FEA">
      <w:pPr>
        <w:rPr>
          <w:rFonts w:eastAsia="Baskerville Old Face" w:cs="Baskerville Old Face"/>
          <w:lang w:eastAsia="en-US"/>
        </w:rPr>
      </w:pPr>
    </w:p>
    <w:p w14:paraId="5B0A6ED9" w14:textId="77777777" w:rsidR="002401F8" w:rsidRPr="00131EED" w:rsidRDefault="002401F8" w:rsidP="002401F8">
      <w:pPr>
        <w:rPr>
          <w:rFonts w:eastAsia="Baskerville Old Face" w:cs="Baskerville Old Face"/>
          <w:lang w:eastAsia="en-US"/>
        </w:rPr>
      </w:pPr>
      <w:r w:rsidRPr="00131EED">
        <w:rPr>
          <w:rFonts w:eastAsia="Baskerville Old Face" w:cs="Baskerville Old Face"/>
          <w:lang w:eastAsia="en-US"/>
        </w:rPr>
        <w:t>Es relevante resaltar que para el Pueblo Muysca de Suba, Bosa, Cota, Chía, Tocancipá y Sesquilé, la Sabana de Bogotá es un territorio vivo ancestralmente habitado que constituye el escenario milenario del ordenamiento ambiental, espiritual, cultural y productivo. En este sentido, el territorio está entretejido por una red de elementos materiales y simbólicos como camellones, caminos ancestrales, cercados, humedales, acuíferos, chupquas, quebradas, lagunas y nacimientos de agua que estructuran un sistema territorial regido por el calendario espiritual, ambiental y agrícola indígena. Por ello, para el Pueblo Muysca, proteger los sitios sagrados es salvaguardar la continuidad espiritual, cultural y física de un pueblo que sigue habitando y dialogando con su territorio vivo (Radicado No. 2025E1-024630).</w:t>
      </w:r>
    </w:p>
    <w:p w14:paraId="78A9356F" w14:textId="77777777" w:rsidR="003D3FEA" w:rsidRPr="00131EED" w:rsidRDefault="003D3FEA" w:rsidP="003D3FEA">
      <w:pPr>
        <w:rPr>
          <w:rFonts w:eastAsia="Baskerville Old Face" w:cs="Baskerville Old Face"/>
          <w:lang w:eastAsia="en-US"/>
        </w:rPr>
      </w:pPr>
    </w:p>
    <w:p w14:paraId="457F02B3" w14:textId="77777777" w:rsidR="00E93F4D" w:rsidRPr="00131EED" w:rsidRDefault="00E93F4D" w:rsidP="00E93F4D">
      <w:pPr>
        <w:rPr>
          <w:rFonts w:eastAsia="Baskerville Old Face" w:cs="Baskerville Old Face"/>
          <w:lang w:eastAsia="en-US"/>
        </w:rPr>
      </w:pPr>
      <w:r w:rsidRPr="00131EED">
        <w:rPr>
          <w:rFonts w:eastAsia="Baskerville Old Face" w:cs="Baskerville Old Face"/>
          <w:lang w:eastAsia="en-US"/>
        </w:rPr>
        <w:t xml:space="preserve">Por su parte, en materia de otros sectores como el Ministerio de Agricultura y Desarrollo Rural, en desarrollo de la Ley 2294 de 2023, expidió la Resolución 507 de 2023 </w:t>
      </w:r>
      <w:r w:rsidRPr="00131EED">
        <w:rPr>
          <w:rFonts w:eastAsia="Baskerville Old Face" w:cs="Baskerville Old Face"/>
          <w:i/>
          <w:lang w:eastAsia="en-US"/>
        </w:rPr>
        <w:t>“Por la cual se identifica una Zona de Protección para la Producción de Alimentos en la provincia Sabana Centro del Departamento de Cundinamarca (…)</w:t>
      </w:r>
      <w:r w:rsidRPr="00131EED">
        <w:rPr>
          <w:rFonts w:eastAsia="Baskerville Old Face" w:cs="Baskerville Old Face"/>
          <w:lang w:eastAsia="en-US"/>
        </w:rPr>
        <w:t xml:space="preserve">”, donde se propone fortalecer el nivel 2 del artículo 10° de la Ley 388 de 1997, con el objetivo de proteger el derecho humano a la alimentación considerando la forma en la que transformación productiva se relaciona  con el ambiente, sustentada en el conocimiento del ciclo del agua y en las formas de ocupar el territorio en armonía con la naturaleza, recociendo a la Sabana de Bogotá como un activo del país para la gobernanza. En desarrollo de estas disposiciones, el 13 de agosto de 2025 dicho Ministerio adoptó la Resolución 266 de 2025 por medio de la cual declaró el Área de Protección para la Producción de Alimentos (APPA) en el municipio de Sopó de la Provincia de Sabana Centro ubicado en el departamento de Cundinamarca, como una medida constitucionalmente legítima, razonable y proporcionada para la garantía del derecho a la alimentación en el marco de las determinantes del ordenamiento territorial. </w:t>
      </w:r>
    </w:p>
    <w:p w14:paraId="0B886ADA" w14:textId="77777777" w:rsidR="003D3FEA" w:rsidRPr="00131EED" w:rsidRDefault="003D3FEA" w:rsidP="003D3FEA">
      <w:pPr>
        <w:rPr>
          <w:rFonts w:eastAsia="Baskerville Old Face" w:cs="Baskerville Old Face"/>
          <w:lang w:eastAsia="en-US"/>
        </w:rPr>
      </w:pPr>
    </w:p>
    <w:p w14:paraId="0B77D1C4" w14:textId="77777777" w:rsidR="003D3FEA" w:rsidRPr="00131EED" w:rsidRDefault="003D3FEA" w:rsidP="003D3FEA">
      <w:pPr>
        <w:rPr>
          <w:rFonts w:eastAsia="Baskerville Old Face" w:cs="Baskerville Old Face"/>
          <w:b/>
          <w:lang w:eastAsia="en-US"/>
        </w:rPr>
      </w:pPr>
      <w:r w:rsidRPr="00131EED">
        <w:rPr>
          <w:rFonts w:eastAsia="Baskerville Old Face" w:cs="Baskerville Old Face"/>
          <w:b/>
          <w:lang w:eastAsia="en-US"/>
        </w:rPr>
        <w:t xml:space="preserve">Decisiones judiciales relacionadas con la expedición de la resolución </w:t>
      </w:r>
    </w:p>
    <w:p w14:paraId="0EB6F1E5" w14:textId="77777777" w:rsidR="003D3FEA" w:rsidRPr="00131EED" w:rsidRDefault="003D3FEA" w:rsidP="003D3FEA">
      <w:pPr>
        <w:rPr>
          <w:rFonts w:eastAsia="Baskerville Old Face" w:cs="Baskerville Old Face"/>
          <w:lang w:eastAsia="en-US"/>
        </w:rPr>
      </w:pPr>
    </w:p>
    <w:p w14:paraId="1B6A9FAE"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 xml:space="preserve">El 14 de marzo de 2025 el Tribunal Administrativo de Cundinamarca, Sección Cuarta, Subsección B, ordenó, en el marco del seguimiento al cumplimiento del fallo de 2014 sobre la descontaminación del río Bogotá que:  </w:t>
      </w:r>
    </w:p>
    <w:p w14:paraId="647CA69B" w14:textId="77777777" w:rsidR="003D3FEA" w:rsidRPr="00131EED" w:rsidRDefault="003D3FEA" w:rsidP="003D3FEA">
      <w:pPr>
        <w:rPr>
          <w:rFonts w:eastAsia="Baskerville Old Face" w:cs="Baskerville Old Face"/>
          <w:lang w:eastAsia="en-US"/>
        </w:rPr>
      </w:pPr>
    </w:p>
    <w:p w14:paraId="1D1084B1"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w:t>
      </w:r>
      <w:r w:rsidRPr="00131EED">
        <w:rPr>
          <w:rFonts w:eastAsia="Baskerville Old Face" w:cs="Baskerville Old Face"/>
          <w:b/>
          <w:i/>
          <w:lang w:eastAsia="en-US"/>
        </w:rPr>
        <w:t xml:space="preserve">DECRÉTASE </w:t>
      </w:r>
      <w:r w:rsidRPr="00131EED">
        <w:rPr>
          <w:rFonts w:eastAsia="Baskerville Old Face" w:cs="Baskerville Old Face"/>
          <w:i/>
          <w:lang w:eastAsia="en-US"/>
        </w:rPr>
        <w:t>como medida cautelar provisional que se reinicie y agoten las etapas de que da cuenta la parte motiva de esta providencia, haciendo hincapié́ que los documentos y pruebas técnicas practicadas deberán someterse a la contradicción de los sujetos y entidades que no tuvieron la oportunidad de ser oídos y de controvertirlos y contradecirlos en los términos del inciso segundo del artículo 138 del Código General del Proceso.”</w:t>
      </w:r>
    </w:p>
    <w:p w14:paraId="1DBF41DC" w14:textId="77777777" w:rsidR="003D3FEA" w:rsidRPr="00131EED" w:rsidRDefault="003D3FEA" w:rsidP="003D3FEA">
      <w:pPr>
        <w:rPr>
          <w:rFonts w:eastAsia="Baskerville Old Face" w:cs="Baskerville Old Face"/>
          <w:lang w:eastAsia="en-US"/>
        </w:rPr>
      </w:pPr>
    </w:p>
    <w:p w14:paraId="4D4E5A4E" w14:textId="73CCF65C"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 xml:space="preserve">En el marco del cumplimiento de dicha orden el </w:t>
      </w:r>
      <w:r w:rsidR="000D7722" w:rsidRPr="00131EED">
        <w:rPr>
          <w:rFonts w:eastAsia="Baskerville Old Face" w:cs="Baskerville Old Face"/>
          <w:lang w:eastAsia="en-US"/>
        </w:rPr>
        <w:t>Ministerio</w:t>
      </w:r>
      <w:r w:rsidRPr="00131EED">
        <w:rPr>
          <w:rFonts w:eastAsia="Baskerville Old Face" w:cs="Baskerville Old Face"/>
          <w:lang w:eastAsia="en-US"/>
        </w:rPr>
        <w:t xml:space="preserve"> de Ambiente y Desarrollo Sostenible amplió los espacios de participación y coordinación. A partir de dicho reinicio adelantó más de 50 mesas de articulación y coordinación, así como más de 50 espacios de participación e información sobre el proyecto de resolución. </w:t>
      </w:r>
    </w:p>
    <w:p w14:paraId="51EB43D1" w14:textId="77777777" w:rsidR="003D3FEA" w:rsidRPr="00131EED" w:rsidRDefault="003D3FEA" w:rsidP="003D3FEA">
      <w:pPr>
        <w:rPr>
          <w:rFonts w:eastAsia="Baskerville Old Face" w:cs="Baskerville Old Face"/>
          <w:lang w:eastAsia="en-US"/>
        </w:rPr>
      </w:pPr>
    </w:p>
    <w:p w14:paraId="49958ED4" w14:textId="77777777" w:rsidR="003D3FEA" w:rsidRPr="00131EED" w:rsidRDefault="003D3FEA" w:rsidP="003D3FEA">
      <w:pPr>
        <w:rPr>
          <w:rFonts w:eastAsia="Baskerville Old Face" w:cs="Baskerville Old Face"/>
          <w:lang w:eastAsia="en-US"/>
        </w:rPr>
      </w:pPr>
      <w:r w:rsidRPr="00131EED">
        <w:rPr>
          <w:rFonts w:eastAsia="Baskerville Old Face" w:cs="Baskerville Old Face"/>
          <w:lang w:eastAsia="en-US"/>
        </w:rPr>
        <w:t xml:space="preserve">El 26 de junio de 2025 el Consejo de Estado modificó la medida cautelar decretada el 14 de marzo de 2025 por el Tribunal Administrativo de Cundinamarca, Sección Cuarta, Subsección B, y ordenó en el marco del cumplimiento del fallo de 2014 sobre la descontaminación del río Bogotá que: </w:t>
      </w:r>
    </w:p>
    <w:p w14:paraId="0995360F" w14:textId="77777777" w:rsidR="003D3FEA" w:rsidRPr="00131EED" w:rsidRDefault="003D3FEA" w:rsidP="003D3FEA">
      <w:pPr>
        <w:rPr>
          <w:rFonts w:eastAsia="Baskerville Old Face" w:cs="Baskerville Old Face"/>
          <w:lang w:eastAsia="en-US"/>
        </w:rPr>
      </w:pPr>
    </w:p>
    <w:p w14:paraId="3C478529" w14:textId="77777777" w:rsidR="003D3FEA" w:rsidRPr="00131EED" w:rsidRDefault="003D3FEA" w:rsidP="003D3FEA">
      <w:pPr>
        <w:rPr>
          <w:rFonts w:eastAsia="Baskerville Old Face" w:cs="Baskerville Old Face"/>
          <w:i/>
          <w:lang w:eastAsia="en-US"/>
        </w:rPr>
      </w:pPr>
      <w:r w:rsidRPr="00131EED">
        <w:rPr>
          <w:rFonts w:eastAsia="Baskerville Old Face" w:cs="Baskerville Old Face"/>
          <w:b/>
          <w:i/>
          <w:lang w:eastAsia="en-US"/>
        </w:rPr>
        <w:t xml:space="preserve">MODIFICAR </w:t>
      </w:r>
      <w:r w:rsidRPr="00131EED">
        <w:rPr>
          <w:rFonts w:eastAsia="Baskerville Old Face" w:cs="Baskerville Old Face"/>
          <w:i/>
          <w:lang w:eastAsia="en-US"/>
        </w:rPr>
        <w:t xml:space="preserve">el ordinal segundo de la providencia de 14 de marzo de 2025, proferida por la </w:t>
      </w:r>
      <w:r w:rsidRPr="00131EED">
        <w:rPr>
          <w:rFonts w:eastAsia="Baskerville Old Face" w:cs="Baskerville Old Face"/>
          <w:b/>
          <w:i/>
          <w:lang w:eastAsia="en-US"/>
        </w:rPr>
        <w:t>SECCIÓN CUARTA -SUBSECCIÓN “B”- DEL TRIBUNAL ADMINISTRATIVO DE CUNDINAMARCA</w:t>
      </w:r>
      <w:r w:rsidRPr="00131EED">
        <w:rPr>
          <w:rFonts w:eastAsia="Baskerville Old Face" w:cs="Baskerville Old Face"/>
          <w:i/>
          <w:lang w:eastAsia="en-US"/>
        </w:rPr>
        <w:t xml:space="preserve">, el cual quedará así: </w:t>
      </w:r>
    </w:p>
    <w:p w14:paraId="1ECC5A13" w14:textId="77777777" w:rsidR="003D3FEA" w:rsidRPr="00131EED" w:rsidRDefault="003D3FEA" w:rsidP="003D3FEA">
      <w:pPr>
        <w:rPr>
          <w:rFonts w:eastAsia="Baskerville Old Face" w:cs="Baskerville Old Face"/>
          <w:lang w:eastAsia="en-US"/>
        </w:rPr>
      </w:pPr>
    </w:p>
    <w:p w14:paraId="20A85F20" w14:textId="77777777" w:rsidR="003D3FEA" w:rsidRPr="00131EED" w:rsidRDefault="003D3FEA" w:rsidP="003D3FEA">
      <w:pPr>
        <w:rPr>
          <w:rFonts w:eastAsia="Baskerville Old Face" w:cs="Baskerville Old Face"/>
          <w:i/>
          <w:lang w:eastAsia="en-US"/>
        </w:rPr>
      </w:pPr>
      <w:r w:rsidRPr="00131EED">
        <w:rPr>
          <w:rFonts w:eastAsia="Baskerville Old Face" w:cs="Baskerville Old Face"/>
          <w:i/>
          <w:lang w:eastAsia="en-US"/>
        </w:rPr>
        <w:t xml:space="preserve">“[...] </w:t>
      </w:r>
      <w:r w:rsidRPr="00131EED">
        <w:rPr>
          <w:rFonts w:eastAsia="Baskerville Old Face" w:cs="Baskerville Old Face"/>
          <w:b/>
          <w:i/>
          <w:lang w:eastAsia="en-US"/>
        </w:rPr>
        <w:t xml:space="preserve">SEGUNDO: DECRETAR </w:t>
      </w:r>
      <w:r w:rsidRPr="00131EED">
        <w:rPr>
          <w:rFonts w:eastAsia="Baskerville Old Face" w:cs="Baskerville Old Face"/>
          <w:i/>
          <w:lang w:eastAsia="en-US"/>
        </w:rPr>
        <w:t>como medida cautelar que la Secretaría Técnica del Consejo Estratégico de la Cuenca Hidrográfica del Río Bogotá - CECH convoque a una reunión, en los términos del Acuerdo 08 de 16 de octubre de 2020, para que se discutan los efectos del proyecto de resolución que define los lineamientos para el ordenamiento ambiental de la sabana de Bogotá en el marco del cumplimiento de la sentencia de 28 de marzo de 2014.”</w:t>
      </w:r>
    </w:p>
    <w:p w14:paraId="76560864" w14:textId="77777777" w:rsidR="003D3FEA" w:rsidRPr="00131EED" w:rsidRDefault="003D3FEA" w:rsidP="003D3FEA">
      <w:pPr>
        <w:rPr>
          <w:rFonts w:eastAsia="Baskerville Old Face" w:cs="Baskerville Old Face"/>
          <w:i/>
          <w:lang w:eastAsia="en-US"/>
        </w:rPr>
      </w:pPr>
    </w:p>
    <w:p w14:paraId="40F4197D" w14:textId="15EAF3DF" w:rsidR="00486ED4" w:rsidRPr="00131EED" w:rsidRDefault="00486ED4" w:rsidP="00486ED4">
      <w:pPr>
        <w:rPr>
          <w:rFonts w:eastAsia="Baskerville Old Face" w:cs="Baskerville Old Face"/>
          <w:lang w:eastAsia="en-US"/>
        </w:rPr>
      </w:pPr>
      <w:r w:rsidRPr="00131EED">
        <w:rPr>
          <w:rFonts w:eastAsia="Baskerville Old Face" w:cs="Baskerville Old Face"/>
          <w:lang w:eastAsia="en-US"/>
        </w:rPr>
        <w:t>En cumplimiento de la anterior orden, el Ministerio de Ambiente y Desarrollo Sostenible realiz</w:t>
      </w:r>
      <w:r w:rsidR="007738CF">
        <w:rPr>
          <w:rFonts w:eastAsia="Baskerville Old Face" w:cs="Baskerville Old Face"/>
          <w:lang w:eastAsia="en-US"/>
        </w:rPr>
        <w:t>ó</w:t>
      </w:r>
      <w:r w:rsidRPr="00131EED">
        <w:rPr>
          <w:rFonts w:eastAsia="Baskerville Old Face" w:cs="Baskerville Old Face"/>
          <w:lang w:eastAsia="en-US"/>
        </w:rPr>
        <w:t xml:space="preserve"> la reunión del Consejo Estratégico de Cuenca Hidrográfica CECH para discutir los efectos del proyecto de resolución que define directrices para el ordenamiento ambiental de la Sabana de Bogotá. </w:t>
      </w:r>
    </w:p>
    <w:p w14:paraId="016A2442" w14:textId="77777777" w:rsidR="003D3FEA" w:rsidRPr="00131EED" w:rsidRDefault="003D3FEA" w:rsidP="003D3FEA">
      <w:pPr>
        <w:rPr>
          <w:lang w:eastAsia="en-US"/>
        </w:rPr>
      </w:pPr>
    </w:p>
    <w:p w14:paraId="6F6E15BF" w14:textId="77777777" w:rsidR="00486ED4" w:rsidRPr="00131EED" w:rsidRDefault="00486ED4" w:rsidP="003D3FEA">
      <w:pPr>
        <w:rPr>
          <w:lang w:eastAsia="en-US"/>
        </w:rPr>
      </w:pPr>
    </w:p>
    <w:p w14:paraId="10E07FD1" w14:textId="77777777" w:rsidR="00486ED4" w:rsidRPr="00131EED" w:rsidRDefault="00486ED4" w:rsidP="003D3FEA">
      <w:pPr>
        <w:rPr>
          <w:lang w:eastAsia="en-US"/>
        </w:rPr>
      </w:pPr>
    </w:p>
    <w:p w14:paraId="40F8D370" w14:textId="77777777" w:rsidR="00486ED4" w:rsidRPr="00131EED" w:rsidRDefault="00486ED4" w:rsidP="003D3FEA">
      <w:pPr>
        <w:rPr>
          <w:lang w:eastAsia="en-US"/>
        </w:rPr>
      </w:pPr>
    </w:p>
    <w:p w14:paraId="7CAE6D63" w14:textId="77777777" w:rsidR="00486ED4" w:rsidRPr="00131EED" w:rsidRDefault="00486ED4" w:rsidP="003D3FEA">
      <w:pPr>
        <w:rPr>
          <w:lang w:eastAsia="en-US"/>
        </w:rPr>
      </w:pPr>
    </w:p>
    <w:p w14:paraId="143E17EC" w14:textId="77777777" w:rsidR="00486ED4" w:rsidRPr="00131EED" w:rsidRDefault="00486ED4" w:rsidP="003D3FEA">
      <w:pPr>
        <w:rPr>
          <w:lang w:eastAsia="en-US"/>
        </w:rPr>
      </w:pPr>
    </w:p>
    <w:p w14:paraId="056FA6E7" w14:textId="77777777" w:rsidR="00486ED4" w:rsidRPr="00131EED" w:rsidRDefault="00486ED4" w:rsidP="003D3FEA">
      <w:pPr>
        <w:rPr>
          <w:lang w:eastAsia="en-US"/>
        </w:rPr>
      </w:pPr>
    </w:p>
    <w:p w14:paraId="0C11284F" w14:textId="77777777" w:rsidR="00486ED4" w:rsidRPr="00131EED" w:rsidRDefault="00486ED4" w:rsidP="003D3FEA">
      <w:pPr>
        <w:rPr>
          <w:lang w:eastAsia="en-US"/>
        </w:rPr>
      </w:pPr>
    </w:p>
    <w:p w14:paraId="13D33603" w14:textId="77777777" w:rsidR="00486ED4" w:rsidRPr="00131EED" w:rsidRDefault="00486ED4" w:rsidP="003D3FEA">
      <w:pPr>
        <w:rPr>
          <w:lang w:eastAsia="en-US"/>
        </w:rPr>
      </w:pPr>
    </w:p>
    <w:p w14:paraId="300974C4" w14:textId="77777777" w:rsidR="00486ED4" w:rsidRPr="00131EED" w:rsidRDefault="00486ED4" w:rsidP="003D3FEA">
      <w:pPr>
        <w:rPr>
          <w:lang w:eastAsia="en-US"/>
        </w:rPr>
      </w:pPr>
    </w:p>
    <w:p w14:paraId="7AB1EEC3" w14:textId="77777777" w:rsidR="00486ED4" w:rsidRPr="00131EED" w:rsidRDefault="00486ED4" w:rsidP="003D3FEA">
      <w:pPr>
        <w:rPr>
          <w:lang w:eastAsia="en-US"/>
        </w:rPr>
      </w:pPr>
    </w:p>
    <w:p w14:paraId="008A5EAA" w14:textId="77777777" w:rsidR="00486ED4" w:rsidRPr="00131EED" w:rsidRDefault="00486ED4" w:rsidP="003D3FEA">
      <w:pPr>
        <w:rPr>
          <w:lang w:eastAsia="en-US"/>
        </w:rPr>
      </w:pPr>
    </w:p>
    <w:p w14:paraId="5705697B" w14:textId="77777777" w:rsidR="00486ED4" w:rsidRPr="00131EED" w:rsidRDefault="00486ED4" w:rsidP="003D3FEA">
      <w:pPr>
        <w:rPr>
          <w:lang w:eastAsia="en-US"/>
        </w:rPr>
      </w:pPr>
    </w:p>
    <w:p w14:paraId="43657A2E" w14:textId="77777777" w:rsidR="00486ED4" w:rsidRPr="00131EED" w:rsidRDefault="00486ED4" w:rsidP="003D3FEA">
      <w:pPr>
        <w:rPr>
          <w:lang w:eastAsia="en-US"/>
        </w:rPr>
      </w:pPr>
    </w:p>
    <w:p w14:paraId="397A9754" w14:textId="77777777" w:rsidR="00486ED4" w:rsidRPr="00131EED" w:rsidRDefault="00486ED4" w:rsidP="003D3FEA">
      <w:pPr>
        <w:rPr>
          <w:lang w:eastAsia="en-US"/>
        </w:rPr>
      </w:pPr>
    </w:p>
    <w:p w14:paraId="057A3652" w14:textId="77777777" w:rsidR="00486ED4" w:rsidRPr="00131EED" w:rsidRDefault="00486ED4" w:rsidP="003D3FEA">
      <w:pPr>
        <w:rPr>
          <w:lang w:eastAsia="en-US"/>
        </w:rPr>
      </w:pPr>
    </w:p>
    <w:p w14:paraId="7A548852" w14:textId="77777777" w:rsidR="00486ED4" w:rsidRPr="00131EED" w:rsidRDefault="00486ED4" w:rsidP="003D3FEA">
      <w:pPr>
        <w:rPr>
          <w:lang w:eastAsia="en-US"/>
        </w:rPr>
      </w:pPr>
    </w:p>
    <w:p w14:paraId="1DF15233" w14:textId="77777777" w:rsidR="00486ED4" w:rsidRPr="00131EED" w:rsidRDefault="00486ED4" w:rsidP="003D3FEA">
      <w:pPr>
        <w:rPr>
          <w:lang w:eastAsia="en-US"/>
        </w:rPr>
      </w:pPr>
    </w:p>
    <w:p w14:paraId="52C0584C" w14:textId="77777777" w:rsidR="00486ED4" w:rsidRPr="00131EED" w:rsidRDefault="00486ED4" w:rsidP="003D3FEA">
      <w:pPr>
        <w:rPr>
          <w:lang w:eastAsia="en-US"/>
        </w:rPr>
      </w:pPr>
    </w:p>
    <w:p w14:paraId="317B05F9" w14:textId="77777777" w:rsidR="00486ED4" w:rsidRPr="00131EED" w:rsidRDefault="00486ED4" w:rsidP="003D3FEA">
      <w:pPr>
        <w:rPr>
          <w:lang w:eastAsia="en-US"/>
        </w:rPr>
      </w:pPr>
    </w:p>
    <w:p w14:paraId="522F2E50" w14:textId="77777777" w:rsidR="00486ED4" w:rsidRPr="00131EED" w:rsidRDefault="00486ED4" w:rsidP="003D3FEA">
      <w:pPr>
        <w:rPr>
          <w:lang w:eastAsia="en-US"/>
        </w:rPr>
      </w:pPr>
    </w:p>
    <w:p w14:paraId="5067B22F" w14:textId="77777777" w:rsidR="00486ED4" w:rsidRPr="00131EED" w:rsidRDefault="00486ED4" w:rsidP="003D3FEA">
      <w:pPr>
        <w:rPr>
          <w:lang w:eastAsia="en-US"/>
        </w:rPr>
      </w:pPr>
    </w:p>
    <w:p w14:paraId="65C859A4" w14:textId="77777777" w:rsidR="00486ED4" w:rsidRPr="00131EED" w:rsidRDefault="00486ED4" w:rsidP="003D3FEA">
      <w:pPr>
        <w:rPr>
          <w:lang w:eastAsia="en-US"/>
        </w:rPr>
      </w:pPr>
    </w:p>
    <w:p w14:paraId="421706D6" w14:textId="77777777" w:rsidR="00486ED4" w:rsidRPr="00131EED" w:rsidRDefault="00486ED4" w:rsidP="003D3FEA">
      <w:pPr>
        <w:rPr>
          <w:lang w:eastAsia="en-US"/>
        </w:rPr>
      </w:pPr>
    </w:p>
    <w:p w14:paraId="008DD530" w14:textId="77777777" w:rsidR="00486ED4" w:rsidRPr="00131EED" w:rsidRDefault="00486ED4" w:rsidP="003D3FEA">
      <w:pPr>
        <w:rPr>
          <w:lang w:eastAsia="en-US"/>
        </w:rPr>
      </w:pPr>
    </w:p>
    <w:p w14:paraId="754F3A25" w14:textId="77777777" w:rsidR="00486ED4" w:rsidRPr="00131EED" w:rsidRDefault="00486ED4" w:rsidP="003D3FEA">
      <w:pPr>
        <w:rPr>
          <w:lang w:eastAsia="en-US"/>
        </w:rPr>
      </w:pPr>
    </w:p>
    <w:p w14:paraId="0E938B40" w14:textId="77777777" w:rsidR="00486ED4" w:rsidRPr="00131EED" w:rsidRDefault="00486ED4" w:rsidP="003D3FEA">
      <w:pPr>
        <w:rPr>
          <w:lang w:eastAsia="en-US"/>
        </w:rPr>
      </w:pPr>
    </w:p>
    <w:p w14:paraId="547E4435" w14:textId="77777777" w:rsidR="00486ED4" w:rsidRPr="00131EED" w:rsidRDefault="00486ED4" w:rsidP="003D3FEA">
      <w:pPr>
        <w:rPr>
          <w:lang w:eastAsia="en-US"/>
        </w:rPr>
      </w:pPr>
    </w:p>
    <w:p w14:paraId="567BA655" w14:textId="77777777" w:rsidR="00486ED4" w:rsidRPr="00131EED" w:rsidRDefault="00486ED4" w:rsidP="003D3FEA">
      <w:pPr>
        <w:rPr>
          <w:lang w:eastAsia="en-US"/>
        </w:rPr>
      </w:pPr>
    </w:p>
    <w:p w14:paraId="4D80144E" w14:textId="77777777" w:rsidR="00486ED4" w:rsidRPr="00131EED" w:rsidRDefault="00486ED4" w:rsidP="003D3FEA">
      <w:pPr>
        <w:rPr>
          <w:lang w:eastAsia="en-US"/>
        </w:rPr>
      </w:pPr>
    </w:p>
    <w:p w14:paraId="6B492BF7" w14:textId="77777777" w:rsidR="00486ED4" w:rsidRPr="00131EED" w:rsidRDefault="00486ED4" w:rsidP="003D3FEA">
      <w:pPr>
        <w:rPr>
          <w:lang w:eastAsia="en-US"/>
        </w:rPr>
      </w:pPr>
    </w:p>
    <w:p w14:paraId="41CE24BB" w14:textId="77777777" w:rsidR="00486ED4" w:rsidRPr="00131EED" w:rsidRDefault="00486ED4" w:rsidP="003D3FEA">
      <w:pPr>
        <w:rPr>
          <w:lang w:eastAsia="en-US"/>
        </w:rPr>
      </w:pPr>
    </w:p>
    <w:p w14:paraId="529A9367" w14:textId="77777777" w:rsidR="00A668C3" w:rsidRPr="00131EED" w:rsidRDefault="00A668C3" w:rsidP="003D3FEA">
      <w:pPr>
        <w:rPr>
          <w:lang w:eastAsia="en-US"/>
        </w:rPr>
      </w:pPr>
    </w:p>
    <w:p w14:paraId="5AFE74DD" w14:textId="583FAAA8" w:rsidR="003F3C4B" w:rsidRPr="00131EED" w:rsidRDefault="00B9208D" w:rsidP="00410194">
      <w:pPr>
        <w:pStyle w:val="Heading1"/>
        <w:numPr>
          <w:ilvl w:val="0"/>
          <w:numId w:val="31"/>
        </w:numPr>
      </w:pPr>
      <w:bookmarkStart w:id="11" w:name="_Toc216468676"/>
      <w:r w:rsidRPr="00131EED">
        <w:t xml:space="preserve">PROPÓSITO Y OBJETO DE LAS DIRECTRICES DE ORDENAMIENTO </w:t>
      </w:r>
      <w:bookmarkEnd w:id="5"/>
      <w:r w:rsidRPr="00131EED">
        <w:t>AMBIENTAL</w:t>
      </w:r>
      <w:bookmarkEnd w:id="11"/>
    </w:p>
    <w:p w14:paraId="6ED6287C" w14:textId="77777777" w:rsidR="003F3C4B" w:rsidRPr="00131EED" w:rsidRDefault="003F3C4B" w:rsidP="003F3C4B">
      <w:pPr>
        <w:rPr>
          <w:rFonts w:ascii="Baskerville" w:hAnsi="Baskerville" w:cs="Arial"/>
        </w:rPr>
      </w:pPr>
    </w:p>
    <w:p w14:paraId="28DC13F6" w14:textId="68EB601B" w:rsidR="003F3C4B" w:rsidRPr="00131EED" w:rsidRDefault="003F3C4B" w:rsidP="00F84345">
      <w:pPr>
        <w:rPr>
          <w:rFonts w:eastAsia="Baskerville Old Face" w:cs="Baskerville Old Face"/>
        </w:rPr>
      </w:pPr>
      <w:r w:rsidRPr="00131EED">
        <w:rPr>
          <w:rFonts w:eastAsia="Baskerville Old Face" w:cs="Baskerville Old Face"/>
        </w:rPr>
        <w:t>Estas directrices se han construido con diversos insumos técnicos, científicos y sociales, generados en estudios</w:t>
      </w:r>
      <w:r w:rsidR="0026652D" w:rsidRPr="00131EED">
        <w:rPr>
          <w:rFonts w:eastAsia="Baskerville Old Face" w:cs="Baskerville Old Face"/>
        </w:rPr>
        <w:t xml:space="preserve"> regionales</w:t>
      </w:r>
      <w:r w:rsidRPr="00131EED">
        <w:rPr>
          <w:rFonts w:eastAsia="Baskerville Old Face" w:cs="Baskerville Old Face"/>
        </w:rPr>
        <w:t>, asambleas ciudadanas, aportes</w:t>
      </w:r>
      <w:r w:rsidR="0026652D" w:rsidRPr="00131EED">
        <w:rPr>
          <w:rFonts w:eastAsia="Baskerville Old Face" w:cs="Baskerville Old Face"/>
        </w:rPr>
        <w:t xml:space="preserve"> de las entidades territoriales, entre otros</w:t>
      </w:r>
      <w:r w:rsidRPr="00131EED">
        <w:rPr>
          <w:rFonts w:eastAsia="Baskerville Old Face" w:cs="Baskerville Old Face"/>
        </w:rPr>
        <w:t xml:space="preserve">; en dicho proceso se ha consolidado una visión compartida de futuro, entendida como el propósito central de la transformación y del cambio que se pretende para un mejor ordenamiento y gobernanza alrededor del agua en la sabana de Bogotá. </w:t>
      </w:r>
    </w:p>
    <w:p w14:paraId="1DF68209" w14:textId="77777777" w:rsidR="003F3C4B" w:rsidRPr="00131EED" w:rsidRDefault="003F3C4B" w:rsidP="003F3C4B">
      <w:pPr>
        <w:rPr>
          <w:rFonts w:eastAsia="Baskerville Old Face" w:cs="Baskerville Old Face"/>
        </w:rPr>
      </w:pPr>
    </w:p>
    <w:p w14:paraId="14E7598E" w14:textId="581B8621" w:rsidR="003F3C4B" w:rsidRPr="00131EED" w:rsidRDefault="003F3C4B" w:rsidP="003F3C4B">
      <w:pPr>
        <w:rPr>
          <w:rFonts w:eastAsia="Baskerville Old Face" w:cs="Baskerville Old Face"/>
          <w:b/>
          <w:i/>
        </w:rPr>
      </w:pPr>
      <w:r w:rsidRPr="00131EED">
        <w:rPr>
          <w:rFonts w:eastAsia="Baskerville Old Face" w:cs="Baskerville Old Face"/>
        </w:rPr>
        <w:t xml:space="preserve">El propósito del cambio o visión de futuro que se plantea desde las directrices es: </w:t>
      </w:r>
      <w:r w:rsidRPr="00131EED">
        <w:rPr>
          <w:rFonts w:eastAsia="Baskerville Old Face" w:cs="Baskerville Old Face"/>
          <w:b/>
          <w:i/>
        </w:rPr>
        <w:t>una Sabana que transita hacia la armonización de su ocupación alrededor del agua, para enfrentar la crisis ambiental y garantizar el interés ecológico nacional y su destinación prioritaria agropecuaria y forestal con justicia ambiental</w:t>
      </w:r>
      <w:r w:rsidR="000F4601" w:rsidRPr="00131EED">
        <w:rPr>
          <w:rFonts w:eastAsia="Baskerville Old Face" w:cs="Baskerville Old Face"/>
          <w:b/>
          <w:i/>
        </w:rPr>
        <w:t>.</w:t>
      </w:r>
    </w:p>
    <w:p w14:paraId="0A635E9A" w14:textId="77777777" w:rsidR="003F3C4B" w:rsidRPr="00131EED" w:rsidRDefault="003F3C4B" w:rsidP="003F3C4B">
      <w:pPr>
        <w:rPr>
          <w:rFonts w:eastAsia="Baskerville Old Face" w:cs="Baskerville Old Face"/>
        </w:rPr>
      </w:pPr>
    </w:p>
    <w:p w14:paraId="2130EE66" w14:textId="77777777" w:rsidR="003F3C4B" w:rsidRPr="00131EED" w:rsidRDefault="003F3C4B" w:rsidP="003F3C4B">
      <w:pPr>
        <w:rPr>
          <w:rFonts w:eastAsia="Baskerville Old Face" w:cs="Baskerville Old Face"/>
        </w:rPr>
      </w:pPr>
      <w:r w:rsidRPr="00131EED">
        <w:rPr>
          <w:rFonts w:eastAsia="Baskerville Old Face" w:cs="Baskerville Old Face"/>
        </w:rPr>
        <w:t>Se busca impactar positivamente el territorio a corto, mediano y largo plazo para detener y revertir la degradación ambiental expresada en su alta transformación; para ello, se generan directrices para orientar el uso adecuado y la ocupación de la Sabana de Bogotá cuyo objeto es:</w:t>
      </w:r>
    </w:p>
    <w:p w14:paraId="6D367839" w14:textId="77777777" w:rsidR="003F3C4B" w:rsidRPr="00131EED" w:rsidRDefault="003F3C4B" w:rsidP="003F3C4B">
      <w:pPr>
        <w:rPr>
          <w:rFonts w:eastAsia="Baskerville Old Face" w:cs="Baskerville Old Face"/>
        </w:rPr>
      </w:pPr>
    </w:p>
    <w:p w14:paraId="5DAF133F" w14:textId="05C8D4DA" w:rsidR="003F3C4B" w:rsidRPr="00131EED" w:rsidRDefault="003F3C4B" w:rsidP="003F3C4B">
      <w:pPr>
        <w:rPr>
          <w:rFonts w:eastAsia="Baskerville Old Face" w:cs="Baskerville Old Face"/>
          <w:b/>
          <w:i/>
        </w:rPr>
      </w:pPr>
      <w:r w:rsidRPr="00131EED">
        <w:rPr>
          <w:rFonts w:eastAsia="Baskerville Old Face" w:cs="Baskerville Old Face"/>
          <w:b/>
          <w:i/>
        </w:rPr>
        <w:t xml:space="preserve">Establecer las directrices para el ordenamiento ambiental de la Sabana de Bogotá, como área de interés ecológico nacional, con el fin de garantizar su integridad ecológica, </w:t>
      </w:r>
      <w:r w:rsidR="00A65C19" w:rsidRPr="00131EED">
        <w:rPr>
          <w:rFonts w:eastAsia="Baskerville Old Face" w:cs="Baskerville Old Face"/>
          <w:b/>
          <w:i/>
        </w:rPr>
        <w:t>orienta</w:t>
      </w:r>
      <w:r w:rsidRPr="00131EED">
        <w:rPr>
          <w:rFonts w:eastAsia="Baskerville Old Face" w:cs="Baskerville Old Face"/>
          <w:b/>
          <w:i/>
        </w:rPr>
        <w:t xml:space="preserve">r su transición y adaptación territorial y al cambio climático </w:t>
      </w:r>
      <w:r w:rsidR="00A65C19" w:rsidRPr="00131EED">
        <w:rPr>
          <w:rFonts w:eastAsia="Baskerville Old Face" w:cs="Baskerville Old Face"/>
          <w:b/>
          <w:i/>
        </w:rPr>
        <w:t>e implementar</w:t>
      </w:r>
      <w:r w:rsidRPr="00131EED">
        <w:rPr>
          <w:rFonts w:eastAsia="Baskerville Old Face" w:cs="Baskerville Old Face"/>
          <w:b/>
          <w:i/>
        </w:rPr>
        <w:t xml:space="preserve"> el ordenamiento alrededor del agua.</w:t>
      </w:r>
    </w:p>
    <w:p w14:paraId="2082517F" w14:textId="77777777" w:rsidR="003F3C4B" w:rsidRPr="00131EED" w:rsidRDefault="003F3C4B" w:rsidP="003F3C4B">
      <w:pPr>
        <w:rPr>
          <w:rFonts w:eastAsia="Baskerville Old Face" w:cs="Baskerville Old Face"/>
          <w:b/>
          <w:i/>
        </w:rPr>
      </w:pPr>
    </w:p>
    <w:p w14:paraId="427D4768" w14:textId="00E6CDA5" w:rsidR="003F3C4B" w:rsidRPr="00131EED" w:rsidRDefault="003F3C4B" w:rsidP="003F3C4B">
      <w:pPr>
        <w:rPr>
          <w:rFonts w:eastAsia="Baskerville Old Face" w:cs="Baskerville Old Face"/>
        </w:rPr>
      </w:pPr>
      <w:r w:rsidRPr="00131EED">
        <w:rPr>
          <w:rFonts w:eastAsia="Baskerville Old Face" w:cs="Baskerville Old Face"/>
        </w:rPr>
        <w:t>Adicionalmente, las directrices de la Sabana apuntan a generar aportes al cumplimiento de las metas de los acuerdos internacionales suscritos por Colombia para la conservación de la biodiversidad, presentando a continuación los más relevantes:</w:t>
      </w:r>
    </w:p>
    <w:p w14:paraId="4EFB93BC" w14:textId="77777777" w:rsidR="00513A67" w:rsidRPr="00131EED" w:rsidRDefault="00513A67" w:rsidP="00513A67">
      <w:pPr>
        <w:pStyle w:val="Caption"/>
      </w:pPr>
    </w:p>
    <w:p w14:paraId="0B203416" w14:textId="10F56548" w:rsidR="003959D6" w:rsidRPr="00131EED" w:rsidRDefault="003959D6" w:rsidP="003959D6">
      <w:pPr>
        <w:pStyle w:val="Caption"/>
        <w:jc w:val="center"/>
        <w:rPr>
          <w:rFonts w:ascii="Baskerville" w:hAnsi="Baskerville"/>
        </w:rPr>
      </w:pPr>
      <w:bookmarkStart w:id="12" w:name="_Toc216468911"/>
      <w:r w:rsidRPr="00131EED">
        <w:t xml:space="preserve">Tabla </w:t>
      </w:r>
      <w:r w:rsidRPr="00131EED">
        <w:fldChar w:fldCharType="begin"/>
      </w:r>
      <w:r w:rsidRPr="00131EED">
        <w:instrText>SEQ Tabla \* ARABIC</w:instrText>
      </w:r>
      <w:r w:rsidRPr="00131EED">
        <w:fldChar w:fldCharType="separate"/>
      </w:r>
      <w:r w:rsidR="00CE096F">
        <w:rPr>
          <w:noProof/>
        </w:rPr>
        <w:t>1</w:t>
      </w:r>
      <w:r w:rsidRPr="00131EED">
        <w:fldChar w:fldCharType="end"/>
      </w:r>
      <w:r w:rsidRPr="00131EED">
        <w:t>. Relación de los acuerdos internacionales más relevantes a los cuales aportan las Directrices de la Sabana de Bogotá</w:t>
      </w:r>
      <w:bookmarkEnd w:id="12"/>
    </w:p>
    <w:tbl>
      <w:tblPr>
        <w:tblStyle w:val="TableGrid"/>
        <w:tblW w:w="0" w:type="auto"/>
        <w:jc w:val="center"/>
        <w:tblLook w:val="04A0" w:firstRow="1" w:lastRow="0" w:firstColumn="1" w:lastColumn="0" w:noHBand="0" w:noVBand="1"/>
      </w:tblPr>
      <w:tblGrid>
        <w:gridCol w:w="1838"/>
        <w:gridCol w:w="4961"/>
        <w:gridCol w:w="2029"/>
      </w:tblGrid>
      <w:tr w:rsidR="003F3C4B" w:rsidRPr="00131EED" w14:paraId="08F144E7" w14:textId="77777777" w:rsidTr="00053167">
        <w:trPr>
          <w:tblHeader/>
          <w:jc w:val="center"/>
        </w:trPr>
        <w:tc>
          <w:tcPr>
            <w:tcW w:w="1838" w:type="dxa"/>
          </w:tcPr>
          <w:p w14:paraId="5A445A34" w14:textId="77777777" w:rsidR="003F3C4B" w:rsidRPr="00131EED" w:rsidRDefault="003F3C4B" w:rsidP="00B60DA2">
            <w:pPr>
              <w:rPr>
                <w:rFonts w:eastAsia="Baskerville Old Face" w:cs="Baskerville Old Face"/>
                <w:b/>
                <w:sz w:val="20"/>
                <w:szCs w:val="20"/>
              </w:rPr>
            </w:pPr>
            <w:r w:rsidRPr="00131EED">
              <w:rPr>
                <w:rFonts w:eastAsia="Baskerville Old Face" w:cs="Baskerville Old Face"/>
                <w:b/>
                <w:sz w:val="20"/>
                <w:szCs w:val="20"/>
              </w:rPr>
              <w:t>Acuerdo internacional</w:t>
            </w:r>
          </w:p>
        </w:tc>
        <w:tc>
          <w:tcPr>
            <w:tcW w:w="4961" w:type="dxa"/>
          </w:tcPr>
          <w:p w14:paraId="0B457202" w14:textId="77777777" w:rsidR="003F3C4B" w:rsidRPr="00131EED" w:rsidRDefault="003F3C4B" w:rsidP="00B60DA2">
            <w:pPr>
              <w:rPr>
                <w:rFonts w:eastAsia="Baskerville Old Face" w:cs="Baskerville Old Face"/>
                <w:b/>
                <w:sz w:val="20"/>
                <w:szCs w:val="20"/>
              </w:rPr>
            </w:pPr>
            <w:r w:rsidRPr="00131EED">
              <w:rPr>
                <w:rFonts w:eastAsia="Baskerville Old Face" w:cs="Baskerville Old Face"/>
                <w:b/>
                <w:sz w:val="20"/>
                <w:szCs w:val="20"/>
              </w:rPr>
              <w:t>Metas a las que aporta las directrices de Sabana</w:t>
            </w:r>
          </w:p>
        </w:tc>
        <w:tc>
          <w:tcPr>
            <w:tcW w:w="2029" w:type="dxa"/>
          </w:tcPr>
          <w:p w14:paraId="02336689" w14:textId="77777777" w:rsidR="003F3C4B" w:rsidRPr="00131EED" w:rsidRDefault="003F3C4B" w:rsidP="00B60DA2">
            <w:pPr>
              <w:rPr>
                <w:rFonts w:eastAsia="Baskerville Old Face" w:cs="Baskerville Old Face"/>
                <w:b/>
                <w:sz w:val="20"/>
                <w:szCs w:val="20"/>
              </w:rPr>
            </w:pPr>
            <w:r w:rsidRPr="00131EED">
              <w:rPr>
                <w:rFonts w:eastAsia="Baskerville Old Face" w:cs="Baskerville Old Face"/>
                <w:b/>
                <w:sz w:val="20"/>
                <w:szCs w:val="20"/>
              </w:rPr>
              <w:t>Fecha de suscripción</w:t>
            </w:r>
          </w:p>
        </w:tc>
      </w:tr>
      <w:tr w:rsidR="003F3C4B" w:rsidRPr="00131EED" w14:paraId="090BD9C5" w14:textId="77777777" w:rsidTr="00053167">
        <w:trPr>
          <w:jc w:val="center"/>
        </w:trPr>
        <w:tc>
          <w:tcPr>
            <w:tcW w:w="1838" w:type="dxa"/>
          </w:tcPr>
          <w:p w14:paraId="2AED0F10"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Objetivos de desarrollo Sostenible – ODS</w:t>
            </w:r>
          </w:p>
        </w:tc>
        <w:tc>
          <w:tcPr>
            <w:tcW w:w="4961" w:type="dxa"/>
          </w:tcPr>
          <w:p w14:paraId="6367ABAC"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Objetivo 11: ciudades y comunidades sostenibles</w:t>
            </w:r>
          </w:p>
          <w:p w14:paraId="1B31D265"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Objetivo 13: acción por el clima</w:t>
            </w:r>
          </w:p>
          <w:p w14:paraId="616133DF"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Objetivo 15: vida de ecosistemas terrestres</w:t>
            </w:r>
          </w:p>
          <w:p w14:paraId="690FE147"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Objetivo 6: agua limpia y saneamiento</w:t>
            </w:r>
          </w:p>
        </w:tc>
        <w:tc>
          <w:tcPr>
            <w:tcW w:w="2029" w:type="dxa"/>
          </w:tcPr>
          <w:p w14:paraId="214256E2"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Adoptados por las Naciones Unidas en 2015</w:t>
            </w:r>
          </w:p>
        </w:tc>
      </w:tr>
      <w:tr w:rsidR="003F3C4B" w:rsidRPr="00131EED" w14:paraId="339FBBA6" w14:textId="77777777" w:rsidTr="00053167">
        <w:trPr>
          <w:jc w:val="center"/>
        </w:trPr>
        <w:tc>
          <w:tcPr>
            <w:tcW w:w="1838" w:type="dxa"/>
          </w:tcPr>
          <w:p w14:paraId="26AE20DA"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Convenio Marco del Cambio Climático</w:t>
            </w:r>
          </w:p>
        </w:tc>
        <w:tc>
          <w:tcPr>
            <w:tcW w:w="4961" w:type="dxa"/>
          </w:tcPr>
          <w:p w14:paraId="012F0D36"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Limitar el aumento de la temperatura mundial muy por debajo de los 2 grados centígrados, al tiempo que prosiguen los esfuerzos para limitarlo a 1,5 grados.</w:t>
            </w:r>
          </w:p>
          <w:p w14:paraId="051A8512"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Conservar y mejorar, según proceda, los sumideros y depósitos de GEI, incluidos los bosques. (Art 5)</w:t>
            </w:r>
          </w:p>
          <w:p w14:paraId="656FBCB5"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Aumento de la capacidad de adaptación, el fortalecimiento de la resiliencia y la reducción de la vulnerabilidad al cambio climático en el contexto del objetivo de temperatura del Acuerdo (Art 7).</w:t>
            </w:r>
          </w:p>
          <w:p w14:paraId="0AA767CC"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Evitar, reducir al mínimo y hacer frente a las pérdidas y los daños relacionados con los efectos adversos del cambio climático, incluidos los fenómenos meteorológicos extremos y los fenómenos de evolución lenta, y la contribución del desarrollo sostenible a la reducción del riesgo de pérdidas y daños (Art 8)</w:t>
            </w:r>
          </w:p>
        </w:tc>
        <w:tc>
          <w:tcPr>
            <w:tcW w:w="2029" w:type="dxa"/>
          </w:tcPr>
          <w:p w14:paraId="5345B0E2"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Acuerdo de París, Diciembre de 2015</w:t>
            </w:r>
          </w:p>
        </w:tc>
      </w:tr>
      <w:tr w:rsidR="003F3C4B" w:rsidRPr="00131EED" w14:paraId="47598E6E" w14:textId="77777777" w:rsidTr="00053167">
        <w:trPr>
          <w:jc w:val="center"/>
        </w:trPr>
        <w:tc>
          <w:tcPr>
            <w:tcW w:w="1838" w:type="dxa"/>
          </w:tcPr>
          <w:p w14:paraId="11EE9837"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Conferencia de las partes en el Convenio sobre la Diversidad Biológica – COP 15 – Metas Kunming - Montreal</w:t>
            </w:r>
          </w:p>
          <w:p w14:paraId="09521F58" w14:textId="77777777" w:rsidR="003F3C4B" w:rsidRPr="00131EED" w:rsidRDefault="003F3C4B" w:rsidP="00B60DA2">
            <w:pPr>
              <w:rPr>
                <w:rFonts w:eastAsia="Baskerville Old Face" w:cs="Baskerville Old Face"/>
                <w:sz w:val="20"/>
                <w:szCs w:val="20"/>
              </w:rPr>
            </w:pPr>
          </w:p>
        </w:tc>
        <w:tc>
          <w:tcPr>
            <w:tcW w:w="4961" w:type="dxa"/>
          </w:tcPr>
          <w:p w14:paraId="2E8930A3"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META 1 Lograr que para 2030 todas las zonas estén sujetas a planificación espacial participativa integrada que tenga en cuenta la diversidad biológica y/o procesos de gestión eficaces.</w:t>
            </w:r>
          </w:p>
          <w:p w14:paraId="601BA37F"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META 2 Logar que para 2030 al menos un 30 por ciento de las zonas de ecosistemas terrestres, de aguas continentales, costeros y marinos degradados estén siendo objeto de una restauración efectiva, con el fin de mejorar la biodiversidad.</w:t>
            </w:r>
          </w:p>
          <w:p w14:paraId="1F5C2784"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META 3 Para 2030, al menos el 30 por ciento de las zonas terrestres, de aguas continentales y costeras y marinas, se conserven y gestionen eficazmente mediante sistemas de áreas protegidas y otras medidas eficaces de conservación</w:t>
            </w:r>
          </w:p>
          <w:p w14:paraId="2D64A768"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META 7 Reducir para 2030 los riesgos de contaminación y el efecto negativo de la contaminación y llegar a niveles que no sean perjudiciales para la diversidad biológica y los servicios de los ecosistemas</w:t>
            </w:r>
          </w:p>
          <w:p w14:paraId="0976F9F5"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META 8 Reducir al mínimo los efectos del cambio climático y mejorar su resiliencia mediante la mitigación, la adaptación e intervenciones de reducción del riesgo de desastres.</w:t>
            </w:r>
          </w:p>
          <w:p w14:paraId="345FCFD2"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META 10 Lograr que las superficies dedicadas a la agricultura, la acuicultura, la pesca y la silvicultura se gestionen de manera sostenible a través de la utilización sostenible de la diversidad biológica.</w:t>
            </w:r>
          </w:p>
          <w:p w14:paraId="5AB47E62"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 xml:space="preserve">META 11 Restaurar, mantener y mejorar las contribuciones de la naturaleza a las personas, tales como la regulación del aire, el agua y el clima, la salud de los suelos, la polinización y la reducción del riesgo de enfermedades, así como la protección frente a riesgos y desastres naturales. </w:t>
            </w:r>
          </w:p>
          <w:p w14:paraId="5961604C"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META 12 Aumentar significativamente la superficie y la calidad y conectividad de los espacios verdes y azules en zonas urbanas y densamente pobladas de manera sostenible.</w:t>
            </w:r>
          </w:p>
          <w:p w14:paraId="07B836A1"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META 22 Lograr la participación y representación plena, equitativa, inclusiva, efectiva en la toma de decisiones</w:t>
            </w:r>
          </w:p>
        </w:tc>
        <w:tc>
          <w:tcPr>
            <w:tcW w:w="2029" w:type="dxa"/>
          </w:tcPr>
          <w:p w14:paraId="41146AFF" w14:textId="77777777" w:rsidR="003F3C4B" w:rsidRPr="00131EED" w:rsidRDefault="003F3C4B" w:rsidP="00B60DA2">
            <w:pPr>
              <w:rPr>
                <w:rFonts w:eastAsia="Baskerville Old Face" w:cs="Baskerville Old Face"/>
                <w:sz w:val="20"/>
                <w:szCs w:val="20"/>
              </w:rPr>
            </w:pPr>
            <w:r w:rsidRPr="00131EED">
              <w:rPr>
                <w:rFonts w:eastAsia="Baskerville Old Face" w:cs="Baskerville Old Face"/>
                <w:sz w:val="20"/>
                <w:szCs w:val="20"/>
              </w:rPr>
              <w:t>Marco mundial Kunming-Montreal de la diversidad biológica Diciembre de 2022</w:t>
            </w:r>
          </w:p>
        </w:tc>
      </w:tr>
    </w:tbl>
    <w:p w14:paraId="50648387" w14:textId="77777777" w:rsidR="00BE2DAD" w:rsidRPr="00131EED" w:rsidRDefault="00BE2DAD" w:rsidP="00BE2DAD">
      <w:pPr>
        <w:jc w:val="center"/>
        <w:rPr>
          <w:rFonts w:eastAsia="Century Gothic"/>
          <w:sz w:val="20"/>
          <w:szCs w:val="20"/>
        </w:rPr>
      </w:pPr>
      <w:r w:rsidRPr="00131EED">
        <w:rPr>
          <w:rFonts w:eastAsia="Century Gothic"/>
          <w:sz w:val="20"/>
          <w:szCs w:val="20"/>
        </w:rPr>
        <w:t>Fuente: MinAmbiente (2024).</w:t>
      </w:r>
    </w:p>
    <w:p w14:paraId="5A5766AF" w14:textId="77777777" w:rsidR="003F3C4B" w:rsidRPr="00131EED" w:rsidRDefault="003F3C4B" w:rsidP="008759D7">
      <w:pPr>
        <w:jc w:val="center"/>
        <w:rPr>
          <w:rFonts w:eastAsia="system-ui"/>
          <w:color w:val="0D0D0D" w:themeColor="text1" w:themeTint="F2"/>
          <w:sz w:val="23"/>
          <w:szCs w:val="23"/>
        </w:rPr>
      </w:pPr>
    </w:p>
    <w:p w14:paraId="18AD009A" w14:textId="091E613E" w:rsidR="00D07E34" w:rsidRPr="00131EED" w:rsidRDefault="00B9208D" w:rsidP="00410194">
      <w:pPr>
        <w:pStyle w:val="Heading1"/>
        <w:numPr>
          <w:ilvl w:val="0"/>
          <w:numId w:val="31"/>
        </w:numPr>
      </w:pPr>
      <w:bookmarkStart w:id="13" w:name="_Toc167854493"/>
      <w:bookmarkStart w:id="14" w:name="_Toc216468677"/>
      <w:r w:rsidRPr="00131EED">
        <w:t xml:space="preserve">EL ÁMBITO TERRITORIAL DE LAS DIRECTRICES DE LA SABANA DE </w:t>
      </w:r>
      <w:bookmarkEnd w:id="13"/>
      <w:r w:rsidRPr="00131EED">
        <w:t>BOGOTÁ</w:t>
      </w:r>
      <w:bookmarkEnd w:id="14"/>
      <w:r w:rsidRPr="00131EED">
        <w:t xml:space="preserve"> </w:t>
      </w:r>
    </w:p>
    <w:p w14:paraId="37A04BD2" w14:textId="0E74F4D3" w:rsidR="00C6635E" w:rsidRPr="00131EED" w:rsidRDefault="00F81CA1" w:rsidP="00410194">
      <w:pPr>
        <w:pStyle w:val="Heading2"/>
        <w:numPr>
          <w:ilvl w:val="1"/>
          <w:numId w:val="31"/>
        </w:numPr>
      </w:pPr>
      <w:bookmarkStart w:id="15" w:name="_Toc216468678"/>
      <w:r w:rsidRPr="00131EED">
        <w:t>Antecedentes</w:t>
      </w:r>
      <w:bookmarkEnd w:id="15"/>
    </w:p>
    <w:p w14:paraId="3BD5168C" w14:textId="77777777" w:rsidR="00C6635E" w:rsidRPr="00131EED" w:rsidRDefault="00C6635E" w:rsidP="000D7380"/>
    <w:p w14:paraId="76F33895" w14:textId="0DFCC45B" w:rsidR="00E853E2" w:rsidRPr="00131EED" w:rsidRDefault="004A276F" w:rsidP="00F04F5F">
      <w:pPr>
        <w:rPr>
          <w:rFonts w:eastAsia="Baskerville Old Face" w:cs="Baskerville Old Face"/>
        </w:rPr>
      </w:pPr>
      <w:r w:rsidRPr="00131EED">
        <w:rPr>
          <w:rFonts w:eastAsia="Baskerville Old Face" w:cs="Baskerville Old Face"/>
        </w:rPr>
        <w:t>A partir de</w:t>
      </w:r>
      <w:r w:rsidR="00C20D3F" w:rsidRPr="00131EED">
        <w:rPr>
          <w:rFonts w:eastAsia="Baskerville Old Face" w:cs="Baskerville Old Face"/>
        </w:rPr>
        <w:t xml:space="preserve"> la declaración de la Sabana de Bogotá como interés ecológico nacional por medio del </w:t>
      </w:r>
      <w:r w:rsidR="004A615F" w:rsidRPr="00131EED">
        <w:rPr>
          <w:rFonts w:eastAsia="Baskerville Old Face" w:cs="Baskerville Old Face"/>
        </w:rPr>
        <w:t>artículo</w:t>
      </w:r>
      <w:r w:rsidR="00C20D3F" w:rsidRPr="00131EED">
        <w:rPr>
          <w:rFonts w:eastAsia="Baskerville Old Face" w:cs="Baskerville Old Face"/>
        </w:rPr>
        <w:t xml:space="preserve"> 61 de la ley 99 de 1993, </w:t>
      </w:r>
      <w:r w:rsidR="00F3378C" w:rsidRPr="00131EED">
        <w:rPr>
          <w:rFonts w:eastAsia="Baskerville Old Face" w:cs="Baskerville Old Face"/>
        </w:rPr>
        <w:t xml:space="preserve">conformada por </w:t>
      </w:r>
      <w:r w:rsidR="00130B1C" w:rsidRPr="00131EED">
        <w:rPr>
          <w:rFonts w:eastAsia="Baskerville Old Face" w:cs="Baskerville Old Face"/>
        </w:rPr>
        <w:t>“</w:t>
      </w:r>
      <w:r w:rsidR="00A74C92" w:rsidRPr="00131EED">
        <w:rPr>
          <w:rFonts w:eastAsia="Baskerville Old Face" w:cs="Baskerville Old Face"/>
          <w:i/>
        </w:rPr>
        <w:t>sus páramos, aguas, valles aledaños, cerros circundantes y sistemas montañosos como de interés ecológico nacional, cuya destinación prioritaria será la agropecuaria y forestal</w:t>
      </w:r>
      <w:r w:rsidR="00130B1C" w:rsidRPr="00131EED">
        <w:rPr>
          <w:rFonts w:eastAsia="Baskerville Old Face" w:cs="Baskerville Old Face"/>
          <w:i/>
        </w:rPr>
        <w:t>”</w:t>
      </w:r>
      <w:r w:rsidR="00A74C92" w:rsidRPr="00131EED">
        <w:rPr>
          <w:rFonts w:eastAsia="Baskerville Old Face" w:cs="Baskerville Old Face"/>
        </w:rPr>
        <w:t>.</w:t>
      </w:r>
      <w:r w:rsidR="00F3378C" w:rsidRPr="00131EED">
        <w:rPr>
          <w:rFonts w:eastAsia="Baskerville Old Face" w:cs="Baskerville Old Face"/>
        </w:rPr>
        <w:t xml:space="preserve"> </w:t>
      </w:r>
      <w:r w:rsidR="009720C7" w:rsidRPr="00131EED">
        <w:rPr>
          <w:rFonts w:eastAsia="Baskerville Old Face" w:cs="Baskerville Old Face"/>
        </w:rPr>
        <w:t xml:space="preserve">La </w:t>
      </w:r>
      <w:r w:rsidR="00CC17D1" w:rsidRPr="00131EED">
        <w:rPr>
          <w:rFonts w:eastAsia="Baskerville Old Face" w:cs="Baskerville Old Face"/>
        </w:rPr>
        <w:t xml:space="preserve">identificación </w:t>
      </w:r>
      <w:r w:rsidR="009720C7" w:rsidRPr="00131EED">
        <w:rPr>
          <w:rFonts w:eastAsia="Baskerville Old Face" w:cs="Baskerville Old Face"/>
        </w:rPr>
        <w:t>de la Sabana de Bogotá</w:t>
      </w:r>
      <w:r w:rsidR="00F3378C" w:rsidRPr="00131EED">
        <w:rPr>
          <w:rFonts w:eastAsia="Baskerville Old Face" w:cs="Baskerville Old Face"/>
        </w:rPr>
        <w:t xml:space="preserve"> se ha convertido en</w:t>
      </w:r>
      <w:r w:rsidR="009720C7" w:rsidRPr="00131EED">
        <w:rPr>
          <w:rFonts w:eastAsia="Baskerville Old Face" w:cs="Baskerville Old Face"/>
        </w:rPr>
        <w:t xml:space="preserve"> u</w:t>
      </w:r>
      <w:r w:rsidR="00CD4669" w:rsidRPr="00131EED">
        <w:rPr>
          <w:rFonts w:eastAsia="Baskerville Old Face" w:cs="Baskerville Old Face"/>
        </w:rPr>
        <w:t>n desafío constante</w:t>
      </w:r>
      <w:r w:rsidR="00E202DB" w:rsidRPr="00131EED">
        <w:rPr>
          <w:rFonts w:eastAsia="Baskerville Old Face" w:cs="Baskerville Old Face"/>
        </w:rPr>
        <w:t>mente</w:t>
      </w:r>
      <w:r w:rsidR="00CD4669" w:rsidRPr="00131EED">
        <w:rPr>
          <w:rFonts w:eastAsia="Baskerville Old Face" w:cs="Baskerville Old Face"/>
        </w:rPr>
        <w:t xml:space="preserve"> abordado a lo largo del tiempo</w:t>
      </w:r>
      <w:r w:rsidR="00843674" w:rsidRPr="00131EED">
        <w:rPr>
          <w:rFonts w:eastAsia="Baskerville Old Face" w:cs="Baskerville Old Face"/>
        </w:rPr>
        <w:t>.</w:t>
      </w:r>
    </w:p>
    <w:p w14:paraId="736282DD" w14:textId="77777777" w:rsidR="00E853E2" w:rsidRPr="00131EED" w:rsidRDefault="00E853E2" w:rsidP="00F04F5F">
      <w:pPr>
        <w:rPr>
          <w:rFonts w:eastAsia="Baskerville Old Face" w:cs="Baskerville Old Face"/>
        </w:rPr>
      </w:pPr>
    </w:p>
    <w:p w14:paraId="22141744" w14:textId="59154237" w:rsidR="00E853E2" w:rsidRPr="00131EED" w:rsidRDefault="00843674" w:rsidP="00F04F5F">
      <w:pPr>
        <w:rPr>
          <w:rFonts w:eastAsia="Baskerville Old Face" w:cs="Baskerville Old Face"/>
        </w:rPr>
      </w:pPr>
      <w:r w:rsidRPr="00131EED">
        <w:rPr>
          <w:rFonts w:eastAsia="Baskerville Old Face" w:cs="Baskerville Old Face"/>
        </w:rPr>
        <w:t>Una de las primeras de</w:t>
      </w:r>
      <w:r w:rsidR="00CC17D1" w:rsidRPr="00131EED">
        <w:rPr>
          <w:rFonts w:eastAsia="Baskerville Old Face" w:cs="Baskerville Old Face"/>
        </w:rPr>
        <w:t>finiciones de la Sabana de Bogotá,</w:t>
      </w:r>
      <w:r w:rsidRPr="00131EED">
        <w:rPr>
          <w:rFonts w:eastAsia="Baskerville Old Face" w:cs="Baskerville Old Face"/>
        </w:rPr>
        <w:t xml:space="preserve"> surge de la resolución 222 de 1994, que en su </w:t>
      </w:r>
      <w:r w:rsidR="00216452" w:rsidRPr="00131EED">
        <w:rPr>
          <w:rFonts w:eastAsia="Baskerville Old Face" w:cs="Baskerville Old Face"/>
        </w:rPr>
        <w:t>artículo</w:t>
      </w:r>
      <w:r w:rsidRPr="00131EED">
        <w:rPr>
          <w:rFonts w:eastAsia="Baskerville Old Face" w:cs="Baskerville Old Face"/>
        </w:rPr>
        <w:t xml:space="preserve"> 2 </w:t>
      </w:r>
      <w:r w:rsidR="00990413" w:rsidRPr="00131EED">
        <w:rPr>
          <w:rFonts w:eastAsia="Baskerville Old Face" w:cs="Baskerville Old Face"/>
        </w:rPr>
        <w:t xml:space="preserve">y con el </w:t>
      </w:r>
      <w:r w:rsidR="00216452" w:rsidRPr="00131EED">
        <w:rPr>
          <w:rFonts w:eastAsia="Baskerville Old Face" w:cs="Baskerville Old Face"/>
        </w:rPr>
        <w:t>ánimo</w:t>
      </w:r>
      <w:r w:rsidR="00990413" w:rsidRPr="00131EED">
        <w:rPr>
          <w:rFonts w:eastAsia="Baskerville Old Face" w:cs="Baskerville Old Face"/>
        </w:rPr>
        <w:t xml:space="preserve"> de determinar zonas compatibles para las explotaciones mineras de materiales de construcción en la Sabana de Bogotá, la concibe cómo </w:t>
      </w:r>
      <w:r w:rsidR="00B210CC" w:rsidRPr="00131EED">
        <w:rPr>
          <w:rFonts w:eastAsia="Baskerville Old Face" w:cs="Baskerville Old Face"/>
        </w:rPr>
        <w:t>los “páramos, aguas, valles aledaños, cerros circundantes y sistemas montañosos correspond</w:t>
      </w:r>
      <w:r w:rsidR="00216452" w:rsidRPr="00131EED">
        <w:rPr>
          <w:rFonts w:eastAsia="Baskerville Old Face" w:cs="Baskerville Old Face"/>
        </w:rPr>
        <w:t>iente</w:t>
      </w:r>
      <w:r w:rsidR="00B210CC" w:rsidRPr="00131EED">
        <w:rPr>
          <w:rFonts w:eastAsia="Baskerville Old Face" w:cs="Baskerville Old Face"/>
        </w:rPr>
        <w:t xml:space="preserve"> a los municipios de </w:t>
      </w:r>
      <w:r w:rsidR="00216452" w:rsidRPr="00131EED">
        <w:rPr>
          <w:rFonts w:eastAsia="Baskerville Old Face" w:cs="Baskerville Old Face"/>
        </w:rPr>
        <w:t>Bojacá</w:t>
      </w:r>
      <w:r w:rsidR="00B210CC" w:rsidRPr="00131EED">
        <w:rPr>
          <w:rFonts w:eastAsia="Baskerville Old Face" w:cs="Baskerville Old Face"/>
        </w:rPr>
        <w:t xml:space="preserve">, </w:t>
      </w:r>
      <w:r w:rsidR="00216452" w:rsidRPr="00131EED">
        <w:rPr>
          <w:rFonts w:eastAsia="Baskerville Old Face" w:cs="Baskerville Old Face"/>
        </w:rPr>
        <w:t>Cajicá</w:t>
      </w:r>
      <w:r w:rsidR="00B210CC" w:rsidRPr="00131EED">
        <w:rPr>
          <w:rFonts w:eastAsia="Baskerville Old Face" w:cs="Baskerville Old Face"/>
        </w:rPr>
        <w:t xml:space="preserve">, </w:t>
      </w:r>
      <w:r w:rsidR="00216452" w:rsidRPr="00131EED">
        <w:rPr>
          <w:rFonts w:eastAsia="Baskerville Old Face" w:cs="Baskerville Old Face"/>
        </w:rPr>
        <w:t>Chía</w:t>
      </w:r>
      <w:r w:rsidR="00B210CC" w:rsidRPr="00131EED">
        <w:rPr>
          <w:rFonts w:eastAsia="Baskerville Old Face" w:cs="Baskerville Old Face"/>
        </w:rPr>
        <w:t xml:space="preserve">, </w:t>
      </w:r>
      <w:r w:rsidR="00216452" w:rsidRPr="00131EED">
        <w:rPr>
          <w:rFonts w:eastAsia="Baskerville Old Face" w:cs="Baskerville Old Face"/>
        </w:rPr>
        <w:t>Chocontá</w:t>
      </w:r>
      <w:r w:rsidR="00B210CC" w:rsidRPr="00131EED">
        <w:rPr>
          <w:rFonts w:eastAsia="Baskerville Old Face" w:cs="Baskerville Old Face"/>
        </w:rPr>
        <w:t>, Cogua, Cota, Cucunub</w:t>
      </w:r>
      <w:r w:rsidR="00AB0864" w:rsidRPr="00131EED">
        <w:rPr>
          <w:rFonts w:eastAsia="Baskerville Old Face" w:cs="Baskerville Old Face"/>
        </w:rPr>
        <w:t>á</w:t>
      </w:r>
      <w:r w:rsidR="00B210CC" w:rsidRPr="00131EED">
        <w:rPr>
          <w:rFonts w:eastAsia="Baskerville Old Face" w:cs="Baskerville Old Face"/>
        </w:rPr>
        <w:t xml:space="preserve">, </w:t>
      </w:r>
      <w:r w:rsidR="00216452" w:rsidRPr="00131EED">
        <w:rPr>
          <w:rFonts w:eastAsia="Baskerville Old Face" w:cs="Baskerville Old Face"/>
        </w:rPr>
        <w:t>Facatativá</w:t>
      </w:r>
      <w:r w:rsidR="00B210CC" w:rsidRPr="00131EED">
        <w:rPr>
          <w:rFonts w:eastAsia="Baskerville Old Face" w:cs="Baskerville Old Face"/>
        </w:rPr>
        <w:t xml:space="preserve">, Funza, </w:t>
      </w:r>
      <w:r w:rsidR="00216452" w:rsidRPr="00131EED">
        <w:rPr>
          <w:rFonts w:eastAsia="Baskerville Old Face" w:cs="Baskerville Old Face"/>
        </w:rPr>
        <w:t>Gachancipá</w:t>
      </w:r>
      <w:r w:rsidR="00B210CC" w:rsidRPr="00131EED">
        <w:rPr>
          <w:rFonts w:eastAsia="Baskerville Old Face" w:cs="Baskerville Old Face"/>
        </w:rPr>
        <w:t xml:space="preserve">, Guasca, Guatavita, La Calera, Madrid, Mosquera, </w:t>
      </w:r>
      <w:r w:rsidR="00216452" w:rsidRPr="00131EED">
        <w:rPr>
          <w:rFonts w:eastAsia="Baskerville Old Face" w:cs="Baskerville Old Face"/>
        </w:rPr>
        <w:t>Nemocón</w:t>
      </w:r>
      <w:r w:rsidR="00B210CC" w:rsidRPr="00131EED">
        <w:rPr>
          <w:rFonts w:eastAsia="Baskerville Old Face" w:cs="Baskerville Old Face"/>
        </w:rPr>
        <w:t xml:space="preserve">, </w:t>
      </w:r>
      <w:r w:rsidR="00216452" w:rsidRPr="00131EED">
        <w:rPr>
          <w:rFonts w:eastAsia="Baskerville Old Face" w:cs="Baskerville Old Face"/>
        </w:rPr>
        <w:t>Santafé</w:t>
      </w:r>
      <w:r w:rsidR="00B210CC" w:rsidRPr="00131EED">
        <w:rPr>
          <w:rFonts w:eastAsia="Baskerville Old Face" w:cs="Baskerville Old Face"/>
        </w:rPr>
        <w:t xml:space="preserve"> de </w:t>
      </w:r>
      <w:r w:rsidR="00216452" w:rsidRPr="00131EED">
        <w:rPr>
          <w:rFonts w:eastAsia="Baskerville Old Face" w:cs="Baskerville Old Face"/>
        </w:rPr>
        <w:t>Bogotá</w:t>
      </w:r>
      <w:r w:rsidR="00B210CC" w:rsidRPr="00131EED">
        <w:rPr>
          <w:rFonts w:eastAsia="Baskerville Old Face" w:cs="Baskerville Old Face"/>
        </w:rPr>
        <w:t xml:space="preserve">, </w:t>
      </w:r>
      <w:r w:rsidR="00216452" w:rsidRPr="00131EED">
        <w:rPr>
          <w:rFonts w:eastAsia="Baskerville Old Face" w:cs="Baskerville Old Face"/>
        </w:rPr>
        <w:t>Sesquilé</w:t>
      </w:r>
      <w:r w:rsidR="00B210CC" w:rsidRPr="00131EED">
        <w:rPr>
          <w:rFonts w:eastAsia="Baskerville Old Face" w:cs="Baskerville Old Face"/>
        </w:rPr>
        <w:t xml:space="preserve">, </w:t>
      </w:r>
      <w:r w:rsidR="00216452" w:rsidRPr="00131EED">
        <w:rPr>
          <w:rFonts w:eastAsia="Baskerville Old Face" w:cs="Baskerville Old Face"/>
        </w:rPr>
        <w:t>Sibaté</w:t>
      </w:r>
      <w:r w:rsidR="00B210CC" w:rsidRPr="00131EED">
        <w:rPr>
          <w:rFonts w:eastAsia="Baskerville Old Face" w:cs="Baskerville Old Face"/>
        </w:rPr>
        <w:t xml:space="preserve">, Soacha, Sopo, Subachoque, Suesca, Tabio, Tausa, Tenjo, </w:t>
      </w:r>
      <w:r w:rsidR="00216452" w:rsidRPr="00131EED">
        <w:rPr>
          <w:rFonts w:eastAsia="Baskerville Old Face" w:cs="Baskerville Old Face"/>
        </w:rPr>
        <w:t>Tocancipá</w:t>
      </w:r>
      <w:r w:rsidR="00B210CC" w:rsidRPr="00131EED">
        <w:rPr>
          <w:rFonts w:eastAsia="Baskerville Old Face" w:cs="Baskerville Old Face"/>
        </w:rPr>
        <w:t xml:space="preserve">, </w:t>
      </w:r>
      <w:r w:rsidR="00216452" w:rsidRPr="00131EED">
        <w:rPr>
          <w:rFonts w:eastAsia="Baskerville Old Face" w:cs="Baskerville Old Face"/>
        </w:rPr>
        <w:t>Villapinzón</w:t>
      </w:r>
      <w:r w:rsidR="00B210CC" w:rsidRPr="00131EED">
        <w:rPr>
          <w:rFonts w:eastAsia="Baskerville Old Face" w:cs="Baskerville Old Face"/>
        </w:rPr>
        <w:t xml:space="preserve"> </w:t>
      </w:r>
      <w:r w:rsidR="00216452" w:rsidRPr="00131EED">
        <w:rPr>
          <w:rFonts w:eastAsia="Baskerville Old Face" w:cs="Baskerville Old Face"/>
        </w:rPr>
        <w:t>y</w:t>
      </w:r>
      <w:r w:rsidR="00B210CC" w:rsidRPr="00131EED">
        <w:rPr>
          <w:rFonts w:eastAsia="Baskerville Old Face" w:cs="Baskerville Old Face"/>
        </w:rPr>
        <w:t xml:space="preserve"> </w:t>
      </w:r>
      <w:r w:rsidR="00216452" w:rsidRPr="00131EED">
        <w:rPr>
          <w:rFonts w:eastAsia="Baskerville Old Face" w:cs="Baskerville Old Face"/>
        </w:rPr>
        <w:t>Zipaquirá</w:t>
      </w:r>
      <w:r w:rsidR="00B210CC" w:rsidRPr="00131EED">
        <w:rPr>
          <w:rFonts w:eastAsia="Baskerville Old Face" w:cs="Baskerville Old Face"/>
        </w:rPr>
        <w:t>.”</w:t>
      </w:r>
    </w:p>
    <w:p w14:paraId="225DCD11" w14:textId="77777777" w:rsidR="00E853E2" w:rsidRPr="00131EED" w:rsidRDefault="00E853E2" w:rsidP="00F04F5F">
      <w:pPr>
        <w:rPr>
          <w:rFonts w:eastAsia="Baskerville Old Face" w:cs="Baskerville Old Face"/>
        </w:rPr>
      </w:pPr>
    </w:p>
    <w:p w14:paraId="6977D637" w14:textId="17D139CB" w:rsidR="007E06EB" w:rsidRPr="00131EED" w:rsidRDefault="00216452" w:rsidP="00F04F5F">
      <w:pPr>
        <w:rPr>
          <w:rFonts w:eastAsia="Baskerville Old Face" w:cs="Baskerville Old Face"/>
        </w:rPr>
      </w:pPr>
      <w:r w:rsidRPr="00131EED">
        <w:rPr>
          <w:rFonts w:eastAsia="Baskerville Old Face" w:cs="Baskerville Old Face"/>
        </w:rPr>
        <w:t>Mas adelante, el</w:t>
      </w:r>
      <w:r w:rsidR="00934A19" w:rsidRPr="00131EED">
        <w:rPr>
          <w:rFonts w:eastAsia="Baskerville Old Face" w:cs="Baskerville Old Face"/>
        </w:rPr>
        <w:t xml:space="preserve"> antiguo</w:t>
      </w:r>
      <w:r w:rsidR="00CD4669" w:rsidRPr="00131EED">
        <w:rPr>
          <w:rFonts w:eastAsia="Baskerville Old Face" w:cs="Baskerville Old Face"/>
        </w:rPr>
        <w:t xml:space="preserve"> Instituto Colombiano de geología y Minería INGEOMINAS</w:t>
      </w:r>
      <w:r w:rsidR="002455E7" w:rsidRPr="00131EED">
        <w:rPr>
          <w:rFonts w:eastAsia="Baskerville Old Face" w:cs="Baskerville Old Face"/>
        </w:rPr>
        <w:t xml:space="preserve"> y actual Servicio Geológico Colombiano (SGC),</w:t>
      </w:r>
      <w:r w:rsidRPr="00131EED">
        <w:rPr>
          <w:rFonts w:eastAsia="Baskerville Old Face" w:cs="Baskerville Old Face"/>
        </w:rPr>
        <w:t xml:space="preserve"> </w:t>
      </w:r>
      <w:r w:rsidR="002455E7" w:rsidRPr="00131EED">
        <w:rPr>
          <w:rFonts w:eastAsia="Baskerville Old Face" w:cs="Baskerville Old Face"/>
        </w:rPr>
        <w:t xml:space="preserve">en el año 2004 </w:t>
      </w:r>
      <w:r w:rsidR="00D8130C" w:rsidRPr="00131EED">
        <w:rPr>
          <w:rFonts w:eastAsia="Baskerville Old Face" w:cs="Baskerville Old Face"/>
        </w:rPr>
        <w:t>asumi</w:t>
      </w:r>
      <w:r w:rsidRPr="00131EED">
        <w:rPr>
          <w:rFonts w:eastAsia="Baskerville Old Face" w:cs="Baskerville Old Face"/>
        </w:rPr>
        <w:t>ría</w:t>
      </w:r>
      <w:r w:rsidR="00D8130C" w:rsidRPr="00131EED">
        <w:rPr>
          <w:rFonts w:eastAsia="Baskerville Old Face" w:cs="Baskerville Old Face"/>
        </w:rPr>
        <w:t xml:space="preserve"> la tarea de desarrollar un proyecto de compilación y levantamiento de información geomecánica para la Sabana de Bogotá</w:t>
      </w:r>
      <w:r w:rsidR="00E202DB" w:rsidRPr="00131EED">
        <w:rPr>
          <w:rFonts w:eastAsia="Baskerville Old Face" w:cs="Baskerville Old Face"/>
        </w:rPr>
        <w:t>, que buscaba levantar</w:t>
      </w:r>
      <w:r w:rsidR="00F04F5F" w:rsidRPr="00131EED">
        <w:rPr>
          <w:rFonts w:eastAsia="Baskerville Old Face" w:cs="Baskerville Old Face"/>
        </w:rPr>
        <w:t xml:space="preserve"> y consolidar conocimiento de datos básicos de comportamiento del subsuelo, como la geología, la geomorfología, y el conocimiento del comportamiento físico y mecánico de los materiales de superficie</w:t>
      </w:r>
      <w:r w:rsidR="00B37365" w:rsidRPr="00131EED">
        <w:rPr>
          <w:rFonts w:eastAsia="Baskerville Old Face" w:cs="Baskerville Old Face"/>
        </w:rPr>
        <w:t xml:space="preserve"> </w:t>
      </w:r>
      <w:r w:rsidR="00F04F5F" w:rsidRPr="00131EED">
        <w:rPr>
          <w:rFonts w:eastAsia="Baskerville Old Face" w:cs="Baskerville Old Face"/>
        </w:rPr>
        <w:t>de la Sabana de Bogotá.</w:t>
      </w:r>
    </w:p>
    <w:p w14:paraId="52DFA7E1" w14:textId="77777777" w:rsidR="00D8130C" w:rsidRPr="00131EED" w:rsidRDefault="00D8130C" w:rsidP="000D7380">
      <w:pPr>
        <w:rPr>
          <w:rFonts w:eastAsia="Baskerville Old Face" w:cs="Baskerville Old Face"/>
        </w:rPr>
      </w:pPr>
    </w:p>
    <w:p w14:paraId="305B8A34" w14:textId="1F9A17BE" w:rsidR="00D8130C" w:rsidRPr="00131EED" w:rsidRDefault="00633FC1" w:rsidP="000D7380">
      <w:pPr>
        <w:rPr>
          <w:rFonts w:eastAsia="Baskerville Old Face" w:cs="Baskerville Old Face"/>
        </w:rPr>
      </w:pPr>
      <w:r w:rsidRPr="00131EED">
        <w:rPr>
          <w:rFonts w:eastAsia="Baskerville Old Face" w:cs="Baskerville Old Face"/>
        </w:rPr>
        <w:t xml:space="preserve">Para lo anterior, INGEOMINAS determinaría la localización de lo que ellos en su momento </w:t>
      </w:r>
      <w:r w:rsidR="000C5CD2" w:rsidRPr="00131EED">
        <w:rPr>
          <w:rFonts w:eastAsia="Baskerville Old Face" w:cs="Baskerville Old Face"/>
        </w:rPr>
        <w:t>denominaron</w:t>
      </w:r>
      <w:r w:rsidR="00004773" w:rsidRPr="00131EED">
        <w:rPr>
          <w:rFonts w:eastAsia="Baskerville Old Face" w:cs="Baskerville Old Face"/>
        </w:rPr>
        <w:t xml:space="preserve"> </w:t>
      </w:r>
      <w:r w:rsidRPr="00131EED">
        <w:rPr>
          <w:rFonts w:eastAsia="Baskerville Old Face" w:cs="Baskerville Old Face"/>
        </w:rPr>
        <w:t xml:space="preserve">Zona de Estudio y Entorno Físico, </w:t>
      </w:r>
      <w:r w:rsidR="000C5CD2" w:rsidRPr="00131EED">
        <w:rPr>
          <w:rFonts w:eastAsia="Baskerville Old Face" w:cs="Baskerville Old Face"/>
        </w:rPr>
        <w:t>es decir,</w:t>
      </w:r>
      <w:r w:rsidRPr="00131EED">
        <w:rPr>
          <w:rFonts w:eastAsia="Baskerville Old Face" w:cs="Baskerville Old Face"/>
        </w:rPr>
        <w:t xml:space="preserve"> una Sabana de Bogotá</w:t>
      </w:r>
      <w:r w:rsidR="000C5CD2" w:rsidRPr="00131EED">
        <w:rPr>
          <w:rFonts w:eastAsia="Baskerville Old Face" w:cs="Baskerville Old Face"/>
        </w:rPr>
        <w:t xml:space="preserve"> definida así:</w:t>
      </w:r>
    </w:p>
    <w:p w14:paraId="0B5C806A" w14:textId="77777777" w:rsidR="000C5CD2" w:rsidRPr="00131EED" w:rsidRDefault="000C5CD2" w:rsidP="000D7380">
      <w:pPr>
        <w:rPr>
          <w:rFonts w:eastAsia="Baskerville Old Face" w:cs="Baskerville Old Face"/>
        </w:rPr>
      </w:pPr>
    </w:p>
    <w:p w14:paraId="6072A6D3" w14:textId="77777777" w:rsidR="004D76D2" w:rsidRPr="00131EED" w:rsidRDefault="004D76D2" w:rsidP="006962E5">
      <w:pPr>
        <w:ind w:left="720"/>
        <w:rPr>
          <w:rFonts w:eastAsia="Baskerville Old Face" w:cs="Baskerville Old Face"/>
          <w:i/>
        </w:rPr>
      </w:pPr>
      <w:r w:rsidRPr="00131EED">
        <w:rPr>
          <w:rFonts w:eastAsia="Baskerville Old Face" w:cs="Baskerville Old Face"/>
          <w:i/>
        </w:rPr>
        <w:t>“La Sabana de Bogotá se localiza en Colombia en el departamento de Cundinamarca, prácticamente en la zona de la Cuenca Alta del río Bogotá: Por disposición, tamaño y estructura, configura una región geográfica perfectamente delimitable. La Sabana de Bogotá está situada en la zona axial de la Cordillera Oriental de Colombia, entre los 2550 m y los 2600 m de altitud y entre las coordenadas geográficas 4° 30’ y 5° 15’ de latitud Norte y los 73° 45’ y 74° 30’ de longitud Oeste. La ciudad de Bogotá situada en el extremo sur-oriental, ocupa un área aproximada de 350 km2 en la que habitan alrededor de siete millones de personas.</w:t>
      </w:r>
    </w:p>
    <w:p w14:paraId="4C508574" w14:textId="77777777" w:rsidR="004D76D2" w:rsidRPr="00131EED" w:rsidRDefault="004D76D2" w:rsidP="006962E5">
      <w:pPr>
        <w:ind w:left="720"/>
        <w:rPr>
          <w:rFonts w:eastAsia="Baskerville Old Face" w:cs="Baskerville Old Face"/>
          <w:i/>
        </w:rPr>
      </w:pPr>
    </w:p>
    <w:p w14:paraId="01328E9B" w14:textId="60046ACD" w:rsidR="00D8130C" w:rsidRPr="00131EED" w:rsidRDefault="004D76D2" w:rsidP="006962E5">
      <w:pPr>
        <w:ind w:left="720"/>
        <w:rPr>
          <w:rFonts w:eastAsia="Baskerville Old Face" w:cs="Baskerville Old Face"/>
          <w:i/>
        </w:rPr>
      </w:pPr>
      <w:r w:rsidRPr="00131EED">
        <w:rPr>
          <w:rFonts w:eastAsia="Baskerville Old Face" w:cs="Baskerville Old Face"/>
          <w:i/>
        </w:rPr>
        <w:t xml:space="preserve">La Sabana contiene 26 municipios y parte de 3, y es el entorno de la ciudad de </w:t>
      </w:r>
      <w:r w:rsidR="00C615E1" w:rsidRPr="00131EED">
        <w:rPr>
          <w:rFonts w:eastAsia="Baskerville Old Face" w:cs="Baskerville Old Face"/>
          <w:i/>
        </w:rPr>
        <w:t>Bogotá.</w:t>
      </w:r>
      <w:r w:rsidRPr="00131EED">
        <w:rPr>
          <w:rFonts w:eastAsia="Baskerville Old Face" w:cs="Baskerville Old Face"/>
          <w:i/>
        </w:rPr>
        <w:t xml:space="preserve"> involucrando espacialmente los siguientes municipios: Villapinzón, Chocontá, Sesquilé, Suesca, Nemocón, Guatavita, Gachancipà, Cogua, Tausa, Tocancipá, Zipaquirá, Suabachoque, El Rosal, Tabio, Cajicá, Sopó, parate de Guasca, Tenjo, Chía, parte de la Calera, Cota, Funza, Madrid, Mosquera, Facatativa, parte de Bojacá, parte de Soacha, Sibaté y Bogotá. En la Figura 1 se puede observar la localización del área de estudio y en la Figura 2 la división municipal del área.. De otra forma la Sabana de Bogotá cubre las subcuencas de los ríos Sisga, Tominé, Teusacá, Neusa, Chicú, Subachoque, Balsillas, Tunjuelito y Fontibón, con un área aproximada de 4224 Km2.”</w:t>
      </w:r>
    </w:p>
    <w:p w14:paraId="2482186F" w14:textId="3FC37B4F" w:rsidR="00706A98" w:rsidRPr="00131EED" w:rsidRDefault="00706A98" w:rsidP="006962E5">
      <w:pPr>
        <w:ind w:left="720"/>
        <w:rPr>
          <w:i/>
          <w:iCs/>
        </w:rPr>
      </w:pPr>
    </w:p>
    <w:p w14:paraId="1FFD3E7D" w14:textId="66E4A02F" w:rsidR="00706A98" w:rsidRPr="00131EED" w:rsidRDefault="00706A98" w:rsidP="00706A98">
      <w:pPr>
        <w:pStyle w:val="Caption"/>
        <w:jc w:val="center"/>
      </w:pPr>
      <w:bookmarkStart w:id="16" w:name="_Toc216468766"/>
      <w:r w:rsidRPr="00131EED">
        <w:t xml:space="preserve">Ilustración </w:t>
      </w:r>
      <w:fldSimple w:instr=" SEQ Ilustración \* ARABIC ">
        <w:r w:rsidR="00CE096F">
          <w:rPr>
            <w:noProof/>
          </w:rPr>
          <w:t>1</w:t>
        </w:r>
      </w:fldSimple>
      <w:r w:rsidRPr="00131EED">
        <w:t>. Localización de la Sabana de Bogotá según Instituto Colombiano de geología y Minería</w:t>
      </w:r>
      <w:bookmarkEnd w:id="16"/>
      <w:r w:rsidRPr="00131EED">
        <w:t xml:space="preserve"> </w:t>
      </w:r>
    </w:p>
    <w:p w14:paraId="7A5BE320" w14:textId="474340E7" w:rsidR="00F12E2E" w:rsidRPr="00131EED" w:rsidRDefault="00F12E2E" w:rsidP="00F12E2E">
      <w:pPr>
        <w:keepNext/>
        <w:jc w:val="center"/>
      </w:pPr>
      <w:r w:rsidRPr="00131EED">
        <w:rPr>
          <w:noProof/>
          <w:color w:val="0D0D0D"/>
          <w:lang w:eastAsia="en-US"/>
        </w:rPr>
        <w:drawing>
          <wp:inline distT="0" distB="0" distL="0" distR="0" wp14:anchorId="4E857090" wp14:editId="6A4E2A0B">
            <wp:extent cx="5443870" cy="3725577"/>
            <wp:effectExtent l="0" t="0" r="4445" b="8255"/>
            <wp:docPr id="1573129463" name="Picture 1" descr="A map of the south americ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129463" name="Picture 1" descr="A map of the south america&#10;&#10;AI-generated content may be incorrect."/>
                    <pic:cNvPicPr/>
                  </pic:nvPicPr>
                  <pic:blipFill rotWithShape="1">
                    <a:blip r:embed="rId24"/>
                    <a:srcRect b="9461"/>
                    <a:stretch>
                      <a:fillRect/>
                    </a:stretch>
                  </pic:blipFill>
                  <pic:spPr bwMode="auto">
                    <a:xfrm>
                      <a:off x="0" y="0"/>
                      <a:ext cx="5449383" cy="3729350"/>
                    </a:xfrm>
                    <a:prstGeom prst="rect">
                      <a:avLst/>
                    </a:prstGeom>
                    <a:ln>
                      <a:noFill/>
                    </a:ln>
                    <a:extLst>
                      <a:ext uri="{53640926-AAD7-44D8-BBD7-CCE9431645EC}">
                        <a14:shadowObscured xmlns:a14="http://schemas.microsoft.com/office/drawing/2010/main"/>
                      </a:ext>
                    </a:extLst>
                  </pic:spPr>
                </pic:pic>
              </a:graphicData>
            </a:graphic>
          </wp:inline>
        </w:drawing>
      </w:r>
    </w:p>
    <w:p w14:paraId="1E5DAD8A" w14:textId="491DEE6F" w:rsidR="00706A98" w:rsidRPr="00131EED" w:rsidRDefault="00706A98" w:rsidP="00F12E2E">
      <w:pPr>
        <w:keepNext/>
        <w:jc w:val="center"/>
        <w:rPr>
          <w:sz w:val="20"/>
          <w:szCs w:val="20"/>
        </w:rPr>
      </w:pPr>
      <w:r w:rsidRPr="00131EED">
        <w:rPr>
          <w:sz w:val="20"/>
          <w:szCs w:val="20"/>
        </w:rPr>
        <w:t>Fuente: (INGEOMINAS,2004)</w:t>
      </w:r>
    </w:p>
    <w:p w14:paraId="20EE0674" w14:textId="77777777" w:rsidR="00F12E2E" w:rsidRPr="00131EED" w:rsidRDefault="00F12E2E" w:rsidP="000D7380"/>
    <w:p w14:paraId="57F31571" w14:textId="1C7618A5" w:rsidR="00FC1E2D" w:rsidRPr="00131EED" w:rsidRDefault="00FC1E2D" w:rsidP="00FC1E2D">
      <w:pPr>
        <w:rPr>
          <w:rFonts w:eastAsia="Baskerville Old Face" w:cs="Baskerville Old Face"/>
        </w:rPr>
      </w:pPr>
      <w:r w:rsidRPr="00131EED">
        <w:rPr>
          <w:rFonts w:eastAsia="Baskerville Old Face" w:cs="Baskerville Old Face"/>
        </w:rPr>
        <w:t>Este ámbito ser</w:t>
      </w:r>
      <w:r w:rsidR="001F30F9" w:rsidRPr="00131EED">
        <w:rPr>
          <w:rFonts w:eastAsia="Baskerville Old Face" w:cs="Baskerville Old Face"/>
        </w:rPr>
        <w:t>ía</w:t>
      </w:r>
      <w:r w:rsidRPr="00131EED">
        <w:rPr>
          <w:rFonts w:eastAsia="Baskerville Old Face" w:cs="Baskerville Old Face"/>
        </w:rPr>
        <w:t xml:space="preserve"> sustentado por parte de I</w:t>
      </w:r>
      <w:r w:rsidR="7DB39325" w:rsidRPr="00131EED">
        <w:rPr>
          <w:rFonts w:eastAsia="Baskerville Old Face" w:cs="Baskerville Old Face"/>
        </w:rPr>
        <w:t>N</w:t>
      </w:r>
      <w:r w:rsidRPr="00131EED">
        <w:rPr>
          <w:rFonts w:eastAsia="Baskerville Old Face" w:cs="Baskerville Old Face"/>
        </w:rPr>
        <w:t>GEOMINAS teniendo en cuenta criterios de:</w:t>
      </w:r>
    </w:p>
    <w:p w14:paraId="238A6A6B" w14:textId="77777777" w:rsidR="00FC1E2D" w:rsidRPr="00131EED" w:rsidRDefault="00FC1E2D" w:rsidP="00FC1E2D">
      <w:pPr>
        <w:rPr>
          <w:rFonts w:eastAsia="Baskerville Old Face" w:cs="Baskerville Old Face"/>
        </w:rPr>
      </w:pPr>
    </w:p>
    <w:p w14:paraId="66B7EA1F" w14:textId="58D14D03" w:rsidR="00FC1E2D" w:rsidRPr="00131EED" w:rsidRDefault="00FC1E2D" w:rsidP="00410194">
      <w:pPr>
        <w:pStyle w:val="ListParagraph"/>
        <w:numPr>
          <w:ilvl w:val="0"/>
          <w:numId w:val="3"/>
        </w:numPr>
        <w:rPr>
          <w:rFonts w:eastAsia="Baskerville Old Face" w:cs="Baskerville Old Face"/>
          <w:sz w:val="24"/>
          <w:szCs w:val="24"/>
        </w:rPr>
      </w:pPr>
      <w:r w:rsidRPr="00131EED">
        <w:rPr>
          <w:rFonts w:eastAsia="Baskerville Old Face" w:cs="Baskerville Old Face"/>
          <w:sz w:val="24"/>
          <w:szCs w:val="24"/>
        </w:rPr>
        <w:t>Ubicación Geográfica:</w:t>
      </w:r>
      <w:r w:rsidR="001F30F9" w:rsidRPr="00131EED">
        <w:rPr>
          <w:rFonts w:eastAsia="Baskerville Old Face" w:cs="Baskerville Old Face"/>
          <w:sz w:val="24"/>
          <w:szCs w:val="24"/>
        </w:rPr>
        <w:t xml:space="preserve"> </w:t>
      </w:r>
      <w:r w:rsidR="001F30F9" w:rsidRPr="00131EED">
        <w:rPr>
          <w:rFonts w:eastAsia="Baskerville Old Face" w:cs="Baskerville Old Face"/>
          <w:i/>
          <w:sz w:val="24"/>
          <w:szCs w:val="24"/>
        </w:rPr>
        <w:t>“</w:t>
      </w:r>
      <w:r w:rsidRPr="00131EED">
        <w:rPr>
          <w:rFonts w:eastAsia="Baskerville Old Face" w:cs="Baskerville Old Face"/>
          <w:i/>
          <w:sz w:val="24"/>
          <w:szCs w:val="24"/>
        </w:rPr>
        <w:t>La ciudad de Bogotá, capital del país es el centro geográfico del continente suramericano, a tan solo una hora de vuelo de los océanos Atlántico y Pacífico y del mar Caribe y se encuentra cerca de cualquier ciudad de América en términos relativos; por lo anterior, es llamada la puerta de entrada a Sur América</w:t>
      </w:r>
      <w:r w:rsidR="001F30F9" w:rsidRPr="00131EED">
        <w:rPr>
          <w:rFonts w:eastAsia="Baskerville Old Face" w:cs="Baskerville Old Face"/>
          <w:i/>
          <w:sz w:val="24"/>
          <w:szCs w:val="24"/>
        </w:rPr>
        <w:t>”</w:t>
      </w:r>
      <w:r w:rsidRPr="00131EED">
        <w:rPr>
          <w:rFonts w:eastAsia="Baskerville Old Face" w:cs="Baskerville Old Face"/>
          <w:i/>
          <w:sz w:val="24"/>
          <w:szCs w:val="24"/>
        </w:rPr>
        <w:t>.</w:t>
      </w:r>
      <w:r w:rsidRPr="00131EED">
        <w:rPr>
          <w:rFonts w:eastAsia="Baskerville Old Face" w:cs="Baskerville Old Face"/>
          <w:sz w:val="24"/>
          <w:szCs w:val="24"/>
        </w:rPr>
        <w:t xml:space="preserve"> </w:t>
      </w:r>
    </w:p>
    <w:p w14:paraId="11D5616D" w14:textId="3316C2CC" w:rsidR="00FC1E2D" w:rsidRPr="00131EED" w:rsidRDefault="00FC1E2D" w:rsidP="00410194">
      <w:pPr>
        <w:pStyle w:val="ListParagraph"/>
        <w:numPr>
          <w:ilvl w:val="0"/>
          <w:numId w:val="3"/>
        </w:numPr>
        <w:rPr>
          <w:rFonts w:eastAsia="Baskerville Old Face" w:cs="Baskerville Old Face"/>
          <w:sz w:val="24"/>
          <w:szCs w:val="24"/>
        </w:rPr>
      </w:pPr>
      <w:r w:rsidRPr="00131EED">
        <w:rPr>
          <w:rFonts w:eastAsia="Baskerville Old Face" w:cs="Baskerville Old Face"/>
          <w:sz w:val="24"/>
          <w:szCs w:val="24"/>
        </w:rPr>
        <w:t xml:space="preserve">Productividad: </w:t>
      </w:r>
      <w:r w:rsidR="001F30F9" w:rsidRPr="00131EED">
        <w:rPr>
          <w:rFonts w:eastAsia="Baskerville Old Face" w:cs="Baskerville Old Face"/>
          <w:i/>
          <w:sz w:val="24"/>
          <w:szCs w:val="24"/>
        </w:rPr>
        <w:t>“</w:t>
      </w:r>
      <w:r w:rsidRPr="00131EED">
        <w:rPr>
          <w:rFonts w:eastAsia="Baskerville Old Face" w:cs="Baskerville Old Face"/>
          <w:i/>
          <w:sz w:val="24"/>
          <w:szCs w:val="24"/>
        </w:rPr>
        <w:t>Bogotá es considerada como la ciudad más productiva del país y de la región gracias a su alta concentración de capital humano, al desarrollo de su capital social, a que cuenta con importantes puntos nodales financieros y con un alto nivel de inversión extranjera directa. Igualmente, ventajas como la oferta de servicios de alta tecnología, la concentración productiva y los servicios de consultoría empresarial de alto nivel hacen de Bogotá una ciudad primada a nivel nacional y regional</w:t>
      </w:r>
      <w:r w:rsidR="001F30F9" w:rsidRPr="00131EED">
        <w:rPr>
          <w:rFonts w:eastAsia="Baskerville Old Face" w:cs="Baskerville Old Face"/>
          <w:i/>
          <w:sz w:val="24"/>
          <w:szCs w:val="24"/>
        </w:rPr>
        <w:t>”.</w:t>
      </w:r>
    </w:p>
    <w:p w14:paraId="2B65E098" w14:textId="63F98F52" w:rsidR="00FC1E2D" w:rsidRPr="00131EED" w:rsidRDefault="00FC1E2D" w:rsidP="00410194">
      <w:pPr>
        <w:pStyle w:val="ListParagraph"/>
        <w:numPr>
          <w:ilvl w:val="0"/>
          <w:numId w:val="3"/>
        </w:numPr>
        <w:rPr>
          <w:rFonts w:eastAsia="Baskerville Old Face" w:cs="Baskerville Old Face"/>
          <w:sz w:val="24"/>
          <w:szCs w:val="24"/>
        </w:rPr>
      </w:pPr>
      <w:r w:rsidRPr="00131EED">
        <w:rPr>
          <w:rFonts w:eastAsia="Baskerville Old Face" w:cs="Baskerville Old Face"/>
          <w:sz w:val="24"/>
          <w:szCs w:val="24"/>
        </w:rPr>
        <w:t xml:space="preserve">Fuerza Laboral y Área de Desarrollo: </w:t>
      </w:r>
      <w:r w:rsidR="001F30F9" w:rsidRPr="00131EED">
        <w:rPr>
          <w:rFonts w:eastAsia="Baskerville Old Face" w:cs="Baskerville Old Face"/>
          <w:i/>
          <w:sz w:val="24"/>
          <w:szCs w:val="24"/>
        </w:rPr>
        <w:t>“</w:t>
      </w:r>
      <w:r w:rsidRPr="00131EED">
        <w:rPr>
          <w:rFonts w:eastAsia="Baskerville Old Face" w:cs="Baskerville Old Face"/>
          <w:i/>
          <w:sz w:val="24"/>
          <w:szCs w:val="24"/>
        </w:rPr>
        <w:t>Factores como su ubicación estratégica en el hemisferio, la infraestructura aeroportuaria, su fuerza laboral calificada, la calidad de los centros educativos, servicios públicos, telecomunicaciones e infraestructura y equipamiento urbano, variados recursos productivos a costos competitivos, sede de centros de investigación y tecnología, y un amplio mercado de consumo de fácil acceso, entre otros, distinguen a Bogotá como una ciudad privilegiada e idónea para las decisiones de inversión de empresarios extranjeros, convirtiéndose así, en una plataforma ideal para los negocios internacionales.  Esto hace que la Sabana de Bogotá, que alberga a la capital del país, se convierta en una zona estratégica no sólo por ser un área de captación de población, sino por ser un área de alto desarrollo económico y social</w:t>
      </w:r>
      <w:r w:rsidR="001F30F9" w:rsidRPr="00131EED">
        <w:rPr>
          <w:rFonts w:eastAsia="Baskerville Old Face" w:cs="Baskerville Old Face"/>
          <w:i/>
          <w:sz w:val="24"/>
          <w:szCs w:val="24"/>
        </w:rPr>
        <w:t>”</w:t>
      </w:r>
      <w:r w:rsidRPr="00131EED">
        <w:rPr>
          <w:rFonts w:eastAsia="Baskerville Old Face" w:cs="Baskerville Old Face"/>
          <w:sz w:val="24"/>
          <w:szCs w:val="24"/>
        </w:rPr>
        <w:t xml:space="preserve">. </w:t>
      </w:r>
    </w:p>
    <w:p w14:paraId="7E65F391" w14:textId="3CE9B616" w:rsidR="00FC1E2D" w:rsidRPr="00131EED" w:rsidRDefault="00FC1E2D" w:rsidP="00410194">
      <w:pPr>
        <w:pStyle w:val="ListParagraph"/>
        <w:numPr>
          <w:ilvl w:val="0"/>
          <w:numId w:val="3"/>
        </w:numPr>
        <w:rPr>
          <w:rFonts w:eastAsia="Baskerville Old Face" w:cs="Baskerville Old Face"/>
          <w:sz w:val="24"/>
          <w:szCs w:val="24"/>
        </w:rPr>
      </w:pPr>
      <w:r w:rsidRPr="00131EED">
        <w:rPr>
          <w:rFonts w:eastAsia="Baskerville Old Face" w:cs="Baskerville Old Face"/>
          <w:sz w:val="24"/>
          <w:szCs w:val="24"/>
        </w:rPr>
        <w:t>Disponibilidad de Información:</w:t>
      </w:r>
      <w:r w:rsidR="001F30F9" w:rsidRPr="00131EED">
        <w:rPr>
          <w:rFonts w:eastAsia="Baskerville Old Face" w:cs="Baskerville Old Face"/>
          <w:sz w:val="24"/>
          <w:szCs w:val="24"/>
        </w:rPr>
        <w:t xml:space="preserve"> </w:t>
      </w:r>
      <w:r w:rsidR="001F30F9" w:rsidRPr="00131EED">
        <w:rPr>
          <w:rFonts w:eastAsia="Baskerville Old Face" w:cs="Baskerville Old Face"/>
          <w:i/>
          <w:sz w:val="24"/>
          <w:szCs w:val="24"/>
        </w:rPr>
        <w:t>“L</w:t>
      </w:r>
      <w:r w:rsidRPr="00131EED">
        <w:rPr>
          <w:rFonts w:eastAsia="Baskerville Old Face" w:cs="Baskerville Old Face"/>
          <w:i/>
          <w:sz w:val="24"/>
          <w:szCs w:val="24"/>
        </w:rPr>
        <w:t>a Sabana de Bogotá se encuentra gran cantidad de información geotécnica y geológica muy importante para el desarrollo de este tipo de trabajos. (Zonificación geomecánica)</w:t>
      </w:r>
      <w:r w:rsidR="001F30F9" w:rsidRPr="00131EED">
        <w:rPr>
          <w:rFonts w:eastAsia="Baskerville Old Face" w:cs="Baskerville Old Face"/>
          <w:i/>
          <w:sz w:val="24"/>
          <w:szCs w:val="24"/>
        </w:rPr>
        <w:t>”</w:t>
      </w:r>
      <w:r w:rsidR="001F30F9" w:rsidRPr="00131EED">
        <w:rPr>
          <w:rFonts w:eastAsia="Baskerville Old Face" w:cs="Baskerville Old Face"/>
          <w:sz w:val="24"/>
          <w:szCs w:val="24"/>
        </w:rPr>
        <w:t>.</w:t>
      </w:r>
    </w:p>
    <w:p w14:paraId="4C177D58" w14:textId="21B10A46" w:rsidR="00BD3997" w:rsidRPr="00131EED" w:rsidRDefault="00BD3997" w:rsidP="00BD3997">
      <w:pPr>
        <w:rPr>
          <w:rFonts w:eastAsia="Baskerville Old Face" w:cs="Baskerville Old Face"/>
        </w:rPr>
      </w:pPr>
      <w:r w:rsidRPr="00131EED">
        <w:rPr>
          <w:rFonts w:eastAsia="Baskerville Old Face" w:cs="Baskerville Old Face"/>
        </w:rPr>
        <w:t>Sobre este ámbito más adelante se aplicarían 4 variables temáticas que permitieron desarrollar la zonificación geomecánica de la Sabana de Bogotá.</w:t>
      </w:r>
    </w:p>
    <w:p w14:paraId="3C306A57" w14:textId="77777777" w:rsidR="00BD3997" w:rsidRPr="00131EED" w:rsidRDefault="00BD3997" w:rsidP="00BD3997">
      <w:pPr>
        <w:rPr>
          <w:rFonts w:eastAsia="Baskerville Old Face" w:cs="Baskerville Old Face"/>
        </w:rPr>
      </w:pPr>
    </w:p>
    <w:p w14:paraId="286C6F7D" w14:textId="77777777" w:rsidR="00BD3997" w:rsidRPr="00131EED" w:rsidRDefault="00BD3997" w:rsidP="00410194">
      <w:pPr>
        <w:pStyle w:val="ListParagraph"/>
        <w:numPr>
          <w:ilvl w:val="0"/>
          <w:numId w:val="2"/>
        </w:numPr>
        <w:rPr>
          <w:rFonts w:eastAsia="Baskerville Old Face" w:cs="Baskerville Old Face"/>
          <w:sz w:val="24"/>
          <w:szCs w:val="24"/>
        </w:rPr>
      </w:pPr>
      <w:r w:rsidRPr="00131EED">
        <w:rPr>
          <w:rFonts w:eastAsia="Baskerville Old Face" w:cs="Baskerville Old Face"/>
          <w:sz w:val="24"/>
          <w:szCs w:val="24"/>
        </w:rPr>
        <w:t>Propiedades y modelos Geotécnicos: Esta temática incluye (i) Caracterización geotécnica de los materiales superficiales, (ii) Perfiles y propiedades índice de los materiales geológicos, (iii) Propiedades hidráulicas de suelos y rocas, (iv) Propiedades esfuerzo-deformación y (v) resistencia de suelos y rocas.</w:t>
      </w:r>
    </w:p>
    <w:p w14:paraId="62FDC6C1" w14:textId="77777777" w:rsidR="00BD3997" w:rsidRPr="00131EED" w:rsidRDefault="00BD3997" w:rsidP="00410194">
      <w:pPr>
        <w:pStyle w:val="ListParagraph"/>
        <w:numPr>
          <w:ilvl w:val="0"/>
          <w:numId w:val="2"/>
        </w:numPr>
        <w:rPr>
          <w:rFonts w:eastAsia="Baskerville Old Face" w:cs="Baskerville Old Face"/>
          <w:sz w:val="24"/>
          <w:szCs w:val="24"/>
        </w:rPr>
      </w:pPr>
      <w:r w:rsidRPr="00131EED">
        <w:rPr>
          <w:rFonts w:eastAsia="Baskerville Old Face" w:cs="Baskerville Old Face"/>
          <w:sz w:val="24"/>
          <w:szCs w:val="24"/>
        </w:rPr>
        <w:t xml:space="preserve">Propiedades y Modelos geológicos y geomorfológicos: Incluye: (i) Unidades geológicas superficiales, (ii) Densidad Estructural, (iii) Estructuras geológicas, (iv) Unidades geomorfológicas, (v) Procesos geomorfológicos. </w:t>
      </w:r>
    </w:p>
    <w:p w14:paraId="3CBECABB" w14:textId="77777777" w:rsidR="00BD3997" w:rsidRPr="00131EED" w:rsidRDefault="00BD3997" w:rsidP="00410194">
      <w:pPr>
        <w:pStyle w:val="ListParagraph"/>
        <w:numPr>
          <w:ilvl w:val="0"/>
          <w:numId w:val="2"/>
        </w:numPr>
        <w:rPr>
          <w:rFonts w:eastAsia="Baskerville Old Face" w:cs="Baskerville Old Face"/>
          <w:sz w:val="24"/>
          <w:szCs w:val="24"/>
        </w:rPr>
      </w:pPr>
      <w:r w:rsidRPr="00131EED">
        <w:rPr>
          <w:rFonts w:eastAsia="Baskerville Old Face" w:cs="Baskerville Old Face"/>
          <w:sz w:val="24"/>
          <w:szCs w:val="24"/>
        </w:rPr>
        <w:t>Suelos y agrología: incluye la descripción y tratamiento de los suelos agrológicos dentro de un manejo temático de su comportamiento y direccionada en los estudios agrológicos y edafológicos a la productividad, permitiendo enlazar la información de superficie (edáfica), información de profundidad media (suelo-subsuelo, geotécnica) e información de profundidad (geología).</w:t>
      </w:r>
    </w:p>
    <w:p w14:paraId="7E7441FE" w14:textId="77777777" w:rsidR="00BD3997" w:rsidRPr="00131EED" w:rsidRDefault="00BD3997" w:rsidP="00410194">
      <w:pPr>
        <w:pStyle w:val="ListParagraph"/>
        <w:numPr>
          <w:ilvl w:val="0"/>
          <w:numId w:val="2"/>
        </w:numPr>
        <w:rPr>
          <w:rFonts w:eastAsia="Baskerville Old Face" w:cs="Baskerville Old Face"/>
          <w:b/>
          <w:sz w:val="24"/>
          <w:szCs w:val="24"/>
        </w:rPr>
      </w:pPr>
      <w:r w:rsidRPr="00131EED">
        <w:rPr>
          <w:rFonts w:eastAsia="Baskerville Old Face" w:cs="Baskerville Old Face"/>
          <w:sz w:val="24"/>
          <w:szCs w:val="24"/>
        </w:rPr>
        <w:t>Factores hidrogeológicos: incluye la caracterización de ciertas variables climáticas que tienen influencia directamente en los cambios ocurridos en los materiales superficiales y su correlación con el comportamiento físico y mecánico de los materiales, tales como el clima, la temperatura, los cambios en niveles freáticos, etc.</w:t>
      </w:r>
    </w:p>
    <w:p w14:paraId="3E5FBFB6" w14:textId="77777777" w:rsidR="003C4A2C" w:rsidRPr="00131EED" w:rsidRDefault="003C4A2C" w:rsidP="003C4A2C">
      <w:pPr>
        <w:pStyle w:val="ListParagraph"/>
        <w:rPr>
          <w:rFonts w:eastAsia="Baskerville Old Face" w:cs="Baskerville Old Face"/>
          <w:b/>
          <w:sz w:val="24"/>
          <w:szCs w:val="24"/>
        </w:rPr>
      </w:pPr>
    </w:p>
    <w:p w14:paraId="4D14BA37" w14:textId="31A9187A" w:rsidR="00BD3997" w:rsidRPr="00131EED" w:rsidRDefault="00BD3997" w:rsidP="00BD3997">
      <w:pPr>
        <w:rPr>
          <w:rFonts w:eastAsia="Baskerville Old Face" w:cs="Baskerville Old Face"/>
          <w:spacing w:val="-4"/>
        </w:rPr>
      </w:pPr>
      <w:r w:rsidRPr="00131EED">
        <w:rPr>
          <w:rFonts w:eastAsia="Baskerville Old Face" w:cs="Baskerville Old Face"/>
        </w:rPr>
        <w:t>De acuerdo con lo anterior,</w:t>
      </w:r>
      <w:r w:rsidR="00AA65B6" w:rsidRPr="00131EED">
        <w:rPr>
          <w:rFonts w:eastAsia="Baskerville Old Face" w:cs="Baskerville Old Face"/>
        </w:rPr>
        <w:t xml:space="preserve"> como se puede observar, </w:t>
      </w:r>
      <w:r w:rsidRPr="00131EED">
        <w:rPr>
          <w:rFonts w:eastAsia="Baskerville Old Face" w:cs="Baskerville Old Face"/>
        </w:rPr>
        <w:t xml:space="preserve">los criterios definidos por </w:t>
      </w:r>
      <w:r w:rsidR="00FD037E" w:rsidRPr="00131EED">
        <w:rPr>
          <w:rFonts w:eastAsia="Baskerville Old Face" w:cs="Baskerville Old Face"/>
        </w:rPr>
        <w:t>INGEOMINAS</w:t>
      </w:r>
      <w:r w:rsidRPr="00131EED">
        <w:rPr>
          <w:rFonts w:eastAsia="Baskerville Old Face" w:cs="Baskerville Old Face"/>
        </w:rPr>
        <w:t xml:space="preserve"> para </w:t>
      </w:r>
      <w:r w:rsidR="00AA65B6" w:rsidRPr="00131EED">
        <w:rPr>
          <w:rFonts w:eastAsia="Baskerville Old Face" w:cs="Baskerville Old Face"/>
        </w:rPr>
        <w:t xml:space="preserve">el desarrollo de la zonificación geomecánica de la Sabana de Bogotá, implico tener en cuenta, también, </w:t>
      </w:r>
      <w:r w:rsidRPr="00131EED">
        <w:rPr>
          <w:rFonts w:eastAsia="Baskerville Old Face" w:cs="Baskerville Old Face"/>
        </w:rPr>
        <w:t xml:space="preserve">criterios hidrográficos y político administrativos, que </w:t>
      </w:r>
      <w:r w:rsidR="00D11FC4" w:rsidRPr="00131EED">
        <w:rPr>
          <w:rFonts w:eastAsia="Baskerville Old Face" w:cs="Baskerville Old Face"/>
        </w:rPr>
        <w:t xml:space="preserve">se </w:t>
      </w:r>
      <w:r w:rsidR="00C27749" w:rsidRPr="00131EED">
        <w:rPr>
          <w:rFonts w:eastAsia="Baskerville Old Face" w:cs="Baskerville Old Face"/>
        </w:rPr>
        <w:t>alinean</w:t>
      </w:r>
      <w:r w:rsidR="00D11FC4" w:rsidRPr="00131EED">
        <w:rPr>
          <w:rFonts w:eastAsia="Baskerville Old Face" w:cs="Baskerville Old Face"/>
        </w:rPr>
        <w:t xml:space="preserve"> con</w:t>
      </w:r>
      <w:r w:rsidRPr="00131EED">
        <w:rPr>
          <w:rFonts w:eastAsia="Baskerville Old Face" w:cs="Baskerville Old Face"/>
        </w:rPr>
        <w:t xml:space="preserve"> elementos </w:t>
      </w:r>
      <w:r w:rsidR="00C27749" w:rsidRPr="00131EED">
        <w:rPr>
          <w:rFonts w:eastAsia="Baskerville Old Face" w:cs="Baskerville Old Face"/>
        </w:rPr>
        <w:t xml:space="preserve">posteriormente </w:t>
      </w:r>
      <w:r w:rsidRPr="00131EED">
        <w:rPr>
          <w:rFonts w:eastAsia="Baskerville Old Face" w:cs="Baskerville Old Face"/>
        </w:rPr>
        <w:t>definidos por Guhl,</w:t>
      </w:r>
      <w:r w:rsidRPr="00131EED">
        <w:rPr>
          <w:rFonts w:eastAsia="Baskerville Old Face" w:cs="Baskerville Old Face"/>
          <w:spacing w:val="-1"/>
        </w:rPr>
        <w:t xml:space="preserve"> </w:t>
      </w:r>
      <w:r w:rsidRPr="00131EED">
        <w:rPr>
          <w:rFonts w:eastAsia="Baskerville Old Face" w:cs="Baskerville Old Face"/>
        </w:rPr>
        <w:t>E.</w:t>
      </w:r>
      <w:r w:rsidRPr="00131EED">
        <w:rPr>
          <w:rFonts w:eastAsia="Baskerville Old Face" w:cs="Baskerville Old Face"/>
          <w:spacing w:val="-1"/>
        </w:rPr>
        <w:t xml:space="preserve"> (</w:t>
      </w:r>
      <w:r w:rsidRPr="00131EED">
        <w:rPr>
          <w:rFonts w:eastAsia="Baskerville Old Face" w:cs="Baskerville Old Face"/>
          <w:spacing w:val="-4"/>
        </w:rPr>
        <w:t xml:space="preserve">2012) </w:t>
      </w:r>
      <w:r w:rsidR="00C27749" w:rsidRPr="00131EED">
        <w:rPr>
          <w:rFonts w:eastAsia="Baskerville Old Face" w:cs="Baskerville Old Face"/>
          <w:spacing w:val="-4"/>
        </w:rPr>
        <w:t>en su propuesta de</w:t>
      </w:r>
      <w:r w:rsidRPr="00131EED">
        <w:rPr>
          <w:rFonts w:eastAsia="Baskerville Old Face" w:cs="Baskerville Old Face"/>
          <w:spacing w:val="-4"/>
        </w:rPr>
        <w:t xml:space="preserve"> región hídrica.</w:t>
      </w:r>
    </w:p>
    <w:p w14:paraId="6B3F9B30" w14:textId="59E7C410" w:rsidR="00AA65B6" w:rsidRPr="00131EED" w:rsidRDefault="00AA65B6" w:rsidP="00BD3997"/>
    <w:p w14:paraId="57B60032" w14:textId="57E2AC13" w:rsidR="004529CA" w:rsidRPr="00131EED" w:rsidRDefault="004529CA" w:rsidP="00BD24CC">
      <w:pPr>
        <w:pStyle w:val="Caption"/>
        <w:jc w:val="center"/>
        <w:rPr>
          <w:spacing w:val="-4"/>
        </w:rPr>
      </w:pPr>
      <w:bookmarkStart w:id="17" w:name="_Ref210823440"/>
      <w:bookmarkStart w:id="18" w:name="_Toc216468767"/>
      <w:r w:rsidRPr="00131EED">
        <w:t xml:space="preserve">Ilustración </w:t>
      </w:r>
      <w:fldSimple w:instr=" SEQ Ilustración \* ARABIC ">
        <w:r w:rsidR="00CE096F">
          <w:rPr>
            <w:noProof/>
          </w:rPr>
          <w:t>2</w:t>
        </w:r>
      </w:fldSimple>
      <w:bookmarkEnd w:id="17"/>
      <w:r w:rsidRPr="00131EED">
        <w:t>. Propuesta de criterios para la definición de la región hídrica de Bogotá, según Guhl.</w:t>
      </w:r>
      <w:bookmarkEnd w:id="18"/>
      <w:r w:rsidRPr="00131EED">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2"/>
        <w:gridCol w:w="2943"/>
        <w:gridCol w:w="2943"/>
      </w:tblGrid>
      <w:tr w:rsidR="00AA65B6" w:rsidRPr="00131EED" w14:paraId="6BF7C163" w14:textId="77777777" w:rsidTr="00053167">
        <w:trPr>
          <w:trHeight w:val="3398"/>
          <w:jc w:val="center"/>
        </w:trPr>
        <w:tc>
          <w:tcPr>
            <w:tcW w:w="2942" w:type="dxa"/>
          </w:tcPr>
          <w:p w14:paraId="11241052" w14:textId="1D772864" w:rsidR="00AA65B6" w:rsidRPr="00131EED" w:rsidRDefault="00AA65B6" w:rsidP="00AA65B6">
            <w:pPr>
              <w:contextualSpacing/>
            </w:pPr>
            <w:r w:rsidRPr="00131EED">
              <w:rPr>
                <w:noProof/>
                <w:spacing w:val="28"/>
                <w:position w:val="148"/>
                <w:sz w:val="20"/>
                <w:lang w:eastAsia="en-US"/>
              </w:rPr>
              <w:drawing>
                <wp:anchor distT="0" distB="0" distL="114300" distR="114300" simplePos="0" relativeHeight="251605504" behindDoc="0" locked="0" layoutInCell="1" allowOverlap="1" wp14:anchorId="7F55594B" wp14:editId="2F358C9F">
                  <wp:simplePos x="0" y="0"/>
                  <wp:positionH relativeFrom="column">
                    <wp:posOffset>-1270</wp:posOffset>
                  </wp:positionH>
                  <wp:positionV relativeFrom="paragraph">
                    <wp:posOffset>0</wp:posOffset>
                  </wp:positionV>
                  <wp:extent cx="1722120" cy="2102485"/>
                  <wp:effectExtent l="0" t="0" r="0" b="0"/>
                  <wp:wrapSquare wrapText="bothSides"/>
                  <wp:docPr id="13" name="Image 13" descr="A map of a region&#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descr="A map of a region&#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722120" cy="2102485"/>
                          </a:xfrm>
                          <a:prstGeom prst="rect">
                            <a:avLst/>
                          </a:prstGeom>
                        </pic:spPr>
                      </pic:pic>
                    </a:graphicData>
                  </a:graphic>
                  <wp14:sizeRelH relativeFrom="margin">
                    <wp14:pctWidth>0</wp14:pctWidth>
                  </wp14:sizeRelH>
                  <wp14:sizeRelV relativeFrom="margin">
                    <wp14:pctHeight>0</wp14:pctHeight>
                  </wp14:sizeRelV>
                </wp:anchor>
              </w:drawing>
            </w:r>
          </w:p>
        </w:tc>
        <w:tc>
          <w:tcPr>
            <w:tcW w:w="2943" w:type="dxa"/>
          </w:tcPr>
          <w:p w14:paraId="2F92C912" w14:textId="1BC8D7AA" w:rsidR="00AA65B6" w:rsidRPr="00131EED" w:rsidRDefault="00AA65B6" w:rsidP="00AA65B6">
            <w:pPr>
              <w:contextualSpacing/>
              <w:jc w:val="center"/>
            </w:pPr>
            <w:r w:rsidRPr="00131EED">
              <w:rPr>
                <w:noProof/>
                <w:lang w:eastAsia="en-US"/>
              </w:rPr>
              <w:drawing>
                <wp:anchor distT="0" distB="0" distL="114300" distR="114300" simplePos="0" relativeHeight="251595264" behindDoc="1" locked="0" layoutInCell="1" allowOverlap="1" wp14:anchorId="030658A6" wp14:editId="6C127FF8">
                  <wp:simplePos x="0" y="0"/>
                  <wp:positionH relativeFrom="column">
                    <wp:posOffset>-2540</wp:posOffset>
                  </wp:positionH>
                  <wp:positionV relativeFrom="paragraph">
                    <wp:posOffset>7620</wp:posOffset>
                  </wp:positionV>
                  <wp:extent cx="1651454" cy="2095144"/>
                  <wp:effectExtent l="0" t="0" r="6350" b="635"/>
                  <wp:wrapTight wrapText="bothSides">
                    <wp:wrapPolygon edited="0">
                      <wp:start x="0" y="0"/>
                      <wp:lineTo x="0" y="21410"/>
                      <wp:lineTo x="21434" y="21410"/>
                      <wp:lineTo x="21434" y="0"/>
                      <wp:lineTo x="0" y="0"/>
                    </wp:wrapPolygon>
                  </wp:wrapTight>
                  <wp:docPr id="961250541" name="Image 10" descr="A map of a river&#10;&#10;AI-generated content may be incorrect."/>
                  <wp:cNvGraphicFramePr/>
                  <a:graphic xmlns:a="http://schemas.openxmlformats.org/drawingml/2006/main">
                    <a:graphicData uri="http://schemas.openxmlformats.org/drawingml/2006/picture">
                      <pic:pic xmlns:pic="http://schemas.openxmlformats.org/drawingml/2006/picture">
                        <pic:nvPicPr>
                          <pic:cNvPr id="961250541" name="Image 10" descr="A map of a river&#10;&#10;AI-generated content may be incorrect."/>
                          <pic:cNvPicPr/>
                        </pic:nvPicPr>
                        <pic:blipFill>
                          <a:blip r:embed="rId26" cstate="print"/>
                          <a:stretch>
                            <a:fillRect/>
                          </a:stretch>
                        </pic:blipFill>
                        <pic:spPr>
                          <a:xfrm>
                            <a:off x="0" y="0"/>
                            <a:ext cx="1651454" cy="2095144"/>
                          </a:xfrm>
                          <a:prstGeom prst="rect">
                            <a:avLst/>
                          </a:prstGeom>
                        </pic:spPr>
                      </pic:pic>
                    </a:graphicData>
                  </a:graphic>
                </wp:anchor>
              </w:drawing>
            </w:r>
          </w:p>
        </w:tc>
        <w:tc>
          <w:tcPr>
            <w:tcW w:w="2943" w:type="dxa"/>
          </w:tcPr>
          <w:p w14:paraId="2D38829E" w14:textId="2189B054" w:rsidR="00AA65B6" w:rsidRPr="00131EED" w:rsidRDefault="00AA65B6" w:rsidP="00AA65B6">
            <w:pPr>
              <w:keepNext/>
              <w:contextualSpacing/>
              <w:jc w:val="center"/>
            </w:pPr>
            <w:r w:rsidRPr="00131EED">
              <w:rPr>
                <w:noProof/>
                <w:lang w:eastAsia="en-US"/>
              </w:rPr>
              <w:drawing>
                <wp:anchor distT="0" distB="0" distL="114300" distR="114300" simplePos="0" relativeHeight="251600384" behindDoc="1" locked="0" layoutInCell="1" allowOverlap="1" wp14:anchorId="3A3E599D" wp14:editId="1CC43BC4">
                  <wp:simplePos x="0" y="0"/>
                  <wp:positionH relativeFrom="column">
                    <wp:posOffset>-4445</wp:posOffset>
                  </wp:positionH>
                  <wp:positionV relativeFrom="paragraph">
                    <wp:posOffset>7620</wp:posOffset>
                  </wp:positionV>
                  <wp:extent cx="1643749" cy="2101906"/>
                  <wp:effectExtent l="0" t="0" r="0" b="0"/>
                  <wp:wrapTight wrapText="bothSides">
                    <wp:wrapPolygon edited="0">
                      <wp:start x="0" y="0"/>
                      <wp:lineTo x="0" y="21339"/>
                      <wp:lineTo x="21283" y="21339"/>
                      <wp:lineTo x="21283" y="0"/>
                      <wp:lineTo x="0" y="0"/>
                    </wp:wrapPolygon>
                  </wp:wrapTight>
                  <wp:docPr id="1520568434" name="Image 11" descr="A map of the european region&#10;&#10;AI-generated content may be incorrect."/>
                  <wp:cNvGraphicFramePr/>
                  <a:graphic xmlns:a="http://schemas.openxmlformats.org/drawingml/2006/main">
                    <a:graphicData uri="http://schemas.openxmlformats.org/drawingml/2006/picture">
                      <pic:pic xmlns:pic="http://schemas.openxmlformats.org/drawingml/2006/picture">
                        <pic:nvPicPr>
                          <pic:cNvPr id="1520568434" name="Image 11" descr="A map of the european region&#10;&#10;AI-generated content may be incorrect."/>
                          <pic:cNvPicPr/>
                        </pic:nvPicPr>
                        <pic:blipFill>
                          <a:blip r:embed="rId27" cstate="print"/>
                          <a:stretch>
                            <a:fillRect/>
                          </a:stretch>
                        </pic:blipFill>
                        <pic:spPr>
                          <a:xfrm>
                            <a:off x="0" y="0"/>
                            <a:ext cx="1643749" cy="2101906"/>
                          </a:xfrm>
                          <a:prstGeom prst="rect">
                            <a:avLst/>
                          </a:prstGeom>
                        </pic:spPr>
                      </pic:pic>
                    </a:graphicData>
                  </a:graphic>
                </wp:anchor>
              </w:drawing>
            </w:r>
          </w:p>
        </w:tc>
      </w:tr>
    </w:tbl>
    <w:p w14:paraId="0581D98F" w14:textId="5AAC4E91" w:rsidR="004529CA" w:rsidRPr="00131EED" w:rsidRDefault="004529CA" w:rsidP="004529CA">
      <w:pPr>
        <w:jc w:val="center"/>
        <w:rPr>
          <w:sz w:val="20"/>
          <w:szCs w:val="20"/>
        </w:rPr>
      </w:pPr>
      <w:r w:rsidRPr="00131EED">
        <w:rPr>
          <w:sz w:val="20"/>
          <w:szCs w:val="20"/>
        </w:rPr>
        <w:t>Fuente: Guhl, E. (2012).</w:t>
      </w:r>
    </w:p>
    <w:p w14:paraId="14EE894B" w14:textId="77777777" w:rsidR="004529CA" w:rsidRPr="00131EED" w:rsidRDefault="004529CA" w:rsidP="0096788A"/>
    <w:p w14:paraId="219EDDAC" w14:textId="65875C58" w:rsidR="0096788A" w:rsidRPr="00131EED" w:rsidRDefault="0096788A" w:rsidP="0096788A">
      <w:pPr>
        <w:rPr>
          <w:rFonts w:eastAsia="Baskerville Old Face" w:cs="Baskerville Old Face"/>
        </w:rPr>
      </w:pPr>
      <w:r w:rsidRPr="00131EED">
        <w:rPr>
          <w:rFonts w:eastAsia="Baskerville Old Face" w:cs="Baskerville Old Face"/>
        </w:rPr>
        <w:t xml:space="preserve">Los elementos anteriores permitieron que INGEOMINAS (2004), concluyera que </w:t>
      </w:r>
      <w:r w:rsidRPr="00131EED">
        <w:rPr>
          <w:rFonts w:eastAsia="Baskerville Old Face" w:cs="Baskerville Old Face"/>
          <w:i/>
        </w:rPr>
        <w:t>“por las condiciones de la zona, se tom</w:t>
      </w:r>
      <w:r w:rsidR="00762B92" w:rsidRPr="00131EED">
        <w:rPr>
          <w:rFonts w:eastAsia="Baskerville Old Face" w:cs="Baskerville Old Face"/>
          <w:i/>
        </w:rPr>
        <w:t>ara</w:t>
      </w:r>
      <w:r w:rsidRPr="00131EED">
        <w:rPr>
          <w:rFonts w:eastAsia="Baskerville Old Face" w:cs="Baskerville Old Face"/>
          <w:i/>
        </w:rPr>
        <w:t xml:space="preserve"> como área piloto de aplicación de la metodología de zonificación geomecánica la Sabana de Bogotá, pues el ser un polo de desarrollo hace necesario para los entes de planeación el tener una mayor información para el desarrollo de las diversas obras de infraestructura requeridas dentro de un entorno de desarrollo sostenible del territorio”.</w:t>
      </w:r>
      <w:r w:rsidRPr="00131EED">
        <w:rPr>
          <w:rFonts w:eastAsia="Baskerville Old Face" w:cs="Baskerville Old Face"/>
        </w:rPr>
        <w:t xml:space="preserve"> </w:t>
      </w:r>
    </w:p>
    <w:p w14:paraId="190E13BA" w14:textId="77777777" w:rsidR="00BD3997" w:rsidRPr="00131EED" w:rsidRDefault="00BD3997" w:rsidP="000D7380">
      <w:pPr>
        <w:rPr>
          <w:rFonts w:eastAsia="Baskerville Old Face" w:cs="Baskerville Old Face"/>
        </w:rPr>
      </w:pPr>
    </w:p>
    <w:p w14:paraId="3D8DE50E" w14:textId="6244F495" w:rsidR="006962E5" w:rsidRPr="00131EED" w:rsidRDefault="00004773" w:rsidP="000D7380">
      <w:pPr>
        <w:rPr>
          <w:rFonts w:eastAsia="Baskerville Old Face" w:cs="Baskerville Old Face"/>
        </w:rPr>
      </w:pPr>
      <w:r w:rsidRPr="00131EED">
        <w:rPr>
          <w:rFonts w:eastAsia="Baskerville Old Face" w:cs="Baskerville Old Face"/>
        </w:rPr>
        <w:t xml:space="preserve">Este ámbito sería retomado </w:t>
      </w:r>
      <w:r w:rsidR="00C47CF7" w:rsidRPr="00131EED">
        <w:rPr>
          <w:rFonts w:eastAsia="Baskerville Old Face" w:cs="Baskerville Old Face"/>
        </w:rPr>
        <w:t xml:space="preserve">y ajustado </w:t>
      </w:r>
      <w:r w:rsidR="00F12E2E" w:rsidRPr="00131EED">
        <w:rPr>
          <w:rFonts w:eastAsia="Baskerville Old Face" w:cs="Baskerville Old Face"/>
        </w:rPr>
        <w:t xml:space="preserve">posteriormente por </w:t>
      </w:r>
      <w:r w:rsidR="00C47CF7" w:rsidRPr="00131EED">
        <w:rPr>
          <w:rFonts w:eastAsia="Baskerville Old Face" w:cs="Baskerville Old Face"/>
        </w:rPr>
        <w:t>el Ministerio de Ambient</w:t>
      </w:r>
      <w:r w:rsidR="00C27749" w:rsidRPr="00131EED">
        <w:rPr>
          <w:rFonts w:eastAsia="Baskerville Old Face" w:cs="Baskerville Old Face"/>
        </w:rPr>
        <w:t>e</w:t>
      </w:r>
      <w:r w:rsidR="00C47CF7" w:rsidRPr="00131EED">
        <w:rPr>
          <w:rFonts w:eastAsia="Baskerville Old Face" w:cs="Baskerville Old Face"/>
        </w:rPr>
        <w:t xml:space="preserve"> y Desarrollo Sostenible (MADS)</w:t>
      </w:r>
      <w:r w:rsidR="007B2D8D" w:rsidRPr="00131EED">
        <w:rPr>
          <w:rFonts w:eastAsia="Baskerville Old Face" w:cs="Baskerville Old Face"/>
        </w:rPr>
        <w:t xml:space="preserve"> en la Resolución 2001 de 2016, </w:t>
      </w:r>
      <w:r w:rsidR="00AF5B0B" w:rsidRPr="00131EED">
        <w:rPr>
          <w:rFonts w:eastAsia="Baskerville Old Face" w:cs="Baskerville Old Face"/>
        </w:rPr>
        <w:t>p</w:t>
      </w:r>
      <w:r w:rsidR="007B2D8D" w:rsidRPr="00131EED">
        <w:rPr>
          <w:rFonts w:eastAsia="Baskerville Old Face" w:cs="Baskerville Old Face"/>
        </w:rPr>
        <w:t>or la cual se determinan las zonas compatibles con las explotaciones mineras en la Sabana de Bogotá, y se adoptan otras determinaciones</w:t>
      </w:r>
      <w:r w:rsidR="00AF5B0B" w:rsidRPr="00131EED">
        <w:rPr>
          <w:rFonts w:eastAsia="Baskerville Old Face" w:cs="Baskerville Old Face"/>
        </w:rPr>
        <w:t>, definiendo el siguiente ámbito de aplicación normativa:</w:t>
      </w:r>
    </w:p>
    <w:p w14:paraId="1F3C4803" w14:textId="77777777" w:rsidR="00AF5B0B" w:rsidRPr="00131EED" w:rsidRDefault="00AF5B0B" w:rsidP="000D7380">
      <w:pPr>
        <w:rPr>
          <w:rFonts w:eastAsia="Baskerville Old Face" w:cs="Baskerville Old Face"/>
        </w:rPr>
      </w:pPr>
    </w:p>
    <w:p w14:paraId="245CE794" w14:textId="14015C07" w:rsidR="00AF5B0B" w:rsidRPr="00131EED" w:rsidRDefault="00AF5B0B" w:rsidP="00AF5B0B">
      <w:pPr>
        <w:ind w:left="720"/>
        <w:rPr>
          <w:rFonts w:eastAsia="Baskerville Old Face" w:cs="Baskerville Old Face"/>
          <w:i/>
        </w:rPr>
      </w:pPr>
      <w:r w:rsidRPr="00131EED">
        <w:rPr>
          <w:rFonts w:eastAsia="Baskerville Old Face" w:cs="Baskerville Old Face"/>
          <w:i/>
        </w:rPr>
        <w:t>“La Sabana de Bogotá está comprendida por los siguientes municipios: Bogotá, Chocontá, Guasca, La Calera, Zipaquirá, Subachoque, Soacha, Guatavita, Facatativá, Sesquilé, Tausa, Suesca, Cogua, Villapinzón, Madrid, Tenjo, Sopó, Mosquera, Nemocón, Sibaté, Chía, Tabio, El Rosal, Tocancipá, Funza, Bojacá, Cota, Cajicá, Gachancipá, Cucunubá, Chipaque, Choachí, Pasca, Zipacón, Carmen de Carupa, Machetá, Pacho, La Vega, Ubaque, Sasaima, San Francisco, Silvania, Albán, Lenguazaque, Une, San Antonio del Tequendama, Anolaima, Sutatausa en el departamento de Cundinamarca y Turmequé en el departamento de Boyacá”.</w:t>
      </w:r>
    </w:p>
    <w:p w14:paraId="31B3AB34" w14:textId="77777777" w:rsidR="007B2D8D" w:rsidRPr="00131EED" w:rsidRDefault="007B2D8D" w:rsidP="000D7380">
      <w:pPr>
        <w:rPr>
          <w:rFonts w:eastAsia="Baskerville Old Face" w:cs="Baskerville Old Face"/>
        </w:rPr>
      </w:pPr>
    </w:p>
    <w:p w14:paraId="4B89F2EC" w14:textId="77777777" w:rsidR="00F6386E" w:rsidRPr="00131EED" w:rsidRDefault="008E0922" w:rsidP="000D7380">
      <w:pPr>
        <w:rPr>
          <w:rFonts w:eastAsia="Baskerville Old Face" w:cs="Baskerville Old Face"/>
        </w:rPr>
      </w:pPr>
      <w:r w:rsidRPr="00131EED">
        <w:rPr>
          <w:rFonts w:eastAsia="Baskerville Old Face" w:cs="Baskerville Old Face"/>
        </w:rPr>
        <w:t>Así mismo, esta resolución, incluiría</w:t>
      </w:r>
      <w:r w:rsidR="00F6386E" w:rsidRPr="00131EED">
        <w:rPr>
          <w:rFonts w:eastAsia="Baskerville Old Face" w:cs="Baskerville Old Face"/>
        </w:rPr>
        <w:t>:</w:t>
      </w:r>
    </w:p>
    <w:p w14:paraId="59E0A987" w14:textId="77777777" w:rsidR="00F6386E" w:rsidRPr="00131EED" w:rsidRDefault="00F6386E" w:rsidP="000D7380">
      <w:pPr>
        <w:rPr>
          <w:rFonts w:eastAsia="Baskerville Old Face" w:cs="Baskerville Old Face"/>
        </w:rPr>
      </w:pPr>
    </w:p>
    <w:p w14:paraId="38BF3837" w14:textId="784C7780" w:rsidR="00004773" w:rsidRPr="00131EED" w:rsidRDefault="00F6386E" w:rsidP="00410194">
      <w:pPr>
        <w:pStyle w:val="ListParagraph"/>
        <w:numPr>
          <w:ilvl w:val="0"/>
          <w:numId w:val="4"/>
        </w:numPr>
        <w:rPr>
          <w:rFonts w:eastAsia="Baskerville Old Face" w:cs="Baskerville Old Face"/>
          <w:i/>
          <w:sz w:val="24"/>
          <w:szCs w:val="24"/>
        </w:rPr>
      </w:pPr>
      <w:r w:rsidRPr="00131EED">
        <w:rPr>
          <w:rFonts w:eastAsia="Baskerville Old Face" w:cs="Baskerville Old Face"/>
          <w:sz w:val="24"/>
          <w:szCs w:val="24"/>
        </w:rPr>
        <w:t>C</w:t>
      </w:r>
      <w:r w:rsidR="001F30F9" w:rsidRPr="00131EED">
        <w:rPr>
          <w:rFonts w:eastAsia="Baskerville Old Face" w:cs="Baskerville Old Face"/>
          <w:sz w:val="24"/>
          <w:szCs w:val="24"/>
        </w:rPr>
        <w:t xml:space="preserve">riterios ecosistémicos </w:t>
      </w:r>
      <w:r w:rsidR="006066BF" w:rsidRPr="00131EED">
        <w:rPr>
          <w:rFonts w:eastAsia="Baskerville Old Face" w:cs="Baskerville Old Face"/>
          <w:sz w:val="24"/>
          <w:szCs w:val="24"/>
        </w:rPr>
        <w:t>para la</w:t>
      </w:r>
      <w:r w:rsidR="00C27749" w:rsidRPr="00131EED">
        <w:rPr>
          <w:rFonts w:eastAsia="Baskerville Old Face" w:cs="Baskerville Old Face"/>
          <w:sz w:val="24"/>
          <w:szCs w:val="24"/>
        </w:rPr>
        <w:t xml:space="preserve"> conformación de la</w:t>
      </w:r>
      <w:r w:rsidR="006066BF" w:rsidRPr="00131EED">
        <w:rPr>
          <w:rFonts w:eastAsia="Baskerville Old Face" w:cs="Baskerville Old Face"/>
          <w:sz w:val="24"/>
          <w:szCs w:val="24"/>
        </w:rPr>
        <w:t xml:space="preserve"> Sabana de Bogotá, reconociendo que</w:t>
      </w:r>
      <w:r w:rsidR="00DF5AA9" w:rsidRPr="00131EED">
        <w:rPr>
          <w:rFonts w:eastAsia="Baskerville Old Face" w:cs="Baskerville Old Face"/>
          <w:sz w:val="24"/>
          <w:szCs w:val="24"/>
        </w:rPr>
        <w:t xml:space="preserve"> ésta </w:t>
      </w:r>
      <w:r w:rsidR="006066BF" w:rsidRPr="00131EED">
        <w:rPr>
          <w:rFonts w:eastAsia="Baskerville Old Face" w:cs="Baskerville Old Face"/>
          <w:i/>
          <w:sz w:val="24"/>
          <w:szCs w:val="24"/>
        </w:rPr>
        <w:t xml:space="preserve">“hace parte de la estructura ecológica regional central, la cual está conformada por el Sistema de Áreas Protegidas de la Región Central y del Distrito Capital, corredores ecológicos, y área de manejo especial del río Bogotá, entre otras; las cuales se componen de ecosistemas como bosques secos andinos, bosques húmedos andinos, bosques fragmentados, herbazal andino húmedo, páramos húmedo y seco, subxerofitia andina, acuáticos, arbustal andino húmedo, complejo rocoso de los Andes, vegetación secundaria, agro-ecosistemas, </w:t>
      </w:r>
      <w:r w:rsidR="00C27749" w:rsidRPr="00131EED">
        <w:rPr>
          <w:rFonts w:eastAsia="Baskerville Old Face" w:cs="Baskerville Old Face"/>
          <w:i/>
          <w:sz w:val="24"/>
          <w:szCs w:val="24"/>
        </w:rPr>
        <w:t>etc.</w:t>
      </w:r>
      <w:r w:rsidR="006066BF" w:rsidRPr="00131EED">
        <w:rPr>
          <w:rFonts w:eastAsia="Baskerville Old Face" w:cs="Baskerville Old Face"/>
          <w:i/>
          <w:sz w:val="24"/>
          <w:szCs w:val="24"/>
        </w:rPr>
        <w:t>”.</w:t>
      </w:r>
    </w:p>
    <w:p w14:paraId="134E5F72" w14:textId="436E38FA" w:rsidR="00F6386E" w:rsidRPr="00131EED" w:rsidRDefault="00F6386E" w:rsidP="00410194">
      <w:pPr>
        <w:pStyle w:val="ListParagraph"/>
        <w:numPr>
          <w:ilvl w:val="0"/>
          <w:numId w:val="4"/>
        </w:numPr>
        <w:rPr>
          <w:rFonts w:eastAsia="Baskerville Old Face" w:cs="Baskerville Old Face"/>
          <w:i/>
          <w:sz w:val="24"/>
          <w:szCs w:val="24"/>
        </w:rPr>
      </w:pPr>
      <w:r w:rsidRPr="00131EED">
        <w:rPr>
          <w:rFonts w:eastAsia="Baskerville Old Face" w:cs="Baskerville Old Face"/>
          <w:sz w:val="24"/>
          <w:szCs w:val="24"/>
        </w:rPr>
        <w:t xml:space="preserve">Conceptos técnicos expedidos por la Corporación </w:t>
      </w:r>
      <w:r w:rsidR="00B57890" w:rsidRPr="00131EED">
        <w:rPr>
          <w:rFonts w:eastAsia="Baskerville Old Face" w:cs="Baskerville Old Face"/>
          <w:sz w:val="24"/>
          <w:szCs w:val="24"/>
        </w:rPr>
        <w:t>Autónoma</w:t>
      </w:r>
      <w:r w:rsidRPr="00131EED">
        <w:rPr>
          <w:rFonts w:eastAsia="Baskerville Old Face" w:cs="Baskerville Old Face"/>
          <w:sz w:val="24"/>
          <w:szCs w:val="24"/>
        </w:rPr>
        <w:t xml:space="preserve"> Regional CAR Cundinamarca, la cual mediante </w:t>
      </w:r>
      <w:r w:rsidR="00B57890" w:rsidRPr="00131EED">
        <w:rPr>
          <w:rFonts w:eastAsia="Baskerville Old Face" w:cs="Baskerville Old Face"/>
          <w:sz w:val="24"/>
          <w:szCs w:val="24"/>
        </w:rPr>
        <w:t xml:space="preserve">Oficio número 20152130675 del 22 de septiembre de 2015 </w:t>
      </w:r>
      <w:r w:rsidR="00E07912" w:rsidRPr="00131EED">
        <w:rPr>
          <w:rFonts w:eastAsia="Baskerville Old Face" w:cs="Baskerville Old Face"/>
          <w:sz w:val="24"/>
          <w:szCs w:val="24"/>
        </w:rPr>
        <w:t>menciona que</w:t>
      </w:r>
      <w:r w:rsidR="00B57890" w:rsidRPr="00131EED">
        <w:rPr>
          <w:rFonts w:eastAsia="Baskerville Old Face" w:cs="Baskerville Old Face"/>
          <w:sz w:val="24"/>
          <w:szCs w:val="24"/>
        </w:rPr>
        <w:t xml:space="preserve"> “…La Sabana de Bogotá tiene que incluir los cerros que la rodean hasta la divisoria de aguas, así se debe considerar toda la cuenca alta del Río Bogotá, es decir toda la cuenca hidrográfica del río y sus afluentes, los páramos circundantes hasta la salida del río del altiplano.”</w:t>
      </w:r>
    </w:p>
    <w:p w14:paraId="02CD1655" w14:textId="26C8B428" w:rsidR="00913F35" w:rsidRPr="00131EED" w:rsidRDefault="00E07912" w:rsidP="00874483">
      <w:pPr>
        <w:rPr>
          <w:rFonts w:eastAsia="Baskerville Old Face" w:cs="Baskerville Old Face"/>
        </w:rPr>
      </w:pPr>
      <w:r w:rsidRPr="00131EED">
        <w:rPr>
          <w:rFonts w:eastAsia="Baskerville Old Face" w:cs="Baskerville Old Face"/>
        </w:rPr>
        <w:t xml:space="preserve">Como resultado de lo anterior, la resolución 2001 del 2016 </w:t>
      </w:r>
      <w:r w:rsidR="00C766CD" w:rsidRPr="00131EED">
        <w:rPr>
          <w:rFonts w:eastAsia="Baskerville Old Face" w:cs="Baskerville Old Face"/>
        </w:rPr>
        <w:t xml:space="preserve">menciona </w:t>
      </w:r>
      <w:r w:rsidRPr="00131EED">
        <w:rPr>
          <w:rFonts w:eastAsia="Baskerville Old Face" w:cs="Baskerville Old Face"/>
        </w:rPr>
        <w:t xml:space="preserve">un total de 30 municipios que abarca la Sabana de Bogotá con una extensión de </w:t>
      </w:r>
      <w:r w:rsidR="06735AAD" w:rsidRPr="00131EED">
        <w:rPr>
          <w:rFonts w:eastAsia="Baskerville Old Face" w:cs="Baskerville Old Face"/>
        </w:rPr>
        <w:t>427.162 ha + 6.756</w:t>
      </w:r>
      <w:r w:rsidRPr="00131EED">
        <w:rPr>
          <w:rFonts w:eastAsia="Baskerville Old Face" w:cs="Baskerville Old Face"/>
        </w:rPr>
        <w:t xml:space="preserve"> Metros Cuadrados aproximadamente</w:t>
      </w:r>
      <w:r w:rsidR="00913F35" w:rsidRPr="00131EED">
        <w:rPr>
          <w:rFonts w:eastAsia="Baskerville Old Face" w:cs="Baskerville Old Face"/>
        </w:rPr>
        <w:t xml:space="preserve">, como se puede observar en la </w:t>
      </w:r>
      <w:r w:rsidR="00874483" w:rsidRPr="00131EED">
        <w:rPr>
          <w:rFonts w:eastAsia="Baskerville Old Face"/>
        </w:rPr>
        <w:fldChar w:fldCharType="begin"/>
      </w:r>
      <w:r w:rsidR="00874483" w:rsidRPr="00131EED">
        <w:rPr>
          <w:rFonts w:eastAsia="Baskerville Old Face"/>
        </w:rPr>
        <w:instrText xml:space="preserve"> REF _Ref210822816 \h  \* MERGEFORMAT </w:instrText>
      </w:r>
      <w:r w:rsidR="00874483" w:rsidRPr="00131EED">
        <w:rPr>
          <w:rFonts w:eastAsia="Baskerville Old Face"/>
        </w:rPr>
      </w:r>
      <w:r w:rsidR="00874483" w:rsidRPr="00131EED">
        <w:rPr>
          <w:rFonts w:eastAsia="Baskerville Old Face"/>
        </w:rPr>
        <w:fldChar w:fldCharType="separate"/>
      </w:r>
      <w:r w:rsidR="00CE096F" w:rsidRPr="00131EED">
        <w:t xml:space="preserve">Ilustración </w:t>
      </w:r>
      <w:r w:rsidR="00CE096F">
        <w:t>3</w:t>
      </w:r>
      <w:r w:rsidR="00874483" w:rsidRPr="00131EED">
        <w:rPr>
          <w:rFonts w:eastAsia="Baskerville Old Face"/>
        </w:rPr>
        <w:fldChar w:fldCharType="end"/>
      </w:r>
    </w:p>
    <w:p w14:paraId="207A99D2" w14:textId="77777777" w:rsidR="00874483" w:rsidRPr="00131EED" w:rsidRDefault="00874483" w:rsidP="00874483">
      <w:pPr>
        <w:rPr>
          <w:rFonts w:eastAsia="Baskerville Old Face"/>
        </w:rPr>
      </w:pPr>
    </w:p>
    <w:p w14:paraId="3738817C" w14:textId="77777777" w:rsidR="00913F35" w:rsidRPr="00131EED" w:rsidRDefault="00913F35" w:rsidP="00913F35">
      <w:pPr>
        <w:rPr>
          <w:rFonts w:eastAsia="Baskerville Old Face" w:cs="Baskerville Old Face"/>
          <w:lang w:eastAsia="en-US"/>
        </w:rPr>
      </w:pPr>
      <w:r w:rsidRPr="00131EED">
        <w:rPr>
          <w:rFonts w:eastAsia="Baskerville Old Face" w:cs="Baskerville Old Face"/>
          <w:lang w:eastAsia="en-US"/>
        </w:rPr>
        <w:t xml:space="preserve">En el marco de los procesos de coordinación y concurrencia con los diferentes entes territoriales, autoridades ambientales y gobernaciones, desarrollados durante la construcción de la propuesta de resolución de las </w:t>
      </w:r>
      <w:r w:rsidRPr="00131EED">
        <w:rPr>
          <w:rFonts w:eastAsia="Baskerville Old Face" w:cs="Baskerville Old Face"/>
          <w:b/>
          <w:lang w:eastAsia="en-US"/>
        </w:rPr>
        <w:t>Directrices para el Ordenamiento Ambiental de la Sabana de Bogotá</w:t>
      </w:r>
      <w:r w:rsidRPr="00131EED">
        <w:rPr>
          <w:rFonts w:eastAsia="Baskerville Old Face" w:cs="Baskerville Old Face"/>
          <w:lang w:eastAsia="en-US"/>
        </w:rPr>
        <w:t>, particularmente en los espacios de trabajo realizados en el año 2025, se integraron múltiples aportes orientados al ajuste del ámbito de aplicación. Entre estos, se destacan los presentados por la Gobernación de Cundinamarca, la Gobernación del Meta, la CAR Cundinamarca y varios entes territoriales de ambos departamentos, quienes plantearon la necesidad de reforzar el énfasis y la focalización del ámbito territorial en la cuenca media y alta del río Bogotá. Como resultado, y atendiendo dichas solicitudes, se procedió a precisar el ámbito de aplicación de las directrices, siguiendo la metodología que se describe a continuación.</w:t>
      </w:r>
    </w:p>
    <w:p w14:paraId="77EAF08E" w14:textId="77777777" w:rsidR="00913F35" w:rsidRPr="00131EED" w:rsidRDefault="00913F35" w:rsidP="005E0160">
      <w:pPr>
        <w:pStyle w:val="Caption"/>
      </w:pPr>
      <w:bookmarkStart w:id="19" w:name="_Ref210822559"/>
    </w:p>
    <w:p w14:paraId="50910F49" w14:textId="314DEA7B" w:rsidR="000F73C3" w:rsidRPr="00131EED" w:rsidRDefault="000F73C3" w:rsidP="00874483">
      <w:pPr>
        <w:rPr>
          <w:lang w:eastAsia="en-US"/>
        </w:rPr>
      </w:pPr>
    </w:p>
    <w:p w14:paraId="15294BE0" w14:textId="2FEDECD2" w:rsidR="000F73C3" w:rsidRPr="00131EED" w:rsidRDefault="000F73C3" w:rsidP="00874483">
      <w:pPr>
        <w:rPr>
          <w:lang w:eastAsia="en-US"/>
        </w:rPr>
      </w:pPr>
    </w:p>
    <w:p w14:paraId="356009D2" w14:textId="77777777" w:rsidR="00CF5805" w:rsidRPr="00131EED" w:rsidRDefault="00CF5805" w:rsidP="00874483">
      <w:pPr>
        <w:rPr>
          <w:lang w:eastAsia="en-US"/>
        </w:rPr>
      </w:pPr>
    </w:p>
    <w:p w14:paraId="12EB0F9B" w14:textId="77777777" w:rsidR="00CF5805" w:rsidRPr="00131EED" w:rsidRDefault="00CF5805" w:rsidP="00874483">
      <w:pPr>
        <w:rPr>
          <w:lang w:eastAsia="en-US"/>
        </w:rPr>
      </w:pPr>
    </w:p>
    <w:p w14:paraId="55A2EEBB" w14:textId="17537927" w:rsidR="000F73C3" w:rsidRPr="00131EED" w:rsidRDefault="000F73C3" w:rsidP="00874483">
      <w:pPr>
        <w:rPr>
          <w:lang w:eastAsia="en-US"/>
        </w:rPr>
      </w:pPr>
    </w:p>
    <w:p w14:paraId="785B9A6A" w14:textId="4C02D98C" w:rsidR="000F73C3" w:rsidRPr="00131EED" w:rsidRDefault="000F73C3" w:rsidP="00874483">
      <w:pPr>
        <w:rPr>
          <w:lang w:eastAsia="en-US"/>
        </w:rPr>
      </w:pPr>
    </w:p>
    <w:p w14:paraId="24609DA4" w14:textId="77777777" w:rsidR="000F73C3" w:rsidRPr="00131EED" w:rsidRDefault="000F73C3" w:rsidP="00874483">
      <w:pPr>
        <w:rPr>
          <w:lang w:eastAsia="en-US"/>
        </w:rPr>
      </w:pPr>
    </w:p>
    <w:p w14:paraId="2EC41755" w14:textId="72186407" w:rsidR="005E0160" w:rsidRPr="00131EED" w:rsidRDefault="005E0160" w:rsidP="00FC2905">
      <w:pPr>
        <w:pStyle w:val="Caption"/>
        <w:jc w:val="center"/>
      </w:pPr>
      <w:bookmarkStart w:id="20" w:name="_Ref210822816"/>
      <w:bookmarkStart w:id="21" w:name="_Toc216468768"/>
      <w:r w:rsidRPr="00131EED">
        <w:t xml:space="preserve">Ilustración </w:t>
      </w:r>
      <w:fldSimple w:instr=" SEQ Ilustración \* ARABIC ">
        <w:r w:rsidR="00CE096F">
          <w:rPr>
            <w:noProof/>
          </w:rPr>
          <w:t>3</w:t>
        </w:r>
      </w:fldSimple>
      <w:bookmarkEnd w:id="19"/>
      <w:bookmarkEnd w:id="20"/>
      <w:r w:rsidRPr="00131EED">
        <w:t>. Ámbito de la Sabana definido por la resolución 2001 de 2016 del Ministerio de Ambiente y Desarrollo Sostenible.</w:t>
      </w:r>
      <w:bookmarkEnd w:id="21"/>
    </w:p>
    <w:p w14:paraId="0A94FCBD" w14:textId="7A25EB89" w:rsidR="001F6E1F" w:rsidRPr="00131EED" w:rsidRDefault="001F6E1F" w:rsidP="001F6E1F">
      <w:pPr>
        <w:pStyle w:val="BodyText"/>
        <w:keepNext/>
        <w:ind w:left="720" w:hanging="461"/>
        <w:jc w:val="center"/>
      </w:pPr>
      <w:r w:rsidRPr="00131EED">
        <w:rPr>
          <w:noProof/>
          <w:sz w:val="20"/>
        </w:rPr>
        <mc:AlternateContent>
          <mc:Choice Requires="wpg">
            <w:drawing>
              <wp:inline distT="0" distB="0" distL="0" distR="0" wp14:anchorId="16BCD32F" wp14:editId="5DE87548">
                <wp:extent cx="3532505" cy="3448050"/>
                <wp:effectExtent l="0" t="0" r="10795" b="19050"/>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32505" cy="3448050"/>
                          <a:chOff x="0" y="0"/>
                          <a:chExt cx="3547110" cy="3575050"/>
                        </a:xfrm>
                      </wpg:grpSpPr>
                      <pic:pic xmlns:pic="http://schemas.openxmlformats.org/drawingml/2006/picture">
                        <pic:nvPicPr>
                          <pic:cNvPr id="7" name="Image 7"/>
                          <pic:cNvPicPr/>
                        </pic:nvPicPr>
                        <pic:blipFill>
                          <a:blip r:embed="rId28" cstate="print"/>
                          <a:stretch>
                            <a:fillRect/>
                          </a:stretch>
                        </pic:blipFill>
                        <pic:spPr>
                          <a:xfrm>
                            <a:off x="9524" y="9524"/>
                            <a:ext cx="3528060" cy="3555950"/>
                          </a:xfrm>
                          <a:prstGeom prst="rect">
                            <a:avLst/>
                          </a:prstGeom>
                        </pic:spPr>
                      </pic:pic>
                      <wps:wsp>
                        <wps:cNvPr id="8" name="Graphic 8"/>
                        <wps:cNvSpPr/>
                        <wps:spPr>
                          <a:xfrm>
                            <a:off x="4762" y="4762"/>
                            <a:ext cx="3537585" cy="3565525"/>
                          </a:xfrm>
                          <a:custGeom>
                            <a:avLst/>
                            <a:gdLst/>
                            <a:ahLst/>
                            <a:cxnLst/>
                            <a:rect l="l" t="t" r="r" b="b"/>
                            <a:pathLst>
                              <a:path w="3537585" h="3565525">
                                <a:moveTo>
                                  <a:pt x="0" y="0"/>
                                </a:moveTo>
                                <a:lnTo>
                                  <a:pt x="3537585" y="0"/>
                                </a:lnTo>
                                <a:lnTo>
                                  <a:pt x="3537585" y="3565475"/>
                                </a:lnTo>
                                <a:lnTo>
                                  <a:pt x="0" y="3565475"/>
                                </a:lnTo>
                                <a:lnTo>
                                  <a:pt x="0" y="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85C01C9" id="Group 6" o:spid="_x0000_s1026" style="width:278.15pt;height:271.5pt;mso-position-horizontal-relative:char;mso-position-vertical-relative:line" coordsize="35471,357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">
                <v:shape id="Image 7" o:spid="_x0000_s1027" type="#_x0000_t75" style="position:absolute;left:95;top:95;width:35280;height:355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">
                  <v:imagedata r:id="rId29" o:title=""/>
                </v:shape>
                <v:shape id="Graphic 8" o:spid="_x0000_s1028" style="position:absolute;left:47;top:47;width:35376;height:35655;visibility:visible;mso-wrap-style:square;v-text-anchor:top" coordsize="3537585,3565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" path="m,l3537585,r,3565475l,3565475,,xe" filled="f">
                  <v:path arrowok="t"/>
                </v:shape>
                <w10:anchorlock/>
              </v:group>
            </w:pict>
          </mc:Fallback>
        </mc:AlternateContent>
      </w:r>
    </w:p>
    <w:p w14:paraId="2C071821" w14:textId="2C612687" w:rsidR="00F05A2F" w:rsidRPr="00131EED" w:rsidRDefault="005E0160" w:rsidP="00104BDE">
      <w:pPr>
        <w:jc w:val="center"/>
        <w:rPr>
          <w:sz w:val="20"/>
          <w:szCs w:val="20"/>
        </w:rPr>
      </w:pPr>
      <w:r w:rsidRPr="00131EED">
        <w:rPr>
          <w:sz w:val="20"/>
          <w:szCs w:val="20"/>
        </w:rPr>
        <w:t xml:space="preserve">Fuente: </w:t>
      </w:r>
      <w:r w:rsidR="001F6E1F" w:rsidRPr="00131EED">
        <w:rPr>
          <w:sz w:val="20"/>
          <w:szCs w:val="20"/>
        </w:rPr>
        <w:t>Elaboración propia con datos del MADS (2016).</w:t>
      </w:r>
    </w:p>
    <w:p w14:paraId="6B8E2B5D" w14:textId="6D3AE727" w:rsidR="00B702CE" w:rsidRPr="00131EED" w:rsidRDefault="00897EDA" w:rsidP="00410194">
      <w:pPr>
        <w:pStyle w:val="Heading2"/>
        <w:numPr>
          <w:ilvl w:val="1"/>
          <w:numId w:val="31"/>
        </w:numPr>
      </w:pPr>
      <w:bookmarkStart w:id="22" w:name="_Toc216468679"/>
      <w:r w:rsidRPr="00131EED">
        <w:t xml:space="preserve">Metodología ámbito de aplicación </w:t>
      </w:r>
      <w:r w:rsidR="00D3623B" w:rsidRPr="00131EED">
        <w:t>– proyecto de resolución directrices para el ordenamiento ambiental de la sabana de Bogotá.</w:t>
      </w:r>
      <w:bookmarkEnd w:id="22"/>
    </w:p>
    <w:p w14:paraId="32996CB6" w14:textId="2518A9DD" w:rsidR="00CC0FCE" w:rsidRPr="00131EED" w:rsidRDefault="00CC0FCE" w:rsidP="00DE50BE">
      <w:pPr>
        <w:spacing w:line="237" w:lineRule="auto"/>
        <w:ind w:right="260"/>
      </w:pPr>
    </w:p>
    <w:p w14:paraId="124C9C9C" w14:textId="1D784139" w:rsidR="000B1203" w:rsidRPr="00131EED" w:rsidRDefault="00F06869" w:rsidP="00E372D0">
      <w:pPr>
        <w:spacing w:line="237" w:lineRule="auto"/>
        <w:ind w:right="260"/>
        <w:rPr>
          <w:rFonts w:eastAsia="Baskerville Old Face" w:cs="Baskerville Old Face"/>
        </w:rPr>
      </w:pPr>
      <w:r w:rsidRPr="00131EED">
        <w:rPr>
          <w:rFonts w:eastAsia="Baskerville Old Face" w:cs="Baskerville Old Face"/>
        </w:rPr>
        <w:t xml:space="preserve">Reconociendo el contexto anteriormente relacionado y que las diferentes propuestas de </w:t>
      </w:r>
      <w:r w:rsidR="003C075F" w:rsidRPr="00131EED">
        <w:rPr>
          <w:rFonts w:eastAsia="Baskerville Old Face" w:cs="Baskerville Old Face"/>
        </w:rPr>
        <w:t>identificación</w:t>
      </w:r>
      <w:r w:rsidR="00063478" w:rsidRPr="00131EED">
        <w:rPr>
          <w:rFonts w:eastAsia="Baskerville Old Face" w:cs="Baskerville Old Face"/>
        </w:rPr>
        <w:t xml:space="preserve"> de la Sabana de Bogotá</w:t>
      </w:r>
      <w:r w:rsidRPr="00131EED">
        <w:rPr>
          <w:rFonts w:eastAsia="Baskerville Old Face" w:cs="Baskerville Old Face"/>
        </w:rPr>
        <w:t xml:space="preserve"> han incluido en su construcción </w:t>
      </w:r>
      <w:r w:rsidR="00DE50BE" w:rsidRPr="00131EED">
        <w:rPr>
          <w:rFonts w:eastAsia="Baskerville Old Face" w:cs="Baskerville Old Face"/>
        </w:rPr>
        <w:t>factores físicos, ecosistémicos, hídricos, político administrativos, históricos, económicos y de desarrollo humano,</w:t>
      </w:r>
      <w:r w:rsidRPr="00131EED">
        <w:rPr>
          <w:rFonts w:eastAsia="Baskerville Old Face" w:cs="Baskerville Old Face"/>
        </w:rPr>
        <w:t xml:space="preserve"> la definición del </w:t>
      </w:r>
      <w:r w:rsidR="00063478" w:rsidRPr="00131EED">
        <w:rPr>
          <w:rFonts w:eastAsia="Baskerville Old Face" w:cs="Baskerville Old Face"/>
        </w:rPr>
        <w:t xml:space="preserve">ámbito </w:t>
      </w:r>
      <w:r w:rsidR="00DE50BE" w:rsidRPr="00131EED">
        <w:rPr>
          <w:rFonts w:eastAsia="Baskerville Old Face" w:cs="Baskerville Old Face"/>
        </w:rPr>
        <w:t>de aplicación</w:t>
      </w:r>
      <w:r w:rsidR="00063478" w:rsidRPr="00131EED">
        <w:rPr>
          <w:rFonts w:eastAsia="Baskerville Old Face" w:cs="Baskerville Old Face"/>
        </w:rPr>
        <w:t xml:space="preserve"> propuesto para el Proyecto de Resolución de Directrices para el Ordenamiento Ambiental de la Sabana de Bogotá no parte desde cero,</w:t>
      </w:r>
      <w:r w:rsidR="000E0135" w:rsidRPr="00131EED">
        <w:rPr>
          <w:rFonts w:eastAsia="Baskerville Old Face" w:cs="Baskerville Old Face"/>
        </w:rPr>
        <w:t xml:space="preserve"> por el contrario</w:t>
      </w:r>
      <w:r w:rsidR="00C766CD" w:rsidRPr="00131EED">
        <w:rPr>
          <w:rFonts w:eastAsia="Baskerville Old Face" w:cs="Baskerville Old Face"/>
        </w:rPr>
        <w:t xml:space="preserve">, tiene presente los estudios y ejercicios técnicos y normativos previamente mencionados y, </w:t>
      </w:r>
      <w:r w:rsidR="3149AA05" w:rsidRPr="00131EED">
        <w:rPr>
          <w:rFonts w:eastAsia="Baskerville Old Face" w:cs="Baskerville Old Face"/>
        </w:rPr>
        <w:t>adicionalmente</w:t>
      </w:r>
      <w:r w:rsidR="00C766CD" w:rsidRPr="00131EED">
        <w:rPr>
          <w:rFonts w:eastAsia="Baskerville Old Face" w:cs="Baskerville Old Face"/>
        </w:rPr>
        <w:t>, i</w:t>
      </w:r>
      <w:r w:rsidR="000E0135" w:rsidRPr="00131EED">
        <w:rPr>
          <w:rFonts w:eastAsia="Baskerville Old Face" w:cs="Baskerville Old Face"/>
        </w:rPr>
        <w:t>ncorpora criterios temáticos complementarios con un mayor enfoque en el ordenamiento ambiental, como se explica a continuación:</w:t>
      </w:r>
    </w:p>
    <w:p w14:paraId="269A3F66" w14:textId="77777777" w:rsidR="000B1203" w:rsidRPr="00131EED" w:rsidRDefault="000B1203" w:rsidP="00E372D0">
      <w:pPr>
        <w:spacing w:line="237" w:lineRule="auto"/>
        <w:ind w:right="260"/>
        <w:rPr>
          <w:rFonts w:eastAsia="Baskerville Old Face" w:cs="Baskerville Old Face"/>
        </w:rPr>
      </w:pPr>
    </w:p>
    <w:p w14:paraId="045838D6" w14:textId="71BCD340" w:rsidR="00811A43" w:rsidRPr="00131EED" w:rsidRDefault="00811A43" w:rsidP="000D7380">
      <w:pPr>
        <w:rPr>
          <w:rFonts w:eastAsia="Baskerville Old Face" w:cs="Baskerville Old Face"/>
        </w:rPr>
      </w:pPr>
      <w:r w:rsidRPr="00131EED">
        <w:rPr>
          <w:rFonts w:eastAsia="Baskerville Old Face" w:cs="Baskerville Old Face"/>
        </w:rPr>
        <w:t xml:space="preserve">La </w:t>
      </w:r>
      <w:r w:rsidR="00662275" w:rsidRPr="00131EED">
        <w:rPr>
          <w:rFonts w:eastAsia="Baskerville Old Face" w:cs="Baskerville Old Face"/>
        </w:rPr>
        <w:t>definición</w:t>
      </w:r>
      <w:r w:rsidRPr="00131EED">
        <w:rPr>
          <w:rFonts w:eastAsia="Baskerville Old Face" w:cs="Baskerville Old Face"/>
        </w:rPr>
        <w:t xml:space="preserve"> del ámbito propuesto se construye sobre criterios de </w:t>
      </w:r>
      <w:r w:rsidR="00662275" w:rsidRPr="00131EED">
        <w:rPr>
          <w:rFonts w:eastAsia="Baskerville Old Face" w:cs="Baskerville Old Face"/>
        </w:rPr>
        <w:t>identificación</w:t>
      </w:r>
      <w:r w:rsidRPr="00131EED">
        <w:rPr>
          <w:rFonts w:eastAsia="Baskerville Old Face" w:cs="Baskerville Old Face"/>
        </w:rPr>
        <w:t xml:space="preserve"> y de verificación, los primeros</w:t>
      </w:r>
      <w:r w:rsidR="00545DDA" w:rsidRPr="00131EED">
        <w:rPr>
          <w:rFonts w:eastAsia="Baskerville Old Face" w:cs="Baskerville Old Face"/>
        </w:rPr>
        <w:t xml:space="preserve"> como su nombre indica son elementos sobre los cuales se define</w:t>
      </w:r>
      <w:r w:rsidR="001B287A" w:rsidRPr="00131EED">
        <w:rPr>
          <w:rFonts w:eastAsia="Baskerville Old Face" w:cs="Baskerville Old Face"/>
        </w:rPr>
        <w:t xml:space="preserve">n los </w:t>
      </w:r>
      <w:r w:rsidR="0003212C" w:rsidRPr="00131EED">
        <w:rPr>
          <w:rFonts w:eastAsia="Baskerville Old Face" w:cs="Baskerville Old Face"/>
        </w:rPr>
        <w:t>límites</w:t>
      </w:r>
      <w:r w:rsidR="001B287A" w:rsidRPr="00131EED">
        <w:rPr>
          <w:rFonts w:eastAsia="Baskerville Old Face" w:cs="Baskerville Old Face"/>
        </w:rPr>
        <w:t xml:space="preserve"> del ámbito, a su vez, los segundos, </w:t>
      </w:r>
      <w:r w:rsidR="0069437F" w:rsidRPr="00131EED">
        <w:rPr>
          <w:rFonts w:eastAsia="Baskerville Old Face" w:cs="Baskerville Old Face"/>
        </w:rPr>
        <w:t xml:space="preserve">fungen como criterios de constatación de elementos ecosistémicos </w:t>
      </w:r>
      <w:r w:rsidR="000955BE" w:rsidRPr="00131EED">
        <w:rPr>
          <w:rFonts w:eastAsia="Baskerville Old Face" w:cs="Baskerville Old Face"/>
        </w:rPr>
        <w:t>que hacen</w:t>
      </w:r>
      <w:r w:rsidR="002804C5" w:rsidRPr="00131EED">
        <w:rPr>
          <w:rFonts w:eastAsia="Baskerville Old Face" w:cs="Baskerville Old Face"/>
        </w:rPr>
        <w:t xml:space="preserve"> parte de la Sabana de Bogotá en el marco del </w:t>
      </w:r>
      <w:r w:rsidR="00513A6C" w:rsidRPr="00131EED">
        <w:rPr>
          <w:rFonts w:eastAsia="Baskerville Old Face" w:cs="Baskerville Old Face"/>
        </w:rPr>
        <w:t>artículo</w:t>
      </w:r>
      <w:r w:rsidR="002804C5" w:rsidRPr="00131EED">
        <w:rPr>
          <w:rFonts w:eastAsia="Baskerville Old Face" w:cs="Baskerville Old Face"/>
        </w:rPr>
        <w:t xml:space="preserve"> 61 de la ley 99 de 1993.</w:t>
      </w:r>
      <w:r w:rsidR="0069437F" w:rsidRPr="00131EED">
        <w:rPr>
          <w:rFonts w:eastAsia="Baskerville Old Face" w:cs="Baskerville Old Face"/>
        </w:rPr>
        <w:t xml:space="preserve"> </w:t>
      </w:r>
    </w:p>
    <w:p w14:paraId="74018A31" w14:textId="40BB6FCD" w:rsidR="00811A43" w:rsidRPr="00131EED" w:rsidRDefault="002804C5" w:rsidP="00410194">
      <w:pPr>
        <w:pStyle w:val="Heading3"/>
        <w:numPr>
          <w:ilvl w:val="2"/>
          <w:numId w:val="31"/>
        </w:numPr>
      </w:pPr>
      <w:bookmarkStart w:id="23" w:name="_Toc216468680"/>
      <w:r w:rsidRPr="00131EED">
        <w:t xml:space="preserve">Criterios de </w:t>
      </w:r>
      <w:r w:rsidR="00662275" w:rsidRPr="00131EED">
        <w:t>Identificación</w:t>
      </w:r>
      <w:bookmarkEnd w:id="23"/>
    </w:p>
    <w:p w14:paraId="3BF90951" w14:textId="77777777" w:rsidR="002804C5" w:rsidRPr="00131EED" w:rsidRDefault="002804C5" w:rsidP="000D7380"/>
    <w:p w14:paraId="1B901843" w14:textId="06AA4E64" w:rsidR="00A53AF9" w:rsidRPr="00131EED" w:rsidRDefault="00336FC2" w:rsidP="00336FC2">
      <w:pPr>
        <w:keepNext/>
        <w:rPr>
          <w:rFonts w:eastAsia="Baskerville Old Face" w:cs="Baskerville Old Face"/>
        </w:rPr>
      </w:pPr>
      <w:r w:rsidRPr="00131EED">
        <w:rPr>
          <w:rFonts w:eastAsia="Baskerville Old Face" w:cs="Baskerville Old Face"/>
        </w:rPr>
        <w:t>El primer criterio se basa en el reconocimiento de los ámbitos previamente identificados para la Sabana de Bogotá, en particular el definido por la Resolución 2001 de 2016, como una de las áreas que incorpora elementos establecidos en el artículo 61 de la Ley 99 de 1993, en el</w:t>
      </w:r>
      <w:r w:rsidR="00913F35" w:rsidRPr="00131EED">
        <w:rPr>
          <w:rFonts w:eastAsia="Baskerville Old Face" w:cs="Baskerville Old Face"/>
        </w:rPr>
        <w:t xml:space="preserve"> </w:t>
      </w:r>
      <w:r w:rsidRPr="00131EED">
        <w:rPr>
          <w:rFonts w:eastAsia="Baskerville Old Face" w:cs="Baskerville Old Face"/>
        </w:rPr>
        <w:t>artículo 2 de la Resolución 222 de 1994 del MADS y en el proyecto de compilación y levantamiento de información geomecánica de INGEOMINAS (2004)</w:t>
      </w:r>
      <w:r w:rsidR="003E60B8" w:rsidRPr="00131EED">
        <w:rPr>
          <w:rFonts w:eastAsia="Baskerville Old Face" w:cs="Baskerville Old Face"/>
        </w:rPr>
        <w:t xml:space="preserve">, como se puede observar en la </w:t>
      </w:r>
      <w:r w:rsidR="003E60B8" w:rsidRPr="00131EED">
        <w:fldChar w:fldCharType="begin"/>
      </w:r>
      <w:r w:rsidR="003E60B8" w:rsidRPr="00131EED">
        <w:instrText xml:space="preserve"> REF _Ref210822816 \h </w:instrText>
      </w:r>
      <w:r w:rsidR="003E60B8" w:rsidRPr="00131EED">
        <w:fldChar w:fldCharType="separate"/>
      </w:r>
      <w:r w:rsidR="00CE096F" w:rsidRPr="00131EED">
        <w:t xml:space="preserve">Ilustración </w:t>
      </w:r>
      <w:r w:rsidR="00CE096F">
        <w:rPr>
          <w:noProof/>
        </w:rPr>
        <w:t>3</w:t>
      </w:r>
      <w:r w:rsidR="003E60B8" w:rsidRPr="00131EED">
        <w:fldChar w:fldCharType="end"/>
      </w:r>
      <w:r w:rsidR="00A53AF9" w:rsidRPr="00131EED">
        <w:rPr>
          <w:rFonts w:eastAsia="Baskerville Old Face" w:cs="Baskerville Old Face"/>
        </w:rPr>
        <w:t>.</w:t>
      </w:r>
    </w:p>
    <w:p w14:paraId="38D2C534" w14:textId="77777777" w:rsidR="003E60B8" w:rsidRPr="00131EED" w:rsidRDefault="003E60B8" w:rsidP="000D7380">
      <w:pPr>
        <w:rPr>
          <w:rFonts w:eastAsia="Baskerville Old Face" w:cs="Baskerville Old Face"/>
        </w:rPr>
      </w:pPr>
    </w:p>
    <w:p w14:paraId="056FCEB4" w14:textId="7ABE8396" w:rsidR="0071387C" w:rsidRPr="00131EED" w:rsidRDefault="00523DE9" w:rsidP="000D7380">
      <w:pPr>
        <w:rPr>
          <w:rFonts w:eastAsia="Baskerville Old Face" w:cs="Baskerville Old Face"/>
        </w:rPr>
      </w:pPr>
      <w:r w:rsidRPr="00131EED">
        <w:t xml:space="preserve">El segundo criterio de </w:t>
      </w:r>
      <w:r w:rsidR="00095283" w:rsidRPr="00131EED">
        <w:t>identificación</w:t>
      </w:r>
      <w:r w:rsidRPr="00131EED">
        <w:t xml:space="preserve"> corresponde con la cuenca alta y media del rio Bogotá</w:t>
      </w:r>
      <w:r w:rsidR="008B1636" w:rsidRPr="00131EED">
        <w:t xml:space="preserve">, </w:t>
      </w:r>
      <w:r w:rsidR="00095283" w:rsidRPr="00131EED">
        <w:t xml:space="preserve">área </w:t>
      </w:r>
      <w:r w:rsidR="00C766CD" w:rsidRPr="00131EED">
        <w:t>planteada</w:t>
      </w:r>
      <w:r w:rsidR="008B1636" w:rsidRPr="00131EED">
        <w:t xml:space="preserve"> </w:t>
      </w:r>
      <w:r w:rsidR="007B1CB6" w:rsidRPr="00131EED">
        <w:t xml:space="preserve">inicialmente </w:t>
      </w:r>
      <w:r w:rsidR="008B1636" w:rsidRPr="00131EED">
        <w:t>en su parte alta</w:t>
      </w:r>
      <w:r w:rsidR="007B1CB6" w:rsidRPr="00131EED">
        <w:t>,</w:t>
      </w:r>
      <w:r w:rsidR="008B1636" w:rsidRPr="00131EED">
        <w:t xml:space="preserve"> por el Profesor </w:t>
      </w:r>
      <w:r w:rsidR="007A6E7E" w:rsidRPr="00131EED">
        <w:t>Thomas Van Der Hammen en el Plan Ambiental de la Cuenca Alta del Rio Bogotá</w:t>
      </w:r>
      <w:r w:rsidR="00800B83" w:rsidRPr="00131EED">
        <w:t xml:space="preserve"> de 1998 junto con la CAR Cundinamarca</w:t>
      </w:r>
      <w:r w:rsidR="00C44216" w:rsidRPr="00131EED">
        <w:t xml:space="preserve"> </w:t>
      </w:r>
      <w:sdt>
        <w:sdtPr>
          <w:rPr>
            <w:rFonts w:eastAsia="Baskerville Old Face" w:cs="Baskerville Old Face"/>
          </w:rPr>
          <w:id w:val="-1807158317"/>
          <w:citation/>
        </w:sdtPr>
        <w:sdtEndPr/>
        <w:sdtContent>
          <w:r w:rsidR="00C44216" w:rsidRPr="00131EED">
            <w:fldChar w:fldCharType="begin"/>
          </w:r>
          <w:r w:rsidR="00C44216" w:rsidRPr="00131EED">
            <w:instrText xml:space="preserve"> CITATION Van981 \l 2058 </w:instrText>
          </w:r>
          <w:r w:rsidR="00C44216" w:rsidRPr="00131EED">
            <w:fldChar w:fldCharType="separate"/>
          </w:r>
          <w:r w:rsidRPr="00131EED">
            <w:rPr>
              <w:rFonts w:eastAsia="Baskerville Old Face"/>
            </w:rPr>
            <w:t>(Van der Hammen, 1998)</w:t>
          </w:r>
          <w:r w:rsidR="00C44216" w:rsidRPr="00131EED">
            <w:fldChar w:fldCharType="end"/>
          </w:r>
        </w:sdtContent>
      </w:sdt>
      <w:r w:rsidR="00D15083" w:rsidRPr="00131EED">
        <w:t xml:space="preserve"> </w:t>
      </w:r>
      <w:r w:rsidR="001B75DC" w:rsidRPr="00131EED">
        <w:t xml:space="preserve">, como se presenta en la </w:t>
      </w:r>
      <w:r w:rsidR="001B75DC" w:rsidRPr="00131EED">
        <w:fldChar w:fldCharType="begin"/>
      </w:r>
      <w:r w:rsidR="001B75DC" w:rsidRPr="00131EED">
        <w:instrText xml:space="preserve"> REF _Ref210823506 \h </w:instrText>
      </w:r>
      <w:r w:rsidR="001B75DC" w:rsidRPr="00131EED">
        <w:fldChar w:fldCharType="separate"/>
      </w:r>
      <w:r w:rsidR="00CE096F" w:rsidRPr="00131EED">
        <w:t xml:space="preserve">Ilustración </w:t>
      </w:r>
      <w:r w:rsidR="00CE096F">
        <w:rPr>
          <w:noProof/>
        </w:rPr>
        <w:t>4</w:t>
      </w:r>
      <w:r w:rsidR="001B75DC" w:rsidRPr="00131EED">
        <w:fldChar w:fldCharType="end"/>
      </w:r>
      <w:r w:rsidR="00800B83" w:rsidRPr="00131EED">
        <w:t>.</w:t>
      </w:r>
    </w:p>
    <w:p w14:paraId="256E3432" w14:textId="6E10DB4F" w:rsidR="0071387C" w:rsidRPr="00131EED" w:rsidRDefault="0071387C" w:rsidP="000D7380">
      <w:pPr>
        <w:rPr>
          <w:rFonts w:eastAsia="Baskerville Old Face" w:cs="Baskerville Old Face"/>
        </w:rPr>
      </w:pPr>
    </w:p>
    <w:p w14:paraId="3C101AA5" w14:textId="3D30B4D6" w:rsidR="00D15083" w:rsidRPr="00131EED" w:rsidRDefault="001B75DC" w:rsidP="000D7380">
      <w:pPr>
        <w:rPr>
          <w:rFonts w:eastAsia="Baskerville Old Face" w:cs="Baskerville Old Face"/>
        </w:rPr>
      </w:pPr>
      <w:r w:rsidRPr="00131EED">
        <w:rPr>
          <w:rFonts w:eastAsia="Baskerville Old Face" w:cs="Baskerville Old Face"/>
        </w:rPr>
        <w:t xml:space="preserve">Esta fue retomada más adelante por parte del Profesor Guhl, E. (2012) en su propuesta de región hídrica de la Sabana de Bogotá, involucrando criterios hidrográficos, ecosistémicos y político-administrativos que fueron presentados en la </w:t>
      </w:r>
      <w:r w:rsidRPr="00131EED">
        <w:fldChar w:fldCharType="begin"/>
      </w:r>
      <w:r w:rsidRPr="00131EED">
        <w:instrText xml:space="preserve"> REF _Ref210823440 \h </w:instrText>
      </w:r>
      <w:r w:rsidRPr="00131EED">
        <w:fldChar w:fldCharType="separate"/>
      </w:r>
      <w:r w:rsidR="00CE096F" w:rsidRPr="00131EED">
        <w:t xml:space="preserve">Ilustración </w:t>
      </w:r>
      <w:r w:rsidR="00CE096F">
        <w:rPr>
          <w:noProof/>
        </w:rPr>
        <w:t>2</w:t>
      </w:r>
      <w:r w:rsidRPr="00131EED">
        <w:fldChar w:fldCharType="end"/>
      </w:r>
      <w:r w:rsidRPr="00131EED">
        <w:rPr>
          <w:rFonts w:eastAsia="Baskerville Old Face" w:cs="Baskerville Old Face"/>
        </w:rPr>
        <w:t>.</w:t>
      </w:r>
    </w:p>
    <w:p w14:paraId="6EBFA486" w14:textId="7EBEF820" w:rsidR="00D15083" w:rsidRPr="00131EED" w:rsidRDefault="00D15083" w:rsidP="000D7380"/>
    <w:p w14:paraId="181EAE0B" w14:textId="70B90B46" w:rsidR="00D15083" w:rsidRPr="00131EED" w:rsidRDefault="00D15083" w:rsidP="00D15083">
      <w:pPr>
        <w:pStyle w:val="Caption"/>
        <w:jc w:val="center"/>
      </w:pPr>
      <w:bookmarkStart w:id="24" w:name="_Ref210823506"/>
      <w:bookmarkStart w:id="25" w:name="_Toc216468769"/>
      <w:r w:rsidRPr="00131EED">
        <w:t xml:space="preserve">Ilustración </w:t>
      </w:r>
      <w:r w:rsidRPr="00131EED">
        <w:fldChar w:fldCharType="begin"/>
      </w:r>
      <w:r w:rsidRPr="00131EED">
        <w:instrText>SEQ Ilustración \* ARABIC</w:instrText>
      </w:r>
      <w:r w:rsidRPr="00131EED">
        <w:fldChar w:fldCharType="separate"/>
      </w:r>
      <w:r w:rsidR="00CE096F">
        <w:rPr>
          <w:noProof/>
        </w:rPr>
        <w:t>4</w:t>
      </w:r>
      <w:r w:rsidRPr="00131EED">
        <w:fldChar w:fldCharType="end"/>
      </w:r>
      <w:bookmarkEnd w:id="24"/>
      <w:r w:rsidRPr="00131EED">
        <w:t xml:space="preserve">. Mapa de </w:t>
      </w:r>
      <w:r w:rsidR="001B75DC" w:rsidRPr="00131EED">
        <w:t xml:space="preserve">distribución de </w:t>
      </w:r>
      <w:r w:rsidRPr="00131EED">
        <w:t>suelos</w:t>
      </w:r>
      <w:r w:rsidR="001B75DC" w:rsidRPr="00131EED">
        <w:t xml:space="preserve"> para la </w:t>
      </w:r>
      <w:r w:rsidRPr="00131EED">
        <w:t>Cuenca Alta de Río Bogotá</w:t>
      </w:r>
      <w:r w:rsidR="001B75DC" w:rsidRPr="00131EED">
        <w:t>, según el Plan Ambiental de la Cuenca Alta del Río Bogotá</w:t>
      </w:r>
      <w:r w:rsidRPr="00131EED">
        <w:t>.</w:t>
      </w:r>
      <w:bookmarkEnd w:id="25"/>
      <w:r w:rsidRPr="00131EED">
        <w:t xml:space="preserve"> </w:t>
      </w:r>
    </w:p>
    <w:p w14:paraId="543A7A97" w14:textId="36952864" w:rsidR="00D941F7" w:rsidRPr="00131EED" w:rsidRDefault="548F0E2A" w:rsidP="006845C5">
      <w:pPr>
        <w:keepNext/>
        <w:jc w:val="center"/>
      </w:pPr>
      <w:r w:rsidRPr="00131EED">
        <w:rPr>
          <w:noProof/>
          <w:lang w:eastAsia="en-US"/>
        </w:rPr>
        <w:drawing>
          <wp:inline distT="0" distB="0" distL="0" distR="0" wp14:anchorId="1B1464FD" wp14:editId="204E0867">
            <wp:extent cx="4543778" cy="2543175"/>
            <wp:effectExtent l="57150" t="57150" r="104775" b="85725"/>
            <wp:docPr id="16193800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cstate="print">
                      <a:extLst>
                        <a:ext uri="{28A0092B-C50C-407E-A947-70E740481C1C}">
                          <a14:useLocalDpi xmlns:a14="http://schemas.microsoft.com/office/drawing/2010/main"/>
                        </a:ext>
                      </a:extLst>
                    </a:blip>
                    <a:srcRect l="1633" t="3981" b="1250"/>
                    <a:stretch>
                      <a:fillRect/>
                    </a:stretch>
                  </pic:blipFill>
                  <pic:spPr bwMode="auto">
                    <a:xfrm>
                      <a:off x="0" y="0"/>
                      <a:ext cx="4549049" cy="254612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28D3549" w14:textId="1C61AABE" w:rsidR="00D15083" w:rsidRPr="00131EED" w:rsidRDefault="00D15083" w:rsidP="00D15083">
      <w:pPr>
        <w:jc w:val="center"/>
        <w:rPr>
          <w:rFonts w:eastAsia="Baskerville Old Face" w:cs="Baskerville Old Face"/>
          <w:sz w:val="20"/>
          <w:szCs w:val="20"/>
        </w:rPr>
      </w:pPr>
      <w:r w:rsidRPr="00131EED">
        <w:rPr>
          <w:sz w:val="20"/>
          <w:szCs w:val="20"/>
        </w:rPr>
        <w:t>Fuente:</w:t>
      </w:r>
      <w:sdt>
        <w:sdtPr>
          <w:rPr>
            <w:rFonts w:eastAsia="Baskerville Old Face" w:cs="Baskerville Old Face"/>
            <w:sz w:val="20"/>
            <w:szCs w:val="20"/>
          </w:rPr>
          <w:id w:val="-1113208332"/>
          <w:citation/>
        </w:sdtPr>
        <w:sdtEndPr/>
        <w:sdtContent>
          <w:r w:rsidR="00C44216" w:rsidRPr="00131EED">
            <w:rPr>
              <w:sz w:val="20"/>
              <w:szCs w:val="20"/>
            </w:rPr>
            <w:fldChar w:fldCharType="begin"/>
          </w:r>
          <w:r w:rsidR="00C44216" w:rsidRPr="00131EED">
            <w:rPr>
              <w:sz w:val="20"/>
              <w:szCs w:val="20"/>
            </w:rPr>
            <w:instrText xml:space="preserve"> CITATION Van981 \l 2058 </w:instrText>
          </w:r>
          <w:r w:rsidR="00C44216" w:rsidRPr="00131EED">
            <w:rPr>
              <w:sz w:val="20"/>
              <w:szCs w:val="20"/>
            </w:rPr>
            <w:fldChar w:fldCharType="separate"/>
          </w:r>
          <w:r w:rsidRPr="00131EED">
            <w:rPr>
              <w:rFonts w:eastAsia="Baskerville Old Face"/>
              <w:sz w:val="20"/>
              <w:szCs w:val="20"/>
            </w:rPr>
            <w:t xml:space="preserve"> (Van der Hammen, 1998)</w:t>
          </w:r>
          <w:r w:rsidR="00C44216" w:rsidRPr="00131EED">
            <w:rPr>
              <w:sz w:val="20"/>
              <w:szCs w:val="20"/>
            </w:rPr>
            <w:fldChar w:fldCharType="end"/>
          </w:r>
        </w:sdtContent>
      </w:sdt>
    </w:p>
    <w:p w14:paraId="5ECE76A0" w14:textId="77777777" w:rsidR="00095A8D" w:rsidRPr="00131EED" w:rsidRDefault="00095A8D" w:rsidP="00D15083">
      <w:pPr>
        <w:jc w:val="center"/>
        <w:rPr>
          <w:rFonts w:eastAsia="Baskerville Old Face" w:cs="Baskerville Old Face"/>
          <w:sz w:val="20"/>
          <w:szCs w:val="20"/>
        </w:rPr>
      </w:pPr>
    </w:p>
    <w:p w14:paraId="1001C80C" w14:textId="5489E6AC" w:rsidR="009B6041" w:rsidRPr="00131EED" w:rsidRDefault="00822B35" w:rsidP="000D7380">
      <w:pPr>
        <w:rPr>
          <w:rFonts w:eastAsia="Baskerville Old Face" w:cs="Baskerville Old Face"/>
        </w:rPr>
      </w:pPr>
      <w:r w:rsidRPr="00131EED">
        <w:rPr>
          <w:rFonts w:eastAsia="Baskerville Old Face" w:cs="Baskerville Old Face"/>
        </w:rPr>
        <w:t>Finalmente, la cuenca del río Bogotá definida por</w:t>
      </w:r>
      <w:r w:rsidR="00C67352" w:rsidRPr="00131EED">
        <w:rPr>
          <w:rFonts w:eastAsia="Baskerville Old Face" w:cs="Baskerville Old Face"/>
        </w:rPr>
        <w:t xml:space="preserve"> IDEAM como Subzona hidrográfica, la cual fue descrita</w:t>
      </w:r>
      <w:r w:rsidR="001B34D9" w:rsidRPr="00131EED">
        <w:rPr>
          <w:rFonts w:eastAsia="Baskerville Old Face" w:cs="Baskerville Old Face"/>
        </w:rPr>
        <w:t xml:space="preserve"> y</w:t>
      </w:r>
      <w:r w:rsidR="00C67352" w:rsidRPr="00131EED">
        <w:rPr>
          <w:rFonts w:eastAsia="Baskerville Old Face" w:cs="Baskerville Old Face"/>
        </w:rPr>
        <w:t xml:space="preserve"> ordenada en </w:t>
      </w:r>
      <w:r w:rsidRPr="00131EED">
        <w:rPr>
          <w:rFonts w:eastAsia="Baskerville Old Face" w:cs="Baskerville Old Face"/>
        </w:rPr>
        <w:t>el Plan de Ordenación y Manejo de Cuencas Hidrográficas del Río Bogotá (POMCA 2019), adoptado mediante la Resolución 957 del 2 de abril de 2019</w:t>
      </w:r>
      <w:r w:rsidR="008C779C" w:rsidRPr="00131EED">
        <w:rPr>
          <w:rFonts w:eastAsia="Baskerville Old Face" w:cs="Baskerville Old Face"/>
        </w:rPr>
        <w:t xml:space="preserve"> (ver </w:t>
      </w:r>
      <w:r w:rsidR="008C779C" w:rsidRPr="00131EED">
        <w:fldChar w:fldCharType="begin"/>
      </w:r>
      <w:r w:rsidR="008C779C" w:rsidRPr="00131EED">
        <w:instrText xml:space="preserve"> REF _Ref210824248 \h </w:instrText>
      </w:r>
      <w:r w:rsidR="008C779C" w:rsidRPr="00131EED">
        <w:fldChar w:fldCharType="separate"/>
      </w:r>
      <w:r w:rsidR="00CE096F" w:rsidRPr="00131EED">
        <w:t xml:space="preserve">Ilustración </w:t>
      </w:r>
      <w:r w:rsidR="00CE096F">
        <w:rPr>
          <w:noProof/>
        </w:rPr>
        <w:t>5</w:t>
      </w:r>
      <w:r w:rsidR="008C779C" w:rsidRPr="00131EED">
        <w:fldChar w:fldCharType="end"/>
      </w:r>
      <w:r w:rsidR="008C779C" w:rsidRPr="00131EED">
        <w:rPr>
          <w:rFonts w:eastAsia="Baskerville Old Face" w:cs="Baskerville Old Face"/>
        </w:rPr>
        <w:t>)</w:t>
      </w:r>
      <w:r w:rsidRPr="00131EED">
        <w:rPr>
          <w:rFonts w:eastAsia="Baskerville Old Face" w:cs="Baskerville Old Face"/>
        </w:rPr>
        <w:t>, que reconoce este sistema hídrico como un escenario natural estratégico para el ordenamiento y la gestión del territorio desde la perspectiva hidrológica, y lo posiciona como un elemento orientador clave en la consolidación del ámbito territorial para las Directrices de Ordenamiento Ambiental de la Sabana de Bogotá</w:t>
      </w:r>
      <w:r w:rsidR="00913E31" w:rsidRPr="00131EED">
        <w:rPr>
          <w:rFonts w:eastAsia="Baskerville Old Face" w:cs="Baskerville Old Face"/>
        </w:rPr>
        <w:t>, y definió el área de la cuenca alta y media del río Bogotá</w:t>
      </w:r>
      <w:r w:rsidRPr="00131EED">
        <w:rPr>
          <w:rFonts w:eastAsia="Baskerville Old Face" w:cs="Baskerville Old Face"/>
        </w:rPr>
        <w:t>.</w:t>
      </w:r>
    </w:p>
    <w:p w14:paraId="4E2A65D2" w14:textId="77777777" w:rsidR="009B6041" w:rsidRPr="00131EED" w:rsidRDefault="009B6041" w:rsidP="009B6041"/>
    <w:p w14:paraId="00FE26C9" w14:textId="6DC4176D" w:rsidR="009B6041" w:rsidRPr="00131EED" w:rsidRDefault="009B6041" w:rsidP="009B6041">
      <w:pPr>
        <w:pStyle w:val="Caption"/>
        <w:jc w:val="center"/>
      </w:pPr>
      <w:bookmarkStart w:id="26" w:name="_Ref210824248"/>
      <w:bookmarkStart w:id="27" w:name="_Toc216468770"/>
      <w:r w:rsidRPr="00131EED">
        <w:t xml:space="preserve">Ilustración </w:t>
      </w:r>
      <w:fldSimple w:instr=" SEQ Ilustración \* ARABIC ">
        <w:r w:rsidR="00CE096F">
          <w:rPr>
            <w:noProof/>
          </w:rPr>
          <w:t>5</w:t>
        </w:r>
      </w:fldSimple>
      <w:bookmarkEnd w:id="26"/>
      <w:r w:rsidRPr="00131EED">
        <w:t>. Definición de la Cuenca alta y media del río Bogotá según el POMCA 2019</w:t>
      </w:r>
      <w:bookmarkEnd w:id="27"/>
      <w:r w:rsidRPr="00131EED">
        <w:t xml:space="preserve"> </w:t>
      </w:r>
    </w:p>
    <w:p w14:paraId="3CE76444" w14:textId="34540E61" w:rsidR="00480698" w:rsidRPr="00131EED" w:rsidRDefault="2EACE7C2" w:rsidP="00480698">
      <w:pPr>
        <w:keepNext/>
        <w:jc w:val="center"/>
      </w:pPr>
      <w:r w:rsidRPr="00131EED">
        <w:rPr>
          <w:noProof/>
          <w:lang w:eastAsia="en-US"/>
        </w:rPr>
        <w:drawing>
          <wp:inline distT="0" distB="0" distL="0" distR="0" wp14:anchorId="0259E893" wp14:editId="4AD992FD">
            <wp:extent cx="3609768" cy="4672113"/>
            <wp:effectExtent l="57150" t="57150" r="86360" b="90805"/>
            <wp:docPr id="911026390" name="Picture 4" descr="A map of a lak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026390" name="Picture 4" descr="A map of a lake&#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3609768" cy="4672113"/>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A4206BE" w14:textId="42CE4AAF" w:rsidR="008C779C" w:rsidRPr="00131EED" w:rsidRDefault="009B6041" w:rsidP="008C779C">
      <w:pPr>
        <w:jc w:val="center"/>
        <w:rPr>
          <w:rFonts w:eastAsia="Aptos"/>
          <w:sz w:val="20"/>
          <w:szCs w:val="20"/>
          <w:lang w:eastAsia="en-US"/>
        </w:rPr>
      </w:pPr>
      <w:r w:rsidRPr="00131EED">
        <w:rPr>
          <w:sz w:val="20"/>
          <w:szCs w:val="20"/>
        </w:rPr>
        <w:t>Fuente:</w:t>
      </w:r>
      <w:r w:rsidR="008C779C" w:rsidRPr="00131EED">
        <w:rPr>
          <w:sz w:val="20"/>
          <w:szCs w:val="20"/>
        </w:rPr>
        <w:t xml:space="preserve"> </w:t>
      </w:r>
      <w:sdt>
        <w:sdtPr>
          <w:rPr>
            <w:rFonts w:eastAsia="Aptos"/>
            <w:sz w:val="20"/>
            <w:szCs w:val="20"/>
            <w:lang w:eastAsia="en-US"/>
          </w:rPr>
          <w:id w:val="514809922"/>
          <w:citation/>
        </w:sdtPr>
        <w:sdtEndPr/>
        <w:sdtContent>
          <w:r w:rsidR="008C779C" w:rsidRPr="00131EED">
            <w:rPr>
              <w:rFonts w:eastAsia="Aptos"/>
              <w:sz w:val="20"/>
              <w:szCs w:val="20"/>
              <w:lang w:eastAsia="en-US"/>
            </w:rPr>
            <w:fldChar w:fldCharType="begin"/>
          </w:r>
          <w:r w:rsidR="008C779C" w:rsidRPr="00131EED">
            <w:rPr>
              <w:rFonts w:eastAsia="Aptos"/>
              <w:sz w:val="20"/>
              <w:szCs w:val="20"/>
              <w:lang w:eastAsia="en-US"/>
            </w:rPr>
            <w:instrText xml:space="preserve"> CITATION Cor19 \l 2058 </w:instrText>
          </w:r>
          <w:r w:rsidR="008C779C" w:rsidRPr="00131EED">
            <w:rPr>
              <w:rFonts w:eastAsia="Aptos"/>
              <w:sz w:val="20"/>
              <w:szCs w:val="20"/>
              <w:lang w:eastAsia="en-US"/>
            </w:rPr>
            <w:fldChar w:fldCharType="separate"/>
          </w:r>
          <w:r w:rsidRPr="00131EED">
            <w:rPr>
              <w:rFonts w:eastAsia="Aptos"/>
              <w:sz w:val="20"/>
              <w:szCs w:val="20"/>
              <w:lang w:eastAsia="en-US"/>
            </w:rPr>
            <w:t>(Corporación Autónoma Regional de Cundinamarca - CAR, 2019)</w:t>
          </w:r>
          <w:r w:rsidR="008C779C" w:rsidRPr="00131EED">
            <w:rPr>
              <w:rFonts w:eastAsia="Aptos"/>
              <w:sz w:val="20"/>
              <w:szCs w:val="20"/>
              <w:lang w:eastAsia="en-US"/>
            </w:rPr>
            <w:fldChar w:fldCharType="end"/>
          </w:r>
        </w:sdtContent>
      </w:sdt>
    </w:p>
    <w:p w14:paraId="5DD56943" w14:textId="294E084B" w:rsidR="009B6041" w:rsidRPr="00131EED" w:rsidRDefault="009B6041" w:rsidP="009B6041">
      <w:pPr>
        <w:jc w:val="center"/>
      </w:pPr>
    </w:p>
    <w:p w14:paraId="1D309D1F" w14:textId="2586AAB3" w:rsidR="0093613D" w:rsidRPr="00131EED" w:rsidRDefault="0093613D" w:rsidP="000D7380">
      <w:pPr>
        <w:rPr>
          <w:rFonts w:eastAsia="Baskerville Old Face" w:cs="Baskerville Old Face"/>
        </w:rPr>
      </w:pPr>
      <w:r w:rsidRPr="00131EED">
        <w:rPr>
          <w:rFonts w:eastAsia="Baskerville Old Face" w:cs="Baskerville Old Face"/>
        </w:rPr>
        <w:t xml:space="preserve">Los municipios que componen la cuenca alta y media según el POMCA (2019), son; Bogotá, La Calera, Bojacá, Madrid, Cajicá, Mosquera, Chía, Nemocón, Chipaque, Sesquilé, Chocontá, Sibaté, Cogua, Soacha, Cota, Sopó, El Rosal, Subachoque, Cucunubá, Suesca, Facatativá, Tabio, Funza, Tausa, Gachancipá, Tenjo, Guasca, Tocancipá, Guatavita, Villapinzón y Zipaquirá. </w:t>
      </w:r>
    </w:p>
    <w:p w14:paraId="78E49B70" w14:textId="77777777" w:rsidR="0093613D" w:rsidRPr="00131EED" w:rsidRDefault="0093613D" w:rsidP="000D7380">
      <w:pPr>
        <w:rPr>
          <w:rFonts w:eastAsia="Baskerville Old Face" w:cs="Baskerville Old Face"/>
        </w:rPr>
      </w:pPr>
    </w:p>
    <w:p w14:paraId="7001E337" w14:textId="2EC33D72" w:rsidR="008B4B97" w:rsidRPr="00131EED" w:rsidRDefault="008B4B97" w:rsidP="000D7380">
      <w:pPr>
        <w:rPr>
          <w:rFonts w:eastAsia="Baskerville Old Face" w:cs="Baskerville Old Face"/>
        </w:rPr>
      </w:pPr>
      <w:r w:rsidRPr="00131EED">
        <w:rPr>
          <w:rFonts w:eastAsia="Baskerville Old Face" w:cs="Baskerville Old Face"/>
        </w:rPr>
        <w:t xml:space="preserve">El tercer criterio de </w:t>
      </w:r>
      <w:r w:rsidR="00095283" w:rsidRPr="00131EED">
        <w:rPr>
          <w:rFonts w:eastAsia="Baskerville Old Face" w:cs="Baskerville Old Face"/>
        </w:rPr>
        <w:t>identificación</w:t>
      </w:r>
      <w:r w:rsidRPr="00131EED">
        <w:rPr>
          <w:rFonts w:eastAsia="Baskerville Old Face" w:cs="Baskerville Old Face"/>
        </w:rPr>
        <w:t xml:space="preserve"> </w:t>
      </w:r>
      <w:r w:rsidR="0034715A" w:rsidRPr="00131EED">
        <w:rPr>
          <w:rFonts w:eastAsia="Baskerville Old Face" w:cs="Baskerville Old Face"/>
        </w:rPr>
        <w:t>fueron</w:t>
      </w:r>
      <w:r w:rsidR="006C5556" w:rsidRPr="00131EED">
        <w:rPr>
          <w:rFonts w:eastAsia="Baskerville Old Face" w:cs="Baskerville Old Face"/>
        </w:rPr>
        <w:t xml:space="preserve"> los</w:t>
      </w:r>
      <w:r w:rsidRPr="00131EED">
        <w:rPr>
          <w:rFonts w:eastAsia="Baskerville Old Face" w:cs="Baskerville Old Face"/>
        </w:rPr>
        <w:t xml:space="preserve"> polígonos </w:t>
      </w:r>
      <w:r w:rsidR="00F9140F" w:rsidRPr="00131EED">
        <w:rPr>
          <w:rFonts w:eastAsia="Baskerville Old Face" w:cs="Baskerville Old Face"/>
        </w:rPr>
        <w:t>de zonas compatibles con minería determinadas por la Resolución 2001 del 2016, al ser áreas geográficas vigentes en la Sabana de Bogotá.</w:t>
      </w:r>
    </w:p>
    <w:p w14:paraId="00A97FBE" w14:textId="77777777" w:rsidR="00F4418A" w:rsidRPr="00131EED" w:rsidRDefault="00F4418A" w:rsidP="000D7380"/>
    <w:p w14:paraId="210FBABB" w14:textId="33A93863" w:rsidR="0034715A" w:rsidRPr="00131EED" w:rsidRDefault="00BB55A8" w:rsidP="06045BF0">
      <w:pPr>
        <w:pStyle w:val="Caption"/>
        <w:keepNext/>
        <w:jc w:val="center"/>
      </w:pPr>
      <w:bookmarkStart w:id="28" w:name="_Toc216468771"/>
      <w:r w:rsidRPr="00131EED">
        <w:t xml:space="preserve">Ilustración </w:t>
      </w:r>
      <w:fldSimple w:instr=" SEQ Ilustración \* ARABIC ">
        <w:r w:rsidR="00CE096F">
          <w:rPr>
            <w:noProof/>
          </w:rPr>
          <w:t>6</w:t>
        </w:r>
      </w:fldSimple>
      <w:r w:rsidR="75F17FD2" w:rsidRPr="00131EED">
        <w:t xml:space="preserve">. Polígonos de Compatibilidad Minera en la Sabana de Bogotá definidas por </w:t>
      </w:r>
      <w:r w:rsidR="0BA53F58" w:rsidRPr="00131EED">
        <w:t>la Resolución</w:t>
      </w:r>
      <w:r w:rsidR="75F17FD2" w:rsidRPr="00131EED">
        <w:t xml:space="preserve"> MinAmbiente 2001 de 2016.</w:t>
      </w:r>
      <w:bookmarkEnd w:id="28"/>
    </w:p>
    <w:p w14:paraId="77006915" w14:textId="26158A83" w:rsidR="00DC5224" w:rsidRPr="00131EED" w:rsidRDefault="3C730C64" w:rsidP="06045BF0">
      <w:pPr>
        <w:pStyle w:val="Caption"/>
        <w:keepNext/>
        <w:jc w:val="center"/>
        <w:rPr>
          <w:sz w:val="20"/>
          <w:szCs w:val="20"/>
        </w:rPr>
      </w:pPr>
      <w:r w:rsidRPr="00131EED">
        <w:rPr>
          <w:noProof/>
        </w:rPr>
        <w:drawing>
          <wp:inline distT="0" distB="0" distL="0" distR="0" wp14:anchorId="29AF5077" wp14:editId="5DF62167">
            <wp:extent cx="3276600" cy="4333240"/>
            <wp:effectExtent l="57150" t="57150" r="95250" b="86360"/>
            <wp:docPr id="53012172" name="Picture 6"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12172" name="Picture 6" descr="A map of a forest&#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3284932" cy="4344259"/>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C8C3CA6" w14:textId="105FC6B3" w:rsidR="0034715A" w:rsidRPr="00131EED" w:rsidRDefault="0034715A" w:rsidP="06045BF0">
      <w:pPr>
        <w:pStyle w:val="Caption"/>
        <w:keepNext/>
        <w:jc w:val="center"/>
        <w:rPr>
          <w:rFonts w:ascii="Baskerville Old Face" w:eastAsia="Baskerville Old Face" w:hAnsi="Baskerville Old Face" w:cs="Baskerville Old Face"/>
          <w:i w:val="0"/>
          <w:color w:val="000000" w:themeColor="text1"/>
          <w:sz w:val="20"/>
          <w:szCs w:val="20"/>
        </w:rPr>
      </w:pPr>
      <w:r w:rsidRPr="00131EED">
        <w:rPr>
          <w:rFonts w:ascii="Baskerville Old Face" w:eastAsia="Baskerville Old Face" w:hAnsi="Baskerville Old Face" w:cs="Baskerville Old Face"/>
          <w:i w:val="0"/>
          <w:color w:val="000000" w:themeColor="text1"/>
          <w:sz w:val="20"/>
          <w:szCs w:val="20"/>
        </w:rPr>
        <w:t>Fuente: Resolución MinAmbiente No 2001 de 2016</w:t>
      </w:r>
    </w:p>
    <w:p w14:paraId="4A375C58" w14:textId="77DB2D7B" w:rsidR="008B4B97" w:rsidRPr="00131EED" w:rsidRDefault="008B4B97" w:rsidP="00410194">
      <w:pPr>
        <w:pStyle w:val="Heading3"/>
        <w:numPr>
          <w:ilvl w:val="2"/>
          <w:numId w:val="31"/>
        </w:numPr>
      </w:pPr>
      <w:bookmarkStart w:id="29" w:name="_Toc216468681"/>
      <w:r w:rsidRPr="00131EED">
        <w:t xml:space="preserve">Criterios </w:t>
      </w:r>
      <w:r w:rsidR="002922AF" w:rsidRPr="00131EED">
        <w:t>de verificación</w:t>
      </w:r>
      <w:bookmarkEnd w:id="29"/>
    </w:p>
    <w:p w14:paraId="7AF08439" w14:textId="77777777" w:rsidR="00523DE9" w:rsidRPr="00131EED" w:rsidRDefault="00523DE9" w:rsidP="000D7380"/>
    <w:p w14:paraId="5E2EB535" w14:textId="750F8186" w:rsidR="000054FA" w:rsidRPr="00131EED" w:rsidRDefault="00C62946" w:rsidP="000D7380">
      <w:pPr>
        <w:rPr>
          <w:rFonts w:eastAsia="Baskerville Old Face" w:cs="Baskerville Old Face"/>
        </w:rPr>
      </w:pPr>
      <w:r w:rsidRPr="00131EED">
        <w:rPr>
          <w:rFonts w:eastAsia="Baskerville Old Face" w:cs="Baskerville Old Face"/>
        </w:rPr>
        <w:t xml:space="preserve">Los criterios de </w:t>
      </w:r>
      <w:r w:rsidR="008A41C4" w:rsidRPr="00131EED">
        <w:rPr>
          <w:rFonts w:eastAsia="Baskerville Old Face" w:cs="Baskerville Old Face"/>
        </w:rPr>
        <w:t>verificación</w:t>
      </w:r>
      <w:r w:rsidRPr="00131EED">
        <w:rPr>
          <w:rFonts w:eastAsia="Baskerville Old Face" w:cs="Baskerville Old Face"/>
        </w:rPr>
        <w:t xml:space="preserve"> pretenden constatar que al interior del ámbito se encuentren aquellos elementos descritos por el Art 61 de la ley 99 de 1993</w:t>
      </w:r>
      <w:r w:rsidR="00B5560C" w:rsidRPr="00131EED">
        <w:rPr>
          <w:rFonts w:eastAsia="Baskerville Old Face" w:cs="Baskerville Old Face"/>
        </w:rPr>
        <w:t xml:space="preserve"> como páramos, aguas, entre otros, así como </w:t>
      </w:r>
      <w:r w:rsidR="00566134" w:rsidRPr="00131EED">
        <w:rPr>
          <w:rFonts w:eastAsia="Baskerville Old Face" w:cs="Baskerville Old Face"/>
        </w:rPr>
        <w:t xml:space="preserve">los ríos y sus afluentes y demás elementos relacionados en el concepto técnico de la CAR </w:t>
      </w:r>
      <w:r w:rsidR="008A41C4" w:rsidRPr="00131EED">
        <w:rPr>
          <w:rFonts w:eastAsia="Baskerville Old Face" w:cs="Baskerville Old Face"/>
        </w:rPr>
        <w:t xml:space="preserve">oficio número </w:t>
      </w:r>
      <w:r w:rsidR="00566134" w:rsidRPr="00131EED">
        <w:rPr>
          <w:rFonts w:eastAsia="Baskerville Old Face" w:cs="Baskerville Old Face"/>
        </w:rPr>
        <w:t>20152130675</w:t>
      </w:r>
      <w:r w:rsidR="008A41C4" w:rsidRPr="00131EED">
        <w:rPr>
          <w:rFonts w:eastAsia="Baskerville Old Face" w:cs="Baskerville Old Face"/>
        </w:rPr>
        <w:t>.</w:t>
      </w:r>
    </w:p>
    <w:p w14:paraId="0DDE3455" w14:textId="77777777" w:rsidR="008A41C4" w:rsidRPr="00131EED" w:rsidRDefault="008A41C4" w:rsidP="000D7380"/>
    <w:p w14:paraId="539D19ED" w14:textId="251C4286" w:rsidR="00184F8B" w:rsidRPr="00131EED" w:rsidRDefault="00184F8B" w:rsidP="00E37D03">
      <w:pPr>
        <w:pStyle w:val="Caption"/>
        <w:jc w:val="center"/>
      </w:pPr>
      <w:bookmarkStart w:id="30" w:name="_Toc216468772"/>
      <w:r w:rsidRPr="00131EED">
        <w:t xml:space="preserve">Ilustración </w:t>
      </w:r>
      <w:fldSimple w:instr=" SEQ Ilustración \* ARABIC ">
        <w:r w:rsidR="00CE096F">
          <w:rPr>
            <w:noProof/>
          </w:rPr>
          <w:t>7</w:t>
        </w:r>
      </w:fldSimple>
      <w:r w:rsidRPr="00131EED">
        <w:t>. Criterios de verificación</w:t>
      </w:r>
      <w:r w:rsidR="3E291056" w:rsidRPr="00131EED">
        <w:t xml:space="preserve"> </w:t>
      </w:r>
      <w:r w:rsidR="00150302" w:rsidRPr="00131EED">
        <w:t>utilizados en el presente estudio</w:t>
      </w:r>
      <w:bookmarkEnd w:id="30"/>
    </w:p>
    <w:p w14:paraId="3B920614" w14:textId="77777777" w:rsidR="004B0F6E" w:rsidRPr="00131EED" w:rsidRDefault="004B0F6E" w:rsidP="004B0F6E">
      <w:pPr>
        <w:keepNext/>
        <w:jc w:val="center"/>
      </w:pPr>
      <w:r w:rsidRPr="00131EED">
        <w:rPr>
          <w:noProof/>
          <w:lang w:eastAsia="en-US"/>
        </w:rPr>
        <w:drawing>
          <wp:inline distT="0" distB="0" distL="0" distR="0" wp14:anchorId="3905092F" wp14:editId="297B669B">
            <wp:extent cx="3574808" cy="4626864"/>
            <wp:effectExtent l="57150" t="57150" r="102235" b="97790"/>
            <wp:docPr id="1502911588" name="Picture 8" descr="A map of the l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911588" name="Picture 8" descr="A map of the land&#10;&#10;AI-generated content may be incorrec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574808" cy="4626864"/>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43B0CB9" w14:textId="5771B5EF" w:rsidR="0AEDE4A9" w:rsidRPr="00131EED" w:rsidRDefault="0AEDE4A9" w:rsidP="78806C41">
      <w:pPr>
        <w:keepNext/>
        <w:jc w:val="center"/>
      </w:pPr>
      <w:r w:rsidRPr="00131EED">
        <w:t xml:space="preserve">Fuente: </w:t>
      </w:r>
      <w:r w:rsidR="00150302" w:rsidRPr="00131EED">
        <w:t>MinAmbiente a partir de CAR 2025</w:t>
      </w:r>
    </w:p>
    <w:p w14:paraId="29363E3B" w14:textId="77777777" w:rsidR="001E4651" w:rsidRPr="00131EED" w:rsidRDefault="001E4651" w:rsidP="004B0F6E">
      <w:pPr>
        <w:pStyle w:val="Caption"/>
        <w:jc w:val="center"/>
      </w:pPr>
    </w:p>
    <w:p w14:paraId="09EE303A" w14:textId="2F029EF2" w:rsidR="00DC6242" w:rsidRPr="00131EED" w:rsidRDefault="00F36992" w:rsidP="00410194">
      <w:pPr>
        <w:pStyle w:val="Heading3"/>
        <w:numPr>
          <w:ilvl w:val="2"/>
          <w:numId w:val="31"/>
        </w:numPr>
      </w:pPr>
      <w:bookmarkStart w:id="31" w:name="_Toc216468682"/>
      <w:r w:rsidRPr="00131EED">
        <w:t>Flujo de geoprocesamiento</w:t>
      </w:r>
      <w:bookmarkEnd w:id="31"/>
    </w:p>
    <w:p w14:paraId="1298773E" w14:textId="1877035B" w:rsidR="002C2075" w:rsidRPr="00131EED" w:rsidRDefault="002C2075" w:rsidP="002C2075">
      <w:pPr>
        <w:rPr>
          <w:lang w:eastAsia="en-US"/>
        </w:rPr>
      </w:pPr>
    </w:p>
    <w:p w14:paraId="3BC451E8" w14:textId="6B17643E" w:rsidR="002C2075" w:rsidRPr="00131EED" w:rsidRDefault="002C2075" w:rsidP="002C2075">
      <w:pPr>
        <w:rPr>
          <w:rFonts w:eastAsia="Baskerville Old Face" w:cs="Baskerville Old Face"/>
        </w:rPr>
      </w:pPr>
      <w:r w:rsidRPr="00131EED">
        <w:rPr>
          <w:rFonts w:eastAsia="Baskerville Old Face" w:cs="Baskerville Old Face"/>
        </w:rPr>
        <w:t>Para la definición del ámbito y la integración de los múltiples criterios anteriormente relacionados, se aplicaron los siguientes análisis espaciale</w:t>
      </w:r>
      <w:r w:rsidR="12750E28" w:rsidRPr="00131EED">
        <w:rPr>
          <w:rFonts w:eastAsia="Baskerville Old Face" w:cs="Baskerville Old Face"/>
        </w:rPr>
        <w:t>s</w:t>
      </w:r>
      <w:r w:rsidRPr="00131EED">
        <w:rPr>
          <w:rFonts w:eastAsia="Baskerville Old Face" w:cs="Baskerville Old Face"/>
        </w:rPr>
        <w:t xml:space="preserve"> (ver </w:t>
      </w:r>
      <w:r w:rsidRPr="00131EED">
        <w:fldChar w:fldCharType="begin"/>
      </w:r>
      <w:r w:rsidRPr="00131EED">
        <w:instrText xml:space="preserve"> REF _Ref210843265 \h </w:instrText>
      </w:r>
      <w:r w:rsidRPr="00131EED">
        <w:fldChar w:fldCharType="separate"/>
      </w:r>
      <w:r w:rsidR="00CE096F" w:rsidRPr="00131EED">
        <w:t xml:space="preserve">Ilustración </w:t>
      </w:r>
      <w:r w:rsidR="00CE096F">
        <w:rPr>
          <w:noProof/>
        </w:rPr>
        <w:t>8</w:t>
      </w:r>
      <w:r w:rsidRPr="00131EED">
        <w:fldChar w:fldCharType="end"/>
      </w:r>
      <w:r w:rsidRPr="00131EED">
        <w:rPr>
          <w:rFonts w:eastAsia="Baskerville Old Face" w:cs="Baskerville Old Face"/>
        </w:rPr>
        <w:t>):</w:t>
      </w:r>
    </w:p>
    <w:p w14:paraId="28C86DD6" w14:textId="77777777" w:rsidR="002C2075" w:rsidRPr="00131EED" w:rsidRDefault="002C2075" w:rsidP="002C2075">
      <w:pPr>
        <w:rPr>
          <w:lang w:eastAsia="en-US"/>
        </w:rPr>
      </w:pPr>
    </w:p>
    <w:p w14:paraId="30D47C02" w14:textId="463CCF36" w:rsidR="000F73C3" w:rsidRPr="00131EED" w:rsidRDefault="000F73C3" w:rsidP="002C2075">
      <w:pPr>
        <w:rPr>
          <w:lang w:eastAsia="en-US"/>
        </w:rPr>
      </w:pPr>
    </w:p>
    <w:p w14:paraId="25E61AA4" w14:textId="77777777" w:rsidR="000F73C3" w:rsidRPr="00131EED" w:rsidRDefault="000F73C3" w:rsidP="002C2075">
      <w:pPr>
        <w:rPr>
          <w:lang w:eastAsia="en-US"/>
        </w:rPr>
      </w:pPr>
    </w:p>
    <w:p w14:paraId="3F47F06F" w14:textId="6CED7BCF" w:rsidR="0058200F" w:rsidRPr="00131EED" w:rsidRDefault="0058200F" w:rsidP="0058200F">
      <w:pPr>
        <w:rPr>
          <w:lang w:eastAsia="en-US"/>
        </w:rPr>
      </w:pPr>
    </w:p>
    <w:p w14:paraId="42AD17A0" w14:textId="0D30D1A0" w:rsidR="0058200F" w:rsidRPr="00131EED" w:rsidRDefault="0058200F" w:rsidP="0058200F">
      <w:pPr>
        <w:pStyle w:val="Caption"/>
        <w:jc w:val="center"/>
      </w:pPr>
      <w:bookmarkStart w:id="32" w:name="_Ref210843265"/>
      <w:bookmarkStart w:id="33" w:name="_Toc216468773"/>
      <w:r w:rsidRPr="00131EED">
        <w:t xml:space="preserve">Ilustración </w:t>
      </w:r>
      <w:fldSimple w:instr=" SEQ Ilustración \* ARABIC ">
        <w:r w:rsidR="00CE096F">
          <w:rPr>
            <w:noProof/>
          </w:rPr>
          <w:t>8</w:t>
        </w:r>
      </w:fldSimple>
      <w:bookmarkEnd w:id="32"/>
      <w:r w:rsidRPr="00131EED">
        <w:t>. Criterios para la definición del ámbito de la Sabana de Bogotá.</w:t>
      </w:r>
      <w:bookmarkEnd w:id="33"/>
      <w:r w:rsidRPr="00131EED">
        <w:t xml:space="preserve"> </w:t>
      </w:r>
    </w:p>
    <w:p w14:paraId="6DB3972D" w14:textId="7CCD3E5C" w:rsidR="0058200F" w:rsidRPr="00131EED" w:rsidRDefault="0058200F" w:rsidP="0058200F">
      <w:pPr>
        <w:rPr>
          <w:lang w:eastAsia="en-US"/>
        </w:rPr>
      </w:pPr>
    </w:p>
    <w:p w14:paraId="7DACA67A" w14:textId="2737EEEB" w:rsidR="001D486A" w:rsidRPr="00131EED" w:rsidRDefault="0096025E" w:rsidP="001D486A">
      <w:pPr>
        <w:keepNext/>
      </w:pPr>
      <w:r w:rsidRPr="00131EED">
        <w:rPr>
          <w:noProof/>
          <w:lang w:eastAsia="en-US"/>
        </w:rPr>
        <w:drawing>
          <wp:inline distT="0" distB="0" distL="0" distR="0" wp14:anchorId="51E40369" wp14:editId="7A5C273B">
            <wp:extent cx="5486400" cy="3200400"/>
            <wp:effectExtent l="0" t="0" r="0" b="12700"/>
            <wp:docPr id="999180272"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14:paraId="394238DB" w14:textId="6626C4F1" w:rsidR="78806C41" w:rsidRPr="00131EED" w:rsidRDefault="78806C41" w:rsidP="78806C41">
      <w:pPr>
        <w:jc w:val="center"/>
        <w:rPr>
          <w:sz w:val="20"/>
          <w:szCs w:val="20"/>
        </w:rPr>
      </w:pPr>
    </w:p>
    <w:p w14:paraId="365BA404" w14:textId="77777777" w:rsidR="00C14C03" w:rsidRPr="00131EED" w:rsidRDefault="00C14C03" w:rsidP="00C14C03">
      <w:pPr>
        <w:jc w:val="center"/>
        <w:rPr>
          <w:sz w:val="20"/>
          <w:szCs w:val="20"/>
        </w:rPr>
      </w:pPr>
      <w:r w:rsidRPr="00131EED">
        <w:rPr>
          <w:sz w:val="20"/>
          <w:szCs w:val="20"/>
        </w:rPr>
        <w:t>Fuente: MinAmbiente, 2025.</w:t>
      </w:r>
    </w:p>
    <w:p w14:paraId="74B00591" w14:textId="77777777" w:rsidR="00C14C03" w:rsidRPr="00131EED" w:rsidRDefault="00C14C03" w:rsidP="00C14C03">
      <w:pPr>
        <w:pStyle w:val="ListParagraph"/>
        <w:rPr>
          <w:rFonts w:eastAsia="Times New Roman" w:cs="Times New Roman"/>
          <w:sz w:val="24"/>
          <w:szCs w:val="24"/>
          <w:highlight w:val="yellow"/>
          <w:lang w:eastAsia="es-MX"/>
        </w:rPr>
      </w:pPr>
    </w:p>
    <w:p w14:paraId="03044D27" w14:textId="36F07FA8" w:rsidR="002B76AB" w:rsidRPr="00131EED" w:rsidRDefault="00D8461F" w:rsidP="00410194">
      <w:pPr>
        <w:pStyle w:val="ListParagraph"/>
        <w:numPr>
          <w:ilvl w:val="0"/>
          <w:numId w:val="5"/>
        </w:numPr>
        <w:rPr>
          <w:rFonts w:eastAsia="Baskerville Old Face" w:cs="Baskerville Old Face"/>
          <w:sz w:val="24"/>
          <w:szCs w:val="24"/>
        </w:rPr>
      </w:pPr>
      <w:r w:rsidRPr="00131EED">
        <w:rPr>
          <w:rFonts w:eastAsia="Baskerville Old Face" w:cs="Baskerville Old Face"/>
          <w:sz w:val="24"/>
          <w:szCs w:val="24"/>
        </w:rPr>
        <w:t>Hacen parte del ámbito</w:t>
      </w:r>
      <w:r w:rsidR="00D6623E" w:rsidRPr="00131EED">
        <w:rPr>
          <w:rFonts w:eastAsia="Baskerville Old Face" w:cs="Baskerville Old Face"/>
          <w:sz w:val="24"/>
          <w:szCs w:val="24"/>
        </w:rPr>
        <w:t xml:space="preserve"> propuest</w:t>
      </w:r>
      <w:r w:rsidR="00F16782" w:rsidRPr="00131EED">
        <w:rPr>
          <w:rFonts w:eastAsia="Baskerville Old Face" w:cs="Baskerville Old Face"/>
          <w:sz w:val="24"/>
          <w:szCs w:val="24"/>
        </w:rPr>
        <w:t>o</w:t>
      </w:r>
      <w:r w:rsidRPr="00131EED">
        <w:rPr>
          <w:rFonts w:eastAsia="Baskerville Old Face" w:cs="Baskerville Old Face"/>
          <w:sz w:val="24"/>
          <w:szCs w:val="24"/>
        </w:rPr>
        <w:t xml:space="preserve"> </w:t>
      </w:r>
      <w:r w:rsidR="00D6623E" w:rsidRPr="00131EED">
        <w:rPr>
          <w:rFonts w:eastAsia="Baskerville Old Face" w:cs="Baskerville Old Face"/>
          <w:sz w:val="24"/>
          <w:szCs w:val="24"/>
        </w:rPr>
        <w:t xml:space="preserve">todos los municipios que </w:t>
      </w:r>
      <w:r w:rsidR="00F3704F" w:rsidRPr="00131EED">
        <w:rPr>
          <w:rFonts w:eastAsia="Baskerville Old Face" w:cs="Baskerville Old Face"/>
          <w:sz w:val="24"/>
          <w:szCs w:val="24"/>
        </w:rPr>
        <w:t xml:space="preserve">al interior de </w:t>
      </w:r>
      <w:r w:rsidR="00D6623E" w:rsidRPr="00131EED">
        <w:rPr>
          <w:rFonts w:eastAsia="Baskerville Old Face" w:cs="Baskerville Old Face"/>
          <w:sz w:val="24"/>
          <w:szCs w:val="24"/>
        </w:rPr>
        <w:t xml:space="preserve">la cuenca alta y media de conformidad </w:t>
      </w:r>
      <w:r w:rsidR="00B75C8C" w:rsidRPr="00131EED">
        <w:rPr>
          <w:rFonts w:eastAsia="Baskerville Old Face" w:cs="Baskerville Old Face"/>
          <w:sz w:val="24"/>
          <w:szCs w:val="24"/>
        </w:rPr>
        <w:t>con la Resolución No 0957 de 02 de abril de 2019</w:t>
      </w:r>
      <w:r w:rsidR="002B76AB" w:rsidRPr="00131EED">
        <w:rPr>
          <w:rFonts w:eastAsia="Baskerville Old Face" w:cs="Baskerville Old Face"/>
          <w:sz w:val="24"/>
          <w:szCs w:val="24"/>
        </w:rPr>
        <w:t xml:space="preserve"> </w:t>
      </w:r>
      <w:r w:rsidR="005A594A" w:rsidRPr="00131EED">
        <w:rPr>
          <w:rFonts w:eastAsia="Baskerville Old Face" w:cs="Baskerville Old Face"/>
          <w:sz w:val="24"/>
          <w:szCs w:val="24"/>
        </w:rPr>
        <w:t>y que</w:t>
      </w:r>
      <w:r w:rsidR="007A1C98" w:rsidRPr="00131EED">
        <w:rPr>
          <w:rFonts w:eastAsia="Baskerville Old Face" w:cs="Baskerville Old Face"/>
          <w:sz w:val="24"/>
          <w:szCs w:val="24"/>
        </w:rPr>
        <w:t xml:space="preserve"> a la vez</w:t>
      </w:r>
      <w:r w:rsidR="005A594A" w:rsidRPr="00131EED">
        <w:rPr>
          <w:rFonts w:eastAsia="Baskerville Old Face" w:cs="Baskerville Old Face"/>
          <w:sz w:val="24"/>
          <w:szCs w:val="24"/>
        </w:rPr>
        <w:t xml:space="preserve"> conforman el ámbito de aplicación de la Resolución 2001 del 2016</w:t>
      </w:r>
      <w:r w:rsidR="00094A62" w:rsidRPr="00131EED">
        <w:rPr>
          <w:rFonts w:eastAsia="Baskerville Old Face" w:cs="Baskerville Old Face"/>
          <w:sz w:val="24"/>
          <w:szCs w:val="24"/>
        </w:rPr>
        <w:t>.</w:t>
      </w:r>
    </w:p>
    <w:p w14:paraId="626C881F" w14:textId="0804CC1E" w:rsidR="00D8461F" w:rsidRPr="00131EED" w:rsidRDefault="007A1C98" w:rsidP="00410194">
      <w:pPr>
        <w:pStyle w:val="ListParagraph"/>
        <w:numPr>
          <w:ilvl w:val="0"/>
          <w:numId w:val="5"/>
        </w:numPr>
        <w:rPr>
          <w:rFonts w:eastAsia="Baskerville Old Face" w:cs="Baskerville Old Face"/>
          <w:sz w:val="24"/>
          <w:szCs w:val="24"/>
        </w:rPr>
      </w:pPr>
      <w:r w:rsidRPr="00131EED">
        <w:rPr>
          <w:rFonts w:eastAsia="Baskerville Old Face" w:cs="Baskerville Old Face"/>
          <w:sz w:val="24"/>
          <w:szCs w:val="24"/>
        </w:rPr>
        <w:t>En el caso de los municipios que se encuentren parcialmente dentro de las resoluciones anteriormente señaladas</w:t>
      </w:r>
      <w:r w:rsidR="009564B9" w:rsidRPr="00131EED">
        <w:rPr>
          <w:rFonts w:eastAsia="Baskerville Old Face" w:cs="Baskerville Old Face"/>
          <w:sz w:val="24"/>
          <w:szCs w:val="24"/>
        </w:rPr>
        <w:t xml:space="preserve">, se conservaran las </w:t>
      </w:r>
      <w:r w:rsidR="006B2962" w:rsidRPr="00131EED">
        <w:rPr>
          <w:rFonts w:eastAsia="Baskerville Old Face" w:cs="Baskerville Old Face"/>
          <w:sz w:val="24"/>
          <w:szCs w:val="24"/>
        </w:rPr>
        <w:t>divisiones cartográficas que cumplan con el inciso anterior, así mismo</w:t>
      </w:r>
      <w:r w:rsidR="00B377F1" w:rsidRPr="00131EED">
        <w:rPr>
          <w:rFonts w:eastAsia="Baskerville Old Face" w:cs="Baskerville Old Face"/>
          <w:sz w:val="24"/>
          <w:szCs w:val="24"/>
        </w:rPr>
        <w:t xml:space="preserve"> al sur </w:t>
      </w:r>
      <w:r w:rsidR="006B2962" w:rsidRPr="00131EED">
        <w:rPr>
          <w:rFonts w:eastAsia="Baskerville Old Face" w:cs="Baskerville Old Face"/>
          <w:sz w:val="24"/>
          <w:szCs w:val="24"/>
        </w:rPr>
        <w:t>del ámbito, primará el</w:t>
      </w:r>
      <w:r w:rsidR="009564B9" w:rsidRPr="00131EED">
        <w:rPr>
          <w:rFonts w:eastAsia="Baskerville Old Face" w:cs="Baskerville Old Face"/>
          <w:sz w:val="24"/>
          <w:szCs w:val="24"/>
        </w:rPr>
        <w:t xml:space="preserve"> </w:t>
      </w:r>
      <w:r w:rsidR="006B2962" w:rsidRPr="00131EED">
        <w:rPr>
          <w:rFonts w:eastAsia="Baskerville Old Face" w:cs="Baskerville Old Face"/>
          <w:sz w:val="24"/>
          <w:szCs w:val="24"/>
        </w:rPr>
        <w:t>límite</w:t>
      </w:r>
      <w:r w:rsidR="009564B9" w:rsidRPr="00131EED">
        <w:rPr>
          <w:rFonts w:eastAsia="Baskerville Old Face" w:cs="Baskerville Old Face"/>
          <w:sz w:val="24"/>
          <w:szCs w:val="24"/>
        </w:rPr>
        <w:t xml:space="preserve"> divisorio entre la cuenca media y baja.</w:t>
      </w:r>
    </w:p>
    <w:p w14:paraId="6055B162" w14:textId="7428A5AD" w:rsidR="78806C41" w:rsidRPr="00131EED" w:rsidRDefault="00A0149C" w:rsidP="00410194">
      <w:pPr>
        <w:pStyle w:val="ListParagraph"/>
        <w:numPr>
          <w:ilvl w:val="0"/>
          <w:numId w:val="5"/>
        </w:numPr>
        <w:rPr>
          <w:rFonts w:eastAsia="Baskerville Old Face" w:cs="Baskerville Old Face"/>
          <w:sz w:val="24"/>
          <w:szCs w:val="24"/>
        </w:rPr>
      </w:pPr>
      <w:r w:rsidRPr="00131EED">
        <w:rPr>
          <w:rFonts w:eastAsia="Baskerville Old Face"/>
          <w:sz w:val="24"/>
          <w:szCs w:val="24"/>
        </w:rPr>
        <w:t>Dado que la Resolución 20</w:t>
      </w:r>
      <w:r w:rsidR="00CB498B" w:rsidRPr="00131EED">
        <w:rPr>
          <w:rFonts w:eastAsia="Baskerville Old Face"/>
          <w:sz w:val="24"/>
          <w:szCs w:val="24"/>
        </w:rPr>
        <w:t>0</w:t>
      </w:r>
      <w:r w:rsidRPr="00131EED">
        <w:rPr>
          <w:rFonts w:eastAsia="Baskerville Old Face"/>
          <w:sz w:val="24"/>
          <w:szCs w:val="24"/>
        </w:rPr>
        <w:t>1 del 2016 sigue vigente, s</w:t>
      </w:r>
      <w:r w:rsidR="00094A62" w:rsidRPr="00131EED">
        <w:rPr>
          <w:rFonts w:eastAsia="Baskerville Old Face"/>
          <w:sz w:val="24"/>
          <w:szCs w:val="24"/>
        </w:rPr>
        <w:t>e incluirán</w:t>
      </w:r>
      <w:r w:rsidRPr="00131EED">
        <w:rPr>
          <w:rFonts w:eastAsia="Baskerville Old Face"/>
          <w:sz w:val="24"/>
          <w:szCs w:val="24"/>
        </w:rPr>
        <w:t xml:space="preserve"> también al ámbito de </w:t>
      </w:r>
      <w:r w:rsidR="00985AD9" w:rsidRPr="00131EED">
        <w:rPr>
          <w:rFonts w:eastAsia="Baskerville Old Face"/>
          <w:sz w:val="24"/>
          <w:szCs w:val="24"/>
        </w:rPr>
        <w:t>aplicación</w:t>
      </w:r>
      <w:r w:rsidR="00094A62" w:rsidRPr="00131EED">
        <w:rPr>
          <w:rFonts w:eastAsia="Baskerville Old Face"/>
          <w:sz w:val="24"/>
          <w:szCs w:val="24"/>
        </w:rPr>
        <w:t xml:space="preserve"> los polígonos mineros que se encuentren </w:t>
      </w:r>
      <w:r w:rsidR="007B2B89" w:rsidRPr="00131EED">
        <w:rPr>
          <w:rFonts w:eastAsia="Baskerville Old Face"/>
          <w:sz w:val="24"/>
          <w:szCs w:val="24"/>
        </w:rPr>
        <w:t xml:space="preserve">parcialmente </w:t>
      </w:r>
      <w:r w:rsidR="00094A62" w:rsidRPr="00131EED">
        <w:rPr>
          <w:rFonts w:eastAsia="Baskerville Old Face"/>
          <w:sz w:val="24"/>
          <w:szCs w:val="24"/>
        </w:rPr>
        <w:t xml:space="preserve">por fuera </w:t>
      </w:r>
      <w:r w:rsidR="00BB7944" w:rsidRPr="00131EED">
        <w:rPr>
          <w:rFonts w:eastAsia="Baskerville Old Face"/>
          <w:sz w:val="24"/>
          <w:szCs w:val="24"/>
        </w:rPr>
        <w:t xml:space="preserve">de la cuenca alta y media del </w:t>
      </w:r>
      <w:r w:rsidR="007B2B89" w:rsidRPr="00131EED">
        <w:rPr>
          <w:rFonts w:eastAsia="Baskerville Old Face"/>
          <w:sz w:val="24"/>
          <w:szCs w:val="24"/>
        </w:rPr>
        <w:t>Rio Bogotá</w:t>
      </w:r>
      <w:r w:rsidR="00BB7944" w:rsidRPr="00131EED">
        <w:rPr>
          <w:rFonts w:eastAsia="Baskerville Old Face"/>
          <w:sz w:val="24"/>
          <w:szCs w:val="24"/>
        </w:rPr>
        <w:t xml:space="preserve"> y que se encuentren definidos por la Resolución 2001 del 2016</w:t>
      </w:r>
      <w:r w:rsidR="00985AD9" w:rsidRPr="00131EED">
        <w:rPr>
          <w:rFonts w:eastAsia="Baskerville Old Face"/>
          <w:sz w:val="24"/>
          <w:szCs w:val="24"/>
        </w:rPr>
        <w:t xml:space="preserve">, lo que para el ámbito implica </w:t>
      </w:r>
      <w:r w:rsidR="00781377" w:rsidRPr="00131EED">
        <w:rPr>
          <w:rFonts w:eastAsia="Baskerville Old Face"/>
          <w:sz w:val="24"/>
          <w:szCs w:val="24"/>
        </w:rPr>
        <w:t xml:space="preserve">129 ha + 8665 mt2 </w:t>
      </w:r>
      <w:r w:rsidR="00AF47BE" w:rsidRPr="00131EED">
        <w:rPr>
          <w:rFonts w:eastAsia="Baskerville Old Face"/>
          <w:sz w:val="24"/>
          <w:szCs w:val="24"/>
        </w:rPr>
        <w:t xml:space="preserve">fuera </w:t>
      </w:r>
      <w:r w:rsidR="00FC5100" w:rsidRPr="00131EED">
        <w:rPr>
          <w:rFonts w:eastAsia="Baskerville Old Face"/>
          <w:sz w:val="24"/>
          <w:szCs w:val="24"/>
        </w:rPr>
        <w:t>de la cuenca alta y media</w:t>
      </w:r>
      <w:r w:rsidR="00EE76C7" w:rsidRPr="00131EED">
        <w:rPr>
          <w:rFonts w:eastAsia="Baskerville Old Face"/>
          <w:sz w:val="24"/>
          <w:szCs w:val="24"/>
        </w:rPr>
        <w:t xml:space="preserve">, distribuidas en dos segmentos, uno al sur oriente del ámbito que hace parte del polígono ID6 y otro </w:t>
      </w:r>
      <w:r w:rsidR="00E90B0B" w:rsidRPr="00131EED">
        <w:rPr>
          <w:rFonts w:eastAsia="Baskerville Old Face"/>
          <w:sz w:val="24"/>
          <w:szCs w:val="24"/>
        </w:rPr>
        <w:t xml:space="preserve">segmento </w:t>
      </w:r>
      <w:r w:rsidR="00EE76C7" w:rsidRPr="00131EED">
        <w:rPr>
          <w:rFonts w:eastAsia="Baskerville Old Face"/>
          <w:sz w:val="24"/>
          <w:szCs w:val="24"/>
        </w:rPr>
        <w:t xml:space="preserve">al norte </w:t>
      </w:r>
      <w:r w:rsidR="00E90B0B" w:rsidRPr="00131EED">
        <w:rPr>
          <w:rFonts w:eastAsia="Baskerville Old Face"/>
          <w:sz w:val="24"/>
          <w:szCs w:val="24"/>
        </w:rPr>
        <w:t>del polígono identificado</w:t>
      </w:r>
      <w:r w:rsidR="00EE76C7" w:rsidRPr="00131EED">
        <w:rPr>
          <w:rFonts w:eastAsia="Baskerville Old Face"/>
          <w:sz w:val="24"/>
          <w:szCs w:val="24"/>
        </w:rPr>
        <w:t xml:space="preserve"> como ID13</w:t>
      </w:r>
      <w:r w:rsidR="002032C2" w:rsidRPr="00131EED">
        <w:rPr>
          <w:rFonts w:eastAsia="Baskerville Old Face"/>
          <w:sz w:val="24"/>
          <w:szCs w:val="24"/>
        </w:rPr>
        <w:t xml:space="preserve">, como se observa en la </w:t>
      </w:r>
      <w:bookmarkStart w:id="34" w:name="_Ref210843341"/>
      <w:r w:rsidR="000F73C3" w:rsidRPr="00131EED">
        <w:rPr>
          <w:rFonts w:eastAsia="Baskerville Old Face"/>
          <w:sz w:val="24"/>
          <w:szCs w:val="24"/>
        </w:rPr>
        <w:fldChar w:fldCharType="begin"/>
      </w:r>
      <w:r w:rsidR="000F73C3" w:rsidRPr="00131EED">
        <w:rPr>
          <w:rFonts w:eastAsia="Baskerville Old Face"/>
          <w:sz w:val="24"/>
          <w:szCs w:val="24"/>
        </w:rPr>
        <w:instrText xml:space="preserve"> REF _Ref210907064 \h </w:instrText>
      </w:r>
      <w:r w:rsidR="002024BD" w:rsidRPr="00131EED">
        <w:rPr>
          <w:rFonts w:eastAsia="Baskerville Old Face"/>
          <w:sz w:val="24"/>
          <w:szCs w:val="24"/>
        </w:rPr>
        <w:instrText xml:space="preserve"> \* MERGEFORMAT </w:instrText>
      </w:r>
      <w:r w:rsidR="000F73C3" w:rsidRPr="00131EED">
        <w:rPr>
          <w:rFonts w:eastAsia="Baskerville Old Face"/>
          <w:sz w:val="24"/>
          <w:szCs w:val="24"/>
        </w:rPr>
      </w:r>
      <w:r w:rsidR="000F73C3" w:rsidRPr="00131EED">
        <w:rPr>
          <w:rFonts w:eastAsia="Baskerville Old Face"/>
          <w:sz w:val="24"/>
          <w:szCs w:val="24"/>
        </w:rPr>
        <w:fldChar w:fldCharType="separate"/>
      </w:r>
      <w:r w:rsidR="00CE096F" w:rsidRPr="00CE096F">
        <w:rPr>
          <w:sz w:val="24"/>
          <w:szCs w:val="24"/>
        </w:rPr>
        <w:t>Ilustración 9</w:t>
      </w:r>
      <w:r w:rsidR="000F73C3" w:rsidRPr="00131EED">
        <w:rPr>
          <w:rFonts w:eastAsia="Baskerville Old Face"/>
          <w:sz w:val="24"/>
          <w:szCs w:val="24"/>
        </w:rPr>
        <w:fldChar w:fldCharType="end"/>
      </w:r>
    </w:p>
    <w:p w14:paraId="39A04EAC" w14:textId="2408A4CA" w:rsidR="000F73C3" w:rsidRPr="00131EED" w:rsidRDefault="000F73C3" w:rsidP="000F73C3">
      <w:pPr>
        <w:rPr>
          <w:lang w:eastAsia="en-US"/>
        </w:rPr>
      </w:pPr>
    </w:p>
    <w:p w14:paraId="7AA6B0D2" w14:textId="4C2D3036" w:rsidR="000F73C3" w:rsidRPr="00131EED" w:rsidRDefault="000F73C3" w:rsidP="000F73C3">
      <w:pPr>
        <w:rPr>
          <w:lang w:eastAsia="en-US"/>
        </w:rPr>
      </w:pPr>
    </w:p>
    <w:p w14:paraId="7C9F77B5" w14:textId="61396477" w:rsidR="000F73C3" w:rsidRPr="00131EED" w:rsidRDefault="000F73C3" w:rsidP="000F73C3">
      <w:pPr>
        <w:rPr>
          <w:lang w:eastAsia="en-US"/>
        </w:rPr>
      </w:pPr>
    </w:p>
    <w:p w14:paraId="71D003AB" w14:textId="77777777" w:rsidR="000F73C3" w:rsidRPr="00131EED" w:rsidRDefault="000F73C3" w:rsidP="000F73C3">
      <w:pPr>
        <w:rPr>
          <w:lang w:eastAsia="en-US"/>
        </w:rPr>
      </w:pPr>
    </w:p>
    <w:p w14:paraId="5E38C5DB" w14:textId="2D52AFE9" w:rsidR="00377EBB" w:rsidRPr="00131EED" w:rsidRDefault="00376395" w:rsidP="001B34D9">
      <w:pPr>
        <w:pStyle w:val="Caption"/>
        <w:jc w:val="center"/>
      </w:pPr>
      <w:bookmarkStart w:id="35" w:name="_Ref210907064"/>
      <w:bookmarkStart w:id="36" w:name="_Toc216468774"/>
      <w:r w:rsidRPr="00131EED">
        <w:t xml:space="preserve">Ilustración </w:t>
      </w:r>
      <w:r w:rsidRPr="00131EED">
        <w:fldChar w:fldCharType="begin"/>
      </w:r>
      <w:r w:rsidRPr="00131EED">
        <w:instrText>SEQ Ilustración \* ARABIC</w:instrText>
      </w:r>
      <w:r w:rsidRPr="00131EED">
        <w:fldChar w:fldCharType="separate"/>
      </w:r>
      <w:r w:rsidR="00CE096F">
        <w:rPr>
          <w:noProof/>
        </w:rPr>
        <w:t>9</w:t>
      </w:r>
      <w:r w:rsidRPr="00131EED">
        <w:fldChar w:fldCharType="end"/>
      </w:r>
      <w:bookmarkEnd w:id="34"/>
      <w:bookmarkEnd w:id="35"/>
      <w:r w:rsidR="002032C2" w:rsidRPr="00131EED">
        <w:t xml:space="preserve"> Polígonos de la resolución 2001 de 2016, que se encuentran parcialmente incluidos dentro de la Cuenca del Río Bogotá</w:t>
      </w:r>
      <w:bookmarkEnd w:id="36"/>
    </w:p>
    <w:tbl>
      <w:tblPr>
        <w:tblStyle w:val="TableGrid"/>
        <w:tblW w:w="0" w:type="auto"/>
        <w:tblInd w:w="720" w:type="dxa"/>
        <w:tblLook w:val="04A0" w:firstRow="1" w:lastRow="0" w:firstColumn="1" w:lastColumn="0" w:noHBand="0" w:noVBand="1"/>
      </w:tblPr>
      <w:tblGrid>
        <w:gridCol w:w="3759"/>
        <w:gridCol w:w="4349"/>
      </w:tblGrid>
      <w:tr w:rsidR="00F711B7" w:rsidRPr="00131EED" w14:paraId="6708C806" w14:textId="77777777" w:rsidTr="00053167">
        <w:trPr>
          <w:trHeight w:val="3630"/>
        </w:trPr>
        <w:tc>
          <w:tcPr>
            <w:tcW w:w="3759" w:type="dxa"/>
            <w:vAlign w:val="center"/>
          </w:tcPr>
          <w:p w14:paraId="6EB33E41" w14:textId="77777777" w:rsidR="00674B90" w:rsidRPr="00131EED" w:rsidRDefault="00674B90" w:rsidP="006845C5">
            <w:pPr>
              <w:pStyle w:val="ListParagraph"/>
              <w:ind w:left="0"/>
              <w:jc w:val="center"/>
            </w:pPr>
            <w:r w:rsidRPr="00131EED">
              <w:rPr>
                <w:noProof/>
              </w:rPr>
              <w:drawing>
                <wp:inline distT="0" distB="0" distL="0" distR="0" wp14:anchorId="546428F6" wp14:editId="4F74EEC5">
                  <wp:extent cx="1285172" cy="2608575"/>
                  <wp:effectExtent l="0" t="0" r="0" b="0"/>
                  <wp:docPr id="20289154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915472" name=""/>
                          <pic:cNvPicPr/>
                        </pic:nvPicPr>
                        <pic:blipFill>
                          <a:blip r:embed="rId39"/>
                          <a:stretch>
                            <a:fillRect/>
                          </a:stretch>
                        </pic:blipFill>
                        <pic:spPr>
                          <a:xfrm>
                            <a:off x="0" y="0"/>
                            <a:ext cx="1285172" cy="2608575"/>
                          </a:xfrm>
                          <a:prstGeom prst="rect">
                            <a:avLst/>
                          </a:prstGeom>
                        </pic:spPr>
                      </pic:pic>
                    </a:graphicData>
                  </a:graphic>
                </wp:inline>
              </w:drawing>
            </w:r>
          </w:p>
          <w:p w14:paraId="52587672" w14:textId="694188C2" w:rsidR="00674B90" w:rsidRPr="00131EED" w:rsidRDefault="008A5B8E" w:rsidP="006845C5">
            <w:pPr>
              <w:pStyle w:val="ListParagraph"/>
              <w:ind w:left="0"/>
              <w:jc w:val="center"/>
            </w:pPr>
            <w:r w:rsidRPr="00131EED">
              <w:t>Poligono 6 – ID6</w:t>
            </w:r>
          </w:p>
        </w:tc>
        <w:tc>
          <w:tcPr>
            <w:tcW w:w="4349" w:type="dxa"/>
            <w:vAlign w:val="center"/>
          </w:tcPr>
          <w:p w14:paraId="1D5DB3C7" w14:textId="77777777" w:rsidR="00674B90" w:rsidRPr="00131EED" w:rsidRDefault="00F711B7" w:rsidP="006845C5">
            <w:pPr>
              <w:pStyle w:val="ListParagraph"/>
              <w:ind w:left="0"/>
              <w:jc w:val="center"/>
            </w:pPr>
            <w:r w:rsidRPr="00131EED">
              <w:rPr>
                <w:noProof/>
              </w:rPr>
              <w:drawing>
                <wp:inline distT="0" distB="0" distL="0" distR="0" wp14:anchorId="1887E385" wp14:editId="12104E5D">
                  <wp:extent cx="2529707" cy="1058201"/>
                  <wp:effectExtent l="0" t="0" r="0" b="0"/>
                  <wp:docPr id="11459990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999073" name=""/>
                          <pic:cNvPicPr/>
                        </pic:nvPicPr>
                        <pic:blipFill>
                          <a:blip r:embed="rId40"/>
                          <a:stretch>
                            <a:fillRect/>
                          </a:stretch>
                        </pic:blipFill>
                        <pic:spPr>
                          <a:xfrm>
                            <a:off x="0" y="0"/>
                            <a:ext cx="2529707" cy="1058201"/>
                          </a:xfrm>
                          <a:prstGeom prst="rect">
                            <a:avLst/>
                          </a:prstGeom>
                        </pic:spPr>
                      </pic:pic>
                    </a:graphicData>
                  </a:graphic>
                </wp:inline>
              </w:drawing>
            </w:r>
          </w:p>
          <w:p w14:paraId="26C4CD68" w14:textId="6D8B34E6" w:rsidR="00674B90" w:rsidRPr="00131EED" w:rsidRDefault="008A5B8E" w:rsidP="006845C5">
            <w:pPr>
              <w:pStyle w:val="ListParagraph"/>
              <w:ind w:left="0"/>
              <w:jc w:val="center"/>
            </w:pPr>
            <w:r w:rsidRPr="00131EED">
              <w:t xml:space="preserve">Poligono </w:t>
            </w:r>
            <w:r w:rsidR="009A2E60" w:rsidRPr="00131EED">
              <w:t>13 – ID13</w:t>
            </w:r>
          </w:p>
        </w:tc>
      </w:tr>
    </w:tbl>
    <w:p w14:paraId="1631D62E" w14:textId="77777777" w:rsidR="00D145A8" w:rsidRPr="00131EED" w:rsidRDefault="00D145A8" w:rsidP="00C14C03">
      <w:pPr>
        <w:jc w:val="center"/>
        <w:rPr>
          <w:sz w:val="20"/>
          <w:szCs w:val="20"/>
        </w:rPr>
      </w:pPr>
    </w:p>
    <w:p w14:paraId="4DADF071" w14:textId="449FCA6C" w:rsidR="00C14C03" w:rsidRPr="00131EED" w:rsidRDefault="00C14C03" w:rsidP="00C14C03">
      <w:pPr>
        <w:jc w:val="center"/>
        <w:rPr>
          <w:sz w:val="20"/>
          <w:szCs w:val="20"/>
        </w:rPr>
      </w:pPr>
      <w:r w:rsidRPr="00131EED">
        <w:rPr>
          <w:sz w:val="20"/>
          <w:szCs w:val="20"/>
        </w:rPr>
        <w:t>Fuente: MinAmbiente, 2025.</w:t>
      </w:r>
    </w:p>
    <w:p w14:paraId="501B79F0" w14:textId="77777777" w:rsidR="00C14C03" w:rsidRPr="00131EED" w:rsidRDefault="00C14C03" w:rsidP="006845C5">
      <w:pPr>
        <w:pStyle w:val="ListParagraph"/>
        <w:rPr>
          <w:highlight w:val="yellow"/>
        </w:rPr>
      </w:pPr>
    </w:p>
    <w:p w14:paraId="5C1F070C" w14:textId="3327FE27" w:rsidR="00E31FE6" w:rsidRPr="00131EED" w:rsidRDefault="00E31FE6" w:rsidP="00665EDC">
      <w:pPr>
        <w:pStyle w:val="ListParagraph"/>
        <w:rPr>
          <w:sz w:val="24"/>
          <w:szCs w:val="24"/>
        </w:rPr>
      </w:pPr>
      <w:r w:rsidRPr="00131EED">
        <w:rPr>
          <w:sz w:val="24"/>
          <w:szCs w:val="24"/>
        </w:rPr>
        <w:t xml:space="preserve">Se verifica que al interior del ámbito se </w:t>
      </w:r>
      <w:r w:rsidR="00012F0F" w:rsidRPr="00131EED">
        <w:rPr>
          <w:sz w:val="24"/>
          <w:szCs w:val="24"/>
        </w:rPr>
        <w:t>encuentren</w:t>
      </w:r>
      <w:r w:rsidRPr="00131EED">
        <w:rPr>
          <w:sz w:val="24"/>
          <w:szCs w:val="24"/>
        </w:rPr>
        <w:t xml:space="preserve"> los demás elementos </w:t>
      </w:r>
      <w:r w:rsidR="00012F0F" w:rsidRPr="00131EED">
        <w:rPr>
          <w:sz w:val="24"/>
          <w:szCs w:val="24"/>
        </w:rPr>
        <w:t xml:space="preserve">declarados por el </w:t>
      </w:r>
      <w:r w:rsidR="00746B6C" w:rsidRPr="00131EED">
        <w:rPr>
          <w:sz w:val="24"/>
          <w:szCs w:val="24"/>
        </w:rPr>
        <w:t>artículo</w:t>
      </w:r>
      <w:r w:rsidR="00012F0F" w:rsidRPr="00131EED">
        <w:rPr>
          <w:sz w:val="24"/>
          <w:szCs w:val="24"/>
        </w:rPr>
        <w:t xml:space="preserve"> 61 de la ley 99 de 1993 </w:t>
      </w:r>
      <w:r w:rsidR="001C0B9C" w:rsidRPr="00131EED">
        <w:rPr>
          <w:sz w:val="24"/>
          <w:szCs w:val="24"/>
        </w:rPr>
        <w:t>“sus páramos, aguas, valles aledaños, cerros circundantes y sistemas montañosos como de interés ecológico nacional, cuya destinación prioritaria será la agropecuaria y forestal”</w:t>
      </w:r>
      <w:r w:rsidR="00DD51A1" w:rsidRPr="00131EED">
        <w:rPr>
          <w:sz w:val="24"/>
          <w:szCs w:val="24"/>
        </w:rPr>
        <w:t>.</w:t>
      </w:r>
      <w:r w:rsidR="00B30010" w:rsidRPr="00131EED">
        <w:rPr>
          <w:sz w:val="24"/>
          <w:szCs w:val="24"/>
        </w:rPr>
        <w:t xml:space="preserve"> </w:t>
      </w:r>
    </w:p>
    <w:p w14:paraId="3A3D1711" w14:textId="77777777" w:rsidR="00E90B0B" w:rsidRPr="00131EED" w:rsidRDefault="00E90B0B" w:rsidP="00E90B0B">
      <w:pPr>
        <w:pStyle w:val="ListParagraph"/>
        <w:rPr>
          <w:sz w:val="24"/>
          <w:szCs w:val="24"/>
        </w:rPr>
      </w:pPr>
    </w:p>
    <w:p w14:paraId="3583BDD0" w14:textId="14180972" w:rsidR="00E90B0B" w:rsidRPr="00131EED" w:rsidRDefault="00E90B0B" w:rsidP="00E90B0B">
      <w:pPr>
        <w:pStyle w:val="ListParagraph"/>
        <w:rPr>
          <w:sz w:val="24"/>
          <w:szCs w:val="24"/>
        </w:rPr>
      </w:pPr>
      <w:r w:rsidRPr="00131EED">
        <w:rPr>
          <w:sz w:val="24"/>
          <w:szCs w:val="24"/>
        </w:rPr>
        <w:t>Dentro de estos factores de verificación a continuación se enlistan los Páramos que hacen parte del ámbito:</w:t>
      </w:r>
    </w:p>
    <w:p w14:paraId="062B8171" w14:textId="151AAE3A" w:rsidR="00A54272" w:rsidRPr="00131EED" w:rsidRDefault="00A54272" w:rsidP="006845C5">
      <w:pPr>
        <w:pStyle w:val="Caption"/>
        <w:keepNext/>
        <w:jc w:val="center"/>
      </w:pPr>
      <w:bookmarkStart w:id="37" w:name="_Ref211330624"/>
      <w:bookmarkStart w:id="38" w:name="_Toc216468912"/>
      <w:r w:rsidRPr="00131EED">
        <w:t xml:space="preserve">Tabla </w:t>
      </w:r>
      <w:r w:rsidRPr="00131EED">
        <w:fldChar w:fldCharType="begin"/>
      </w:r>
      <w:r w:rsidRPr="00131EED">
        <w:instrText>SEQ Tabla \* ARABIC</w:instrText>
      </w:r>
      <w:r w:rsidRPr="00131EED">
        <w:fldChar w:fldCharType="separate"/>
      </w:r>
      <w:r w:rsidR="00CE096F">
        <w:rPr>
          <w:noProof/>
        </w:rPr>
        <w:t>2</w:t>
      </w:r>
      <w:r w:rsidRPr="00131EED">
        <w:fldChar w:fldCharType="end"/>
      </w:r>
      <w:bookmarkEnd w:id="37"/>
      <w:r w:rsidRPr="00131EED">
        <w:t>. Listado de Páramos al interior del ámbito propuesto de la Sabana de Bogotá.</w:t>
      </w:r>
      <w:bookmarkEnd w:id="38"/>
    </w:p>
    <w:tbl>
      <w:tblPr>
        <w:tblW w:w="8990" w:type="dxa"/>
        <w:tblLook w:val="04A0" w:firstRow="1" w:lastRow="0" w:firstColumn="1" w:lastColumn="0" w:noHBand="0" w:noVBand="1"/>
      </w:tblPr>
      <w:tblGrid>
        <w:gridCol w:w="1680"/>
        <w:gridCol w:w="780"/>
        <w:gridCol w:w="2520"/>
        <w:gridCol w:w="1455"/>
        <w:gridCol w:w="1340"/>
        <w:gridCol w:w="1215"/>
      </w:tblGrid>
      <w:tr w:rsidR="00F3704F" w:rsidRPr="00131EED" w14:paraId="2E27D8F1" w14:textId="77777777" w:rsidTr="00053167">
        <w:trPr>
          <w:trHeight w:val="233"/>
          <w:tblHeader/>
        </w:trPr>
        <w:tc>
          <w:tcPr>
            <w:tcW w:w="1680" w:type="dxa"/>
            <w:tcBorders>
              <w:top w:val="single" w:sz="4" w:space="0" w:color="auto"/>
              <w:left w:val="single" w:sz="4" w:space="0" w:color="auto"/>
              <w:bottom w:val="single" w:sz="4" w:space="0" w:color="auto"/>
              <w:right w:val="single" w:sz="4" w:space="0" w:color="auto"/>
            </w:tcBorders>
            <w:vAlign w:val="center"/>
            <w:hideMark/>
          </w:tcPr>
          <w:p w14:paraId="46915A0C" w14:textId="77777777" w:rsidR="00F3704F" w:rsidRPr="00131EED" w:rsidRDefault="00F3704F" w:rsidP="00A804D4">
            <w:pPr>
              <w:jc w:val="center"/>
              <w:rPr>
                <w:b/>
                <w:color w:val="000000"/>
                <w:sz w:val="20"/>
                <w:szCs w:val="20"/>
              </w:rPr>
            </w:pPr>
            <w:r w:rsidRPr="00131EED">
              <w:rPr>
                <w:b/>
                <w:color w:val="000000"/>
                <w:sz w:val="20"/>
                <w:szCs w:val="20"/>
              </w:rPr>
              <w:t>Páramo</w:t>
            </w:r>
          </w:p>
        </w:tc>
        <w:tc>
          <w:tcPr>
            <w:tcW w:w="780" w:type="dxa"/>
            <w:tcBorders>
              <w:top w:val="single" w:sz="4" w:space="0" w:color="auto"/>
              <w:left w:val="nil"/>
              <w:bottom w:val="single" w:sz="4" w:space="0" w:color="auto"/>
              <w:right w:val="single" w:sz="4" w:space="0" w:color="auto"/>
            </w:tcBorders>
            <w:vAlign w:val="center"/>
            <w:hideMark/>
          </w:tcPr>
          <w:p w14:paraId="5138586C" w14:textId="77777777" w:rsidR="00F3704F" w:rsidRPr="00131EED" w:rsidRDefault="00F3704F" w:rsidP="00A804D4">
            <w:pPr>
              <w:jc w:val="center"/>
              <w:rPr>
                <w:b/>
                <w:color w:val="000000"/>
                <w:sz w:val="20"/>
                <w:szCs w:val="20"/>
              </w:rPr>
            </w:pPr>
            <w:r w:rsidRPr="00131EED">
              <w:rPr>
                <w:b/>
                <w:color w:val="000000"/>
                <w:sz w:val="20"/>
                <w:szCs w:val="20"/>
              </w:rPr>
              <w:t>Escala</w:t>
            </w:r>
          </w:p>
        </w:tc>
        <w:tc>
          <w:tcPr>
            <w:tcW w:w="2520" w:type="dxa"/>
            <w:tcBorders>
              <w:top w:val="single" w:sz="4" w:space="0" w:color="auto"/>
              <w:left w:val="nil"/>
              <w:bottom w:val="single" w:sz="4" w:space="0" w:color="auto"/>
              <w:right w:val="single" w:sz="4" w:space="0" w:color="auto"/>
            </w:tcBorders>
            <w:vAlign w:val="center"/>
            <w:hideMark/>
          </w:tcPr>
          <w:p w14:paraId="79A50DCF" w14:textId="77777777" w:rsidR="00F3704F" w:rsidRPr="00131EED" w:rsidRDefault="00F3704F" w:rsidP="00A804D4">
            <w:pPr>
              <w:jc w:val="center"/>
              <w:rPr>
                <w:b/>
                <w:color w:val="000000"/>
                <w:sz w:val="20"/>
                <w:szCs w:val="20"/>
              </w:rPr>
            </w:pPr>
            <w:r w:rsidRPr="00131EED">
              <w:rPr>
                <w:b/>
                <w:color w:val="000000"/>
                <w:sz w:val="20"/>
                <w:szCs w:val="20"/>
              </w:rPr>
              <w:t>Acto Administrativo</w:t>
            </w:r>
          </w:p>
        </w:tc>
        <w:tc>
          <w:tcPr>
            <w:tcW w:w="1455" w:type="dxa"/>
            <w:tcBorders>
              <w:top w:val="single" w:sz="4" w:space="0" w:color="auto"/>
              <w:left w:val="nil"/>
              <w:bottom w:val="single" w:sz="4" w:space="0" w:color="auto"/>
              <w:right w:val="single" w:sz="4" w:space="0" w:color="auto"/>
            </w:tcBorders>
            <w:vAlign w:val="center"/>
            <w:hideMark/>
          </w:tcPr>
          <w:p w14:paraId="4C0FB197" w14:textId="77777777" w:rsidR="00F3704F" w:rsidRPr="00131EED" w:rsidRDefault="00F3704F" w:rsidP="00A804D4">
            <w:pPr>
              <w:jc w:val="center"/>
              <w:rPr>
                <w:b/>
                <w:color w:val="000000"/>
                <w:sz w:val="20"/>
                <w:szCs w:val="20"/>
              </w:rPr>
            </w:pPr>
            <w:r w:rsidRPr="00131EED">
              <w:rPr>
                <w:b/>
                <w:color w:val="000000"/>
                <w:sz w:val="20"/>
                <w:szCs w:val="20"/>
              </w:rPr>
              <w:t>Área dentro del Ámbito (ha)</w:t>
            </w:r>
          </w:p>
        </w:tc>
        <w:tc>
          <w:tcPr>
            <w:tcW w:w="1340" w:type="dxa"/>
            <w:tcBorders>
              <w:top w:val="single" w:sz="4" w:space="0" w:color="auto"/>
              <w:left w:val="nil"/>
              <w:bottom w:val="single" w:sz="4" w:space="0" w:color="auto"/>
              <w:right w:val="single" w:sz="4" w:space="0" w:color="auto"/>
            </w:tcBorders>
            <w:vAlign w:val="center"/>
            <w:hideMark/>
          </w:tcPr>
          <w:p w14:paraId="111CBD35" w14:textId="77777777" w:rsidR="00F3704F" w:rsidRPr="00131EED" w:rsidRDefault="00F3704F" w:rsidP="00A804D4">
            <w:pPr>
              <w:jc w:val="center"/>
              <w:rPr>
                <w:b/>
                <w:color w:val="000000"/>
                <w:sz w:val="20"/>
                <w:szCs w:val="20"/>
              </w:rPr>
            </w:pPr>
            <w:r w:rsidRPr="00131EED">
              <w:rPr>
                <w:b/>
                <w:color w:val="000000"/>
                <w:sz w:val="20"/>
                <w:szCs w:val="20"/>
              </w:rPr>
              <w:t>Área del Páramo (ha)</w:t>
            </w:r>
          </w:p>
        </w:tc>
        <w:tc>
          <w:tcPr>
            <w:tcW w:w="1215" w:type="dxa"/>
            <w:tcBorders>
              <w:top w:val="single" w:sz="4" w:space="0" w:color="auto"/>
              <w:left w:val="nil"/>
              <w:bottom w:val="single" w:sz="4" w:space="0" w:color="auto"/>
              <w:right w:val="single" w:sz="4" w:space="0" w:color="auto"/>
            </w:tcBorders>
            <w:vAlign w:val="center"/>
            <w:hideMark/>
          </w:tcPr>
          <w:p w14:paraId="16935B72" w14:textId="77777777" w:rsidR="00F3704F" w:rsidRPr="00131EED" w:rsidRDefault="00F3704F" w:rsidP="00A804D4">
            <w:pPr>
              <w:jc w:val="center"/>
              <w:rPr>
                <w:b/>
                <w:color w:val="000000"/>
                <w:sz w:val="20"/>
                <w:szCs w:val="20"/>
              </w:rPr>
            </w:pPr>
            <w:r w:rsidRPr="00131EED">
              <w:rPr>
                <w:b/>
                <w:color w:val="000000"/>
                <w:sz w:val="20"/>
                <w:szCs w:val="20"/>
              </w:rPr>
              <w:t>Porcentaje</w:t>
            </w:r>
          </w:p>
        </w:tc>
      </w:tr>
      <w:tr w:rsidR="00F3704F" w:rsidRPr="00131EED" w14:paraId="7FAFCB08" w14:textId="77777777" w:rsidTr="00053167">
        <w:trPr>
          <w:trHeight w:val="58"/>
        </w:trPr>
        <w:tc>
          <w:tcPr>
            <w:tcW w:w="1680" w:type="dxa"/>
            <w:tcBorders>
              <w:top w:val="nil"/>
              <w:left w:val="single" w:sz="4" w:space="0" w:color="auto"/>
              <w:bottom w:val="single" w:sz="4" w:space="0" w:color="auto"/>
              <w:right w:val="single" w:sz="4" w:space="0" w:color="auto"/>
            </w:tcBorders>
            <w:vAlign w:val="center"/>
            <w:hideMark/>
          </w:tcPr>
          <w:p w14:paraId="49BA55B0" w14:textId="77777777" w:rsidR="00F3704F" w:rsidRPr="00131EED" w:rsidRDefault="00F3704F" w:rsidP="00A804D4">
            <w:pPr>
              <w:jc w:val="center"/>
              <w:rPr>
                <w:color w:val="000000"/>
                <w:sz w:val="20"/>
                <w:szCs w:val="20"/>
              </w:rPr>
            </w:pPr>
            <w:r w:rsidRPr="00131EED">
              <w:rPr>
                <w:color w:val="000000"/>
                <w:sz w:val="20"/>
                <w:szCs w:val="20"/>
              </w:rPr>
              <w:t>Cruz Verde - Sumapaz</w:t>
            </w:r>
          </w:p>
        </w:tc>
        <w:tc>
          <w:tcPr>
            <w:tcW w:w="780" w:type="dxa"/>
            <w:tcBorders>
              <w:top w:val="nil"/>
              <w:left w:val="nil"/>
              <w:bottom w:val="single" w:sz="4" w:space="0" w:color="auto"/>
              <w:right w:val="single" w:sz="4" w:space="0" w:color="auto"/>
            </w:tcBorders>
            <w:vAlign w:val="center"/>
            <w:hideMark/>
          </w:tcPr>
          <w:p w14:paraId="0C762D5D" w14:textId="77777777" w:rsidR="00F3704F" w:rsidRPr="00131EED" w:rsidRDefault="00F3704F" w:rsidP="00A804D4">
            <w:pPr>
              <w:jc w:val="center"/>
              <w:rPr>
                <w:color w:val="000000"/>
                <w:sz w:val="20"/>
                <w:szCs w:val="20"/>
              </w:rPr>
            </w:pPr>
            <w:r w:rsidRPr="00131EED">
              <w:rPr>
                <w:color w:val="000000"/>
                <w:sz w:val="20"/>
                <w:szCs w:val="20"/>
              </w:rPr>
              <w:t>25</w:t>
            </w:r>
          </w:p>
        </w:tc>
        <w:tc>
          <w:tcPr>
            <w:tcW w:w="2520" w:type="dxa"/>
            <w:tcBorders>
              <w:top w:val="nil"/>
              <w:left w:val="nil"/>
              <w:bottom w:val="single" w:sz="4" w:space="0" w:color="auto"/>
              <w:right w:val="single" w:sz="4" w:space="0" w:color="auto"/>
            </w:tcBorders>
            <w:vAlign w:val="center"/>
            <w:hideMark/>
          </w:tcPr>
          <w:p w14:paraId="2CB6F5E5" w14:textId="77777777" w:rsidR="00F3704F" w:rsidRPr="00131EED" w:rsidRDefault="00F3704F" w:rsidP="00A804D4">
            <w:pPr>
              <w:jc w:val="center"/>
              <w:rPr>
                <w:color w:val="000000"/>
                <w:sz w:val="20"/>
                <w:szCs w:val="20"/>
              </w:rPr>
            </w:pPr>
            <w:r w:rsidRPr="00131EED">
              <w:rPr>
                <w:color w:val="000000"/>
                <w:sz w:val="20"/>
                <w:szCs w:val="20"/>
              </w:rPr>
              <w:t>Resolución No. 1434 de Julio 14 de 2017</w:t>
            </w:r>
          </w:p>
        </w:tc>
        <w:tc>
          <w:tcPr>
            <w:tcW w:w="1455" w:type="dxa"/>
            <w:tcBorders>
              <w:top w:val="nil"/>
              <w:left w:val="nil"/>
              <w:bottom w:val="single" w:sz="4" w:space="0" w:color="auto"/>
              <w:right w:val="single" w:sz="4" w:space="0" w:color="auto"/>
            </w:tcBorders>
            <w:vAlign w:val="center"/>
            <w:hideMark/>
          </w:tcPr>
          <w:p w14:paraId="02041302" w14:textId="0C2C3D51" w:rsidR="00F3704F" w:rsidRPr="00131EED" w:rsidRDefault="00F3704F" w:rsidP="00A804D4">
            <w:pPr>
              <w:jc w:val="center"/>
              <w:rPr>
                <w:color w:val="000000"/>
                <w:sz w:val="20"/>
                <w:szCs w:val="20"/>
              </w:rPr>
            </w:pPr>
            <w:r w:rsidRPr="00131EED">
              <w:rPr>
                <w:color w:val="000000"/>
                <w:sz w:val="20"/>
                <w:szCs w:val="20"/>
              </w:rPr>
              <w:t>26</w:t>
            </w:r>
            <w:r w:rsidR="00007CDA" w:rsidRPr="00131EED">
              <w:rPr>
                <w:color w:val="000000"/>
                <w:sz w:val="20"/>
                <w:szCs w:val="20"/>
              </w:rPr>
              <w:t>.</w:t>
            </w:r>
            <w:r w:rsidRPr="00131EED">
              <w:rPr>
                <w:color w:val="000000"/>
                <w:sz w:val="20"/>
                <w:szCs w:val="20"/>
              </w:rPr>
              <w:t>287.8</w:t>
            </w:r>
            <w:r w:rsidR="00007CDA" w:rsidRPr="00131EED">
              <w:rPr>
                <w:color w:val="000000"/>
                <w:sz w:val="20"/>
                <w:szCs w:val="20"/>
              </w:rPr>
              <w:t>8</w:t>
            </w:r>
          </w:p>
        </w:tc>
        <w:tc>
          <w:tcPr>
            <w:tcW w:w="1340" w:type="dxa"/>
            <w:tcBorders>
              <w:top w:val="nil"/>
              <w:left w:val="nil"/>
              <w:bottom w:val="single" w:sz="4" w:space="0" w:color="auto"/>
              <w:right w:val="single" w:sz="4" w:space="0" w:color="auto"/>
            </w:tcBorders>
            <w:vAlign w:val="center"/>
            <w:hideMark/>
          </w:tcPr>
          <w:p w14:paraId="7159EBC5" w14:textId="4B0F702D" w:rsidR="00F3704F" w:rsidRPr="00131EED" w:rsidRDefault="00F3704F" w:rsidP="00A804D4">
            <w:pPr>
              <w:jc w:val="center"/>
              <w:rPr>
                <w:color w:val="000000"/>
                <w:sz w:val="20"/>
                <w:szCs w:val="20"/>
              </w:rPr>
            </w:pPr>
            <w:r w:rsidRPr="00131EED">
              <w:rPr>
                <w:color w:val="000000"/>
                <w:sz w:val="20"/>
                <w:szCs w:val="20"/>
              </w:rPr>
              <w:t>314</w:t>
            </w:r>
            <w:r w:rsidR="00007CDA" w:rsidRPr="00131EED">
              <w:rPr>
                <w:color w:val="000000"/>
                <w:sz w:val="20"/>
                <w:szCs w:val="20"/>
              </w:rPr>
              <w:t>.</w:t>
            </w:r>
            <w:r w:rsidRPr="00131EED">
              <w:rPr>
                <w:color w:val="000000"/>
                <w:sz w:val="20"/>
                <w:szCs w:val="20"/>
              </w:rPr>
              <w:t>706.9</w:t>
            </w:r>
          </w:p>
        </w:tc>
        <w:tc>
          <w:tcPr>
            <w:tcW w:w="1215" w:type="dxa"/>
            <w:tcBorders>
              <w:top w:val="nil"/>
              <w:left w:val="nil"/>
              <w:bottom w:val="single" w:sz="4" w:space="0" w:color="auto"/>
              <w:right w:val="single" w:sz="4" w:space="0" w:color="auto"/>
            </w:tcBorders>
            <w:vAlign w:val="center"/>
            <w:hideMark/>
          </w:tcPr>
          <w:p w14:paraId="21B6DFAE" w14:textId="77777777" w:rsidR="00F3704F" w:rsidRPr="00131EED" w:rsidRDefault="00F3704F" w:rsidP="00A804D4">
            <w:pPr>
              <w:jc w:val="center"/>
              <w:rPr>
                <w:color w:val="000000"/>
                <w:sz w:val="20"/>
                <w:szCs w:val="20"/>
              </w:rPr>
            </w:pPr>
            <w:r w:rsidRPr="00131EED">
              <w:rPr>
                <w:color w:val="000000"/>
                <w:sz w:val="20"/>
                <w:szCs w:val="20"/>
              </w:rPr>
              <w:t>8.35%</w:t>
            </w:r>
          </w:p>
        </w:tc>
      </w:tr>
      <w:tr w:rsidR="00F3704F" w:rsidRPr="00131EED" w14:paraId="61B33175" w14:textId="77777777" w:rsidTr="00053167">
        <w:trPr>
          <w:trHeight w:val="62"/>
        </w:trPr>
        <w:tc>
          <w:tcPr>
            <w:tcW w:w="1680" w:type="dxa"/>
            <w:tcBorders>
              <w:top w:val="nil"/>
              <w:left w:val="single" w:sz="4" w:space="0" w:color="auto"/>
              <w:bottom w:val="single" w:sz="4" w:space="0" w:color="auto"/>
              <w:right w:val="single" w:sz="4" w:space="0" w:color="auto"/>
            </w:tcBorders>
            <w:vAlign w:val="center"/>
            <w:hideMark/>
          </w:tcPr>
          <w:p w14:paraId="160CF449" w14:textId="77777777" w:rsidR="00F3704F" w:rsidRPr="00131EED" w:rsidRDefault="00F3704F" w:rsidP="00A804D4">
            <w:pPr>
              <w:jc w:val="center"/>
              <w:rPr>
                <w:color w:val="000000"/>
                <w:sz w:val="20"/>
                <w:szCs w:val="20"/>
              </w:rPr>
            </w:pPr>
            <w:r w:rsidRPr="00131EED">
              <w:rPr>
                <w:color w:val="000000"/>
                <w:sz w:val="20"/>
                <w:szCs w:val="20"/>
              </w:rPr>
              <w:t>Rabanal y río Bogotá</w:t>
            </w:r>
          </w:p>
        </w:tc>
        <w:tc>
          <w:tcPr>
            <w:tcW w:w="780" w:type="dxa"/>
            <w:tcBorders>
              <w:top w:val="nil"/>
              <w:left w:val="nil"/>
              <w:bottom w:val="single" w:sz="4" w:space="0" w:color="auto"/>
              <w:right w:val="single" w:sz="4" w:space="0" w:color="auto"/>
            </w:tcBorders>
            <w:vAlign w:val="center"/>
            <w:hideMark/>
          </w:tcPr>
          <w:p w14:paraId="0A044A19" w14:textId="77777777" w:rsidR="00F3704F" w:rsidRPr="00131EED" w:rsidRDefault="00F3704F" w:rsidP="00A804D4">
            <w:pPr>
              <w:jc w:val="center"/>
              <w:rPr>
                <w:color w:val="000000"/>
                <w:sz w:val="20"/>
                <w:szCs w:val="20"/>
              </w:rPr>
            </w:pPr>
            <w:r w:rsidRPr="00131EED">
              <w:rPr>
                <w:color w:val="000000"/>
                <w:sz w:val="20"/>
                <w:szCs w:val="20"/>
              </w:rPr>
              <w:t>100</w:t>
            </w:r>
          </w:p>
        </w:tc>
        <w:tc>
          <w:tcPr>
            <w:tcW w:w="2520" w:type="dxa"/>
            <w:tcBorders>
              <w:top w:val="nil"/>
              <w:left w:val="nil"/>
              <w:bottom w:val="single" w:sz="4" w:space="0" w:color="auto"/>
              <w:right w:val="single" w:sz="4" w:space="0" w:color="auto"/>
            </w:tcBorders>
            <w:vAlign w:val="center"/>
            <w:hideMark/>
          </w:tcPr>
          <w:p w14:paraId="619B4FB0" w14:textId="51F10B57" w:rsidR="00F3704F" w:rsidRPr="00131EED" w:rsidRDefault="00F3704F" w:rsidP="00A804D4">
            <w:pPr>
              <w:jc w:val="center"/>
              <w:rPr>
                <w:color w:val="000000"/>
                <w:sz w:val="20"/>
                <w:szCs w:val="20"/>
              </w:rPr>
            </w:pPr>
            <w:r w:rsidRPr="00131EED">
              <w:rPr>
                <w:color w:val="000000"/>
                <w:sz w:val="20"/>
                <w:szCs w:val="20"/>
              </w:rPr>
              <w:t xml:space="preserve">Resolución No. 1768 de </w:t>
            </w:r>
            <w:r w:rsidR="00BD474D" w:rsidRPr="00131EED">
              <w:rPr>
                <w:color w:val="000000"/>
                <w:sz w:val="20"/>
                <w:szCs w:val="20"/>
              </w:rPr>
              <w:t>octubre</w:t>
            </w:r>
            <w:r w:rsidRPr="00131EED">
              <w:rPr>
                <w:color w:val="000000"/>
                <w:sz w:val="20"/>
                <w:szCs w:val="20"/>
              </w:rPr>
              <w:t xml:space="preserve"> 28 de 2016</w:t>
            </w:r>
          </w:p>
        </w:tc>
        <w:tc>
          <w:tcPr>
            <w:tcW w:w="1455" w:type="dxa"/>
            <w:tcBorders>
              <w:top w:val="nil"/>
              <w:left w:val="nil"/>
              <w:bottom w:val="single" w:sz="4" w:space="0" w:color="auto"/>
              <w:right w:val="single" w:sz="4" w:space="0" w:color="auto"/>
            </w:tcBorders>
            <w:vAlign w:val="center"/>
            <w:hideMark/>
          </w:tcPr>
          <w:p w14:paraId="1E4CEC08" w14:textId="547FB0BB" w:rsidR="00F3704F" w:rsidRPr="00131EED" w:rsidRDefault="00F3704F" w:rsidP="00A804D4">
            <w:pPr>
              <w:jc w:val="center"/>
              <w:rPr>
                <w:color w:val="000000"/>
                <w:sz w:val="20"/>
                <w:szCs w:val="20"/>
              </w:rPr>
            </w:pPr>
            <w:r w:rsidRPr="00131EED">
              <w:rPr>
                <w:color w:val="000000"/>
                <w:sz w:val="20"/>
                <w:szCs w:val="20"/>
              </w:rPr>
              <w:t>4</w:t>
            </w:r>
            <w:r w:rsidR="00007CDA" w:rsidRPr="00131EED">
              <w:rPr>
                <w:color w:val="000000"/>
                <w:sz w:val="20"/>
                <w:szCs w:val="20"/>
              </w:rPr>
              <w:t>.</w:t>
            </w:r>
            <w:r w:rsidRPr="00131EED">
              <w:rPr>
                <w:color w:val="000000"/>
                <w:sz w:val="20"/>
                <w:szCs w:val="20"/>
              </w:rPr>
              <w:t>921.48</w:t>
            </w:r>
          </w:p>
        </w:tc>
        <w:tc>
          <w:tcPr>
            <w:tcW w:w="1340" w:type="dxa"/>
            <w:tcBorders>
              <w:top w:val="nil"/>
              <w:left w:val="nil"/>
              <w:bottom w:val="single" w:sz="4" w:space="0" w:color="auto"/>
              <w:right w:val="single" w:sz="4" w:space="0" w:color="auto"/>
            </w:tcBorders>
            <w:vAlign w:val="center"/>
            <w:hideMark/>
          </w:tcPr>
          <w:p w14:paraId="0807A143" w14:textId="601D56A6" w:rsidR="00F3704F" w:rsidRPr="00131EED" w:rsidRDefault="00F3704F" w:rsidP="00A804D4">
            <w:pPr>
              <w:jc w:val="center"/>
              <w:rPr>
                <w:color w:val="000000"/>
                <w:sz w:val="20"/>
                <w:szCs w:val="20"/>
              </w:rPr>
            </w:pPr>
            <w:r w:rsidRPr="00131EED">
              <w:rPr>
                <w:color w:val="000000"/>
                <w:sz w:val="20"/>
                <w:szCs w:val="20"/>
              </w:rPr>
              <w:t>24</w:t>
            </w:r>
            <w:r w:rsidR="00007CDA" w:rsidRPr="00131EED">
              <w:rPr>
                <w:color w:val="000000"/>
                <w:sz w:val="20"/>
                <w:szCs w:val="20"/>
              </w:rPr>
              <w:t>.611.06</w:t>
            </w:r>
          </w:p>
        </w:tc>
        <w:tc>
          <w:tcPr>
            <w:tcW w:w="1215" w:type="dxa"/>
            <w:tcBorders>
              <w:top w:val="nil"/>
              <w:left w:val="nil"/>
              <w:bottom w:val="single" w:sz="4" w:space="0" w:color="auto"/>
              <w:right w:val="single" w:sz="4" w:space="0" w:color="auto"/>
            </w:tcBorders>
            <w:vAlign w:val="center"/>
            <w:hideMark/>
          </w:tcPr>
          <w:p w14:paraId="27C23D37" w14:textId="77777777" w:rsidR="00F3704F" w:rsidRPr="00131EED" w:rsidRDefault="00F3704F" w:rsidP="00A804D4">
            <w:pPr>
              <w:jc w:val="center"/>
              <w:rPr>
                <w:color w:val="000000"/>
                <w:sz w:val="20"/>
                <w:szCs w:val="20"/>
              </w:rPr>
            </w:pPr>
            <w:r w:rsidRPr="00131EED">
              <w:rPr>
                <w:color w:val="000000"/>
                <w:sz w:val="20"/>
                <w:szCs w:val="20"/>
              </w:rPr>
              <w:t>20.00%</w:t>
            </w:r>
          </w:p>
        </w:tc>
      </w:tr>
      <w:tr w:rsidR="00F3704F" w:rsidRPr="00131EED" w14:paraId="1E17D366" w14:textId="77777777" w:rsidTr="00053167">
        <w:trPr>
          <w:trHeight w:val="116"/>
        </w:trPr>
        <w:tc>
          <w:tcPr>
            <w:tcW w:w="1680" w:type="dxa"/>
            <w:tcBorders>
              <w:top w:val="nil"/>
              <w:left w:val="single" w:sz="4" w:space="0" w:color="auto"/>
              <w:bottom w:val="single" w:sz="4" w:space="0" w:color="auto"/>
              <w:right w:val="single" w:sz="4" w:space="0" w:color="auto"/>
            </w:tcBorders>
            <w:vAlign w:val="center"/>
            <w:hideMark/>
          </w:tcPr>
          <w:p w14:paraId="327D4479" w14:textId="77777777" w:rsidR="00F3704F" w:rsidRPr="00131EED" w:rsidRDefault="00F3704F" w:rsidP="00A804D4">
            <w:pPr>
              <w:jc w:val="center"/>
              <w:rPr>
                <w:color w:val="000000"/>
                <w:sz w:val="20"/>
                <w:szCs w:val="20"/>
              </w:rPr>
            </w:pPr>
            <w:r w:rsidRPr="00131EED">
              <w:rPr>
                <w:color w:val="000000"/>
                <w:sz w:val="20"/>
                <w:szCs w:val="20"/>
              </w:rPr>
              <w:t>Guerrero</w:t>
            </w:r>
          </w:p>
        </w:tc>
        <w:tc>
          <w:tcPr>
            <w:tcW w:w="780" w:type="dxa"/>
            <w:tcBorders>
              <w:top w:val="nil"/>
              <w:left w:val="nil"/>
              <w:bottom w:val="single" w:sz="4" w:space="0" w:color="auto"/>
              <w:right w:val="single" w:sz="4" w:space="0" w:color="auto"/>
            </w:tcBorders>
            <w:vAlign w:val="center"/>
            <w:hideMark/>
          </w:tcPr>
          <w:p w14:paraId="0AB8B02D" w14:textId="77777777" w:rsidR="00F3704F" w:rsidRPr="00131EED" w:rsidRDefault="00F3704F" w:rsidP="00A804D4">
            <w:pPr>
              <w:jc w:val="center"/>
              <w:rPr>
                <w:color w:val="000000"/>
                <w:sz w:val="20"/>
                <w:szCs w:val="20"/>
              </w:rPr>
            </w:pPr>
            <w:r w:rsidRPr="00131EED">
              <w:rPr>
                <w:color w:val="000000"/>
                <w:sz w:val="20"/>
                <w:szCs w:val="20"/>
              </w:rPr>
              <w:t>25</w:t>
            </w:r>
          </w:p>
        </w:tc>
        <w:tc>
          <w:tcPr>
            <w:tcW w:w="2520" w:type="dxa"/>
            <w:tcBorders>
              <w:top w:val="nil"/>
              <w:left w:val="nil"/>
              <w:bottom w:val="single" w:sz="4" w:space="0" w:color="auto"/>
              <w:right w:val="single" w:sz="4" w:space="0" w:color="auto"/>
            </w:tcBorders>
            <w:vAlign w:val="center"/>
            <w:hideMark/>
          </w:tcPr>
          <w:p w14:paraId="6A4B5622" w14:textId="30DCB393" w:rsidR="00F3704F" w:rsidRPr="00131EED" w:rsidRDefault="00F3704F" w:rsidP="00A804D4">
            <w:pPr>
              <w:jc w:val="center"/>
              <w:rPr>
                <w:color w:val="000000"/>
                <w:sz w:val="20"/>
                <w:szCs w:val="20"/>
              </w:rPr>
            </w:pPr>
            <w:r w:rsidRPr="00131EED">
              <w:rPr>
                <w:color w:val="000000"/>
                <w:sz w:val="20"/>
                <w:szCs w:val="20"/>
              </w:rPr>
              <w:t xml:space="preserve">Resolución No. 1769 de </w:t>
            </w:r>
            <w:r w:rsidR="00BD474D" w:rsidRPr="00131EED">
              <w:rPr>
                <w:color w:val="000000"/>
                <w:sz w:val="20"/>
                <w:szCs w:val="20"/>
              </w:rPr>
              <w:t>octubre</w:t>
            </w:r>
            <w:r w:rsidRPr="00131EED">
              <w:rPr>
                <w:color w:val="000000"/>
                <w:sz w:val="20"/>
                <w:szCs w:val="20"/>
              </w:rPr>
              <w:t xml:space="preserve"> 28 de 2016</w:t>
            </w:r>
          </w:p>
        </w:tc>
        <w:tc>
          <w:tcPr>
            <w:tcW w:w="1455" w:type="dxa"/>
            <w:tcBorders>
              <w:top w:val="nil"/>
              <w:left w:val="nil"/>
              <w:bottom w:val="single" w:sz="4" w:space="0" w:color="auto"/>
              <w:right w:val="single" w:sz="4" w:space="0" w:color="auto"/>
            </w:tcBorders>
            <w:vAlign w:val="center"/>
            <w:hideMark/>
          </w:tcPr>
          <w:p w14:paraId="6734417F" w14:textId="19A60492" w:rsidR="00F3704F" w:rsidRPr="00131EED" w:rsidRDefault="00F3704F" w:rsidP="00A804D4">
            <w:pPr>
              <w:jc w:val="center"/>
              <w:rPr>
                <w:color w:val="000000"/>
                <w:sz w:val="20"/>
                <w:szCs w:val="20"/>
              </w:rPr>
            </w:pPr>
            <w:r w:rsidRPr="00131EED">
              <w:rPr>
                <w:color w:val="000000"/>
                <w:sz w:val="20"/>
                <w:szCs w:val="20"/>
              </w:rPr>
              <w:t>19</w:t>
            </w:r>
            <w:r w:rsidR="00007CDA" w:rsidRPr="00131EED">
              <w:rPr>
                <w:color w:val="000000"/>
                <w:sz w:val="20"/>
                <w:szCs w:val="20"/>
              </w:rPr>
              <w:t>.</w:t>
            </w:r>
            <w:r w:rsidRPr="00131EED">
              <w:rPr>
                <w:color w:val="000000"/>
                <w:sz w:val="20"/>
                <w:szCs w:val="20"/>
              </w:rPr>
              <w:t>985.09</w:t>
            </w:r>
          </w:p>
        </w:tc>
        <w:tc>
          <w:tcPr>
            <w:tcW w:w="1340" w:type="dxa"/>
            <w:tcBorders>
              <w:top w:val="nil"/>
              <w:left w:val="nil"/>
              <w:bottom w:val="single" w:sz="4" w:space="0" w:color="auto"/>
              <w:right w:val="single" w:sz="4" w:space="0" w:color="auto"/>
            </w:tcBorders>
            <w:vAlign w:val="center"/>
            <w:hideMark/>
          </w:tcPr>
          <w:p w14:paraId="5AC19B99" w14:textId="042A3A65" w:rsidR="00F3704F" w:rsidRPr="00131EED" w:rsidRDefault="00007CDA" w:rsidP="00A804D4">
            <w:pPr>
              <w:jc w:val="center"/>
              <w:rPr>
                <w:color w:val="000000"/>
                <w:sz w:val="20"/>
                <w:szCs w:val="20"/>
              </w:rPr>
            </w:pPr>
            <w:r w:rsidRPr="00131EED">
              <w:rPr>
                <w:color w:val="000000"/>
                <w:sz w:val="20"/>
                <w:szCs w:val="20"/>
              </w:rPr>
              <w:t>43.172.86</w:t>
            </w:r>
          </w:p>
        </w:tc>
        <w:tc>
          <w:tcPr>
            <w:tcW w:w="1215" w:type="dxa"/>
            <w:tcBorders>
              <w:top w:val="nil"/>
              <w:left w:val="nil"/>
              <w:bottom w:val="single" w:sz="4" w:space="0" w:color="auto"/>
              <w:right w:val="single" w:sz="4" w:space="0" w:color="auto"/>
            </w:tcBorders>
            <w:vAlign w:val="center"/>
            <w:hideMark/>
          </w:tcPr>
          <w:p w14:paraId="507B1D17" w14:textId="77777777" w:rsidR="00F3704F" w:rsidRPr="00131EED" w:rsidRDefault="00F3704F" w:rsidP="00A804D4">
            <w:pPr>
              <w:jc w:val="center"/>
              <w:rPr>
                <w:color w:val="000000"/>
                <w:sz w:val="20"/>
                <w:szCs w:val="20"/>
              </w:rPr>
            </w:pPr>
            <w:r w:rsidRPr="00131EED">
              <w:rPr>
                <w:color w:val="000000"/>
                <w:sz w:val="20"/>
                <w:szCs w:val="20"/>
              </w:rPr>
              <w:t>46.29%</w:t>
            </w:r>
          </w:p>
        </w:tc>
      </w:tr>
      <w:tr w:rsidR="00F3704F" w:rsidRPr="00131EED" w14:paraId="3E36E25A" w14:textId="77777777" w:rsidTr="00053167">
        <w:trPr>
          <w:trHeight w:val="58"/>
        </w:trPr>
        <w:tc>
          <w:tcPr>
            <w:tcW w:w="1680" w:type="dxa"/>
            <w:tcBorders>
              <w:top w:val="nil"/>
              <w:left w:val="single" w:sz="4" w:space="0" w:color="auto"/>
              <w:bottom w:val="single" w:sz="4" w:space="0" w:color="auto"/>
              <w:right w:val="single" w:sz="4" w:space="0" w:color="auto"/>
            </w:tcBorders>
            <w:vAlign w:val="center"/>
            <w:hideMark/>
          </w:tcPr>
          <w:p w14:paraId="1315B3F1" w14:textId="77777777" w:rsidR="00F3704F" w:rsidRPr="00131EED" w:rsidRDefault="00F3704F" w:rsidP="00A804D4">
            <w:pPr>
              <w:jc w:val="center"/>
              <w:rPr>
                <w:color w:val="000000"/>
                <w:sz w:val="20"/>
                <w:szCs w:val="20"/>
              </w:rPr>
            </w:pPr>
            <w:r w:rsidRPr="00131EED">
              <w:rPr>
                <w:color w:val="000000"/>
                <w:sz w:val="20"/>
                <w:szCs w:val="20"/>
              </w:rPr>
              <w:t>Altiplano Cundiboyacense</w:t>
            </w:r>
          </w:p>
        </w:tc>
        <w:tc>
          <w:tcPr>
            <w:tcW w:w="780" w:type="dxa"/>
            <w:tcBorders>
              <w:top w:val="nil"/>
              <w:left w:val="nil"/>
              <w:bottom w:val="single" w:sz="4" w:space="0" w:color="auto"/>
              <w:right w:val="single" w:sz="4" w:space="0" w:color="auto"/>
            </w:tcBorders>
            <w:vAlign w:val="center"/>
            <w:hideMark/>
          </w:tcPr>
          <w:p w14:paraId="42A4EDC2" w14:textId="77777777" w:rsidR="00F3704F" w:rsidRPr="00131EED" w:rsidRDefault="00F3704F" w:rsidP="00A804D4">
            <w:pPr>
              <w:jc w:val="center"/>
              <w:rPr>
                <w:color w:val="000000"/>
                <w:sz w:val="20"/>
                <w:szCs w:val="20"/>
              </w:rPr>
            </w:pPr>
            <w:r w:rsidRPr="00131EED">
              <w:rPr>
                <w:color w:val="000000"/>
                <w:sz w:val="20"/>
                <w:szCs w:val="20"/>
              </w:rPr>
              <w:t>25</w:t>
            </w:r>
          </w:p>
        </w:tc>
        <w:tc>
          <w:tcPr>
            <w:tcW w:w="2520" w:type="dxa"/>
            <w:tcBorders>
              <w:top w:val="nil"/>
              <w:left w:val="nil"/>
              <w:bottom w:val="single" w:sz="4" w:space="0" w:color="auto"/>
              <w:right w:val="single" w:sz="4" w:space="0" w:color="auto"/>
            </w:tcBorders>
            <w:vAlign w:val="center"/>
            <w:hideMark/>
          </w:tcPr>
          <w:p w14:paraId="4C41F0B6" w14:textId="52A49670" w:rsidR="00F3704F" w:rsidRPr="00131EED" w:rsidRDefault="00F3704F" w:rsidP="00A804D4">
            <w:pPr>
              <w:jc w:val="center"/>
              <w:rPr>
                <w:color w:val="000000"/>
                <w:sz w:val="20"/>
                <w:szCs w:val="20"/>
              </w:rPr>
            </w:pPr>
            <w:r w:rsidRPr="00131EED">
              <w:rPr>
                <w:color w:val="000000"/>
                <w:sz w:val="20"/>
                <w:szCs w:val="20"/>
              </w:rPr>
              <w:t xml:space="preserve">Resolución No. 1770 de </w:t>
            </w:r>
            <w:r w:rsidR="00BD474D" w:rsidRPr="00131EED">
              <w:rPr>
                <w:color w:val="000000"/>
                <w:sz w:val="20"/>
                <w:szCs w:val="20"/>
              </w:rPr>
              <w:t>octubre</w:t>
            </w:r>
            <w:r w:rsidRPr="00131EED">
              <w:rPr>
                <w:color w:val="000000"/>
                <w:sz w:val="20"/>
                <w:szCs w:val="20"/>
              </w:rPr>
              <w:t xml:space="preserve"> 28 de 2016</w:t>
            </w:r>
          </w:p>
        </w:tc>
        <w:tc>
          <w:tcPr>
            <w:tcW w:w="1455" w:type="dxa"/>
            <w:tcBorders>
              <w:top w:val="nil"/>
              <w:left w:val="nil"/>
              <w:bottom w:val="single" w:sz="4" w:space="0" w:color="auto"/>
              <w:right w:val="single" w:sz="4" w:space="0" w:color="auto"/>
            </w:tcBorders>
            <w:vAlign w:val="center"/>
            <w:hideMark/>
          </w:tcPr>
          <w:p w14:paraId="18BC49AA" w14:textId="170389B5" w:rsidR="00F3704F" w:rsidRPr="00131EED" w:rsidRDefault="00F3704F" w:rsidP="00A804D4">
            <w:pPr>
              <w:jc w:val="center"/>
              <w:rPr>
                <w:color w:val="000000"/>
                <w:sz w:val="20"/>
                <w:szCs w:val="20"/>
              </w:rPr>
            </w:pPr>
            <w:r w:rsidRPr="00131EED">
              <w:rPr>
                <w:color w:val="000000"/>
                <w:sz w:val="20"/>
                <w:szCs w:val="20"/>
              </w:rPr>
              <w:t>1</w:t>
            </w:r>
            <w:r w:rsidR="00007CDA" w:rsidRPr="00131EED">
              <w:rPr>
                <w:color w:val="000000"/>
                <w:sz w:val="20"/>
                <w:szCs w:val="20"/>
              </w:rPr>
              <w:t>.</w:t>
            </w:r>
            <w:r w:rsidRPr="00131EED">
              <w:rPr>
                <w:color w:val="000000"/>
                <w:sz w:val="20"/>
                <w:szCs w:val="20"/>
              </w:rPr>
              <w:t>257.81</w:t>
            </w:r>
          </w:p>
        </w:tc>
        <w:tc>
          <w:tcPr>
            <w:tcW w:w="1340" w:type="dxa"/>
            <w:tcBorders>
              <w:top w:val="nil"/>
              <w:left w:val="nil"/>
              <w:bottom w:val="single" w:sz="4" w:space="0" w:color="auto"/>
              <w:right w:val="single" w:sz="4" w:space="0" w:color="auto"/>
            </w:tcBorders>
            <w:vAlign w:val="center"/>
            <w:hideMark/>
          </w:tcPr>
          <w:p w14:paraId="0A62C68B" w14:textId="019FF6E7" w:rsidR="00F3704F" w:rsidRPr="00131EED" w:rsidRDefault="00007CDA" w:rsidP="00A804D4">
            <w:pPr>
              <w:jc w:val="center"/>
              <w:rPr>
                <w:color w:val="000000"/>
                <w:sz w:val="20"/>
                <w:szCs w:val="20"/>
              </w:rPr>
            </w:pPr>
            <w:r w:rsidRPr="00131EED">
              <w:rPr>
                <w:color w:val="000000"/>
                <w:sz w:val="20"/>
                <w:szCs w:val="20"/>
              </w:rPr>
              <w:t>5.789.16</w:t>
            </w:r>
          </w:p>
        </w:tc>
        <w:tc>
          <w:tcPr>
            <w:tcW w:w="1215" w:type="dxa"/>
            <w:tcBorders>
              <w:top w:val="nil"/>
              <w:left w:val="nil"/>
              <w:bottom w:val="single" w:sz="4" w:space="0" w:color="auto"/>
              <w:right w:val="single" w:sz="4" w:space="0" w:color="auto"/>
            </w:tcBorders>
            <w:vAlign w:val="center"/>
            <w:hideMark/>
          </w:tcPr>
          <w:p w14:paraId="0A67766D" w14:textId="77777777" w:rsidR="00F3704F" w:rsidRPr="00131EED" w:rsidRDefault="00F3704F" w:rsidP="00A804D4">
            <w:pPr>
              <w:jc w:val="center"/>
              <w:rPr>
                <w:color w:val="000000"/>
                <w:sz w:val="20"/>
                <w:szCs w:val="20"/>
              </w:rPr>
            </w:pPr>
            <w:r w:rsidRPr="00131EED">
              <w:rPr>
                <w:color w:val="000000"/>
                <w:sz w:val="20"/>
                <w:szCs w:val="20"/>
              </w:rPr>
              <w:t>21.73%</w:t>
            </w:r>
          </w:p>
        </w:tc>
      </w:tr>
      <w:tr w:rsidR="00F3704F" w:rsidRPr="00131EED" w14:paraId="016470D0" w14:textId="77777777" w:rsidTr="00053167">
        <w:trPr>
          <w:trHeight w:val="58"/>
        </w:trPr>
        <w:tc>
          <w:tcPr>
            <w:tcW w:w="1680" w:type="dxa"/>
            <w:tcBorders>
              <w:top w:val="nil"/>
              <w:left w:val="single" w:sz="4" w:space="0" w:color="auto"/>
              <w:bottom w:val="single" w:sz="4" w:space="0" w:color="auto"/>
              <w:right w:val="single" w:sz="4" w:space="0" w:color="auto"/>
            </w:tcBorders>
            <w:vAlign w:val="center"/>
            <w:hideMark/>
          </w:tcPr>
          <w:p w14:paraId="5A967DB8" w14:textId="77777777" w:rsidR="00F3704F" w:rsidRPr="00131EED" w:rsidRDefault="00F3704F" w:rsidP="00A804D4">
            <w:pPr>
              <w:jc w:val="center"/>
              <w:rPr>
                <w:color w:val="000000"/>
                <w:sz w:val="20"/>
                <w:szCs w:val="20"/>
              </w:rPr>
            </w:pPr>
            <w:r w:rsidRPr="00131EED">
              <w:rPr>
                <w:color w:val="000000"/>
                <w:sz w:val="20"/>
                <w:szCs w:val="20"/>
              </w:rPr>
              <w:t>Chingaza</w:t>
            </w:r>
          </w:p>
        </w:tc>
        <w:tc>
          <w:tcPr>
            <w:tcW w:w="780" w:type="dxa"/>
            <w:tcBorders>
              <w:top w:val="nil"/>
              <w:left w:val="nil"/>
              <w:bottom w:val="single" w:sz="4" w:space="0" w:color="auto"/>
              <w:right w:val="single" w:sz="4" w:space="0" w:color="auto"/>
            </w:tcBorders>
            <w:vAlign w:val="center"/>
            <w:hideMark/>
          </w:tcPr>
          <w:p w14:paraId="5A61F2AE" w14:textId="77777777" w:rsidR="00F3704F" w:rsidRPr="00131EED" w:rsidRDefault="00F3704F" w:rsidP="00A804D4">
            <w:pPr>
              <w:jc w:val="center"/>
              <w:rPr>
                <w:color w:val="000000"/>
                <w:sz w:val="20"/>
                <w:szCs w:val="20"/>
              </w:rPr>
            </w:pPr>
            <w:r w:rsidRPr="00131EED">
              <w:rPr>
                <w:color w:val="000000"/>
                <w:sz w:val="20"/>
                <w:szCs w:val="20"/>
              </w:rPr>
              <w:t>25</w:t>
            </w:r>
          </w:p>
        </w:tc>
        <w:tc>
          <w:tcPr>
            <w:tcW w:w="2520" w:type="dxa"/>
            <w:tcBorders>
              <w:top w:val="nil"/>
              <w:left w:val="nil"/>
              <w:bottom w:val="single" w:sz="4" w:space="0" w:color="auto"/>
              <w:right w:val="single" w:sz="4" w:space="0" w:color="auto"/>
            </w:tcBorders>
            <w:vAlign w:val="center"/>
            <w:hideMark/>
          </w:tcPr>
          <w:p w14:paraId="7AA7DA32" w14:textId="2BA5DD2E" w:rsidR="00F3704F" w:rsidRPr="00131EED" w:rsidRDefault="00F3704F" w:rsidP="00A804D4">
            <w:pPr>
              <w:jc w:val="center"/>
              <w:rPr>
                <w:color w:val="000000"/>
                <w:sz w:val="20"/>
                <w:szCs w:val="20"/>
              </w:rPr>
            </w:pPr>
            <w:r w:rsidRPr="00131EED">
              <w:rPr>
                <w:color w:val="000000"/>
                <w:sz w:val="20"/>
                <w:szCs w:val="20"/>
              </w:rPr>
              <w:t xml:space="preserve">Resolución No. 710 de </w:t>
            </w:r>
            <w:r w:rsidR="00BD474D" w:rsidRPr="00131EED">
              <w:rPr>
                <w:color w:val="000000"/>
                <w:sz w:val="20"/>
                <w:szCs w:val="20"/>
              </w:rPr>
              <w:t>mayo</w:t>
            </w:r>
            <w:r w:rsidRPr="00131EED">
              <w:rPr>
                <w:color w:val="000000"/>
                <w:sz w:val="20"/>
                <w:szCs w:val="20"/>
              </w:rPr>
              <w:t xml:space="preserve"> 06 de 2016</w:t>
            </w:r>
          </w:p>
        </w:tc>
        <w:tc>
          <w:tcPr>
            <w:tcW w:w="1455" w:type="dxa"/>
            <w:tcBorders>
              <w:top w:val="nil"/>
              <w:left w:val="nil"/>
              <w:bottom w:val="single" w:sz="4" w:space="0" w:color="auto"/>
              <w:right w:val="single" w:sz="4" w:space="0" w:color="auto"/>
            </w:tcBorders>
            <w:vAlign w:val="center"/>
            <w:hideMark/>
          </w:tcPr>
          <w:p w14:paraId="146A99F7" w14:textId="14BAC6AC" w:rsidR="00F3704F" w:rsidRPr="00131EED" w:rsidRDefault="00007CDA" w:rsidP="00A804D4">
            <w:pPr>
              <w:jc w:val="center"/>
              <w:rPr>
                <w:color w:val="000000"/>
                <w:sz w:val="20"/>
                <w:szCs w:val="20"/>
              </w:rPr>
            </w:pPr>
            <w:r w:rsidRPr="00131EED">
              <w:rPr>
                <w:color w:val="000000"/>
                <w:sz w:val="20"/>
                <w:szCs w:val="20"/>
              </w:rPr>
              <w:t>13.858.05</w:t>
            </w:r>
          </w:p>
        </w:tc>
        <w:tc>
          <w:tcPr>
            <w:tcW w:w="1340" w:type="dxa"/>
            <w:tcBorders>
              <w:top w:val="nil"/>
              <w:left w:val="nil"/>
              <w:bottom w:val="single" w:sz="4" w:space="0" w:color="auto"/>
              <w:right w:val="single" w:sz="4" w:space="0" w:color="auto"/>
            </w:tcBorders>
            <w:vAlign w:val="center"/>
            <w:hideMark/>
          </w:tcPr>
          <w:p w14:paraId="58A15E7D" w14:textId="09EE7584" w:rsidR="00F3704F" w:rsidRPr="00131EED" w:rsidRDefault="00F3704F" w:rsidP="00A804D4">
            <w:pPr>
              <w:jc w:val="center"/>
              <w:rPr>
                <w:color w:val="000000"/>
                <w:sz w:val="20"/>
                <w:szCs w:val="20"/>
              </w:rPr>
            </w:pPr>
            <w:r w:rsidRPr="00131EED">
              <w:rPr>
                <w:color w:val="000000"/>
                <w:sz w:val="20"/>
                <w:szCs w:val="20"/>
              </w:rPr>
              <w:t>111</w:t>
            </w:r>
            <w:r w:rsidR="00007CDA" w:rsidRPr="00131EED">
              <w:rPr>
                <w:color w:val="000000"/>
                <w:sz w:val="20"/>
                <w:szCs w:val="20"/>
              </w:rPr>
              <w:t>.</w:t>
            </w:r>
            <w:r w:rsidRPr="00131EED">
              <w:rPr>
                <w:color w:val="000000"/>
                <w:sz w:val="20"/>
                <w:szCs w:val="20"/>
              </w:rPr>
              <w:t>502.914</w:t>
            </w:r>
          </w:p>
        </w:tc>
        <w:tc>
          <w:tcPr>
            <w:tcW w:w="1215" w:type="dxa"/>
            <w:tcBorders>
              <w:top w:val="nil"/>
              <w:left w:val="nil"/>
              <w:bottom w:val="single" w:sz="4" w:space="0" w:color="auto"/>
              <w:right w:val="single" w:sz="4" w:space="0" w:color="auto"/>
            </w:tcBorders>
            <w:vAlign w:val="center"/>
            <w:hideMark/>
          </w:tcPr>
          <w:p w14:paraId="41B2BF5F" w14:textId="77777777" w:rsidR="00F3704F" w:rsidRPr="00131EED" w:rsidRDefault="00F3704F" w:rsidP="00A804D4">
            <w:pPr>
              <w:jc w:val="center"/>
              <w:rPr>
                <w:color w:val="000000"/>
                <w:sz w:val="20"/>
                <w:szCs w:val="20"/>
              </w:rPr>
            </w:pPr>
            <w:r w:rsidRPr="00131EED">
              <w:rPr>
                <w:color w:val="000000"/>
                <w:sz w:val="20"/>
                <w:szCs w:val="20"/>
              </w:rPr>
              <w:t>12.43%</w:t>
            </w:r>
          </w:p>
        </w:tc>
      </w:tr>
    </w:tbl>
    <w:p w14:paraId="58B35365" w14:textId="77777777" w:rsidR="00665EDC" w:rsidRPr="00131EED" w:rsidRDefault="00665EDC" w:rsidP="00665EDC">
      <w:pPr>
        <w:jc w:val="center"/>
        <w:rPr>
          <w:sz w:val="20"/>
          <w:szCs w:val="20"/>
        </w:rPr>
      </w:pPr>
      <w:r w:rsidRPr="00131EED">
        <w:rPr>
          <w:sz w:val="20"/>
          <w:szCs w:val="20"/>
        </w:rPr>
        <w:t>Fuente: MinAmbiente, 2025.</w:t>
      </w:r>
    </w:p>
    <w:p w14:paraId="618120DA" w14:textId="77777777" w:rsidR="00345DAC" w:rsidRPr="00131EED" w:rsidRDefault="00345DAC" w:rsidP="00252688"/>
    <w:p w14:paraId="1EBB3B6D" w14:textId="7A5D575D" w:rsidR="00665EDC" w:rsidRPr="00131EED" w:rsidRDefault="00665EDC" w:rsidP="00665EDC">
      <w:pPr>
        <w:pStyle w:val="Caption"/>
        <w:jc w:val="center"/>
      </w:pPr>
      <w:bookmarkStart w:id="39" w:name="_Toc216468775"/>
      <w:r w:rsidRPr="00131EED">
        <w:t xml:space="preserve">Ilustración </w:t>
      </w:r>
      <w:r w:rsidRPr="00131EED">
        <w:fldChar w:fldCharType="begin"/>
      </w:r>
      <w:r w:rsidRPr="00131EED">
        <w:instrText>SEQ Ilustración \* ARABIC</w:instrText>
      </w:r>
      <w:r w:rsidRPr="00131EED">
        <w:fldChar w:fldCharType="separate"/>
      </w:r>
      <w:r w:rsidR="00CE096F">
        <w:rPr>
          <w:noProof/>
        </w:rPr>
        <w:t>10</w:t>
      </w:r>
      <w:r w:rsidRPr="00131EED">
        <w:fldChar w:fldCharType="end"/>
      </w:r>
      <w:r w:rsidRPr="00131EED">
        <w:t>. Páramos al interior del ámbito propuesto de la Sabana de Bogotá.</w:t>
      </w:r>
      <w:bookmarkEnd w:id="39"/>
    </w:p>
    <w:p w14:paraId="6735E7E8" w14:textId="54767777" w:rsidR="00A54272" w:rsidRPr="00131EED" w:rsidRDefault="6D8CEA9A" w:rsidP="00665EDC">
      <w:pPr>
        <w:pStyle w:val="ListParagraph"/>
        <w:keepNext/>
        <w:jc w:val="center"/>
      </w:pPr>
      <w:r w:rsidRPr="00131EED">
        <w:rPr>
          <w:noProof/>
        </w:rPr>
        <w:drawing>
          <wp:inline distT="0" distB="0" distL="0" distR="0" wp14:anchorId="04BBDD03" wp14:editId="1A4F06C2">
            <wp:extent cx="3260027" cy="4219575"/>
            <wp:effectExtent l="0" t="0" r="0" b="0"/>
            <wp:docPr id="13610177" name="Picture 2" descr="A map of the unit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0177" name="Picture 2" descr="A map of the united states&#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3265645" cy="4226847"/>
                    </a:xfrm>
                    <a:prstGeom prst="rect">
                      <a:avLst/>
                    </a:prstGeom>
                    <a:noFill/>
                    <a:ln>
                      <a:noFill/>
                    </a:ln>
                  </pic:spPr>
                </pic:pic>
              </a:graphicData>
            </a:graphic>
          </wp:inline>
        </w:drawing>
      </w:r>
    </w:p>
    <w:p w14:paraId="23A85124" w14:textId="77777777" w:rsidR="00665EDC" w:rsidRPr="00131EED" w:rsidRDefault="00665EDC" w:rsidP="00665EDC">
      <w:pPr>
        <w:jc w:val="center"/>
        <w:rPr>
          <w:sz w:val="20"/>
          <w:szCs w:val="20"/>
        </w:rPr>
      </w:pPr>
      <w:r w:rsidRPr="00131EED">
        <w:rPr>
          <w:sz w:val="20"/>
          <w:szCs w:val="20"/>
        </w:rPr>
        <w:t>Fuente: MinAmbiente, 2025.</w:t>
      </w:r>
    </w:p>
    <w:p w14:paraId="04CB0232" w14:textId="77777777" w:rsidR="00665EDC" w:rsidRPr="00131EED" w:rsidRDefault="00665EDC" w:rsidP="00334033"/>
    <w:p w14:paraId="1F578DB7" w14:textId="6715622D" w:rsidR="00334033" w:rsidRPr="00131EED" w:rsidRDefault="00884E24" w:rsidP="00334033">
      <w:pPr>
        <w:rPr>
          <w:color w:val="EE0000"/>
        </w:rPr>
      </w:pPr>
      <w:r w:rsidRPr="00131EED">
        <w:t>De acuerdo con lo anterior, el ámbito comprende un total de </w:t>
      </w:r>
      <w:r w:rsidR="007A784C" w:rsidRPr="00131EED">
        <w:t>427.162 ha + 6.756 m</w:t>
      </w:r>
      <w:r w:rsidR="007A784C" w:rsidRPr="00131EED">
        <w:rPr>
          <w:vertAlign w:val="superscript"/>
        </w:rPr>
        <w:t>2</w:t>
      </w:r>
      <w:r w:rsidRPr="00131EED">
        <w:t>, distribuidos en 31 municipios (de manera total o parcial). Este constituye el ámbito de aplicación de la propuesta de resolución de directrices para el ordenamiento ambiental de la Sabana de Bogotá, conformado de la siguiente manera</w:t>
      </w:r>
      <w:r w:rsidR="00D6048D" w:rsidRPr="00131EED">
        <w:t xml:space="preserve">: </w:t>
      </w:r>
    </w:p>
    <w:p w14:paraId="73115219" w14:textId="1D48FA7F" w:rsidR="41F3BF4B" w:rsidRPr="00131EED" w:rsidRDefault="41F3BF4B"/>
    <w:p w14:paraId="781D20B7" w14:textId="24BA365B" w:rsidR="41F3BF4B" w:rsidRPr="00131EED" w:rsidRDefault="00B74D14" w:rsidP="004044A3">
      <w:pPr>
        <w:pStyle w:val="Caption"/>
        <w:keepNext/>
        <w:jc w:val="center"/>
      </w:pPr>
      <w:bookmarkStart w:id="40" w:name="_Toc216468913"/>
      <w:r w:rsidRPr="00131EED">
        <w:t xml:space="preserve">Tabla </w:t>
      </w:r>
      <w:fldSimple w:instr=" SEQ Tabla \* ARABIC ">
        <w:r w:rsidR="00CE096F">
          <w:rPr>
            <w:noProof/>
          </w:rPr>
          <w:t>3</w:t>
        </w:r>
      </w:fldSimple>
      <w:r w:rsidRPr="00131EED">
        <w:t>. Municipios del ámbito de aplicación</w:t>
      </w:r>
      <w:r w:rsidR="00225F30" w:rsidRPr="00131EED">
        <w:t xml:space="preserve"> de Directrices de Sabana de Bogotá</w:t>
      </w:r>
      <w:r w:rsidRPr="00131EED">
        <w:t>.</w:t>
      </w:r>
      <w:bookmarkEnd w:id="40"/>
    </w:p>
    <w:tbl>
      <w:tblPr>
        <w:tblW w:w="7771"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2883"/>
        <w:gridCol w:w="2582"/>
        <w:gridCol w:w="2306"/>
      </w:tblGrid>
      <w:tr w:rsidR="009F4CCB" w:rsidRPr="00131EED" w14:paraId="5BAF8739" w14:textId="71DD3C76" w:rsidTr="00993614">
        <w:trPr>
          <w:trHeight w:val="116"/>
          <w:tblHeader/>
          <w:jc w:val="center"/>
        </w:trPr>
        <w:tc>
          <w:tcPr>
            <w:tcW w:w="2883" w:type="dxa"/>
            <w:hideMark/>
          </w:tcPr>
          <w:p w14:paraId="6DE12460" w14:textId="77777777" w:rsidR="009F4CCB" w:rsidRPr="00131EED" w:rsidRDefault="009F4CCB" w:rsidP="009F4CCB">
            <w:pPr>
              <w:jc w:val="center"/>
              <w:rPr>
                <w:rFonts w:cs="Calibri"/>
                <w:b/>
                <w:bCs/>
                <w:color w:val="000000"/>
                <w:sz w:val="20"/>
                <w:szCs w:val="20"/>
                <w:lang w:eastAsia="en-US"/>
              </w:rPr>
            </w:pPr>
            <w:r w:rsidRPr="00131EED">
              <w:rPr>
                <w:rFonts w:cs="Calibri"/>
                <w:b/>
                <w:bCs/>
                <w:color w:val="000000"/>
                <w:sz w:val="20"/>
                <w:szCs w:val="20"/>
                <w:lang w:eastAsia="en-US"/>
              </w:rPr>
              <w:t>Total</w:t>
            </w:r>
          </w:p>
        </w:tc>
        <w:tc>
          <w:tcPr>
            <w:tcW w:w="4888" w:type="dxa"/>
            <w:gridSpan w:val="2"/>
            <w:hideMark/>
          </w:tcPr>
          <w:p w14:paraId="4F657F31" w14:textId="31E54D49" w:rsidR="009F4CCB" w:rsidRPr="00131EED" w:rsidRDefault="009F4CCB" w:rsidP="009F4CCB">
            <w:pPr>
              <w:jc w:val="center"/>
              <w:rPr>
                <w:rFonts w:cs="Calibri"/>
                <w:b/>
                <w:bCs/>
                <w:color w:val="000000"/>
                <w:sz w:val="20"/>
                <w:szCs w:val="20"/>
                <w:lang w:eastAsia="en-US"/>
              </w:rPr>
            </w:pPr>
            <w:r w:rsidRPr="00131EED">
              <w:rPr>
                <w:rFonts w:cs="Calibri"/>
                <w:b/>
                <w:bCs/>
                <w:color w:val="000000"/>
                <w:sz w:val="20"/>
                <w:szCs w:val="20"/>
                <w:lang w:eastAsia="en-US"/>
              </w:rPr>
              <w:t>Parcial</w:t>
            </w:r>
          </w:p>
        </w:tc>
      </w:tr>
      <w:tr w:rsidR="009C466C" w:rsidRPr="00131EED" w14:paraId="12A07936" w14:textId="0516C1E4" w:rsidTr="00993614">
        <w:trPr>
          <w:trHeight w:val="2745"/>
          <w:jc w:val="center"/>
        </w:trPr>
        <w:tc>
          <w:tcPr>
            <w:tcW w:w="2883" w:type="dxa"/>
            <w:hideMark/>
          </w:tcPr>
          <w:p w14:paraId="4A793653" w14:textId="77777777" w:rsidR="009C466C" w:rsidRPr="00131EED" w:rsidRDefault="009C466C" w:rsidP="009F4CCB">
            <w:pPr>
              <w:jc w:val="center"/>
              <w:rPr>
                <w:rFonts w:cs="Calibri"/>
                <w:color w:val="000000"/>
                <w:sz w:val="20"/>
                <w:szCs w:val="20"/>
                <w:lang w:eastAsia="en-US"/>
              </w:rPr>
            </w:pPr>
            <w:r w:rsidRPr="00131EED">
              <w:rPr>
                <w:rFonts w:eastAsia="Aptos Narrow" w:cs="Aptos Narrow"/>
                <w:color w:val="000000"/>
                <w:sz w:val="20"/>
                <w:szCs w:val="20"/>
                <w:lang w:eastAsia="en-US"/>
              </w:rPr>
              <w:t>Cajicá</w:t>
            </w:r>
          </w:p>
          <w:p w14:paraId="2725DB08" w14:textId="77777777" w:rsidR="009C466C" w:rsidRPr="00131EED" w:rsidRDefault="009C466C" w:rsidP="009F4CCB">
            <w:pPr>
              <w:jc w:val="center"/>
              <w:rPr>
                <w:rFonts w:cs="Calibri"/>
                <w:color w:val="000000"/>
                <w:sz w:val="20"/>
                <w:szCs w:val="20"/>
                <w:lang w:eastAsia="en-US"/>
              </w:rPr>
            </w:pPr>
            <w:r w:rsidRPr="00131EED">
              <w:rPr>
                <w:rFonts w:eastAsia="Aptos Narrow" w:cs="Aptos Narrow"/>
                <w:color w:val="000000"/>
                <w:sz w:val="20"/>
                <w:szCs w:val="20"/>
                <w:lang w:eastAsia="en-US"/>
              </w:rPr>
              <w:t>Chía</w:t>
            </w:r>
          </w:p>
          <w:p w14:paraId="72508351" w14:textId="77777777" w:rsidR="009C466C" w:rsidRPr="00131EED" w:rsidRDefault="009C466C" w:rsidP="009F4CCB">
            <w:pPr>
              <w:jc w:val="center"/>
              <w:rPr>
                <w:rFonts w:cs="Calibri"/>
                <w:color w:val="000000"/>
                <w:sz w:val="20"/>
                <w:szCs w:val="20"/>
                <w:lang w:eastAsia="en-US"/>
              </w:rPr>
            </w:pPr>
            <w:r w:rsidRPr="00131EED">
              <w:rPr>
                <w:rFonts w:eastAsia="Aptos Narrow" w:cs="Aptos Narrow"/>
                <w:color w:val="000000"/>
                <w:sz w:val="20"/>
                <w:szCs w:val="20"/>
                <w:lang w:eastAsia="en-US"/>
              </w:rPr>
              <w:t>Cota</w:t>
            </w:r>
          </w:p>
          <w:p w14:paraId="15CAAA39" w14:textId="77777777" w:rsidR="009C466C" w:rsidRPr="00131EED" w:rsidRDefault="009C466C" w:rsidP="009F4CCB">
            <w:pPr>
              <w:jc w:val="center"/>
              <w:rPr>
                <w:rFonts w:cs="Calibri"/>
                <w:color w:val="000000"/>
                <w:sz w:val="20"/>
                <w:szCs w:val="20"/>
                <w:lang w:eastAsia="en-US"/>
              </w:rPr>
            </w:pPr>
            <w:r w:rsidRPr="00131EED">
              <w:rPr>
                <w:rFonts w:eastAsia="Aptos Narrow" w:cs="Aptos Narrow"/>
                <w:color w:val="000000"/>
                <w:sz w:val="20"/>
                <w:szCs w:val="20"/>
                <w:lang w:eastAsia="en-US"/>
              </w:rPr>
              <w:t>Funza</w:t>
            </w:r>
          </w:p>
          <w:p w14:paraId="1AF1007C" w14:textId="77777777" w:rsidR="009C466C" w:rsidRPr="00131EED" w:rsidRDefault="009C466C" w:rsidP="009F4CCB">
            <w:pPr>
              <w:jc w:val="center"/>
              <w:rPr>
                <w:rFonts w:cs="Calibri"/>
                <w:color w:val="000000"/>
                <w:sz w:val="20"/>
                <w:szCs w:val="20"/>
                <w:lang w:eastAsia="en-US"/>
              </w:rPr>
            </w:pPr>
            <w:r w:rsidRPr="00131EED">
              <w:rPr>
                <w:rFonts w:eastAsia="Aptos Narrow" w:cs="Aptos Narrow"/>
                <w:color w:val="000000"/>
                <w:sz w:val="20"/>
                <w:szCs w:val="20"/>
                <w:lang w:eastAsia="en-US"/>
              </w:rPr>
              <w:t>Gachancipá</w:t>
            </w:r>
          </w:p>
          <w:p w14:paraId="2AAC5C3B" w14:textId="77777777" w:rsidR="009C466C" w:rsidRPr="00131EED" w:rsidRDefault="009C466C" w:rsidP="009F4CCB">
            <w:pPr>
              <w:jc w:val="center"/>
              <w:rPr>
                <w:rFonts w:cs="Calibri"/>
                <w:color w:val="000000"/>
                <w:sz w:val="20"/>
                <w:szCs w:val="20"/>
                <w:lang w:eastAsia="en-US"/>
              </w:rPr>
            </w:pPr>
            <w:r w:rsidRPr="00131EED">
              <w:rPr>
                <w:rFonts w:eastAsia="Aptos Narrow" w:cs="Aptos Narrow"/>
                <w:color w:val="000000"/>
                <w:sz w:val="20"/>
                <w:szCs w:val="20"/>
                <w:lang w:eastAsia="en-US"/>
              </w:rPr>
              <w:t>Madrid</w:t>
            </w:r>
          </w:p>
          <w:p w14:paraId="315B0C57" w14:textId="77777777" w:rsidR="009C466C" w:rsidRPr="00131EED" w:rsidRDefault="009C466C" w:rsidP="009F4CCB">
            <w:pPr>
              <w:jc w:val="center"/>
              <w:rPr>
                <w:rFonts w:cs="Calibri"/>
                <w:color w:val="000000"/>
                <w:sz w:val="20"/>
                <w:szCs w:val="20"/>
                <w:lang w:eastAsia="en-US"/>
              </w:rPr>
            </w:pPr>
            <w:r w:rsidRPr="00131EED">
              <w:rPr>
                <w:rFonts w:eastAsia="Aptos Narrow" w:cs="Aptos Narrow"/>
                <w:color w:val="000000"/>
                <w:sz w:val="20"/>
                <w:szCs w:val="20"/>
                <w:lang w:eastAsia="en-US"/>
              </w:rPr>
              <w:t>Mosquera</w:t>
            </w:r>
          </w:p>
          <w:p w14:paraId="0CF53555" w14:textId="77777777" w:rsidR="009C466C" w:rsidRPr="00131EED" w:rsidRDefault="009C466C" w:rsidP="009F4CCB">
            <w:pPr>
              <w:jc w:val="center"/>
              <w:rPr>
                <w:rFonts w:cs="Calibri"/>
                <w:color w:val="000000"/>
                <w:sz w:val="20"/>
                <w:szCs w:val="20"/>
                <w:lang w:eastAsia="en-US"/>
              </w:rPr>
            </w:pPr>
            <w:r w:rsidRPr="00131EED">
              <w:rPr>
                <w:rFonts w:eastAsia="Aptos Narrow" w:cs="Aptos Narrow"/>
                <w:color w:val="000000"/>
                <w:sz w:val="20"/>
                <w:szCs w:val="20"/>
                <w:lang w:eastAsia="en-US"/>
              </w:rPr>
              <w:t>Nemocón</w:t>
            </w:r>
          </w:p>
          <w:p w14:paraId="360BBB8C" w14:textId="77777777" w:rsidR="009C466C" w:rsidRPr="00131EED" w:rsidRDefault="009C466C" w:rsidP="009F4CCB">
            <w:pPr>
              <w:jc w:val="center"/>
              <w:rPr>
                <w:rFonts w:cs="Calibri"/>
                <w:color w:val="000000"/>
                <w:sz w:val="20"/>
                <w:szCs w:val="20"/>
                <w:lang w:eastAsia="en-US"/>
              </w:rPr>
            </w:pPr>
            <w:r w:rsidRPr="00131EED">
              <w:rPr>
                <w:rFonts w:eastAsia="Aptos Narrow" w:cs="Aptos Narrow"/>
                <w:color w:val="000000"/>
                <w:sz w:val="20"/>
                <w:szCs w:val="20"/>
                <w:lang w:eastAsia="en-US"/>
              </w:rPr>
              <w:t>Sopó</w:t>
            </w:r>
          </w:p>
          <w:p w14:paraId="7B26B024" w14:textId="77777777" w:rsidR="009C466C" w:rsidRPr="00131EED" w:rsidRDefault="009C466C" w:rsidP="009F4CCB">
            <w:pPr>
              <w:jc w:val="center"/>
              <w:rPr>
                <w:rFonts w:cs="Calibri"/>
                <w:color w:val="000000"/>
                <w:sz w:val="20"/>
                <w:szCs w:val="20"/>
                <w:lang w:eastAsia="en-US"/>
              </w:rPr>
            </w:pPr>
            <w:r w:rsidRPr="00131EED">
              <w:rPr>
                <w:rFonts w:eastAsia="Aptos Narrow" w:cs="Aptos Narrow"/>
                <w:color w:val="000000"/>
                <w:sz w:val="20"/>
                <w:szCs w:val="20"/>
                <w:lang w:eastAsia="en-US"/>
              </w:rPr>
              <w:t>Tabio</w:t>
            </w:r>
          </w:p>
          <w:p w14:paraId="16403D75" w14:textId="77777777" w:rsidR="009C466C" w:rsidRPr="00131EED" w:rsidRDefault="009C466C" w:rsidP="009F4CCB">
            <w:pPr>
              <w:jc w:val="center"/>
              <w:rPr>
                <w:rFonts w:cs="Calibri"/>
                <w:color w:val="000000"/>
                <w:sz w:val="20"/>
                <w:szCs w:val="20"/>
                <w:lang w:eastAsia="en-US"/>
              </w:rPr>
            </w:pPr>
            <w:r w:rsidRPr="00131EED">
              <w:rPr>
                <w:rFonts w:eastAsia="Aptos Narrow" w:cs="Aptos Narrow"/>
                <w:color w:val="000000"/>
                <w:sz w:val="20"/>
                <w:szCs w:val="20"/>
                <w:lang w:eastAsia="en-US"/>
              </w:rPr>
              <w:t>Tenjo</w:t>
            </w:r>
          </w:p>
          <w:p w14:paraId="77E388B8" w14:textId="318CED5A" w:rsidR="009C466C" w:rsidRPr="00131EED" w:rsidRDefault="009C466C" w:rsidP="00621B19">
            <w:pPr>
              <w:jc w:val="center"/>
              <w:rPr>
                <w:rFonts w:cs="Calibri"/>
                <w:color w:val="000000"/>
                <w:sz w:val="20"/>
                <w:szCs w:val="20"/>
                <w:lang w:eastAsia="en-US"/>
              </w:rPr>
            </w:pPr>
            <w:r w:rsidRPr="00131EED">
              <w:rPr>
                <w:rFonts w:eastAsia="Aptos Narrow" w:cs="Aptos Narrow"/>
                <w:color w:val="000000"/>
                <w:sz w:val="20"/>
                <w:szCs w:val="20"/>
                <w:lang w:eastAsia="en-US"/>
              </w:rPr>
              <w:t>Tocancipá</w:t>
            </w:r>
          </w:p>
        </w:tc>
        <w:tc>
          <w:tcPr>
            <w:tcW w:w="2581" w:type="dxa"/>
            <w:hideMark/>
          </w:tcPr>
          <w:p w14:paraId="12C8A875" w14:textId="77777777" w:rsidR="009C466C" w:rsidRPr="00131EED" w:rsidRDefault="009C466C" w:rsidP="009F4CCB">
            <w:pPr>
              <w:jc w:val="center"/>
              <w:rPr>
                <w:rFonts w:cs="Calibri"/>
                <w:color w:val="000000"/>
                <w:sz w:val="20"/>
                <w:szCs w:val="20"/>
                <w:lang w:eastAsia="en-US"/>
              </w:rPr>
            </w:pPr>
            <w:r w:rsidRPr="00131EED">
              <w:rPr>
                <w:rFonts w:cs="Calibri"/>
                <w:color w:val="000000"/>
                <w:sz w:val="20"/>
                <w:szCs w:val="20"/>
                <w:lang w:eastAsia="en-US"/>
              </w:rPr>
              <w:t>Bojacá</w:t>
            </w:r>
          </w:p>
          <w:p w14:paraId="36F35789" w14:textId="77777777" w:rsidR="009C466C" w:rsidRPr="00131EED" w:rsidRDefault="009C466C" w:rsidP="009F4CCB">
            <w:pPr>
              <w:jc w:val="center"/>
              <w:rPr>
                <w:rFonts w:cs="Calibri"/>
                <w:color w:val="000000"/>
                <w:sz w:val="20"/>
                <w:szCs w:val="20"/>
                <w:lang w:eastAsia="en-US"/>
              </w:rPr>
            </w:pPr>
            <w:r w:rsidRPr="00131EED">
              <w:rPr>
                <w:rFonts w:cs="Calibri"/>
                <w:color w:val="000000"/>
                <w:sz w:val="20"/>
                <w:szCs w:val="20"/>
                <w:lang w:eastAsia="en-US"/>
              </w:rPr>
              <w:t>Chipaque</w:t>
            </w:r>
          </w:p>
          <w:p w14:paraId="3072041A" w14:textId="77777777" w:rsidR="009C466C" w:rsidRPr="00131EED" w:rsidRDefault="009C466C" w:rsidP="009F4CCB">
            <w:pPr>
              <w:jc w:val="center"/>
              <w:rPr>
                <w:rFonts w:cs="Calibri"/>
                <w:color w:val="000000"/>
                <w:sz w:val="20"/>
                <w:szCs w:val="20"/>
                <w:lang w:eastAsia="en-US"/>
              </w:rPr>
            </w:pPr>
            <w:r w:rsidRPr="00131EED">
              <w:rPr>
                <w:rFonts w:cs="Calibri"/>
                <w:color w:val="000000"/>
                <w:sz w:val="20"/>
                <w:szCs w:val="20"/>
                <w:lang w:eastAsia="en-US"/>
              </w:rPr>
              <w:t>Chocontá</w:t>
            </w:r>
          </w:p>
          <w:p w14:paraId="2114316A" w14:textId="77777777" w:rsidR="009C466C" w:rsidRPr="00131EED" w:rsidRDefault="009C466C" w:rsidP="009F4CCB">
            <w:pPr>
              <w:jc w:val="center"/>
              <w:rPr>
                <w:rFonts w:cs="Calibri"/>
                <w:color w:val="000000"/>
                <w:sz w:val="20"/>
                <w:szCs w:val="20"/>
                <w:lang w:eastAsia="en-US"/>
              </w:rPr>
            </w:pPr>
            <w:r w:rsidRPr="00131EED">
              <w:rPr>
                <w:rFonts w:cs="Calibri"/>
                <w:color w:val="000000"/>
                <w:sz w:val="20"/>
                <w:szCs w:val="20"/>
                <w:lang w:eastAsia="en-US"/>
              </w:rPr>
              <w:t>Cogua</w:t>
            </w:r>
          </w:p>
          <w:p w14:paraId="1EB86C6D" w14:textId="77777777" w:rsidR="009C466C" w:rsidRPr="00131EED" w:rsidRDefault="009C466C" w:rsidP="009F4CCB">
            <w:pPr>
              <w:jc w:val="center"/>
              <w:rPr>
                <w:rFonts w:cs="Calibri"/>
                <w:color w:val="000000"/>
                <w:sz w:val="20"/>
                <w:szCs w:val="20"/>
                <w:lang w:eastAsia="en-US"/>
              </w:rPr>
            </w:pPr>
            <w:r w:rsidRPr="00131EED">
              <w:rPr>
                <w:rFonts w:cs="Calibri"/>
                <w:color w:val="000000"/>
                <w:sz w:val="20"/>
                <w:szCs w:val="20"/>
                <w:lang w:eastAsia="en-US"/>
              </w:rPr>
              <w:t>El Rosal</w:t>
            </w:r>
          </w:p>
          <w:p w14:paraId="24245EED" w14:textId="77777777" w:rsidR="009C466C" w:rsidRPr="00131EED" w:rsidRDefault="009C466C" w:rsidP="009F4CCB">
            <w:pPr>
              <w:jc w:val="center"/>
              <w:rPr>
                <w:rFonts w:cs="Calibri"/>
                <w:color w:val="000000"/>
                <w:sz w:val="20"/>
                <w:szCs w:val="20"/>
                <w:lang w:eastAsia="en-US"/>
              </w:rPr>
            </w:pPr>
            <w:r w:rsidRPr="00131EED">
              <w:rPr>
                <w:rFonts w:cs="Calibri"/>
                <w:color w:val="000000"/>
                <w:sz w:val="20"/>
                <w:szCs w:val="20"/>
                <w:lang w:eastAsia="en-US"/>
              </w:rPr>
              <w:t>Cucunubá</w:t>
            </w:r>
          </w:p>
          <w:p w14:paraId="225A6EF5" w14:textId="77777777" w:rsidR="009C466C" w:rsidRPr="00131EED" w:rsidRDefault="009C466C" w:rsidP="009F4CCB">
            <w:pPr>
              <w:jc w:val="center"/>
              <w:rPr>
                <w:rFonts w:cs="Calibri"/>
                <w:color w:val="000000"/>
                <w:sz w:val="20"/>
                <w:szCs w:val="20"/>
                <w:lang w:eastAsia="en-US"/>
              </w:rPr>
            </w:pPr>
            <w:r w:rsidRPr="00131EED">
              <w:rPr>
                <w:rFonts w:cs="Calibri"/>
                <w:color w:val="000000"/>
                <w:sz w:val="20"/>
                <w:szCs w:val="20"/>
                <w:lang w:eastAsia="en-US"/>
              </w:rPr>
              <w:t>Facatativá</w:t>
            </w:r>
          </w:p>
          <w:p w14:paraId="025F8413" w14:textId="7621BCF1" w:rsidR="009C466C" w:rsidRPr="00131EED" w:rsidRDefault="00903567" w:rsidP="00903567">
            <w:pPr>
              <w:tabs>
                <w:tab w:val="center" w:pos="1183"/>
              </w:tabs>
              <w:rPr>
                <w:rFonts w:cs="Calibri"/>
                <w:color w:val="000000"/>
                <w:sz w:val="20"/>
                <w:szCs w:val="20"/>
                <w:lang w:eastAsia="en-US"/>
              </w:rPr>
            </w:pPr>
            <w:r w:rsidRPr="00131EED">
              <w:rPr>
                <w:rFonts w:cs="Calibri"/>
                <w:color w:val="000000"/>
                <w:sz w:val="20"/>
                <w:szCs w:val="20"/>
                <w:lang w:eastAsia="en-US"/>
              </w:rPr>
              <w:tab/>
            </w:r>
            <w:r w:rsidR="009C466C" w:rsidRPr="00131EED">
              <w:rPr>
                <w:rFonts w:cs="Calibri"/>
                <w:color w:val="000000"/>
                <w:sz w:val="20"/>
                <w:szCs w:val="20"/>
                <w:lang w:eastAsia="en-US"/>
              </w:rPr>
              <w:t>Guasca</w:t>
            </w:r>
          </w:p>
          <w:p w14:paraId="255A82ED" w14:textId="77777777" w:rsidR="009C466C" w:rsidRPr="00131EED" w:rsidRDefault="009C466C" w:rsidP="009F4CCB">
            <w:pPr>
              <w:jc w:val="center"/>
              <w:rPr>
                <w:rFonts w:cs="Calibri"/>
                <w:color w:val="000000"/>
                <w:sz w:val="20"/>
                <w:szCs w:val="20"/>
                <w:lang w:eastAsia="en-US"/>
              </w:rPr>
            </w:pPr>
            <w:r w:rsidRPr="00131EED">
              <w:rPr>
                <w:rFonts w:cs="Calibri"/>
                <w:color w:val="000000"/>
                <w:sz w:val="20"/>
                <w:szCs w:val="20"/>
                <w:lang w:eastAsia="en-US"/>
              </w:rPr>
              <w:t>Guatavita</w:t>
            </w:r>
          </w:p>
          <w:p w14:paraId="1C5D9685" w14:textId="77777777" w:rsidR="009C466C" w:rsidRPr="00131EED" w:rsidRDefault="009C466C" w:rsidP="009F4CCB">
            <w:pPr>
              <w:jc w:val="center"/>
              <w:rPr>
                <w:rFonts w:cs="Calibri"/>
                <w:color w:val="000000"/>
                <w:sz w:val="20"/>
                <w:szCs w:val="20"/>
                <w:lang w:eastAsia="en-US"/>
              </w:rPr>
            </w:pPr>
            <w:r w:rsidRPr="00131EED">
              <w:rPr>
                <w:rFonts w:cs="Calibri"/>
                <w:color w:val="000000"/>
                <w:sz w:val="20"/>
                <w:szCs w:val="20"/>
                <w:lang w:eastAsia="en-US"/>
              </w:rPr>
              <w:t>La Calera</w:t>
            </w:r>
          </w:p>
          <w:p w14:paraId="4D641D52" w14:textId="77777777" w:rsidR="009C466C" w:rsidRPr="00131EED" w:rsidRDefault="009C466C" w:rsidP="009F4CCB">
            <w:pPr>
              <w:jc w:val="center"/>
              <w:rPr>
                <w:rFonts w:cs="Calibri"/>
                <w:color w:val="000000"/>
                <w:sz w:val="20"/>
                <w:szCs w:val="20"/>
                <w:lang w:eastAsia="en-US"/>
              </w:rPr>
            </w:pPr>
            <w:r w:rsidRPr="00131EED">
              <w:rPr>
                <w:rFonts w:cs="Calibri"/>
                <w:color w:val="000000"/>
                <w:sz w:val="20"/>
                <w:szCs w:val="20"/>
                <w:lang w:eastAsia="en-US"/>
              </w:rPr>
              <w:t>Sesquilé</w:t>
            </w:r>
          </w:p>
          <w:p w14:paraId="6F00F413" w14:textId="207FA525" w:rsidR="009C466C" w:rsidRPr="00131EED" w:rsidRDefault="009C466C" w:rsidP="00621B19">
            <w:pPr>
              <w:jc w:val="center"/>
              <w:rPr>
                <w:rFonts w:cs="Calibri"/>
                <w:color w:val="000000"/>
                <w:sz w:val="20"/>
                <w:szCs w:val="20"/>
                <w:lang w:eastAsia="en-US"/>
              </w:rPr>
            </w:pPr>
            <w:r w:rsidRPr="00131EED">
              <w:rPr>
                <w:rFonts w:cs="Calibri"/>
                <w:color w:val="000000"/>
                <w:sz w:val="20"/>
                <w:szCs w:val="20"/>
                <w:lang w:eastAsia="en-US"/>
              </w:rPr>
              <w:t>Sibaté</w:t>
            </w:r>
          </w:p>
        </w:tc>
        <w:tc>
          <w:tcPr>
            <w:tcW w:w="2306" w:type="dxa"/>
          </w:tcPr>
          <w:p w14:paraId="0E511968" w14:textId="77777777" w:rsidR="009F4CCB" w:rsidRPr="00131EED" w:rsidRDefault="009F4CCB" w:rsidP="009F4CCB">
            <w:pPr>
              <w:jc w:val="center"/>
              <w:rPr>
                <w:rFonts w:cs="Calibri"/>
                <w:color w:val="000000"/>
                <w:sz w:val="20"/>
                <w:szCs w:val="20"/>
                <w:lang w:eastAsia="en-US"/>
              </w:rPr>
            </w:pPr>
            <w:r w:rsidRPr="00131EED">
              <w:rPr>
                <w:rFonts w:cs="Calibri"/>
                <w:color w:val="000000"/>
                <w:sz w:val="20"/>
                <w:szCs w:val="20"/>
                <w:lang w:eastAsia="en-US"/>
              </w:rPr>
              <w:t>Soacha</w:t>
            </w:r>
          </w:p>
          <w:p w14:paraId="4D66107A" w14:textId="5ECCEAE4" w:rsidR="009C466C" w:rsidRPr="00131EED" w:rsidRDefault="009C466C" w:rsidP="009F4CCB">
            <w:pPr>
              <w:jc w:val="center"/>
              <w:rPr>
                <w:rFonts w:cs="Calibri"/>
                <w:color w:val="000000"/>
                <w:sz w:val="20"/>
                <w:szCs w:val="20"/>
                <w:lang w:eastAsia="en-US"/>
              </w:rPr>
            </w:pPr>
            <w:r w:rsidRPr="00131EED">
              <w:rPr>
                <w:rFonts w:cs="Calibri"/>
                <w:color w:val="000000"/>
                <w:sz w:val="20"/>
                <w:szCs w:val="20"/>
                <w:lang w:eastAsia="en-US"/>
              </w:rPr>
              <w:t>Subachoque</w:t>
            </w:r>
          </w:p>
          <w:p w14:paraId="5F92E3FF" w14:textId="77777777" w:rsidR="009C466C" w:rsidRPr="00131EED" w:rsidRDefault="009C466C" w:rsidP="009F4CCB">
            <w:pPr>
              <w:jc w:val="center"/>
              <w:rPr>
                <w:rFonts w:cs="Calibri"/>
                <w:color w:val="000000"/>
                <w:sz w:val="20"/>
                <w:szCs w:val="20"/>
                <w:lang w:eastAsia="en-US"/>
              </w:rPr>
            </w:pPr>
            <w:r w:rsidRPr="00131EED">
              <w:rPr>
                <w:rFonts w:cs="Calibri"/>
                <w:color w:val="000000"/>
                <w:sz w:val="20"/>
                <w:szCs w:val="20"/>
                <w:lang w:eastAsia="en-US"/>
              </w:rPr>
              <w:t>Suesca</w:t>
            </w:r>
          </w:p>
          <w:p w14:paraId="21419903" w14:textId="77777777" w:rsidR="009C466C" w:rsidRPr="00131EED" w:rsidRDefault="009C466C" w:rsidP="009F4CCB">
            <w:pPr>
              <w:jc w:val="center"/>
              <w:rPr>
                <w:rFonts w:cs="Calibri"/>
                <w:color w:val="000000"/>
                <w:sz w:val="20"/>
                <w:szCs w:val="20"/>
                <w:lang w:eastAsia="en-US"/>
              </w:rPr>
            </w:pPr>
            <w:r w:rsidRPr="00131EED">
              <w:rPr>
                <w:rFonts w:cs="Calibri"/>
                <w:color w:val="000000"/>
                <w:sz w:val="20"/>
                <w:szCs w:val="20"/>
                <w:lang w:eastAsia="en-US"/>
              </w:rPr>
              <w:t>Tausa</w:t>
            </w:r>
          </w:p>
          <w:p w14:paraId="6C97C6BA" w14:textId="77777777" w:rsidR="009C466C" w:rsidRPr="00131EED" w:rsidRDefault="009C466C" w:rsidP="009F4CCB">
            <w:pPr>
              <w:jc w:val="center"/>
              <w:rPr>
                <w:rFonts w:cs="Calibri"/>
                <w:color w:val="000000"/>
                <w:sz w:val="20"/>
                <w:szCs w:val="20"/>
                <w:lang w:eastAsia="en-US"/>
              </w:rPr>
            </w:pPr>
            <w:r w:rsidRPr="00131EED">
              <w:rPr>
                <w:rFonts w:cs="Calibri"/>
                <w:color w:val="000000"/>
                <w:sz w:val="20"/>
                <w:szCs w:val="20"/>
                <w:lang w:eastAsia="en-US"/>
              </w:rPr>
              <w:t>Villapinzón</w:t>
            </w:r>
          </w:p>
          <w:p w14:paraId="15AFC815" w14:textId="77777777" w:rsidR="009C466C" w:rsidRPr="00131EED" w:rsidRDefault="009C466C" w:rsidP="009F4CCB">
            <w:pPr>
              <w:jc w:val="center"/>
              <w:rPr>
                <w:rFonts w:cs="Calibri"/>
                <w:color w:val="000000"/>
                <w:sz w:val="20"/>
                <w:szCs w:val="20"/>
                <w:lang w:eastAsia="en-US"/>
              </w:rPr>
            </w:pPr>
            <w:r w:rsidRPr="00131EED">
              <w:rPr>
                <w:rFonts w:cs="Calibri"/>
                <w:color w:val="000000"/>
                <w:sz w:val="20"/>
                <w:szCs w:val="20"/>
                <w:lang w:eastAsia="en-US"/>
              </w:rPr>
              <w:t>Zipaquirá</w:t>
            </w:r>
          </w:p>
          <w:p w14:paraId="5518EC2B" w14:textId="139B8082" w:rsidR="009C466C" w:rsidRPr="00131EED" w:rsidRDefault="009C466C" w:rsidP="009F4CCB">
            <w:pPr>
              <w:jc w:val="center"/>
              <w:rPr>
                <w:rFonts w:cs="Calibri"/>
                <w:color w:val="000000"/>
                <w:sz w:val="20"/>
                <w:szCs w:val="20"/>
                <w:lang w:eastAsia="en-US"/>
              </w:rPr>
            </w:pPr>
            <w:r w:rsidRPr="00131EED">
              <w:rPr>
                <w:rFonts w:cs="Calibri"/>
                <w:color w:val="000000"/>
                <w:sz w:val="20"/>
                <w:szCs w:val="20"/>
                <w:lang w:eastAsia="en-US"/>
              </w:rPr>
              <w:t>Bogotá</w:t>
            </w:r>
          </w:p>
        </w:tc>
      </w:tr>
      <w:tr w:rsidR="009F4CCB" w:rsidRPr="00131EED" w14:paraId="4876D740" w14:textId="3311CB2A" w:rsidTr="00993614">
        <w:trPr>
          <w:trHeight w:val="382"/>
          <w:jc w:val="center"/>
        </w:trPr>
        <w:tc>
          <w:tcPr>
            <w:tcW w:w="2883" w:type="dxa"/>
            <w:hideMark/>
          </w:tcPr>
          <w:p w14:paraId="70691EFD" w14:textId="6D65B686" w:rsidR="009F4CCB" w:rsidRPr="00131EED" w:rsidRDefault="009F4CCB" w:rsidP="009F4CCB">
            <w:pPr>
              <w:jc w:val="center"/>
              <w:rPr>
                <w:rFonts w:cs="Calibri"/>
                <w:b/>
                <w:bCs/>
                <w:color w:val="000000"/>
                <w:sz w:val="20"/>
                <w:szCs w:val="20"/>
                <w:lang w:eastAsia="en-US"/>
              </w:rPr>
            </w:pPr>
            <w:bookmarkStart w:id="41" w:name="RANGE!A21"/>
            <w:r w:rsidRPr="00131EED">
              <w:rPr>
                <w:rFonts w:cs="Calibri"/>
                <w:b/>
                <w:bCs/>
                <w:color w:val="000000"/>
                <w:sz w:val="20"/>
                <w:szCs w:val="20"/>
                <w:lang w:eastAsia="en-US"/>
              </w:rPr>
              <w:t>Número de municipios incorporados en su totalidad: 12</w:t>
            </w:r>
            <w:bookmarkEnd w:id="41"/>
          </w:p>
        </w:tc>
        <w:tc>
          <w:tcPr>
            <w:tcW w:w="4888" w:type="dxa"/>
            <w:gridSpan w:val="2"/>
            <w:hideMark/>
          </w:tcPr>
          <w:p w14:paraId="4CABEAD7" w14:textId="53B4F550" w:rsidR="009F4CCB" w:rsidRPr="00131EED" w:rsidRDefault="009F4CCB" w:rsidP="009F4CCB">
            <w:pPr>
              <w:jc w:val="center"/>
              <w:rPr>
                <w:rFonts w:cs="Calibri"/>
                <w:b/>
                <w:bCs/>
                <w:color w:val="000000"/>
                <w:sz w:val="20"/>
                <w:szCs w:val="20"/>
                <w:lang w:eastAsia="en-US"/>
              </w:rPr>
            </w:pPr>
            <w:r w:rsidRPr="00131EED">
              <w:rPr>
                <w:rFonts w:cs="Calibri"/>
                <w:b/>
                <w:bCs/>
                <w:color w:val="000000"/>
                <w:sz w:val="20"/>
                <w:szCs w:val="20"/>
                <w:lang w:eastAsia="en-US"/>
              </w:rPr>
              <w:t>Número de municipios incorporados parcialmente:  19</w:t>
            </w:r>
          </w:p>
        </w:tc>
      </w:tr>
      <w:tr w:rsidR="009C466C" w:rsidRPr="00131EED" w14:paraId="535D30A3" w14:textId="752B6A69" w:rsidTr="00993614">
        <w:trPr>
          <w:trHeight w:val="116"/>
          <w:jc w:val="center"/>
        </w:trPr>
        <w:tc>
          <w:tcPr>
            <w:tcW w:w="5465" w:type="dxa"/>
            <w:gridSpan w:val="2"/>
            <w:hideMark/>
          </w:tcPr>
          <w:p w14:paraId="122C9502" w14:textId="77777777" w:rsidR="009C466C" w:rsidRPr="00131EED" w:rsidRDefault="009C466C" w:rsidP="009F4CCB">
            <w:pPr>
              <w:jc w:val="center"/>
              <w:rPr>
                <w:rFonts w:cs="Calibri"/>
                <w:b/>
                <w:bCs/>
                <w:color w:val="000000"/>
                <w:sz w:val="20"/>
                <w:szCs w:val="20"/>
                <w:lang w:eastAsia="en-US"/>
              </w:rPr>
            </w:pPr>
            <w:r w:rsidRPr="00131EED">
              <w:rPr>
                <w:rFonts w:cs="Calibri"/>
                <w:b/>
                <w:bCs/>
                <w:color w:val="000000"/>
                <w:sz w:val="20"/>
                <w:szCs w:val="20"/>
                <w:lang w:eastAsia="en-US"/>
              </w:rPr>
              <w:t>Total de municipios incorporados: 31</w:t>
            </w:r>
          </w:p>
        </w:tc>
        <w:tc>
          <w:tcPr>
            <w:tcW w:w="2306" w:type="dxa"/>
          </w:tcPr>
          <w:p w14:paraId="1D9E2D31" w14:textId="77777777" w:rsidR="009C466C" w:rsidRPr="00131EED" w:rsidRDefault="009C466C" w:rsidP="009F4CCB">
            <w:pPr>
              <w:jc w:val="center"/>
              <w:rPr>
                <w:rFonts w:cs="Calibri"/>
                <w:b/>
                <w:bCs/>
                <w:color w:val="000000"/>
                <w:sz w:val="20"/>
                <w:szCs w:val="20"/>
                <w:lang w:eastAsia="en-US"/>
              </w:rPr>
            </w:pPr>
          </w:p>
        </w:tc>
      </w:tr>
    </w:tbl>
    <w:p w14:paraId="4CFA6AA4" w14:textId="1DDB9177" w:rsidR="00BF0235" w:rsidRPr="00131EED" w:rsidRDefault="00BF0235" w:rsidP="00BF0235">
      <w:pPr>
        <w:jc w:val="center"/>
        <w:rPr>
          <w:sz w:val="20"/>
          <w:szCs w:val="20"/>
        </w:rPr>
      </w:pPr>
      <w:r w:rsidRPr="00131EED">
        <w:rPr>
          <w:sz w:val="20"/>
          <w:szCs w:val="20"/>
        </w:rPr>
        <w:t>Fuente: MinAmbiente, 2025.</w:t>
      </w:r>
    </w:p>
    <w:p w14:paraId="5C9EFE16" w14:textId="040084C2" w:rsidR="41F3BF4B" w:rsidRPr="00131EED" w:rsidRDefault="41F3BF4B" w:rsidP="41F3BF4B">
      <w:pPr>
        <w:jc w:val="center"/>
        <w:rPr>
          <w:sz w:val="20"/>
          <w:szCs w:val="20"/>
        </w:rPr>
      </w:pPr>
    </w:p>
    <w:p w14:paraId="7FE277F2" w14:textId="5D30AFDB" w:rsidR="00B74D14" w:rsidRPr="00131EED" w:rsidRDefault="00B74D14" w:rsidP="00B74D14">
      <w:pPr>
        <w:pStyle w:val="Caption"/>
        <w:keepNext/>
        <w:jc w:val="center"/>
      </w:pPr>
      <w:bookmarkStart w:id="42" w:name="_Toc216468914"/>
      <w:r w:rsidRPr="00131EED">
        <w:t xml:space="preserve">Tabla </w:t>
      </w:r>
      <w:fldSimple w:instr=" SEQ Tabla \* ARABIC ">
        <w:r w:rsidR="00CE096F">
          <w:rPr>
            <w:noProof/>
          </w:rPr>
          <w:t>4</w:t>
        </w:r>
      </w:fldSimple>
      <w:r w:rsidRPr="00131EED">
        <w:t>. Municipios que colindan con el ámbito de aplicación.</w:t>
      </w:r>
      <w:bookmarkEnd w:id="42"/>
    </w:p>
    <w:tbl>
      <w:tblPr>
        <w:tblW w:w="51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2525"/>
        <w:gridCol w:w="2554"/>
        <w:gridCol w:w="2182"/>
      </w:tblGrid>
      <w:tr w:rsidR="000E63BD" w:rsidRPr="00131EED" w14:paraId="6F45F3E3" w14:textId="77777777" w:rsidTr="001A5F93">
        <w:trPr>
          <w:trHeight w:val="71"/>
        </w:trPr>
        <w:tc>
          <w:tcPr>
            <w:tcW w:w="5000" w:type="pct"/>
            <w:gridSpan w:val="4"/>
            <w:vAlign w:val="center"/>
            <w:hideMark/>
          </w:tcPr>
          <w:p w14:paraId="6D97AFF3" w14:textId="77777777" w:rsidR="000E63BD" w:rsidRPr="00131EED" w:rsidRDefault="000E63BD" w:rsidP="000E63BD">
            <w:pPr>
              <w:jc w:val="center"/>
              <w:rPr>
                <w:b/>
                <w:bCs/>
                <w:color w:val="000000"/>
                <w:sz w:val="20"/>
                <w:szCs w:val="20"/>
                <w:lang w:eastAsia="en-US"/>
              </w:rPr>
            </w:pPr>
            <w:r w:rsidRPr="00131EED">
              <w:rPr>
                <w:b/>
                <w:bCs/>
                <w:color w:val="000000"/>
                <w:sz w:val="20"/>
                <w:szCs w:val="20"/>
                <w:lang w:eastAsia="en-US"/>
              </w:rPr>
              <w:t>Municipios colindantes</w:t>
            </w:r>
          </w:p>
        </w:tc>
      </w:tr>
      <w:tr w:rsidR="000E63BD" w:rsidRPr="00131EED" w14:paraId="22B3A76D" w14:textId="77777777" w:rsidTr="001A5F93">
        <w:trPr>
          <w:trHeight w:val="45"/>
        </w:trPr>
        <w:tc>
          <w:tcPr>
            <w:tcW w:w="991" w:type="pct"/>
            <w:vAlign w:val="center"/>
            <w:hideMark/>
          </w:tcPr>
          <w:p w14:paraId="69AA39FB" w14:textId="77777777" w:rsidR="000E63BD" w:rsidRPr="00131EED" w:rsidRDefault="000E63BD" w:rsidP="000E63BD">
            <w:pPr>
              <w:jc w:val="center"/>
              <w:rPr>
                <w:b/>
                <w:bCs/>
                <w:color w:val="000000"/>
                <w:sz w:val="20"/>
                <w:szCs w:val="20"/>
                <w:lang w:eastAsia="en-US"/>
              </w:rPr>
            </w:pPr>
            <w:r w:rsidRPr="00131EED">
              <w:rPr>
                <w:b/>
                <w:bCs/>
                <w:color w:val="000000"/>
                <w:sz w:val="20"/>
                <w:szCs w:val="20"/>
                <w:lang w:eastAsia="en-US"/>
              </w:rPr>
              <w:t>Al Este</w:t>
            </w:r>
          </w:p>
        </w:tc>
        <w:tc>
          <w:tcPr>
            <w:tcW w:w="1394" w:type="pct"/>
            <w:vAlign w:val="center"/>
            <w:hideMark/>
          </w:tcPr>
          <w:p w14:paraId="427F4F64" w14:textId="77777777" w:rsidR="000E63BD" w:rsidRPr="00131EED" w:rsidRDefault="000E63BD" w:rsidP="000E63BD">
            <w:pPr>
              <w:jc w:val="center"/>
              <w:rPr>
                <w:b/>
                <w:bCs/>
                <w:color w:val="000000"/>
                <w:sz w:val="20"/>
                <w:szCs w:val="20"/>
                <w:lang w:eastAsia="en-US"/>
              </w:rPr>
            </w:pPr>
            <w:r w:rsidRPr="00131EED">
              <w:rPr>
                <w:b/>
                <w:bCs/>
                <w:color w:val="000000"/>
                <w:sz w:val="20"/>
                <w:szCs w:val="20"/>
                <w:lang w:eastAsia="en-US"/>
              </w:rPr>
              <w:t>Al Norte</w:t>
            </w:r>
          </w:p>
        </w:tc>
        <w:tc>
          <w:tcPr>
            <w:tcW w:w="1410" w:type="pct"/>
            <w:vAlign w:val="center"/>
            <w:hideMark/>
          </w:tcPr>
          <w:p w14:paraId="291576D0" w14:textId="77777777" w:rsidR="000E63BD" w:rsidRPr="00131EED" w:rsidRDefault="000E63BD" w:rsidP="000E63BD">
            <w:pPr>
              <w:jc w:val="center"/>
              <w:rPr>
                <w:b/>
                <w:bCs/>
                <w:color w:val="000000"/>
                <w:sz w:val="20"/>
                <w:szCs w:val="20"/>
                <w:lang w:eastAsia="en-US"/>
              </w:rPr>
            </w:pPr>
            <w:r w:rsidRPr="00131EED">
              <w:rPr>
                <w:b/>
                <w:bCs/>
                <w:color w:val="000000"/>
                <w:sz w:val="20"/>
                <w:szCs w:val="20"/>
                <w:lang w:eastAsia="en-US"/>
              </w:rPr>
              <w:t>Al Oeste</w:t>
            </w:r>
          </w:p>
        </w:tc>
        <w:tc>
          <w:tcPr>
            <w:tcW w:w="1205" w:type="pct"/>
            <w:vAlign w:val="center"/>
            <w:hideMark/>
          </w:tcPr>
          <w:p w14:paraId="377BC7FB" w14:textId="77777777" w:rsidR="000E63BD" w:rsidRPr="00131EED" w:rsidRDefault="000E63BD" w:rsidP="000E63BD">
            <w:pPr>
              <w:jc w:val="center"/>
              <w:rPr>
                <w:b/>
                <w:bCs/>
                <w:color w:val="000000"/>
                <w:sz w:val="20"/>
                <w:szCs w:val="20"/>
                <w:lang w:eastAsia="en-US"/>
              </w:rPr>
            </w:pPr>
            <w:r w:rsidRPr="00131EED">
              <w:rPr>
                <w:b/>
                <w:bCs/>
                <w:color w:val="000000"/>
                <w:sz w:val="20"/>
                <w:szCs w:val="20"/>
                <w:lang w:eastAsia="en-US"/>
              </w:rPr>
              <w:t>Al Sur</w:t>
            </w:r>
          </w:p>
        </w:tc>
      </w:tr>
      <w:tr w:rsidR="000E63BD" w:rsidRPr="00131EED" w14:paraId="008834C7" w14:textId="77777777" w:rsidTr="001A5F93">
        <w:trPr>
          <w:trHeight w:val="1180"/>
        </w:trPr>
        <w:tc>
          <w:tcPr>
            <w:tcW w:w="991" w:type="pct"/>
            <w:vAlign w:val="center"/>
            <w:hideMark/>
          </w:tcPr>
          <w:p w14:paraId="0CE1DA55" w14:textId="77777777" w:rsidR="00421E30" w:rsidRPr="00131EED" w:rsidRDefault="000E63BD" w:rsidP="000E63BD">
            <w:pPr>
              <w:jc w:val="center"/>
              <w:rPr>
                <w:color w:val="000000"/>
                <w:sz w:val="20"/>
                <w:szCs w:val="20"/>
                <w:lang w:eastAsia="en-US"/>
              </w:rPr>
            </w:pPr>
            <w:r w:rsidRPr="00131EED">
              <w:rPr>
                <w:color w:val="000000"/>
                <w:sz w:val="20"/>
                <w:szCs w:val="20"/>
                <w:lang w:eastAsia="en-US"/>
              </w:rPr>
              <w:t>Choachí</w:t>
            </w:r>
          </w:p>
          <w:p w14:paraId="4F81953E" w14:textId="77777777" w:rsidR="00421E30" w:rsidRPr="00131EED" w:rsidRDefault="00421E30" w:rsidP="000E63BD">
            <w:pPr>
              <w:jc w:val="center"/>
              <w:rPr>
                <w:color w:val="000000"/>
                <w:sz w:val="20"/>
                <w:szCs w:val="20"/>
                <w:lang w:eastAsia="en-US"/>
              </w:rPr>
            </w:pPr>
            <w:r w:rsidRPr="00131EED">
              <w:rPr>
                <w:color w:val="000000"/>
                <w:sz w:val="20"/>
                <w:szCs w:val="20"/>
                <w:lang w:eastAsia="en-US"/>
              </w:rPr>
              <w:t>Machetá</w:t>
            </w:r>
          </w:p>
          <w:p w14:paraId="56F94FC2" w14:textId="77777777" w:rsidR="00421E30" w:rsidRPr="00131EED" w:rsidRDefault="00421E30" w:rsidP="000E63BD">
            <w:pPr>
              <w:jc w:val="center"/>
              <w:rPr>
                <w:color w:val="000000"/>
                <w:sz w:val="20"/>
                <w:szCs w:val="20"/>
                <w:lang w:eastAsia="en-US"/>
              </w:rPr>
            </w:pPr>
            <w:r w:rsidRPr="00131EED">
              <w:rPr>
                <w:color w:val="000000"/>
                <w:sz w:val="20"/>
                <w:szCs w:val="20"/>
                <w:lang w:eastAsia="en-US"/>
              </w:rPr>
              <w:t>Ubaque</w:t>
            </w:r>
          </w:p>
          <w:p w14:paraId="612ABFC3" w14:textId="357598B9" w:rsidR="000E63BD" w:rsidRPr="00131EED" w:rsidRDefault="00421E30" w:rsidP="000E63BD">
            <w:pPr>
              <w:jc w:val="center"/>
              <w:rPr>
                <w:color w:val="000000"/>
                <w:sz w:val="20"/>
                <w:szCs w:val="20"/>
                <w:lang w:eastAsia="en-US"/>
              </w:rPr>
            </w:pPr>
            <w:r w:rsidRPr="00131EED">
              <w:rPr>
                <w:rFonts w:ascii="Aptos Narrow" w:hAnsi="Aptos Narrow"/>
                <w:color w:val="000000"/>
                <w:sz w:val="22"/>
                <w:szCs w:val="22"/>
                <w:lang w:eastAsia="en-US"/>
              </w:rPr>
              <w:t> </w:t>
            </w:r>
          </w:p>
        </w:tc>
        <w:tc>
          <w:tcPr>
            <w:tcW w:w="1394" w:type="pct"/>
            <w:vAlign w:val="center"/>
            <w:hideMark/>
          </w:tcPr>
          <w:p w14:paraId="283C1C4D" w14:textId="77777777" w:rsidR="00421E30" w:rsidRPr="00131EED" w:rsidRDefault="000E63BD" w:rsidP="000E63BD">
            <w:pPr>
              <w:jc w:val="center"/>
              <w:rPr>
                <w:color w:val="000000"/>
                <w:sz w:val="20"/>
                <w:szCs w:val="20"/>
                <w:lang w:eastAsia="en-US"/>
              </w:rPr>
            </w:pPr>
            <w:r w:rsidRPr="00131EED">
              <w:rPr>
                <w:color w:val="000000"/>
                <w:sz w:val="20"/>
                <w:szCs w:val="20"/>
                <w:lang w:eastAsia="en-US"/>
              </w:rPr>
              <w:t>Carmen De Carupa</w:t>
            </w:r>
          </w:p>
          <w:p w14:paraId="25166FE5" w14:textId="77777777" w:rsidR="00421E30" w:rsidRPr="00131EED" w:rsidRDefault="00421E30" w:rsidP="000E63BD">
            <w:pPr>
              <w:jc w:val="center"/>
              <w:rPr>
                <w:color w:val="000000"/>
                <w:sz w:val="20"/>
                <w:szCs w:val="20"/>
                <w:lang w:eastAsia="en-US"/>
              </w:rPr>
            </w:pPr>
            <w:r w:rsidRPr="00131EED">
              <w:rPr>
                <w:color w:val="000000"/>
                <w:sz w:val="20"/>
                <w:szCs w:val="20"/>
                <w:lang w:eastAsia="en-US"/>
              </w:rPr>
              <w:t>Lenguazaque</w:t>
            </w:r>
          </w:p>
          <w:p w14:paraId="68CF6753" w14:textId="77777777" w:rsidR="00421E30" w:rsidRPr="00131EED" w:rsidRDefault="00421E30" w:rsidP="000E63BD">
            <w:pPr>
              <w:jc w:val="center"/>
              <w:rPr>
                <w:color w:val="000000"/>
                <w:sz w:val="20"/>
                <w:szCs w:val="20"/>
                <w:lang w:eastAsia="en-US"/>
              </w:rPr>
            </w:pPr>
            <w:r w:rsidRPr="00131EED">
              <w:rPr>
                <w:color w:val="000000"/>
                <w:sz w:val="20"/>
                <w:szCs w:val="20"/>
                <w:lang w:eastAsia="en-US"/>
              </w:rPr>
              <w:t>Pacho</w:t>
            </w:r>
          </w:p>
          <w:p w14:paraId="400B7A66" w14:textId="77BBD1C3" w:rsidR="000E63BD" w:rsidRPr="00131EED" w:rsidRDefault="00421E30" w:rsidP="000E63BD">
            <w:pPr>
              <w:jc w:val="center"/>
              <w:rPr>
                <w:color w:val="000000"/>
                <w:sz w:val="20"/>
                <w:szCs w:val="20"/>
                <w:lang w:eastAsia="en-US"/>
              </w:rPr>
            </w:pPr>
            <w:r w:rsidRPr="00131EED">
              <w:rPr>
                <w:color w:val="000000"/>
                <w:sz w:val="20"/>
                <w:szCs w:val="20"/>
                <w:lang w:eastAsia="en-US"/>
              </w:rPr>
              <w:t>Sutatausa</w:t>
            </w:r>
          </w:p>
        </w:tc>
        <w:tc>
          <w:tcPr>
            <w:tcW w:w="1410" w:type="pct"/>
            <w:vAlign w:val="center"/>
            <w:hideMark/>
          </w:tcPr>
          <w:p w14:paraId="4D4AD67A" w14:textId="77777777" w:rsidR="00421E30" w:rsidRPr="00131EED" w:rsidRDefault="000E63BD" w:rsidP="000E63BD">
            <w:pPr>
              <w:jc w:val="center"/>
              <w:rPr>
                <w:color w:val="000000"/>
                <w:sz w:val="20"/>
                <w:szCs w:val="20"/>
                <w:lang w:eastAsia="en-US"/>
              </w:rPr>
            </w:pPr>
            <w:r w:rsidRPr="00131EED">
              <w:rPr>
                <w:color w:val="000000"/>
                <w:sz w:val="20"/>
                <w:szCs w:val="20"/>
                <w:lang w:eastAsia="en-US"/>
              </w:rPr>
              <w:t>Albán</w:t>
            </w:r>
          </w:p>
          <w:p w14:paraId="4B12E661" w14:textId="77777777" w:rsidR="00421E30" w:rsidRPr="00131EED" w:rsidRDefault="00421E30" w:rsidP="000E63BD">
            <w:pPr>
              <w:jc w:val="center"/>
              <w:rPr>
                <w:color w:val="000000"/>
                <w:sz w:val="20"/>
                <w:szCs w:val="20"/>
                <w:lang w:eastAsia="en-US"/>
              </w:rPr>
            </w:pPr>
            <w:r w:rsidRPr="00131EED">
              <w:rPr>
                <w:color w:val="000000"/>
                <w:sz w:val="20"/>
                <w:szCs w:val="20"/>
                <w:lang w:eastAsia="en-US"/>
              </w:rPr>
              <w:t>Anolaima</w:t>
            </w:r>
          </w:p>
          <w:p w14:paraId="2F1CEBD5" w14:textId="77777777" w:rsidR="00421E30" w:rsidRPr="00131EED" w:rsidRDefault="00421E30" w:rsidP="000E63BD">
            <w:pPr>
              <w:jc w:val="center"/>
              <w:rPr>
                <w:color w:val="000000"/>
                <w:sz w:val="20"/>
                <w:szCs w:val="20"/>
                <w:lang w:eastAsia="en-US"/>
              </w:rPr>
            </w:pPr>
            <w:r w:rsidRPr="00131EED">
              <w:rPr>
                <w:color w:val="000000"/>
                <w:sz w:val="20"/>
                <w:szCs w:val="20"/>
                <w:lang w:eastAsia="en-US"/>
              </w:rPr>
              <w:t>Granada</w:t>
            </w:r>
          </w:p>
          <w:p w14:paraId="039026FF" w14:textId="77777777" w:rsidR="00421E30" w:rsidRPr="00131EED" w:rsidRDefault="00421E30" w:rsidP="000E63BD">
            <w:pPr>
              <w:jc w:val="center"/>
              <w:rPr>
                <w:color w:val="000000"/>
                <w:sz w:val="20"/>
                <w:szCs w:val="20"/>
                <w:lang w:eastAsia="en-US"/>
              </w:rPr>
            </w:pPr>
            <w:r w:rsidRPr="00131EED">
              <w:rPr>
                <w:color w:val="000000"/>
                <w:sz w:val="20"/>
                <w:szCs w:val="20"/>
                <w:lang w:eastAsia="en-US"/>
              </w:rPr>
              <w:t>La Vega</w:t>
            </w:r>
          </w:p>
          <w:p w14:paraId="4C34A53B" w14:textId="77777777" w:rsidR="00421E30" w:rsidRPr="00131EED" w:rsidRDefault="00421E30" w:rsidP="000E63BD">
            <w:pPr>
              <w:jc w:val="center"/>
              <w:rPr>
                <w:color w:val="000000"/>
                <w:sz w:val="20"/>
                <w:szCs w:val="20"/>
                <w:lang w:eastAsia="en-US"/>
              </w:rPr>
            </w:pPr>
            <w:r w:rsidRPr="00131EED">
              <w:rPr>
                <w:color w:val="000000"/>
                <w:sz w:val="20"/>
                <w:szCs w:val="20"/>
                <w:lang w:eastAsia="en-US"/>
              </w:rPr>
              <w:t>San Antonio Del Tequendama</w:t>
            </w:r>
          </w:p>
          <w:p w14:paraId="1AB3A2CD" w14:textId="77777777" w:rsidR="00421E30" w:rsidRPr="00131EED" w:rsidRDefault="00421E30" w:rsidP="000E63BD">
            <w:pPr>
              <w:jc w:val="center"/>
              <w:rPr>
                <w:color w:val="000000"/>
                <w:sz w:val="20"/>
                <w:szCs w:val="20"/>
                <w:lang w:eastAsia="en-US"/>
              </w:rPr>
            </w:pPr>
            <w:r w:rsidRPr="00131EED">
              <w:rPr>
                <w:color w:val="000000"/>
                <w:sz w:val="20"/>
                <w:szCs w:val="20"/>
                <w:lang w:eastAsia="en-US"/>
              </w:rPr>
              <w:t>San Francisco</w:t>
            </w:r>
          </w:p>
          <w:p w14:paraId="78794831" w14:textId="77777777" w:rsidR="00421E30" w:rsidRPr="00131EED" w:rsidRDefault="00421E30" w:rsidP="000E63BD">
            <w:pPr>
              <w:jc w:val="center"/>
              <w:rPr>
                <w:color w:val="000000"/>
                <w:sz w:val="20"/>
                <w:szCs w:val="20"/>
                <w:lang w:eastAsia="en-US"/>
              </w:rPr>
            </w:pPr>
            <w:r w:rsidRPr="00131EED">
              <w:rPr>
                <w:color w:val="000000"/>
                <w:sz w:val="20"/>
                <w:szCs w:val="20"/>
                <w:lang w:eastAsia="en-US"/>
              </w:rPr>
              <w:t>Sasaima</w:t>
            </w:r>
          </w:p>
          <w:p w14:paraId="5FD38911" w14:textId="77777777" w:rsidR="00421E30" w:rsidRPr="00131EED" w:rsidRDefault="00421E30" w:rsidP="000E63BD">
            <w:pPr>
              <w:jc w:val="center"/>
              <w:rPr>
                <w:color w:val="000000"/>
                <w:sz w:val="20"/>
                <w:szCs w:val="20"/>
                <w:lang w:eastAsia="en-US"/>
              </w:rPr>
            </w:pPr>
            <w:r w:rsidRPr="00131EED">
              <w:rPr>
                <w:color w:val="000000"/>
                <w:sz w:val="20"/>
                <w:szCs w:val="20"/>
                <w:lang w:eastAsia="en-US"/>
              </w:rPr>
              <w:t>Supatá</w:t>
            </w:r>
          </w:p>
          <w:p w14:paraId="13637DBD" w14:textId="513E4863" w:rsidR="000E63BD" w:rsidRPr="00131EED" w:rsidRDefault="00421E30" w:rsidP="000E63BD">
            <w:pPr>
              <w:jc w:val="center"/>
              <w:rPr>
                <w:color w:val="000000"/>
                <w:sz w:val="20"/>
                <w:szCs w:val="20"/>
                <w:lang w:eastAsia="en-US"/>
              </w:rPr>
            </w:pPr>
            <w:r w:rsidRPr="00131EED">
              <w:rPr>
                <w:color w:val="000000"/>
                <w:sz w:val="20"/>
                <w:szCs w:val="20"/>
                <w:lang w:eastAsia="en-US"/>
              </w:rPr>
              <w:t>Zipacón</w:t>
            </w:r>
          </w:p>
        </w:tc>
        <w:tc>
          <w:tcPr>
            <w:tcW w:w="1205" w:type="pct"/>
            <w:vAlign w:val="center"/>
            <w:hideMark/>
          </w:tcPr>
          <w:p w14:paraId="223BD229" w14:textId="77777777" w:rsidR="00421E30" w:rsidRPr="00131EED" w:rsidRDefault="000E63BD" w:rsidP="000E63BD">
            <w:pPr>
              <w:jc w:val="center"/>
              <w:rPr>
                <w:color w:val="000000"/>
                <w:sz w:val="20"/>
                <w:szCs w:val="20"/>
                <w:lang w:eastAsia="en-US"/>
              </w:rPr>
            </w:pPr>
            <w:r w:rsidRPr="00131EED">
              <w:rPr>
                <w:color w:val="000000"/>
                <w:sz w:val="20"/>
                <w:szCs w:val="20"/>
                <w:lang w:eastAsia="en-US"/>
              </w:rPr>
              <w:t>Pasca</w:t>
            </w:r>
          </w:p>
          <w:p w14:paraId="6BFA437C" w14:textId="77777777" w:rsidR="00421E30" w:rsidRPr="00131EED" w:rsidRDefault="00421E30" w:rsidP="000E63BD">
            <w:pPr>
              <w:jc w:val="center"/>
              <w:rPr>
                <w:color w:val="000000"/>
                <w:sz w:val="20"/>
                <w:szCs w:val="20"/>
                <w:lang w:eastAsia="en-US"/>
              </w:rPr>
            </w:pPr>
            <w:r w:rsidRPr="00131EED">
              <w:rPr>
                <w:color w:val="000000"/>
                <w:sz w:val="20"/>
                <w:szCs w:val="20"/>
                <w:lang w:eastAsia="en-US"/>
              </w:rPr>
              <w:t>Silvania</w:t>
            </w:r>
          </w:p>
          <w:p w14:paraId="7AFBEF05" w14:textId="77777777" w:rsidR="00421E30" w:rsidRPr="00131EED" w:rsidRDefault="00421E30" w:rsidP="000E63BD">
            <w:pPr>
              <w:jc w:val="center"/>
              <w:rPr>
                <w:color w:val="000000"/>
                <w:sz w:val="20"/>
                <w:szCs w:val="20"/>
                <w:lang w:eastAsia="en-US"/>
              </w:rPr>
            </w:pPr>
            <w:r w:rsidRPr="00131EED">
              <w:rPr>
                <w:color w:val="000000"/>
                <w:sz w:val="20"/>
                <w:szCs w:val="20"/>
                <w:lang w:eastAsia="en-US"/>
              </w:rPr>
              <w:t>Fusagasugá</w:t>
            </w:r>
          </w:p>
          <w:p w14:paraId="6ADB779A" w14:textId="2E0D8023" w:rsidR="000E63BD" w:rsidRPr="00131EED" w:rsidRDefault="00421E30" w:rsidP="000E63BD">
            <w:pPr>
              <w:jc w:val="center"/>
              <w:rPr>
                <w:color w:val="000000"/>
                <w:sz w:val="20"/>
                <w:szCs w:val="20"/>
                <w:lang w:eastAsia="en-US"/>
              </w:rPr>
            </w:pPr>
            <w:r w:rsidRPr="00131EED">
              <w:rPr>
                <w:color w:val="000000"/>
                <w:sz w:val="20"/>
                <w:szCs w:val="20"/>
                <w:lang w:eastAsia="en-US"/>
              </w:rPr>
              <w:t>Une</w:t>
            </w:r>
          </w:p>
        </w:tc>
      </w:tr>
    </w:tbl>
    <w:p w14:paraId="55E7FD8D" w14:textId="77777777" w:rsidR="00212A6F" w:rsidRPr="00131EED" w:rsidRDefault="00212A6F" w:rsidP="00212A6F">
      <w:pPr>
        <w:jc w:val="center"/>
      </w:pPr>
      <w:r w:rsidRPr="00131EED">
        <w:rPr>
          <w:sz w:val="20"/>
          <w:szCs w:val="20"/>
        </w:rPr>
        <w:t>Fuente: MinAmbiente, 2025.</w:t>
      </w:r>
    </w:p>
    <w:p w14:paraId="7CBC4FAD" w14:textId="3870B202" w:rsidR="00334033" w:rsidRPr="00131EED" w:rsidRDefault="00334033" w:rsidP="41F3BF4B">
      <w:pPr>
        <w:jc w:val="center"/>
      </w:pPr>
    </w:p>
    <w:p w14:paraId="3FFD5821" w14:textId="0467DC59" w:rsidR="00B74D14" w:rsidRPr="00131EED" w:rsidRDefault="00B74D14" w:rsidP="00B74D14">
      <w:pPr>
        <w:pStyle w:val="Caption"/>
        <w:keepNext/>
        <w:jc w:val="center"/>
      </w:pPr>
      <w:bookmarkStart w:id="43" w:name="_Toc216468915"/>
      <w:r w:rsidRPr="00131EED">
        <w:t xml:space="preserve">Tabla </w:t>
      </w:r>
      <w:fldSimple w:instr=" SEQ Tabla \* ARABIC ">
        <w:r w:rsidR="00CE096F">
          <w:rPr>
            <w:noProof/>
          </w:rPr>
          <w:t>5</w:t>
        </w:r>
      </w:fldSimple>
      <w:r w:rsidRPr="00131EED">
        <w:t>. Síntesis de municipios incorporados y colindantes al ámbito de aplicación propuesto.</w:t>
      </w:r>
      <w:bookmarkEnd w:id="43"/>
    </w:p>
    <w:tbl>
      <w:tblPr>
        <w:tblW w:w="5000" w:type="pct"/>
        <w:jc w:val="center"/>
        <w:tblLook w:val="04A0" w:firstRow="1" w:lastRow="0" w:firstColumn="1" w:lastColumn="0" w:noHBand="0" w:noVBand="1"/>
      </w:tblPr>
      <w:tblGrid>
        <w:gridCol w:w="6550"/>
        <w:gridCol w:w="2278"/>
      </w:tblGrid>
      <w:tr w:rsidR="00A9390F" w:rsidRPr="00131EED" w14:paraId="2761090E" w14:textId="77777777" w:rsidTr="00053167">
        <w:trPr>
          <w:trHeight w:val="288"/>
          <w:jc w:val="center"/>
        </w:trPr>
        <w:tc>
          <w:tcPr>
            <w:tcW w:w="3710" w:type="pct"/>
            <w:tcBorders>
              <w:top w:val="single" w:sz="4" w:space="0" w:color="auto"/>
              <w:left w:val="single" w:sz="4" w:space="0" w:color="auto"/>
              <w:bottom w:val="single" w:sz="4" w:space="0" w:color="auto"/>
              <w:right w:val="single" w:sz="4" w:space="0" w:color="auto"/>
            </w:tcBorders>
            <w:noWrap/>
            <w:vAlign w:val="center"/>
            <w:hideMark/>
          </w:tcPr>
          <w:p w14:paraId="21E30111" w14:textId="77777777" w:rsidR="00A9390F" w:rsidRPr="00131EED" w:rsidRDefault="00A9390F" w:rsidP="00C37DD8">
            <w:pPr>
              <w:jc w:val="center"/>
              <w:rPr>
                <w:b/>
                <w:sz w:val="20"/>
                <w:szCs w:val="20"/>
              </w:rPr>
            </w:pPr>
            <w:r w:rsidRPr="00131EED">
              <w:rPr>
                <w:b/>
                <w:sz w:val="20"/>
                <w:szCs w:val="20"/>
              </w:rPr>
              <w:t>Total de municipios colindantes</w:t>
            </w:r>
          </w:p>
        </w:tc>
        <w:tc>
          <w:tcPr>
            <w:tcW w:w="1290" w:type="pct"/>
            <w:tcBorders>
              <w:top w:val="single" w:sz="4" w:space="0" w:color="auto"/>
              <w:left w:val="nil"/>
              <w:bottom w:val="single" w:sz="4" w:space="0" w:color="auto"/>
              <w:right w:val="single" w:sz="4" w:space="0" w:color="auto"/>
            </w:tcBorders>
            <w:noWrap/>
            <w:vAlign w:val="center"/>
            <w:hideMark/>
          </w:tcPr>
          <w:p w14:paraId="1CACAC77" w14:textId="77777777" w:rsidR="00A9390F" w:rsidRPr="00131EED" w:rsidRDefault="00A9390F" w:rsidP="00C37DD8">
            <w:pPr>
              <w:jc w:val="center"/>
              <w:rPr>
                <w:sz w:val="20"/>
                <w:szCs w:val="20"/>
              </w:rPr>
            </w:pPr>
            <w:r w:rsidRPr="00131EED">
              <w:rPr>
                <w:sz w:val="20"/>
                <w:szCs w:val="20"/>
              </w:rPr>
              <w:t>20</w:t>
            </w:r>
          </w:p>
        </w:tc>
      </w:tr>
      <w:tr w:rsidR="00A9390F" w:rsidRPr="00131EED" w14:paraId="0338E6E6" w14:textId="77777777" w:rsidTr="00053167">
        <w:trPr>
          <w:trHeight w:val="288"/>
          <w:jc w:val="center"/>
        </w:trPr>
        <w:tc>
          <w:tcPr>
            <w:tcW w:w="3710" w:type="pct"/>
            <w:tcBorders>
              <w:top w:val="single" w:sz="4" w:space="0" w:color="auto"/>
              <w:left w:val="single" w:sz="4" w:space="0" w:color="auto"/>
              <w:bottom w:val="single" w:sz="4" w:space="0" w:color="auto"/>
              <w:right w:val="single" w:sz="4" w:space="0" w:color="auto"/>
            </w:tcBorders>
            <w:noWrap/>
            <w:vAlign w:val="center"/>
          </w:tcPr>
          <w:p w14:paraId="50A51DED" w14:textId="77777777" w:rsidR="00A9390F" w:rsidRPr="00131EED" w:rsidRDefault="00A9390F" w:rsidP="00C37DD8">
            <w:pPr>
              <w:jc w:val="center"/>
              <w:rPr>
                <w:b/>
                <w:sz w:val="20"/>
                <w:szCs w:val="20"/>
              </w:rPr>
            </w:pPr>
            <w:r w:rsidRPr="00131EED">
              <w:rPr>
                <w:b/>
                <w:sz w:val="20"/>
                <w:szCs w:val="20"/>
              </w:rPr>
              <w:t>Total de municipios que conforman el ámbito propuesto</w:t>
            </w:r>
          </w:p>
        </w:tc>
        <w:tc>
          <w:tcPr>
            <w:tcW w:w="1290" w:type="pct"/>
            <w:tcBorders>
              <w:top w:val="single" w:sz="4" w:space="0" w:color="auto"/>
              <w:left w:val="nil"/>
              <w:bottom w:val="single" w:sz="4" w:space="0" w:color="auto"/>
              <w:right w:val="single" w:sz="4" w:space="0" w:color="auto"/>
            </w:tcBorders>
            <w:noWrap/>
            <w:vAlign w:val="center"/>
          </w:tcPr>
          <w:p w14:paraId="6979DDA5" w14:textId="77777777" w:rsidR="00A9390F" w:rsidRPr="00131EED" w:rsidRDefault="00A9390F" w:rsidP="00C37DD8">
            <w:pPr>
              <w:jc w:val="center"/>
              <w:rPr>
                <w:sz w:val="20"/>
                <w:szCs w:val="20"/>
              </w:rPr>
            </w:pPr>
            <w:r w:rsidRPr="00131EED">
              <w:rPr>
                <w:sz w:val="20"/>
                <w:szCs w:val="20"/>
              </w:rPr>
              <w:t>31</w:t>
            </w:r>
          </w:p>
        </w:tc>
      </w:tr>
    </w:tbl>
    <w:p w14:paraId="2C86134D" w14:textId="7A9D0CFD" w:rsidR="00A9390F" w:rsidRPr="00131EED" w:rsidRDefault="00A9390F" w:rsidP="007F4498">
      <w:pPr>
        <w:jc w:val="center"/>
        <w:rPr>
          <w:sz w:val="20"/>
          <w:szCs w:val="20"/>
          <w:lang w:eastAsia="en-US"/>
        </w:rPr>
      </w:pPr>
      <w:r w:rsidRPr="00131EED">
        <w:rPr>
          <w:sz w:val="20"/>
          <w:szCs w:val="20"/>
        </w:rPr>
        <w:t>Fuente: MinAmbiente, 2025.</w:t>
      </w:r>
    </w:p>
    <w:p w14:paraId="1F988D9E" w14:textId="5F03FC37" w:rsidR="4E74A989" w:rsidRPr="00131EED" w:rsidRDefault="4E74A989" w:rsidP="007F4498"/>
    <w:p w14:paraId="4AE75714" w14:textId="3C0EF97E" w:rsidR="004A0223" w:rsidRPr="00131EED" w:rsidRDefault="006C4784" w:rsidP="006C4784">
      <w:pPr>
        <w:keepNext/>
      </w:pPr>
      <w:r w:rsidRPr="00131EED">
        <w:t xml:space="preserve">De acuerdo con lo anterior </w:t>
      </w:r>
      <w:r w:rsidR="00DD1C22" w:rsidRPr="00131EED">
        <w:t>se resalta que hay un</w:t>
      </w:r>
      <w:r w:rsidR="00E416BB" w:rsidRPr="00131EED">
        <w:t xml:space="preserve"> incremento </w:t>
      </w:r>
      <w:r w:rsidR="00DD1C22" w:rsidRPr="00131EED">
        <w:t xml:space="preserve">entre el ámbito de aplicación </w:t>
      </w:r>
      <w:r w:rsidR="00B00B75" w:rsidRPr="00131EED">
        <w:t xml:space="preserve">de la propuesta de resolución </w:t>
      </w:r>
      <w:r w:rsidR="00E416BB" w:rsidRPr="00131EED">
        <w:t>(427.162 ha + 6.756 m</w:t>
      </w:r>
      <w:r w:rsidR="00E416BB" w:rsidRPr="00131EED">
        <w:rPr>
          <w:vertAlign w:val="superscript"/>
        </w:rPr>
        <w:t>2</w:t>
      </w:r>
      <w:r w:rsidR="00E416BB" w:rsidRPr="00131EED">
        <w:t xml:space="preserve">) </w:t>
      </w:r>
      <w:r w:rsidR="00B00B75" w:rsidRPr="00131EED">
        <w:t>de 7.242 ha +7.565 m</w:t>
      </w:r>
      <w:r w:rsidR="00B00B75" w:rsidRPr="00131EED">
        <w:rPr>
          <w:vertAlign w:val="superscript"/>
        </w:rPr>
        <w:t>2</w:t>
      </w:r>
      <w:r w:rsidR="00B00B75" w:rsidRPr="00131EED">
        <w:t xml:space="preserve"> </w:t>
      </w:r>
      <w:r w:rsidR="00DD1C22" w:rsidRPr="00131EED">
        <w:t xml:space="preserve">con respecto al área </w:t>
      </w:r>
      <w:r w:rsidR="00807067" w:rsidRPr="00131EED">
        <w:t xml:space="preserve">reglamentada por la Resolución </w:t>
      </w:r>
      <w:r w:rsidR="00B60A30" w:rsidRPr="00131EED">
        <w:t>2001</w:t>
      </w:r>
      <w:r w:rsidR="009874DB" w:rsidRPr="00131EED">
        <w:t xml:space="preserve"> de 2016</w:t>
      </w:r>
      <w:r w:rsidR="00E416BB" w:rsidRPr="00131EED">
        <w:t xml:space="preserve"> (419.919 ha + 9.191 m²)</w:t>
      </w:r>
      <w:r w:rsidR="00DC4B76" w:rsidRPr="00131EED">
        <w:t>, lo anterior,</w:t>
      </w:r>
      <w:r w:rsidR="00420759" w:rsidRPr="00131EED">
        <w:t xml:space="preserve"> debido </w:t>
      </w:r>
      <w:r w:rsidR="00540285" w:rsidRPr="00131EED">
        <w:t>a</w:t>
      </w:r>
      <w:r w:rsidR="00211CD5" w:rsidRPr="00131EED">
        <w:t xml:space="preserve"> </w:t>
      </w:r>
      <w:r w:rsidR="00540285" w:rsidRPr="00131EED">
        <w:t>l</w:t>
      </w:r>
      <w:r w:rsidR="00211CD5" w:rsidRPr="00131EED">
        <w:t>os</w:t>
      </w:r>
      <w:r w:rsidR="00540285" w:rsidRPr="00131EED">
        <w:t xml:space="preserve"> ajuste</w:t>
      </w:r>
      <w:r w:rsidR="00211CD5" w:rsidRPr="00131EED">
        <w:t>s</w:t>
      </w:r>
      <w:r w:rsidR="00540285" w:rsidRPr="00131EED">
        <w:t xml:space="preserve"> </w:t>
      </w:r>
      <w:r w:rsidR="00B00B75" w:rsidRPr="00131EED">
        <w:t>realizado</w:t>
      </w:r>
      <w:r w:rsidR="00211CD5" w:rsidRPr="00131EED">
        <w:t>s de acuerdo con los parámetros enlistados en la tabla 2</w:t>
      </w:r>
      <w:r w:rsidR="00C24BC3" w:rsidRPr="00131EED">
        <w:t xml:space="preserve">, </w:t>
      </w:r>
      <w:r w:rsidR="00F23DC3" w:rsidRPr="00131EED">
        <w:t>en especial</w:t>
      </w:r>
      <w:r w:rsidR="00C24BC3" w:rsidRPr="00131EED">
        <w:t xml:space="preserve"> los derivados </w:t>
      </w:r>
      <w:r w:rsidR="00F23DC3" w:rsidRPr="00131EED">
        <w:t>del ajuste del</w:t>
      </w:r>
      <w:r w:rsidR="00540285" w:rsidRPr="00131EED">
        <w:t xml:space="preserve"> área de la cuenca alta y media del Rio Bogotá</w:t>
      </w:r>
      <w:r w:rsidR="00053C1A" w:rsidRPr="00131EED">
        <w:t>, la cual cuenta con</w:t>
      </w:r>
      <w:r w:rsidR="005A6A0D" w:rsidRPr="00131EED">
        <w:t xml:space="preserve"> 429</w:t>
      </w:r>
      <w:r w:rsidR="006A551D" w:rsidRPr="00131EED">
        <w:t>.</w:t>
      </w:r>
      <w:r w:rsidR="005A6A0D" w:rsidRPr="00131EED">
        <w:t>528 ha + 8.3221</w:t>
      </w:r>
      <w:r w:rsidR="006A551D" w:rsidRPr="00131EED">
        <w:t xml:space="preserve"> m</w:t>
      </w:r>
      <w:r w:rsidR="006A551D" w:rsidRPr="00131EED">
        <w:rPr>
          <w:vertAlign w:val="superscript"/>
        </w:rPr>
        <w:t>2</w:t>
      </w:r>
      <w:r w:rsidR="00053C1A" w:rsidRPr="00131EED">
        <w:t xml:space="preserve"> y cuya diferencia de área con </w:t>
      </w:r>
      <w:r w:rsidR="000E235D" w:rsidRPr="00131EED">
        <w:t xml:space="preserve">respecto a </w:t>
      </w:r>
      <w:r w:rsidR="00B00B75" w:rsidRPr="00131EED">
        <w:t xml:space="preserve">la </w:t>
      </w:r>
      <w:r w:rsidR="00F23DC3" w:rsidRPr="00131EED">
        <w:t>Resolución</w:t>
      </w:r>
      <w:r w:rsidR="00B00B75" w:rsidRPr="00131EED">
        <w:t xml:space="preserve"> 2001 de 2016 y el ámbito de aplicación es de </w:t>
      </w:r>
      <w:r w:rsidR="00247165" w:rsidRPr="00131EED">
        <w:t>9.608 ha + 9131 m2</w:t>
      </w:r>
      <w:r w:rsidR="00E416BB" w:rsidRPr="00131EED">
        <w:t xml:space="preserve"> y 2.366 ha + 1566 m2</w:t>
      </w:r>
      <w:r w:rsidR="00247165" w:rsidRPr="00131EED">
        <w:t xml:space="preserve"> respectivamente.</w:t>
      </w:r>
    </w:p>
    <w:p w14:paraId="7C08B3D8" w14:textId="77777777" w:rsidR="001A5F93" w:rsidRPr="00131EED" w:rsidRDefault="001A5F93" w:rsidP="4E74A989">
      <w:pPr>
        <w:keepNext/>
        <w:jc w:val="center"/>
      </w:pPr>
    </w:p>
    <w:p w14:paraId="010A089E" w14:textId="763DEE89" w:rsidR="00F23DC3" w:rsidRPr="00131EED" w:rsidRDefault="00F23DC3" w:rsidP="00F23DC3">
      <w:pPr>
        <w:pStyle w:val="Caption"/>
        <w:keepNext/>
        <w:jc w:val="center"/>
      </w:pPr>
      <w:bookmarkStart w:id="44" w:name="_Toc216468916"/>
      <w:r w:rsidRPr="00131EED">
        <w:t xml:space="preserve">Tabla </w:t>
      </w:r>
      <w:fldSimple w:instr=" SEQ Tabla \* ARABIC ">
        <w:r w:rsidR="00CE096F">
          <w:rPr>
            <w:noProof/>
          </w:rPr>
          <w:t>6</w:t>
        </w:r>
      </w:fldSimple>
      <w:r w:rsidRPr="00131EED">
        <w:t xml:space="preserve">. Comparativo de áreas - insumos para la </w:t>
      </w:r>
      <w:r w:rsidR="001B34D9" w:rsidRPr="00131EED">
        <w:t>definición</w:t>
      </w:r>
      <w:r w:rsidRPr="00131EED">
        <w:t xml:space="preserve"> del ámbito de aplicación de la propuesta de resolución.</w:t>
      </w:r>
      <w:bookmarkEnd w:id="44"/>
    </w:p>
    <w:tbl>
      <w:tblPr>
        <w:tblStyle w:val="TableGrid"/>
        <w:tblW w:w="0" w:type="auto"/>
        <w:jc w:val="center"/>
        <w:tblLook w:val="04A0" w:firstRow="1" w:lastRow="0" w:firstColumn="1" w:lastColumn="0" w:noHBand="0" w:noVBand="1"/>
      </w:tblPr>
      <w:tblGrid>
        <w:gridCol w:w="2942"/>
        <w:gridCol w:w="2943"/>
        <w:gridCol w:w="2943"/>
      </w:tblGrid>
      <w:tr w:rsidR="00B168B6" w:rsidRPr="00131EED" w14:paraId="7AD094BC" w14:textId="77777777" w:rsidTr="009874DB">
        <w:trPr>
          <w:jc w:val="center"/>
        </w:trPr>
        <w:tc>
          <w:tcPr>
            <w:tcW w:w="2942" w:type="dxa"/>
            <w:vAlign w:val="center"/>
          </w:tcPr>
          <w:p w14:paraId="6ACC6EC9" w14:textId="5D4FECFF" w:rsidR="00B168B6" w:rsidRPr="00131EED" w:rsidRDefault="00B168B6" w:rsidP="009874DB">
            <w:pPr>
              <w:keepNext/>
              <w:jc w:val="center"/>
            </w:pPr>
            <w:r w:rsidRPr="00131EED">
              <w:t>Área Res 2001 de 2016</w:t>
            </w:r>
          </w:p>
        </w:tc>
        <w:tc>
          <w:tcPr>
            <w:tcW w:w="2943" w:type="dxa"/>
            <w:vAlign w:val="center"/>
          </w:tcPr>
          <w:p w14:paraId="3FC30005" w14:textId="44C3C3C9" w:rsidR="00B168B6" w:rsidRPr="00131EED" w:rsidRDefault="00B168B6" w:rsidP="009874DB">
            <w:pPr>
              <w:keepNext/>
              <w:jc w:val="center"/>
            </w:pPr>
            <w:r w:rsidRPr="00131EED">
              <w:t>Área Cuenca Media y Alta del Río Bogotá (POMCA)</w:t>
            </w:r>
          </w:p>
        </w:tc>
        <w:tc>
          <w:tcPr>
            <w:tcW w:w="2943" w:type="dxa"/>
            <w:vAlign w:val="center"/>
          </w:tcPr>
          <w:p w14:paraId="36E4990F" w14:textId="305864C0" w:rsidR="00B168B6" w:rsidRPr="00131EED" w:rsidRDefault="00B168B6" w:rsidP="009874DB">
            <w:pPr>
              <w:keepNext/>
              <w:jc w:val="center"/>
            </w:pPr>
            <w:r w:rsidRPr="00131EED">
              <w:t xml:space="preserve">Área Ámbito </w:t>
            </w:r>
            <w:r w:rsidR="009874DB" w:rsidRPr="00131EED">
              <w:t>Propuesta de Resolución</w:t>
            </w:r>
          </w:p>
        </w:tc>
      </w:tr>
      <w:tr w:rsidR="00B168B6" w:rsidRPr="00131EED" w14:paraId="5319E82D" w14:textId="77777777" w:rsidTr="009874DB">
        <w:trPr>
          <w:jc w:val="center"/>
        </w:trPr>
        <w:tc>
          <w:tcPr>
            <w:tcW w:w="2942" w:type="dxa"/>
            <w:vAlign w:val="center"/>
          </w:tcPr>
          <w:p w14:paraId="2EE6EAA8" w14:textId="2C2DA67A" w:rsidR="00B168B6" w:rsidRPr="00131EED" w:rsidRDefault="00AE4DDC" w:rsidP="00AE4DDC">
            <w:pPr>
              <w:keepNext/>
              <w:jc w:val="center"/>
            </w:pPr>
            <w:r w:rsidRPr="00131EED">
              <w:t>419.919 ha + 9.191 m</w:t>
            </w:r>
            <w:r w:rsidRPr="00131EED">
              <w:rPr>
                <w:vertAlign w:val="superscript"/>
              </w:rPr>
              <w:t>2</w:t>
            </w:r>
          </w:p>
        </w:tc>
        <w:tc>
          <w:tcPr>
            <w:tcW w:w="2943" w:type="dxa"/>
            <w:vAlign w:val="center"/>
          </w:tcPr>
          <w:p w14:paraId="6BC4FA55" w14:textId="36C4D649" w:rsidR="00B168B6" w:rsidRPr="00131EED" w:rsidRDefault="00D3052C" w:rsidP="009874DB">
            <w:pPr>
              <w:keepNext/>
              <w:jc w:val="center"/>
            </w:pPr>
            <w:r w:rsidRPr="00131EED">
              <w:t>429.528 ha + 8.322 m</w:t>
            </w:r>
            <w:r w:rsidRPr="00131EED">
              <w:rPr>
                <w:vertAlign w:val="superscript"/>
              </w:rPr>
              <w:t>2</w:t>
            </w:r>
          </w:p>
        </w:tc>
        <w:tc>
          <w:tcPr>
            <w:tcW w:w="2943" w:type="dxa"/>
            <w:vAlign w:val="center"/>
          </w:tcPr>
          <w:p w14:paraId="7EC47DC5" w14:textId="00023632" w:rsidR="00B168B6" w:rsidRPr="00131EED" w:rsidRDefault="00AE4DDC" w:rsidP="009874DB">
            <w:pPr>
              <w:keepNext/>
              <w:jc w:val="center"/>
            </w:pPr>
            <w:r w:rsidRPr="00131EED">
              <w:t>427.162 ha + 6.756 m</w:t>
            </w:r>
            <w:r w:rsidRPr="00131EED">
              <w:rPr>
                <w:vertAlign w:val="superscript"/>
              </w:rPr>
              <w:t>2</w:t>
            </w:r>
          </w:p>
        </w:tc>
      </w:tr>
    </w:tbl>
    <w:p w14:paraId="03026F12" w14:textId="5A70B7E8" w:rsidR="000E235D" w:rsidRPr="00131EED" w:rsidRDefault="00F23DC3" w:rsidP="4E74A989">
      <w:pPr>
        <w:keepNext/>
        <w:jc w:val="center"/>
        <w:rPr>
          <w:sz w:val="20"/>
          <w:szCs w:val="20"/>
        </w:rPr>
      </w:pPr>
      <w:r w:rsidRPr="00131EED">
        <w:rPr>
          <w:sz w:val="20"/>
          <w:szCs w:val="20"/>
        </w:rPr>
        <w:t>Fuente: Elaboración propia MADS (2025)</w:t>
      </w:r>
    </w:p>
    <w:p w14:paraId="71287F37" w14:textId="77777777" w:rsidR="001B34D9" w:rsidRPr="00131EED" w:rsidRDefault="001B34D9" w:rsidP="00A9390F">
      <w:pPr>
        <w:pStyle w:val="Caption"/>
        <w:jc w:val="center"/>
      </w:pPr>
    </w:p>
    <w:p w14:paraId="7F6871E3" w14:textId="4EA2F7E9" w:rsidR="00A9390F" w:rsidRPr="00131EED" w:rsidRDefault="00A9390F" w:rsidP="00A9390F">
      <w:pPr>
        <w:pStyle w:val="Caption"/>
        <w:jc w:val="center"/>
      </w:pPr>
      <w:bookmarkStart w:id="45" w:name="_Toc216468776"/>
      <w:r w:rsidRPr="00131EED">
        <w:t xml:space="preserve">Ilustración </w:t>
      </w:r>
      <w:fldSimple w:instr=" SEQ Ilustración \* ARABIC ">
        <w:r w:rsidR="00CE096F">
          <w:rPr>
            <w:noProof/>
          </w:rPr>
          <w:t>11</w:t>
        </w:r>
      </w:fldSimple>
      <w:r w:rsidRPr="00131EED">
        <w:t>. Ámbito de aplicación - Proyecto de Directrices para el Ordenamiento Ambiental de la Sabana de Bogotá.</w:t>
      </w:r>
      <w:bookmarkEnd w:id="45"/>
    </w:p>
    <w:p w14:paraId="7481B04A" w14:textId="278AB81E" w:rsidR="007379C0" w:rsidRPr="00131EED" w:rsidRDefault="007379C0" w:rsidP="007379C0">
      <w:pPr>
        <w:pStyle w:val="Caption"/>
        <w:jc w:val="center"/>
      </w:pPr>
      <w:r w:rsidRPr="00131EED">
        <w:rPr>
          <w:noProof/>
        </w:rPr>
        <w:drawing>
          <wp:inline distT="0" distB="0" distL="0" distR="0" wp14:anchorId="02724304" wp14:editId="050C1194">
            <wp:extent cx="3264811" cy="4225636"/>
            <wp:effectExtent l="0" t="0" r="0" b="3810"/>
            <wp:docPr id="1974558705" name="Picture 48" descr="A map of a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558705" name="Picture 48" descr="A map of a country&#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271320" cy="4234060"/>
                    </a:xfrm>
                    <a:prstGeom prst="rect">
                      <a:avLst/>
                    </a:prstGeom>
                    <a:noFill/>
                    <a:ln>
                      <a:noFill/>
                    </a:ln>
                  </pic:spPr>
                </pic:pic>
              </a:graphicData>
            </a:graphic>
          </wp:inline>
        </w:drawing>
      </w:r>
    </w:p>
    <w:p w14:paraId="471991BD" w14:textId="74EC1C92" w:rsidR="00EB35E2" w:rsidRPr="00131EED" w:rsidRDefault="00EB35E2" w:rsidP="00EB35E2">
      <w:pPr>
        <w:keepNext/>
        <w:jc w:val="center"/>
        <w:rPr>
          <w:sz w:val="20"/>
          <w:szCs w:val="20"/>
        </w:rPr>
      </w:pPr>
      <w:r w:rsidRPr="00131EED">
        <w:rPr>
          <w:sz w:val="20"/>
          <w:szCs w:val="20"/>
        </w:rPr>
        <w:t>Fuente: MinAmbiente, 2025.</w:t>
      </w:r>
    </w:p>
    <w:p w14:paraId="3B704EA7" w14:textId="753B94EB" w:rsidR="00A9390F" w:rsidRPr="00131EED" w:rsidRDefault="00A9390F" w:rsidP="006845C5">
      <w:pPr>
        <w:keepNext/>
        <w:jc w:val="center"/>
      </w:pPr>
    </w:p>
    <w:p w14:paraId="434F547F" w14:textId="77777777" w:rsidR="0049275E" w:rsidRPr="00131EED" w:rsidRDefault="0049275E" w:rsidP="0031155D">
      <w:pPr>
        <w:rPr>
          <w:lang w:eastAsia="en-US"/>
        </w:rPr>
      </w:pPr>
    </w:p>
    <w:p w14:paraId="651490E7" w14:textId="7A140C3D" w:rsidR="007F4498" w:rsidRPr="00131EED" w:rsidRDefault="00B31DB7" w:rsidP="00B31DB7">
      <w:pPr>
        <w:rPr>
          <w:lang w:eastAsia="en-US"/>
        </w:rPr>
      </w:pPr>
      <w:r w:rsidRPr="00131EED">
        <w:rPr>
          <w:lang w:eastAsia="en-US"/>
        </w:rPr>
        <w:t>A continuación</w:t>
      </w:r>
      <w:r w:rsidR="00A663A4" w:rsidRPr="00131EED">
        <w:rPr>
          <w:lang w:eastAsia="en-US"/>
        </w:rPr>
        <w:t>,</w:t>
      </w:r>
      <w:r w:rsidRPr="00131EED">
        <w:rPr>
          <w:lang w:eastAsia="en-US"/>
        </w:rPr>
        <w:t xml:space="preserve"> se relaciona el porcentaje</w:t>
      </w:r>
      <w:r w:rsidR="00A663A4" w:rsidRPr="00131EED">
        <w:rPr>
          <w:lang w:eastAsia="en-US"/>
        </w:rPr>
        <w:t xml:space="preserve"> del área municipal al interior del ámbito de aplicación por ente territorial, así:</w:t>
      </w:r>
    </w:p>
    <w:p w14:paraId="13B0A0C3" w14:textId="77777777" w:rsidR="00A663A4" w:rsidRPr="00131EED" w:rsidRDefault="00A663A4" w:rsidP="00B31DB7">
      <w:pPr>
        <w:rPr>
          <w:lang w:eastAsia="en-US"/>
        </w:rPr>
      </w:pPr>
    </w:p>
    <w:p w14:paraId="533B0093" w14:textId="4CC449F9" w:rsidR="00475BFA" w:rsidRPr="00131EED" w:rsidRDefault="00475BFA" w:rsidP="00475BFA">
      <w:pPr>
        <w:pStyle w:val="Caption"/>
        <w:keepNext/>
        <w:jc w:val="center"/>
      </w:pPr>
      <w:bookmarkStart w:id="46" w:name="_Toc216468917"/>
      <w:r w:rsidRPr="00131EED">
        <w:t xml:space="preserve">Tabla </w:t>
      </w:r>
      <w:fldSimple w:instr=" SEQ Tabla \* ARABIC ">
        <w:r w:rsidR="00CE096F">
          <w:rPr>
            <w:noProof/>
          </w:rPr>
          <w:t>7</w:t>
        </w:r>
      </w:fldSimple>
      <w:r w:rsidRPr="00131EED">
        <w:t>. Porcentaje estimado de área municipal al interior del ámbito de aplicación.</w:t>
      </w:r>
      <w:bookmarkEnd w:id="46"/>
    </w:p>
    <w:tbl>
      <w:tblPr>
        <w:tblW w:w="7223" w:type="dxa"/>
        <w:jc w:val="center"/>
        <w:tblLook w:val="04A0" w:firstRow="1" w:lastRow="0" w:firstColumn="1" w:lastColumn="0" w:noHBand="0" w:noVBand="1"/>
      </w:tblPr>
      <w:tblGrid>
        <w:gridCol w:w="1323"/>
        <w:gridCol w:w="1860"/>
        <w:gridCol w:w="2600"/>
        <w:gridCol w:w="1440"/>
      </w:tblGrid>
      <w:tr w:rsidR="00827420" w:rsidRPr="00131EED" w14:paraId="2A822C75" w14:textId="77777777" w:rsidTr="00980C91">
        <w:trPr>
          <w:trHeight w:val="288"/>
          <w:jc w:val="center"/>
        </w:trPr>
        <w:tc>
          <w:tcPr>
            <w:tcW w:w="1323" w:type="dxa"/>
            <w:tcBorders>
              <w:top w:val="single" w:sz="4" w:space="0" w:color="auto"/>
              <w:left w:val="single" w:sz="4" w:space="0" w:color="auto"/>
              <w:bottom w:val="single" w:sz="4" w:space="0" w:color="auto"/>
              <w:right w:val="single" w:sz="4" w:space="0" w:color="auto"/>
            </w:tcBorders>
            <w:noWrap/>
            <w:vAlign w:val="center"/>
            <w:hideMark/>
          </w:tcPr>
          <w:p w14:paraId="089DA09C" w14:textId="77777777" w:rsidR="00827420" w:rsidRPr="00131EED" w:rsidRDefault="00827420" w:rsidP="00827420">
            <w:pPr>
              <w:jc w:val="center"/>
              <w:rPr>
                <w:b/>
                <w:bCs/>
                <w:color w:val="000000"/>
                <w:sz w:val="20"/>
                <w:szCs w:val="20"/>
                <w:lang w:eastAsia="en-US"/>
              </w:rPr>
            </w:pPr>
            <w:r w:rsidRPr="00131EED">
              <w:rPr>
                <w:b/>
                <w:bCs/>
                <w:color w:val="000000"/>
                <w:sz w:val="20"/>
                <w:szCs w:val="20"/>
                <w:lang w:eastAsia="en-US"/>
              </w:rPr>
              <w:t>Municipio</w:t>
            </w:r>
          </w:p>
        </w:tc>
        <w:tc>
          <w:tcPr>
            <w:tcW w:w="1860" w:type="dxa"/>
            <w:tcBorders>
              <w:top w:val="single" w:sz="4" w:space="0" w:color="auto"/>
              <w:left w:val="nil"/>
              <w:bottom w:val="single" w:sz="4" w:space="0" w:color="auto"/>
              <w:right w:val="single" w:sz="4" w:space="0" w:color="auto"/>
            </w:tcBorders>
            <w:noWrap/>
            <w:vAlign w:val="center"/>
            <w:hideMark/>
          </w:tcPr>
          <w:p w14:paraId="22272936" w14:textId="77777777" w:rsidR="00827420" w:rsidRPr="00131EED" w:rsidRDefault="00827420" w:rsidP="00827420">
            <w:pPr>
              <w:jc w:val="center"/>
              <w:rPr>
                <w:b/>
                <w:bCs/>
                <w:color w:val="000000"/>
                <w:sz w:val="20"/>
                <w:szCs w:val="20"/>
                <w:lang w:eastAsia="en-US"/>
              </w:rPr>
            </w:pPr>
            <w:r w:rsidRPr="00131EED">
              <w:rPr>
                <w:b/>
                <w:bCs/>
                <w:color w:val="000000"/>
                <w:sz w:val="20"/>
                <w:szCs w:val="20"/>
                <w:lang w:eastAsia="en-US"/>
              </w:rPr>
              <w:t>Área Municipio (ha)</w:t>
            </w:r>
          </w:p>
        </w:tc>
        <w:tc>
          <w:tcPr>
            <w:tcW w:w="2600" w:type="dxa"/>
            <w:tcBorders>
              <w:top w:val="single" w:sz="4" w:space="0" w:color="auto"/>
              <w:left w:val="nil"/>
              <w:bottom w:val="single" w:sz="4" w:space="0" w:color="auto"/>
              <w:right w:val="single" w:sz="4" w:space="0" w:color="auto"/>
            </w:tcBorders>
            <w:noWrap/>
            <w:vAlign w:val="center"/>
            <w:hideMark/>
          </w:tcPr>
          <w:p w14:paraId="5364C8BC" w14:textId="5348C3C2" w:rsidR="00827420" w:rsidRPr="00131EED" w:rsidRDefault="00827420" w:rsidP="00827420">
            <w:pPr>
              <w:jc w:val="center"/>
              <w:rPr>
                <w:b/>
                <w:bCs/>
                <w:color w:val="000000"/>
                <w:sz w:val="20"/>
                <w:szCs w:val="20"/>
                <w:lang w:eastAsia="en-US"/>
              </w:rPr>
            </w:pPr>
            <w:r w:rsidRPr="00131EED">
              <w:rPr>
                <w:b/>
                <w:bCs/>
                <w:color w:val="000000"/>
                <w:sz w:val="20"/>
                <w:szCs w:val="20"/>
                <w:lang w:eastAsia="en-US"/>
              </w:rPr>
              <w:t>Área dentro del Ámbito (ha)</w:t>
            </w:r>
          </w:p>
        </w:tc>
        <w:tc>
          <w:tcPr>
            <w:tcW w:w="1440" w:type="dxa"/>
            <w:tcBorders>
              <w:top w:val="single" w:sz="4" w:space="0" w:color="auto"/>
              <w:left w:val="nil"/>
              <w:bottom w:val="single" w:sz="4" w:space="0" w:color="auto"/>
              <w:right w:val="single" w:sz="4" w:space="0" w:color="auto"/>
            </w:tcBorders>
            <w:noWrap/>
            <w:vAlign w:val="center"/>
            <w:hideMark/>
          </w:tcPr>
          <w:p w14:paraId="5C75B3DE" w14:textId="77777777" w:rsidR="00827420" w:rsidRPr="00131EED" w:rsidRDefault="00827420" w:rsidP="00827420">
            <w:pPr>
              <w:jc w:val="center"/>
              <w:rPr>
                <w:b/>
                <w:bCs/>
                <w:color w:val="000000"/>
                <w:sz w:val="20"/>
                <w:szCs w:val="20"/>
                <w:lang w:eastAsia="en-US"/>
              </w:rPr>
            </w:pPr>
            <w:r w:rsidRPr="00131EED">
              <w:rPr>
                <w:b/>
                <w:bCs/>
                <w:color w:val="000000"/>
                <w:sz w:val="20"/>
                <w:szCs w:val="20"/>
                <w:lang w:eastAsia="en-US"/>
              </w:rPr>
              <w:t>Porcentaje (%)</w:t>
            </w:r>
          </w:p>
        </w:tc>
      </w:tr>
      <w:tr w:rsidR="00980C91" w:rsidRPr="00131EED" w14:paraId="507CC407"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5EF0520E" w14:textId="77777777" w:rsidR="00980C91" w:rsidRPr="00131EED" w:rsidRDefault="00980C91" w:rsidP="00980C91">
            <w:pPr>
              <w:jc w:val="center"/>
              <w:rPr>
                <w:color w:val="000000"/>
                <w:sz w:val="20"/>
                <w:szCs w:val="20"/>
                <w:lang w:eastAsia="en-US"/>
              </w:rPr>
            </w:pPr>
            <w:r w:rsidRPr="00131EED">
              <w:rPr>
                <w:color w:val="000000"/>
                <w:sz w:val="20"/>
                <w:szCs w:val="20"/>
                <w:lang w:eastAsia="en-US"/>
              </w:rPr>
              <w:t>Bogotá D.C.</w:t>
            </w:r>
          </w:p>
        </w:tc>
        <w:tc>
          <w:tcPr>
            <w:tcW w:w="1860" w:type="dxa"/>
            <w:tcBorders>
              <w:top w:val="nil"/>
              <w:left w:val="nil"/>
              <w:bottom w:val="single" w:sz="4" w:space="0" w:color="auto"/>
              <w:right w:val="single" w:sz="4" w:space="0" w:color="auto"/>
            </w:tcBorders>
            <w:noWrap/>
            <w:vAlign w:val="center"/>
            <w:hideMark/>
          </w:tcPr>
          <w:p w14:paraId="4488BCDA" w14:textId="6836AE0C" w:rsidR="00980C91" w:rsidRPr="00131EED" w:rsidRDefault="00980C91" w:rsidP="00980C91">
            <w:pPr>
              <w:jc w:val="center"/>
              <w:rPr>
                <w:color w:val="000000"/>
                <w:sz w:val="20"/>
                <w:szCs w:val="20"/>
                <w:lang w:eastAsia="en-US"/>
              </w:rPr>
            </w:pPr>
            <w:r w:rsidRPr="00131EED">
              <w:rPr>
                <w:color w:val="000000"/>
                <w:sz w:val="20"/>
                <w:szCs w:val="20"/>
                <w:lang w:eastAsia="en-US"/>
              </w:rPr>
              <w:t>162094.</w:t>
            </w:r>
            <w:r w:rsidRPr="00131EED">
              <w:rPr>
                <w:color w:val="000000"/>
                <w:sz w:val="20"/>
                <w:szCs w:val="20"/>
              </w:rPr>
              <w:t>19</w:t>
            </w:r>
          </w:p>
        </w:tc>
        <w:tc>
          <w:tcPr>
            <w:tcW w:w="2600" w:type="dxa"/>
            <w:tcBorders>
              <w:top w:val="nil"/>
              <w:left w:val="nil"/>
              <w:bottom w:val="single" w:sz="4" w:space="0" w:color="auto"/>
              <w:right w:val="single" w:sz="4" w:space="0" w:color="auto"/>
            </w:tcBorders>
            <w:noWrap/>
            <w:vAlign w:val="center"/>
            <w:hideMark/>
          </w:tcPr>
          <w:p w14:paraId="4CC1C1E6" w14:textId="2218A38D" w:rsidR="00980C91" w:rsidRPr="00131EED" w:rsidRDefault="00980C91" w:rsidP="00980C91">
            <w:pPr>
              <w:jc w:val="center"/>
              <w:rPr>
                <w:color w:val="000000"/>
                <w:sz w:val="20"/>
                <w:szCs w:val="20"/>
                <w:lang w:eastAsia="en-US"/>
              </w:rPr>
            </w:pPr>
            <w:r w:rsidRPr="00131EED">
              <w:rPr>
                <w:color w:val="000000"/>
                <w:sz w:val="20"/>
                <w:szCs w:val="20"/>
                <w:lang w:eastAsia="en-US"/>
              </w:rPr>
              <w:t>84518.</w:t>
            </w:r>
            <w:r w:rsidRPr="00131EED">
              <w:rPr>
                <w:color w:val="000000"/>
                <w:sz w:val="20"/>
                <w:szCs w:val="20"/>
              </w:rPr>
              <w:t>02</w:t>
            </w:r>
          </w:p>
        </w:tc>
        <w:tc>
          <w:tcPr>
            <w:tcW w:w="1440" w:type="dxa"/>
            <w:tcBorders>
              <w:top w:val="nil"/>
              <w:left w:val="nil"/>
              <w:bottom w:val="single" w:sz="4" w:space="0" w:color="auto"/>
              <w:right w:val="single" w:sz="4" w:space="0" w:color="auto"/>
            </w:tcBorders>
            <w:noWrap/>
            <w:vAlign w:val="center"/>
            <w:hideMark/>
          </w:tcPr>
          <w:p w14:paraId="40387211" w14:textId="77777777" w:rsidR="00980C91" w:rsidRPr="00131EED" w:rsidRDefault="00980C91" w:rsidP="00980C91">
            <w:pPr>
              <w:jc w:val="center"/>
              <w:rPr>
                <w:color w:val="000000"/>
                <w:sz w:val="20"/>
                <w:szCs w:val="20"/>
                <w:lang w:eastAsia="en-US"/>
              </w:rPr>
            </w:pPr>
            <w:r w:rsidRPr="00131EED">
              <w:rPr>
                <w:color w:val="000000"/>
                <w:sz w:val="20"/>
                <w:szCs w:val="20"/>
                <w:lang w:eastAsia="en-US"/>
              </w:rPr>
              <w:t>52.14</w:t>
            </w:r>
          </w:p>
        </w:tc>
      </w:tr>
      <w:tr w:rsidR="00980C91" w:rsidRPr="00131EED" w14:paraId="3079A7C1"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5D790FD1" w14:textId="77777777" w:rsidR="00980C91" w:rsidRPr="00131EED" w:rsidRDefault="00980C91" w:rsidP="00980C91">
            <w:pPr>
              <w:jc w:val="center"/>
              <w:rPr>
                <w:color w:val="000000"/>
                <w:sz w:val="20"/>
                <w:szCs w:val="20"/>
                <w:lang w:eastAsia="en-US"/>
              </w:rPr>
            </w:pPr>
            <w:r w:rsidRPr="00131EED">
              <w:rPr>
                <w:color w:val="000000"/>
                <w:sz w:val="20"/>
                <w:szCs w:val="20"/>
                <w:lang w:eastAsia="en-US"/>
              </w:rPr>
              <w:t>Chipaque</w:t>
            </w:r>
          </w:p>
        </w:tc>
        <w:tc>
          <w:tcPr>
            <w:tcW w:w="1860" w:type="dxa"/>
            <w:tcBorders>
              <w:top w:val="nil"/>
              <w:left w:val="nil"/>
              <w:bottom w:val="single" w:sz="4" w:space="0" w:color="auto"/>
              <w:right w:val="single" w:sz="4" w:space="0" w:color="auto"/>
            </w:tcBorders>
            <w:noWrap/>
            <w:vAlign w:val="center"/>
            <w:hideMark/>
          </w:tcPr>
          <w:p w14:paraId="0860A583" w14:textId="17229070" w:rsidR="00980C91" w:rsidRPr="00131EED" w:rsidRDefault="00980C91" w:rsidP="00980C91">
            <w:pPr>
              <w:jc w:val="center"/>
              <w:rPr>
                <w:color w:val="000000"/>
                <w:sz w:val="20"/>
                <w:szCs w:val="20"/>
                <w:lang w:eastAsia="en-US"/>
              </w:rPr>
            </w:pPr>
            <w:r w:rsidRPr="00131EED">
              <w:rPr>
                <w:color w:val="000000"/>
                <w:sz w:val="20"/>
                <w:szCs w:val="20"/>
                <w:lang w:eastAsia="en-US"/>
              </w:rPr>
              <w:t>15038.86</w:t>
            </w:r>
          </w:p>
        </w:tc>
        <w:tc>
          <w:tcPr>
            <w:tcW w:w="2600" w:type="dxa"/>
            <w:tcBorders>
              <w:top w:val="nil"/>
              <w:left w:val="nil"/>
              <w:bottom w:val="single" w:sz="4" w:space="0" w:color="auto"/>
              <w:right w:val="single" w:sz="4" w:space="0" w:color="auto"/>
            </w:tcBorders>
            <w:noWrap/>
            <w:vAlign w:val="center"/>
            <w:hideMark/>
          </w:tcPr>
          <w:p w14:paraId="7EBA4B3B" w14:textId="1D06350C" w:rsidR="00980C91" w:rsidRPr="00131EED" w:rsidRDefault="00980C91" w:rsidP="00980C91">
            <w:pPr>
              <w:jc w:val="center"/>
              <w:rPr>
                <w:color w:val="000000"/>
                <w:sz w:val="20"/>
                <w:szCs w:val="20"/>
                <w:lang w:eastAsia="en-US"/>
              </w:rPr>
            </w:pPr>
            <w:r w:rsidRPr="00131EED">
              <w:rPr>
                <w:color w:val="000000"/>
                <w:sz w:val="20"/>
                <w:szCs w:val="20"/>
                <w:lang w:eastAsia="en-US"/>
              </w:rPr>
              <w:t>512.</w:t>
            </w:r>
            <w:r w:rsidRPr="00131EED">
              <w:rPr>
                <w:color w:val="000000"/>
                <w:sz w:val="20"/>
                <w:szCs w:val="20"/>
              </w:rPr>
              <w:t>11</w:t>
            </w:r>
          </w:p>
        </w:tc>
        <w:tc>
          <w:tcPr>
            <w:tcW w:w="1440" w:type="dxa"/>
            <w:tcBorders>
              <w:top w:val="nil"/>
              <w:left w:val="nil"/>
              <w:bottom w:val="single" w:sz="4" w:space="0" w:color="auto"/>
              <w:right w:val="single" w:sz="4" w:space="0" w:color="auto"/>
            </w:tcBorders>
            <w:noWrap/>
            <w:vAlign w:val="center"/>
            <w:hideMark/>
          </w:tcPr>
          <w:p w14:paraId="4BE522EC" w14:textId="77777777" w:rsidR="00980C91" w:rsidRPr="00131EED" w:rsidRDefault="00980C91" w:rsidP="00980C91">
            <w:pPr>
              <w:jc w:val="center"/>
              <w:rPr>
                <w:color w:val="000000"/>
                <w:sz w:val="20"/>
                <w:szCs w:val="20"/>
                <w:lang w:eastAsia="en-US"/>
              </w:rPr>
            </w:pPr>
            <w:r w:rsidRPr="00131EED">
              <w:rPr>
                <w:color w:val="000000"/>
                <w:sz w:val="20"/>
                <w:szCs w:val="20"/>
                <w:lang w:eastAsia="en-US"/>
              </w:rPr>
              <w:t>3.41</w:t>
            </w:r>
          </w:p>
        </w:tc>
      </w:tr>
      <w:tr w:rsidR="00980C91" w:rsidRPr="00131EED" w14:paraId="7FF70A79"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46255FCB" w14:textId="77777777" w:rsidR="00980C91" w:rsidRPr="00131EED" w:rsidRDefault="00980C91" w:rsidP="00980C91">
            <w:pPr>
              <w:jc w:val="center"/>
              <w:rPr>
                <w:color w:val="000000"/>
                <w:sz w:val="20"/>
                <w:szCs w:val="20"/>
                <w:lang w:eastAsia="en-US"/>
              </w:rPr>
            </w:pPr>
            <w:r w:rsidRPr="00131EED">
              <w:rPr>
                <w:color w:val="000000"/>
                <w:sz w:val="20"/>
                <w:szCs w:val="20"/>
                <w:lang w:eastAsia="en-US"/>
              </w:rPr>
              <w:t>Sibaté</w:t>
            </w:r>
          </w:p>
        </w:tc>
        <w:tc>
          <w:tcPr>
            <w:tcW w:w="1860" w:type="dxa"/>
            <w:tcBorders>
              <w:top w:val="nil"/>
              <w:left w:val="nil"/>
              <w:bottom w:val="single" w:sz="4" w:space="0" w:color="auto"/>
              <w:right w:val="single" w:sz="4" w:space="0" w:color="auto"/>
            </w:tcBorders>
            <w:noWrap/>
            <w:vAlign w:val="center"/>
            <w:hideMark/>
          </w:tcPr>
          <w:p w14:paraId="22D8CFEE" w14:textId="04A4115E" w:rsidR="00980C91" w:rsidRPr="00131EED" w:rsidRDefault="00980C91" w:rsidP="00980C91">
            <w:pPr>
              <w:jc w:val="center"/>
              <w:rPr>
                <w:color w:val="000000"/>
                <w:sz w:val="20"/>
                <w:szCs w:val="20"/>
                <w:lang w:eastAsia="en-US"/>
              </w:rPr>
            </w:pPr>
            <w:r w:rsidRPr="00131EED">
              <w:rPr>
                <w:color w:val="000000"/>
                <w:sz w:val="20"/>
                <w:szCs w:val="20"/>
                <w:lang w:eastAsia="en-US"/>
              </w:rPr>
              <w:t>12202.</w:t>
            </w:r>
            <w:r w:rsidRPr="00131EED">
              <w:rPr>
                <w:color w:val="000000"/>
                <w:sz w:val="20"/>
                <w:szCs w:val="20"/>
              </w:rPr>
              <w:t>26</w:t>
            </w:r>
          </w:p>
        </w:tc>
        <w:tc>
          <w:tcPr>
            <w:tcW w:w="2600" w:type="dxa"/>
            <w:tcBorders>
              <w:top w:val="nil"/>
              <w:left w:val="nil"/>
              <w:bottom w:val="single" w:sz="4" w:space="0" w:color="auto"/>
              <w:right w:val="single" w:sz="4" w:space="0" w:color="auto"/>
            </w:tcBorders>
            <w:noWrap/>
            <w:vAlign w:val="center"/>
            <w:hideMark/>
          </w:tcPr>
          <w:p w14:paraId="72ADA77D" w14:textId="64786E40" w:rsidR="00980C91" w:rsidRPr="00131EED" w:rsidRDefault="00980C91" w:rsidP="00980C91">
            <w:pPr>
              <w:jc w:val="center"/>
              <w:rPr>
                <w:color w:val="000000"/>
                <w:sz w:val="20"/>
                <w:szCs w:val="20"/>
                <w:lang w:eastAsia="en-US"/>
              </w:rPr>
            </w:pPr>
            <w:r w:rsidRPr="00131EED">
              <w:rPr>
                <w:color w:val="000000"/>
                <w:sz w:val="20"/>
                <w:szCs w:val="20"/>
                <w:lang w:eastAsia="en-US"/>
              </w:rPr>
              <w:t>9460.</w:t>
            </w:r>
            <w:r w:rsidRPr="00131EED">
              <w:rPr>
                <w:color w:val="000000"/>
                <w:sz w:val="20"/>
                <w:szCs w:val="20"/>
              </w:rPr>
              <w:t>59</w:t>
            </w:r>
          </w:p>
        </w:tc>
        <w:tc>
          <w:tcPr>
            <w:tcW w:w="1440" w:type="dxa"/>
            <w:tcBorders>
              <w:top w:val="nil"/>
              <w:left w:val="nil"/>
              <w:bottom w:val="single" w:sz="4" w:space="0" w:color="auto"/>
              <w:right w:val="single" w:sz="4" w:space="0" w:color="auto"/>
            </w:tcBorders>
            <w:noWrap/>
            <w:vAlign w:val="center"/>
            <w:hideMark/>
          </w:tcPr>
          <w:p w14:paraId="0AFF51F0" w14:textId="77777777" w:rsidR="00980C91" w:rsidRPr="00131EED" w:rsidRDefault="00980C91" w:rsidP="00980C91">
            <w:pPr>
              <w:jc w:val="center"/>
              <w:rPr>
                <w:color w:val="000000"/>
                <w:sz w:val="20"/>
                <w:szCs w:val="20"/>
                <w:lang w:eastAsia="en-US"/>
              </w:rPr>
            </w:pPr>
            <w:r w:rsidRPr="00131EED">
              <w:rPr>
                <w:color w:val="000000"/>
                <w:sz w:val="20"/>
                <w:szCs w:val="20"/>
                <w:lang w:eastAsia="en-US"/>
              </w:rPr>
              <w:t>77.53</w:t>
            </w:r>
          </w:p>
        </w:tc>
      </w:tr>
      <w:tr w:rsidR="00980C91" w:rsidRPr="00131EED" w14:paraId="4A545642"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4359BD31" w14:textId="77777777" w:rsidR="00980C91" w:rsidRPr="00131EED" w:rsidRDefault="00980C91" w:rsidP="00980C91">
            <w:pPr>
              <w:jc w:val="center"/>
              <w:rPr>
                <w:color w:val="000000"/>
                <w:sz w:val="20"/>
                <w:szCs w:val="20"/>
                <w:lang w:eastAsia="en-US"/>
              </w:rPr>
            </w:pPr>
            <w:r w:rsidRPr="00131EED">
              <w:rPr>
                <w:color w:val="000000"/>
                <w:sz w:val="20"/>
                <w:szCs w:val="20"/>
                <w:lang w:eastAsia="en-US"/>
              </w:rPr>
              <w:t>Soacha</w:t>
            </w:r>
          </w:p>
        </w:tc>
        <w:tc>
          <w:tcPr>
            <w:tcW w:w="1860" w:type="dxa"/>
            <w:tcBorders>
              <w:top w:val="nil"/>
              <w:left w:val="nil"/>
              <w:bottom w:val="single" w:sz="4" w:space="0" w:color="auto"/>
              <w:right w:val="single" w:sz="4" w:space="0" w:color="auto"/>
            </w:tcBorders>
            <w:noWrap/>
            <w:vAlign w:val="center"/>
            <w:hideMark/>
          </w:tcPr>
          <w:p w14:paraId="64BBD6BE" w14:textId="34C12A51" w:rsidR="00980C91" w:rsidRPr="00131EED" w:rsidRDefault="00980C91" w:rsidP="00980C91">
            <w:pPr>
              <w:jc w:val="center"/>
              <w:rPr>
                <w:color w:val="000000"/>
                <w:sz w:val="20"/>
                <w:szCs w:val="20"/>
                <w:lang w:eastAsia="en-US"/>
              </w:rPr>
            </w:pPr>
            <w:r w:rsidRPr="00131EED">
              <w:rPr>
                <w:color w:val="000000"/>
                <w:sz w:val="20"/>
                <w:szCs w:val="20"/>
                <w:lang w:eastAsia="en-US"/>
              </w:rPr>
              <w:t>18726.71</w:t>
            </w:r>
          </w:p>
        </w:tc>
        <w:tc>
          <w:tcPr>
            <w:tcW w:w="2600" w:type="dxa"/>
            <w:tcBorders>
              <w:top w:val="nil"/>
              <w:left w:val="nil"/>
              <w:bottom w:val="single" w:sz="4" w:space="0" w:color="auto"/>
              <w:right w:val="single" w:sz="4" w:space="0" w:color="auto"/>
            </w:tcBorders>
            <w:noWrap/>
            <w:vAlign w:val="center"/>
            <w:hideMark/>
          </w:tcPr>
          <w:p w14:paraId="152A1DFA" w14:textId="1FE85213" w:rsidR="00980C91" w:rsidRPr="00131EED" w:rsidRDefault="00980C91" w:rsidP="00980C91">
            <w:pPr>
              <w:jc w:val="center"/>
              <w:rPr>
                <w:color w:val="000000"/>
                <w:sz w:val="20"/>
                <w:szCs w:val="20"/>
                <w:lang w:eastAsia="en-US"/>
              </w:rPr>
            </w:pPr>
            <w:r w:rsidRPr="00131EED">
              <w:rPr>
                <w:color w:val="000000"/>
                <w:sz w:val="20"/>
                <w:szCs w:val="20"/>
                <w:lang w:eastAsia="en-US"/>
              </w:rPr>
              <w:t>17703.</w:t>
            </w:r>
            <w:r w:rsidRPr="00131EED">
              <w:rPr>
                <w:color w:val="000000"/>
                <w:sz w:val="20"/>
                <w:szCs w:val="20"/>
              </w:rPr>
              <w:t>95</w:t>
            </w:r>
          </w:p>
        </w:tc>
        <w:tc>
          <w:tcPr>
            <w:tcW w:w="1440" w:type="dxa"/>
            <w:tcBorders>
              <w:top w:val="nil"/>
              <w:left w:val="nil"/>
              <w:bottom w:val="single" w:sz="4" w:space="0" w:color="auto"/>
              <w:right w:val="single" w:sz="4" w:space="0" w:color="auto"/>
            </w:tcBorders>
            <w:noWrap/>
            <w:vAlign w:val="center"/>
            <w:hideMark/>
          </w:tcPr>
          <w:p w14:paraId="0BCCC954" w14:textId="77777777" w:rsidR="00980C91" w:rsidRPr="00131EED" w:rsidRDefault="00980C91" w:rsidP="00980C91">
            <w:pPr>
              <w:jc w:val="center"/>
              <w:rPr>
                <w:color w:val="000000"/>
                <w:sz w:val="20"/>
                <w:szCs w:val="20"/>
                <w:lang w:eastAsia="en-US"/>
              </w:rPr>
            </w:pPr>
            <w:r w:rsidRPr="00131EED">
              <w:rPr>
                <w:color w:val="000000"/>
                <w:sz w:val="20"/>
                <w:szCs w:val="20"/>
                <w:lang w:eastAsia="en-US"/>
              </w:rPr>
              <w:t>94.54</w:t>
            </w:r>
          </w:p>
        </w:tc>
      </w:tr>
      <w:tr w:rsidR="00980C91" w:rsidRPr="00131EED" w14:paraId="34CEF814"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207E0B67" w14:textId="77777777" w:rsidR="00980C91" w:rsidRPr="00131EED" w:rsidRDefault="00980C91" w:rsidP="00980C91">
            <w:pPr>
              <w:jc w:val="center"/>
              <w:rPr>
                <w:color w:val="000000"/>
                <w:sz w:val="20"/>
                <w:szCs w:val="20"/>
                <w:lang w:eastAsia="en-US"/>
              </w:rPr>
            </w:pPr>
            <w:r w:rsidRPr="00131EED">
              <w:rPr>
                <w:color w:val="000000"/>
                <w:sz w:val="20"/>
                <w:szCs w:val="20"/>
                <w:lang w:eastAsia="en-US"/>
              </w:rPr>
              <w:t>Mosquera</w:t>
            </w:r>
          </w:p>
        </w:tc>
        <w:tc>
          <w:tcPr>
            <w:tcW w:w="1860" w:type="dxa"/>
            <w:tcBorders>
              <w:top w:val="nil"/>
              <w:left w:val="nil"/>
              <w:bottom w:val="single" w:sz="4" w:space="0" w:color="auto"/>
              <w:right w:val="single" w:sz="4" w:space="0" w:color="auto"/>
            </w:tcBorders>
            <w:noWrap/>
            <w:vAlign w:val="center"/>
            <w:hideMark/>
          </w:tcPr>
          <w:p w14:paraId="1E8837B3" w14:textId="057EED4C" w:rsidR="00980C91" w:rsidRPr="00131EED" w:rsidRDefault="00980C91" w:rsidP="00980C91">
            <w:pPr>
              <w:jc w:val="center"/>
              <w:rPr>
                <w:color w:val="000000"/>
                <w:sz w:val="20"/>
                <w:szCs w:val="20"/>
                <w:lang w:eastAsia="en-US"/>
              </w:rPr>
            </w:pPr>
            <w:r w:rsidRPr="00131EED">
              <w:rPr>
                <w:color w:val="000000"/>
                <w:sz w:val="20"/>
                <w:szCs w:val="20"/>
                <w:lang w:eastAsia="en-US"/>
              </w:rPr>
              <w:t>10583.92</w:t>
            </w:r>
          </w:p>
        </w:tc>
        <w:tc>
          <w:tcPr>
            <w:tcW w:w="2600" w:type="dxa"/>
            <w:tcBorders>
              <w:top w:val="nil"/>
              <w:left w:val="nil"/>
              <w:bottom w:val="single" w:sz="4" w:space="0" w:color="auto"/>
              <w:right w:val="single" w:sz="4" w:space="0" w:color="auto"/>
            </w:tcBorders>
            <w:noWrap/>
            <w:vAlign w:val="center"/>
            <w:hideMark/>
          </w:tcPr>
          <w:p w14:paraId="6ACD9A3A" w14:textId="2C5D0D89" w:rsidR="00980C91" w:rsidRPr="00131EED" w:rsidRDefault="00D5799C" w:rsidP="00980C91">
            <w:pPr>
              <w:jc w:val="center"/>
              <w:rPr>
                <w:color w:val="000000"/>
                <w:sz w:val="20"/>
                <w:szCs w:val="20"/>
                <w:lang w:eastAsia="en-US"/>
              </w:rPr>
            </w:pPr>
            <w:r w:rsidRPr="00131EED">
              <w:rPr>
                <w:color w:val="000000"/>
                <w:sz w:val="20"/>
                <w:szCs w:val="20"/>
                <w:lang w:eastAsia="en-US"/>
              </w:rPr>
              <w:t>10583.92</w:t>
            </w:r>
          </w:p>
        </w:tc>
        <w:tc>
          <w:tcPr>
            <w:tcW w:w="1440" w:type="dxa"/>
            <w:tcBorders>
              <w:top w:val="nil"/>
              <w:left w:val="nil"/>
              <w:bottom w:val="single" w:sz="4" w:space="0" w:color="auto"/>
              <w:right w:val="single" w:sz="4" w:space="0" w:color="auto"/>
            </w:tcBorders>
            <w:noWrap/>
            <w:vAlign w:val="center"/>
            <w:hideMark/>
          </w:tcPr>
          <w:p w14:paraId="6CA298DB" w14:textId="0077F03F" w:rsidR="00980C91" w:rsidRPr="00131EED" w:rsidRDefault="00980C91" w:rsidP="00980C91">
            <w:pPr>
              <w:jc w:val="center"/>
              <w:rPr>
                <w:color w:val="000000"/>
                <w:sz w:val="20"/>
                <w:szCs w:val="20"/>
                <w:lang w:eastAsia="en-US"/>
              </w:rPr>
            </w:pPr>
            <w:r w:rsidRPr="00131EED">
              <w:rPr>
                <w:color w:val="000000"/>
                <w:sz w:val="20"/>
                <w:szCs w:val="20"/>
                <w:lang w:eastAsia="en-US"/>
              </w:rPr>
              <w:t>100</w:t>
            </w:r>
          </w:p>
        </w:tc>
      </w:tr>
      <w:tr w:rsidR="00980C91" w:rsidRPr="00131EED" w14:paraId="3D8AD447"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030FEE1D" w14:textId="77777777" w:rsidR="00980C91" w:rsidRPr="00131EED" w:rsidRDefault="00980C91" w:rsidP="00980C91">
            <w:pPr>
              <w:jc w:val="center"/>
              <w:rPr>
                <w:color w:val="000000"/>
                <w:sz w:val="20"/>
                <w:szCs w:val="20"/>
                <w:lang w:eastAsia="en-US"/>
              </w:rPr>
            </w:pPr>
            <w:r w:rsidRPr="00131EED">
              <w:rPr>
                <w:color w:val="000000"/>
                <w:sz w:val="20"/>
                <w:szCs w:val="20"/>
                <w:lang w:eastAsia="en-US"/>
              </w:rPr>
              <w:t>Bojacá</w:t>
            </w:r>
          </w:p>
        </w:tc>
        <w:tc>
          <w:tcPr>
            <w:tcW w:w="1860" w:type="dxa"/>
            <w:tcBorders>
              <w:top w:val="nil"/>
              <w:left w:val="nil"/>
              <w:bottom w:val="single" w:sz="4" w:space="0" w:color="auto"/>
              <w:right w:val="single" w:sz="4" w:space="0" w:color="auto"/>
            </w:tcBorders>
            <w:noWrap/>
            <w:vAlign w:val="center"/>
            <w:hideMark/>
          </w:tcPr>
          <w:p w14:paraId="152E6FA8" w14:textId="04C0B754" w:rsidR="00980C91" w:rsidRPr="00131EED" w:rsidRDefault="00980C91" w:rsidP="00980C91">
            <w:pPr>
              <w:jc w:val="center"/>
              <w:rPr>
                <w:color w:val="000000"/>
                <w:sz w:val="20"/>
                <w:szCs w:val="20"/>
                <w:lang w:eastAsia="en-US"/>
              </w:rPr>
            </w:pPr>
            <w:r w:rsidRPr="00131EED">
              <w:rPr>
                <w:color w:val="000000"/>
                <w:sz w:val="20"/>
                <w:szCs w:val="20"/>
                <w:lang w:eastAsia="en-US"/>
              </w:rPr>
              <w:t>10222.71</w:t>
            </w:r>
          </w:p>
        </w:tc>
        <w:tc>
          <w:tcPr>
            <w:tcW w:w="2600" w:type="dxa"/>
            <w:tcBorders>
              <w:top w:val="nil"/>
              <w:left w:val="nil"/>
              <w:bottom w:val="single" w:sz="4" w:space="0" w:color="auto"/>
              <w:right w:val="single" w:sz="4" w:space="0" w:color="auto"/>
            </w:tcBorders>
            <w:noWrap/>
            <w:vAlign w:val="center"/>
            <w:hideMark/>
          </w:tcPr>
          <w:p w14:paraId="317E3E73" w14:textId="37163542" w:rsidR="00980C91" w:rsidRPr="00131EED" w:rsidRDefault="00980C91" w:rsidP="00980C91">
            <w:pPr>
              <w:jc w:val="center"/>
              <w:rPr>
                <w:color w:val="000000"/>
                <w:sz w:val="20"/>
                <w:szCs w:val="20"/>
                <w:lang w:eastAsia="en-US"/>
              </w:rPr>
            </w:pPr>
            <w:r w:rsidRPr="00131EED">
              <w:rPr>
                <w:color w:val="000000"/>
                <w:sz w:val="20"/>
                <w:szCs w:val="20"/>
                <w:lang w:eastAsia="en-US"/>
              </w:rPr>
              <w:t>10220.</w:t>
            </w:r>
            <w:r w:rsidRPr="00131EED">
              <w:rPr>
                <w:color w:val="000000"/>
                <w:sz w:val="20"/>
                <w:szCs w:val="20"/>
              </w:rPr>
              <w:t>75</w:t>
            </w:r>
          </w:p>
        </w:tc>
        <w:tc>
          <w:tcPr>
            <w:tcW w:w="1440" w:type="dxa"/>
            <w:tcBorders>
              <w:top w:val="nil"/>
              <w:left w:val="nil"/>
              <w:bottom w:val="single" w:sz="4" w:space="0" w:color="auto"/>
              <w:right w:val="single" w:sz="4" w:space="0" w:color="auto"/>
            </w:tcBorders>
            <w:noWrap/>
            <w:vAlign w:val="center"/>
            <w:hideMark/>
          </w:tcPr>
          <w:p w14:paraId="532E9805" w14:textId="77777777" w:rsidR="00980C91" w:rsidRPr="00131EED" w:rsidRDefault="00980C91" w:rsidP="00980C91">
            <w:pPr>
              <w:jc w:val="center"/>
              <w:rPr>
                <w:color w:val="000000"/>
                <w:sz w:val="20"/>
                <w:szCs w:val="20"/>
                <w:lang w:eastAsia="en-US"/>
              </w:rPr>
            </w:pPr>
            <w:r w:rsidRPr="00131EED">
              <w:rPr>
                <w:color w:val="000000"/>
                <w:sz w:val="20"/>
                <w:szCs w:val="20"/>
                <w:lang w:eastAsia="en-US"/>
              </w:rPr>
              <w:t>99.98</w:t>
            </w:r>
          </w:p>
        </w:tc>
      </w:tr>
      <w:tr w:rsidR="00980C91" w:rsidRPr="00131EED" w14:paraId="57057322"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11FE872E" w14:textId="77777777" w:rsidR="00980C91" w:rsidRPr="00131EED" w:rsidRDefault="00980C91" w:rsidP="00980C91">
            <w:pPr>
              <w:jc w:val="center"/>
              <w:rPr>
                <w:color w:val="000000"/>
                <w:sz w:val="20"/>
                <w:szCs w:val="20"/>
                <w:lang w:eastAsia="en-US"/>
              </w:rPr>
            </w:pPr>
            <w:r w:rsidRPr="00131EED">
              <w:rPr>
                <w:color w:val="000000"/>
                <w:sz w:val="20"/>
                <w:szCs w:val="20"/>
                <w:lang w:eastAsia="en-US"/>
              </w:rPr>
              <w:t>Funza</w:t>
            </w:r>
          </w:p>
        </w:tc>
        <w:tc>
          <w:tcPr>
            <w:tcW w:w="1860" w:type="dxa"/>
            <w:tcBorders>
              <w:top w:val="nil"/>
              <w:left w:val="nil"/>
              <w:bottom w:val="single" w:sz="4" w:space="0" w:color="auto"/>
              <w:right w:val="single" w:sz="4" w:space="0" w:color="auto"/>
            </w:tcBorders>
            <w:noWrap/>
            <w:vAlign w:val="center"/>
            <w:hideMark/>
          </w:tcPr>
          <w:p w14:paraId="6C94ABF3" w14:textId="01559D63" w:rsidR="00980C91" w:rsidRPr="00131EED" w:rsidRDefault="00980C91" w:rsidP="00980C91">
            <w:pPr>
              <w:jc w:val="center"/>
              <w:rPr>
                <w:color w:val="000000"/>
                <w:sz w:val="20"/>
                <w:szCs w:val="20"/>
                <w:lang w:eastAsia="en-US"/>
              </w:rPr>
            </w:pPr>
            <w:r w:rsidRPr="00131EED">
              <w:rPr>
                <w:color w:val="000000"/>
                <w:sz w:val="20"/>
                <w:szCs w:val="20"/>
                <w:lang w:eastAsia="en-US"/>
              </w:rPr>
              <w:t>6766.</w:t>
            </w:r>
            <w:r w:rsidRPr="00131EED">
              <w:rPr>
                <w:color w:val="000000"/>
                <w:sz w:val="20"/>
                <w:szCs w:val="20"/>
              </w:rPr>
              <w:t>85</w:t>
            </w:r>
          </w:p>
        </w:tc>
        <w:tc>
          <w:tcPr>
            <w:tcW w:w="2600" w:type="dxa"/>
            <w:tcBorders>
              <w:top w:val="nil"/>
              <w:left w:val="nil"/>
              <w:bottom w:val="single" w:sz="4" w:space="0" w:color="auto"/>
              <w:right w:val="single" w:sz="4" w:space="0" w:color="auto"/>
            </w:tcBorders>
            <w:noWrap/>
            <w:vAlign w:val="center"/>
            <w:hideMark/>
          </w:tcPr>
          <w:p w14:paraId="1E958AFB" w14:textId="17C47AA5" w:rsidR="00980C91" w:rsidRPr="00131EED" w:rsidRDefault="006A5279" w:rsidP="00980C91">
            <w:pPr>
              <w:jc w:val="center"/>
              <w:rPr>
                <w:color w:val="000000"/>
                <w:sz w:val="20"/>
                <w:szCs w:val="20"/>
                <w:lang w:eastAsia="en-US"/>
              </w:rPr>
            </w:pPr>
            <w:r w:rsidRPr="00131EED">
              <w:rPr>
                <w:color w:val="000000"/>
                <w:sz w:val="20"/>
                <w:szCs w:val="20"/>
                <w:lang w:eastAsia="en-US"/>
              </w:rPr>
              <w:t>6766.</w:t>
            </w:r>
            <w:r w:rsidRPr="00131EED">
              <w:rPr>
                <w:color w:val="000000"/>
                <w:sz w:val="20"/>
                <w:szCs w:val="20"/>
              </w:rPr>
              <w:t>85</w:t>
            </w:r>
          </w:p>
        </w:tc>
        <w:tc>
          <w:tcPr>
            <w:tcW w:w="1440" w:type="dxa"/>
            <w:tcBorders>
              <w:top w:val="nil"/>
              <w:left w:val="nil"/>
              <w:bottom w:val="single" w:sz="4" w:space="0" w:color="auto"/>
              <w:right w:val="single" w:sz="4" w:space="0" w:color="auto"/>
            </w:tcBorders>
            <w:noWrap/>
            <w:vAlign w:val="center"/>
            <w:hideMark/>
          </w:tcPr>
          <w:p w14:paraId="6A0182D7" w14:textId="0778B2A3" w:rsidR="00980C91" w:rsidRPr="00131EED" w:rsidRDefault="00980C91" w:rsidP="00980C91">
            <w:pPr>
              <w:jc w:val="center"/>
              <w:rPr>
                <w:color w:val="000000"/>
                <w:sz w:val="20"/>
                <w:szCs w:val="20"/>
                <w:lang w:eastAsia="en-US"/>
              </w:rPr>
            </w:pPr>
            <w:r w:rsidRPr="00131EED">
              <w:rPr>
                <w:color w:val="000000"/>
                <w:sz w:val="20"/>
                <w:szCs w:val="20"/>
                <w:lang w:eastAsia="en-US"/>
              </w:rPr>
              <w:t>10</w:t>
            </w:r>
            <w:r w:rsidR="006A5279" w:rsidRPr="00131EED">
              <w:rPr>
                <w:color w:val="000000"/>
                <w:sz w:val="20"/>
                <w:szCs w:val="20"/>
                <w:lang w:eastAsia="en-US"/>
              </w:rPr>
              <w:t>0</w:t>
            </w:r>
          </w:p>
        </w:tc>
      </w:tr>
      <w:tr w:rsidR="00980C91" w:rsidRPr="00131EED" w14:paraId="4A6FAC1D"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071EB0F4" w14:textId="77777777" w:rsidR="00980C91" w:rsidRPr="00131EED" w:rsidRDefault="00980C91" w:rsidP="00980C91">
            <w:pPr>
              <w:jc w:val="center"/>
              <w:rPr>
                <w:color w:val="000000"/>
                <w:sz w:val="20"/>
                <w:szCs w:val="20"/>
                <w:lang w:eastAsia="en-US"/>
              </w:rPr>
            </w:pPr>
            <w:r w:rsidRPr="00131EED">
              <w:rPr>
                <w:color w:val="000000"/>
                <w:sz w:val="20"/>
                <w:szCs w:val="20"/>
                <w:lang w:eastAsia="en-US"/>
              </w:rPr>
              <w:t>La Calera</w:t>
            </w:r>
          </w:p>
        </w:tc>
        <w:tc>
          <w:tcPr>
            <w:tcW w:w="1860" w:type="dxa"/>
            <w:tcBorders>
              <w:top w:val="nil"/>
              <w:left w:val="nil"/>
              <w:bottom w:val="single" w:sz="4" w:space="0" w:color="auto"/>
              <w:right w:val="single" w:sz="4" w:space="0" w:color="auto"/>
            </w:tcBorders>
            <w:noWrap/>
            <w:vAlign w:val="center"/>
            <w:hideMark/>
          </w:tcPr>
          <w:p w14:paraId="3F772CB3" w14:textId="6BB22818" w:rsidR="00980C91" w:rsidRPr="00131EED" w:rsidRDefault="00980C91" w:rsidP="00980C91">
            <w:pPr>
              <w:jc w:val="center"/>
              <w:rPr>
                <w:color w:val="000000"/>
                <w:sz w:val="20"/>
                <w:szCs w:val="20"/>
                <w:lang w:eastAsia="en-US"/>
              </w:rPr>
            </w:pPr>
            <w:r w:rsidRPr="00131EED">
              <w:rPr>
                <w:color w:val="000000"/>
                <w:sz w:val="20"/>
                <w:szCs w:val="20"/>
                <w:lang w:eastAsia="en-US"/>
              </w:rPr>
              <w:t>32605.</w:t>
            </w:r>
            <w:r w:rsidRPr="00131EED">
              <w:rPr>
                <w:color w:val="000000"/>
                <w:sz w:val="20"/>
                <w:szCs w:val="20"/>
              </w:rPr>
              <w:t>51</w:t>
            </w:r>
          </w:p>
        </w:tc>
        <w:tc>
          <w:tcPr>
            <w:tcW w:w="2600" w:type="dxa"/>
            <w:tcBorders>
              <w:top w:val="nil"/>
              <w:left w:val="nil"/>
              <w:bottom w:val="single" w:sz="4" w:space="0" w:color="auto"/>
              <w:right w:val="single" w:sz="4" w:space="0" w:color="auto"/>
            </w:tcBorders>
            <w:noWrap/>
            <w:vAlign w:val="center"/>
            <w:hideMark/>
          </w:tcPr>
          <w:p w14:paraId="59FAA15F" w14:textId="5217732D" w:rsidR="00980C91" w:rsidRPr="00131EED" w:rsidRDefault="00980C91" w:rsidP="00980C91">
            <w:pPr>
              <w:jc w:val="center"/>
              <w:rPr>
                <w:color w:val="000000"/>
                <w:sz w:val="20"/>
                <w:szCs w:val="20"/>
                <w:lang w:eastAsia="en-US"/>
              </w:rPr>
            </w:pPr>
            <w:r w:rsidRPr="00131EED">
              <w:rPr>
                <w:color w:val="000000"/>
                <w:sz w:val="20"/>
                <w:szCs w:val="20"/>
                <w:lang w:eastAsia="en-US"/>
              </w:rPr>
              <w:t>18805.</w:t>
            </w:r>
            <w:r w:rsidRPr="00131EED">
              <w:rPr>
                <w:color w:val="000000"/>
                <w:sz w:val="20"/>
                <w:szCs w:val="20"/>
              </w:rPr>
              <w:t>51</w:t>
            </w:r>
          </w:p>
        </w:tc>
        <w:tc>
          <w:tcPr>
            <w:tcW w:w="1440" w:type="dxa"/>
            <w:tcBorders>
              <w:top w:val="nil"/>
              <w:left w:val="nil"/>
              <w:bottom w:val="single" w:sz="4" w:space="0" w:color="auto"/>
              <w:right w:val="single" w:sz="4" w:space="0" w:color="auto"/>
            </w:tcBorders>
            <w:noWrap/>
            <w:vAlign w:val="center"/>
            <w:hideMark/>
          </w:tcPr>
          <w:p w14:paraId="7F0DAB40" w14:textId="77777777" w:rsidR="00980C91" w:rsidRPr="00131EED" w:rsidRDefault="00980C91" w:rsidP="00980C91">
            <w:pPr>
              <w:jc w:val="center"/>
              <w:rPr>
                <w:color w:val="000000"/>
                <w:sz w:val="20"/>
                <w:szCs w:val="20"/>
                <w:lang w:eastAsia="en-US"/>
              </w:rPr>
            </w:pPr>
            <w:r w:rsidRPr="00131EED">
              <w:rPr>
                <w:color w:val="000000"/>
                <w:sz w:val="20"/>
                <w:szCs w:val="20"/>
                <w:lang w:eastAsia="en-US"/>
              </w:rPr>
              <w:t>57.68</w:t>
            </w:r>
          </w:p>
        </w:tc>
      </w:tr>
      <w:tr w:rsidR="00D5799C" w:rsidRPr="00131EED" w14:paraId="471DD4AD"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392AA3BC" w14:textId="77777777" w:rsidR="00D5799C" w:rsidRPr="00131EED" w:rsidRDefault="00D5799C" w:rsidP="00D5799C">
            <w:pPr>
              <w:jc w:val="center"/>
              <w:rPr>
                <w:color w:val="000000"/>
                <w:sz w:val="20"/>
                <w:szCs w:val="20"/>
                <w:lang w:eastAsia="en-US"/>
              </w:rPr>
            </w:pPr>
            <w:r w:rsidRPr="00131EED">
              <w:rPr>
                <w:color w:val="000000"/>
                <w:sz w:val="20"/>
                <w:szCs w:val="20"/>
                <w:lang w:eastAsia="en-US"/>
              </w:rPr>
              <w:t>Cota</w:t>
            </w:r>
          </w:p>
        </w:tc>
        <w:tc>
          <w:tcPr>
            <w:tcW w:w="1860" w:type="dxa"/>
            <w:tcBorders>
              <w:top w:val="nil"/>
              <w:left w:val="nil"/>
              <w:bottom w:val="single" w:sz="4" w:space="0" w:color="auto"/>
              <w:right w:val="single" w:sz="4" w:space="0" w:color="auto"/>
            </w:tcBorders>
            <w:noWrap/>
            <w:vAlign w:val="center"/>
            <w:hideMark/>
          </w:tcPr>
          <w:p w14:paraId="33D83CEA" w14:textId="6A073222" w:rsidR="00D5799C" w:rsidRPr="00131EED" w:rsidRDefault="00D5799C" w:rsidP="00D5799C">
            <w:pPr>
              <w:jc w:val="center"/>
              <w:rPr>
                <w:color w:val="000000"/>
                <w:sz w:val="20"/>
                <w:szCs w:val="20"/>
                <w:lang w:eastAsia="en-US"/>
              </w:rPr>
            </w:pPr>
            <w:r w:rsidRPr="00131EED">
              <w:rPr>
                <w:color w:val="000000"/>
                <w:sz w:val="20"/>
                <w:szCs w:val="20"/>
                <w:lang w:eastAsia="en-US"/>
              </w:rPr>
              <w:t>5360.</w:t>
            </w:r>
            <w:r w:rsidRPr="00131EED">
              <w:rPr>
                <w:color w:val="000000"/>
                <w:sz w:val="20"/>
                <w:szCs w:val="20"/>
              </w:rPr>
              <w:t>58</w:t>
            </w:r>
          </w:p>
        </w:tc>
        <w:tc>
          <w:tcPr>
            <w:tcW w:w="2600" w:type="dxa"/>
            <w:tcBorders>
              <w:top w:val="nil"/>
              <w:left w:val="nil"/>
              <w:bottom w:val="single" w:sz="4" w:space="0" w:color="auto"/>
              <w:right w:val="single" w:sz="4" w:space="0" w:color="auto"/>
            </w:tcBorders>
            <w:noWrap/>
            <w:vAlign w:val="center"/>
            <w:hideMark/>
          </w:tcPr>
          <w:p w14:paraId="09A599C7" w14:textId="483CC784" w:rsidR="00D5799C" w:rsidRPr="00131EED" w:rsidRDefault="00D5799C" w:rsidP="00D5799C">
            <w:pPr>
              <w:jc w:val="center"/>
              <w:rPr>
                <w:color w:val="000000"/>
                <w:sz w:val="20"/>
                <w:szCs w:val="20"/>
                <w:lang w:eastAsia="en-US"/>
              </w:rPr>
            </w:pPr>
            <w:r w:rsidRPr="00131EED">
              <w:rPr>
                <w:color w:val="000000"/>
                <w:sz w:val="20"/>
                <w:szCs w:val="20"/>
                <w:lang w:eastAsia="en-US"/>
              </w:rPr>
              <w:t>5360.</w:t>
            </w:r>
            <w:r w:rsidRPr="00131EED">
              <w:rPr>
                <w:color w:val="000000"/>
                <w:sz w:val="20"/>
                <w:szCs w:val="20"/>
              </w:rPr>
              <w:t>58</w:t>
            </w:r>
          </w:p>
        </w:tc>
        <w:tc>
          <w:tcPr>
            <w:tcW w:w="1440" w:type="dxa"/>
            <w:tcBorders>
              <w:top w:val="nil"/>
              <w:left w:val="nil"/>
              <w:bottom w:val="single" w:sz="4" w:space="0" w:color="auto"/>
              <w:right w:val="single" w:sz="4" w:space="0" w:color="auto"/>
            </w:tcBorders>
            <w:noWrap/>
            <w:vAlign w:val="center"/>
            <w:hideMark/>
          </w:tcPr>
          <w:p w14:paraId="310926AF" w14:textId="5FE51370" w:rsidR="00D5799C" w:rsidRPr="00131EED" w:rsidRDefault="00D5799C" w:rsidP="00D5799C">
            <w:pPr>
              <w:jc w:val="center"/>
              <w:rPr>
                <w:color w:val="000000"/>
                <w:sz w:val="20"/>
                <w:szCs w:val="20"/>
                <w:lang w:eastAsia="en-US"/>
              </w:rPr>
            </w:pPr>
            <w:r w:rsidRPr="00131EED">
              <w:rPr>
                <w:color w:val="000000"/>
                <w:sz w:val="20"/>
                <w:szCs w:val="20"/>
                <w:lang w:eastAsia="en-US"/>
              </w:rPr>
              <w:t>100</w:t>
            </w:r>
          </w:p>
        </w:tc>
      </w:tr>
      <w:tr w:rsidR="00D5799C" w:rsidRPr="00131EED" w14:paraId="31B30E0B"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5E74C72A" w14:textId="77777777" w:rsidR="00D5799C" w:rsidRPr="00131EED" w:rsidRDefault="00D5799C" w:rsidP="00D5799C">
            <w:pPr>
              <w:jc w:val="center"/>
              <w:rPr>
                <w:color w:val="000000"/>
                <w:sz w:val="20"/>
                <w:szCs w:val="20"/>
                <w:lang w:eastAsia="en-US"/>
              </w:rPr>
            </w:pPr>
            <w:r w:rsidRPr="00131EED">
              <w:rPr>
                <w:color w:val="000000"/>
                <w:sz w:val="20"/>
                <w:szCs w:val="20"/>
                <w:lang w:eastAsia="en-US"/>
              </w:rPr>
              <w:t>Madrid</w:t>
            </w:r>
          </w:p>
        </w:tc>
        <w:tc>
          <w:tcPr>
            <w:tcW w:w="1860" w:type="dxa"/>
            <w:tcBorders>
              <w:top w:val="nil"/>
              <w:left w:val="nil"/>
              <w:bottom w:val="single" w:sz="4" w:space="0" w:color="auto"/>
              <w:right w:val="single" w:sz="4" w:space="0" w:color="auto"/>
            </w:tcBorders>
            <w:noWrap/>
            <w:vAlign w:val="center"/>
            <w:hideMark/>
          </w:tcPr>
          <w:p w14:paraId="410979B0" w14:textId="7677064A" w:rsidR="00D5799C" w:rsidRPr="00131EED" w:rsidRDefault="00D5799C" w:rsidP="00D5799C">
            <w:pPr>
              <w:jc w:val="center"/>
              <w:rPr>
                <w:color w:val="000000"/>
                <w:sz w:val="20"/>
                <w:szCs w:val="20"/>
                <w:lang w:eastAsia="en-US"/>
              </w:rPr>
            </w:pPr>
            <w:r w:rsidRPr="00131EED">
              <w:rPr>
                <w:color w:val="000000"/>
                <w:sz w:val="20"/>
                <w:szCs w:val="20"/>
                <w:lang w:eastAsia="en-US"/>
              </w:rPr>
              <w:t>11942.</w:t>
            </w:r>
            <w:r w:rsidRPr="00131EED">
              <w:rPr>
                <w:color w:val="000000"/>
                <w:sz w:val="20"/>
                <w:szCs w:val="20"/>
              </w:rPr>
              <w:t>98</w:t>
            </w:r>
          </w:p>
        </w:tc>
        <w:tc>
          <w:tcPr>
            <w:tcW w:w="2600" w:type="dxa"/>
            <w:tcBorders>
              <w:top w:val="nil"/>
              <w:left w:val="nil"/>
              <w:bottom w:val="single" w:sz="4" w:space="0" w:color="auto"/>
              <w:right w:val="single" w:sz="4" w:space="0" w:color="auto"/>
            </w:tcBorders>
            <w:noWrap/>
            <w:vAlign w:val="center"/>
            <w:hideMark/>
          </w:tcPr>
          <w:p w14:paraId="238E3034" w14:textId="5DD9B60E" w:rsidR="00D5799C" w:rsidRPr="00131EED" w:rsidRDefault="00D5799C" w:rsidP="00D5799C">
            <w:pPr>
              <w:jc w:val="center"/>
              <w:rPr>
                <w:color w:val="000000"/>
                <w:sz w:val="20"/>
                <w:szCs w:val="20"/>
                <w:lang w:eastAsia="en-US"/>
              </w:rPr>
            </w:pPr>
            <w:r w:rsidRPr="00131EED">
              <w:rPr>
                <w:color w:val="000000"/>
                <w:sz w:val="20"/>
                <w:szCs w:val="20"/>
                <w:lang w:eastAsia="en-US"/>
              </w:rPr>
              <w:t>11942.</w:t>
            </w:r>
            <w:r w:rsidRPr="00131EED">
              <w:rPr>
                <w:color w:val="000000"/>
                <w:sz w:val="20"/>
                <w:szCs w:val="20"/>
              </w:rPr>
              <w:t>98</w:t>
            </w:r>
          </w:p>
        </w:tc>
        <w:tc>
          <w:tcPr>
            <w:tcW w:w="1440" w:type="dxa"/>
            <w:tcBorders>
              <w:top w:val="nil"/>
              <w:left w:val="nil"/>
              <w:bottom w:val="single" w:sz="4" w:space="0" w:color="auto"/>
              <w:right w:val="single" w:sz="4" w:space="0" w:color="auto"/>
            </w:tcBorders>
            <w:noWrap/>
            <w:vAlign w:val="center"/>
            <w:hideMark/>
          </w:tcPr>
          <w:p w14:paraId="20DBF783" w14:textId="6D404ED8" w:rsidR="00D5799C" w:rsidRPr="00131EED" w:rsidRDefault="00D5799C" w:rsidP="00D5799C">
            <w:pPr>
              <w:jc w:val="center"/>
              <w:rPr>
                <w:color w:val="000000"/>
                <w:sz w:val="20"/>
                <w:szCs w:val="20"/>
                <w:lang w:eastAsia="en-US"/>
              </w:rPr>
            </w:pPr>
            <w:r w:rsidRPr="00131EED">
              <w:rPr>
                <w:color w:val="000000"/>
                <w:sz w:val="20"/>
                <w:szCs w:val="20"/>
                <w:lang w:eastAsia="en-US"/>
              </w:rPr>
              <w:t>100</w:t>
            </w:r>
          </w:p>
        </w:tc>
      </w:tr>
      <w:tr w:rsidR="00980C91" w:rsidRPr="00131EED" w14:paraId="79B34244"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3D2E9157" w14:textId="77777777" w:rsidR="00980C91" w:rsidRPr="00131EED" w:rsidRDefault="00980C91" w:rsidP="00980C91">
            <w:pPr>
              <w:jc w:val="center"/>
              <w:rPr>
                <w:color w:val="000000"/>
                <w:sz w:val="20"/>
                <w:szCs w:val="20"/>
                <w:lang w:eastAsia="en-US"/>
              </w:rPr>
            </w:pPr>
            <w:r w:rsidRPr="00131EED">
              <w:rPr>
                <w:color w:val="000000"/>
                <w:sz w:val="20"/>
                <w:szCs w:val="20"/>
                <w:lang w:eastAsia="en-US"/>
              </w:rPr>
              <w:t>Facatativá</w:t>
            </w:r>
          </w:p>
        </w:tc>
        <w:tc>
          <w:tcPr>
            <w:tcW w:w="1860" w:type="dxa"/>
            <w:tcBorders>
              <w:top w:val="nil"/>
              <w:left w:val="nil"/>
              <w:bottom w:val="single" w:sz="4" w:space="0" w:color="auto"/>
              <w:right w:val="single" w:sz="4" w:space="0" w:color="auto"/>
            </w:tcBorders>
            <w:noWrap/>
            <w:vAlign w:val="center"/>
            <w:hideMark/>
          </w:tcPr>
          <w:p w14:paraId="3E8A8C2D" w14:textId="7FD8896A" w:rsidR="00980C91" w:rsidRPr="00131EED" w:rsidRDefault="00980C91" w:rsidP="00980C91">
            <w:pPr>
              <w:jc w:val="center"/>
              <w:rPr>
                <w:color w:val="000000"/>
                <w:sz w:val="20"/>
                <w:szCs w:val="20"/>
                <w:lang w:eastAsia="en-US"/>
              </w:rPr>
            </w:pPr>
            <w:r w:rsidRPr="00131EED">
              <w:rPr>
                <w:color w:val="000000"/>
                <w:sz w:val="20"/>
                <w:szCs w:val="20"/>
                <w:lang w:eastAsia="en-US"/>
              </w:rPr>
              <w:t>15784.</w:t>
            </w:r>
            <w:r w:rsidRPr="00131EED">
              <w:rPr>
                <w:color w:val="000000"/>
                <w:sz w:val="20"/>
                <w:szCs w:val="20"/>
              </w:rPr>
              <w:t>58</w:t>
            </w:r>
          </w:p>
        </w:tc>
        <w:tc>
          <w:tcPr>
            <w:tcW w:w="2600" w:type="dxa"/>
            <w:tcBorders>
              <w:top w:val="nil"/>
              <w:left w:val="nil"/>
              <w:bottom w:val="single" w:sz="4" w:space="0" w:color="auto"/>
              <w:right w:val="single" w:sz="4" w:space="0" w:color="auto"/>
            </w:tcBorders>
            <w:noWrap/>
            <w:vAlign w:val="center"/>
            <w:hideMark/>
          </w:tcPr>
          <w:p w14:paraId="64305E75" w14:textId="358589D5" w:rsidR="00980C91" w:rsidRPr="00131EED" w:rsidRDefault="00980C91" w:rsidP="00980C91">
            <w:pPr>
              <w:jc w:val="center"/>
              <w:rPr>
                <w:color w:val="000000"/>
                <w:sz w:val="20"/>
                <w:szCs w:val="20"/>
                <w:lang w:eastAsia="en-US"/>
              </w:rPr>
            </w:pPr>
            <w:r w:rsidRPr="00131EED">
              <w:rPr>
                <w:color w:val="000000"/>
                <w:sz w:val="20"/>
                <w:szCs w:val="20"/>
                <w:lang w:eastAsia="en-US"/>
              </w:rPr>
              <w:t>15543.</w:t>
            </w:r>
            <w:r w:rsidRPr="00131EED">
              <w:rPr>
                <w:color w:val="000000"/>
                <w:sz w:val="20"/>
                <w:szCs w:val="20"/>
              </w:rPr>
              <w:t>44</w:t>
            </w:r>
          </w:p>
        </w:tc>
        <w:tc>
          <w:tcPr>
            <w:tcW w:w="1440" w:type="dxa"/>
            <w:tcBorders>
              <w:top w:val="nil"/>
              <w:left w:val="nil"/>
              <w:bottom w:val="single" w:sz="4" w:space="0" w:color="auto"/>
              <w:right w:val="single" w:sz="4" w:space="0" w:color="auto"/>
            </w:tcBorders>
            <w:noWrap/>
            <w:vAlign w:val="center"/>
            <w:hideMark/>
          </w:tcPr>
          <w:p w14:paraId="2EA48C9D" w14:textId="77777777" w:rsidR="00980C91" w:rsidRPr="00131EED" w:rsidRDefault="00980C91" w:rsidP="00980C91">
            <w:pPr>
              <w:jc w:val="center"/>
              <w:rPr>
                <w:color w:val="000000"/>
                <w:sz w:val="20"/>
                <w:szCs w:val="20"/>
                <w:lang w:eastAsia="en-US"/>
              </w:rPr>
            </w:pPr>
            <w:r w:rsidRPr="00131EED">
              <w:rPr>
                <w:color w:val="000000"/>
                <w:sz w:val="20"/>
                <w:szCs w:val="20"/>
                <w:lang w:eastAsia="en-US"/>
              </w:rPr>
              <w:t>98.47</w:t>
            </w:r>
          </w:p>
        </w:tc>
      </w:tr>
      <w:tr w:rsidR="00980C91" w:rsidRPr="00131EED" w14:paraId="3AE1ABF1"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6D0225BC" w14:textId="77777777" w:rsidR="00980C91" w:rsidRPr="00131EED" w:rsidRDefault="00980C91" w:rsidP="00980C91">
            <w:pPr>
              <w:jc w:val="center"/>
              <w:rPr>
                <w:color w:val="000000"/>
                <w:sz w:val="20"/>
                <w:szCs w:val="20"/>
                <w:lang w:eastAsia="en-US"/>
              </w:rPr>
            </w:pPr>
            <w:r w:rsidRPr="00131EED">
              <w:rPr>
                <w:color w:val="000000"/>
                <w:sz w:val="20"/>
                <w:szCs w:val="20"/>
                <w:lang w:eastAsia="en-US"/>
              </w:rPr>
              <w:t>Tenjo</w:t>
            </w:r>
          </w:p>
        </w:tc>
        <w:tc>
          <w:tcPr>
            <w:tcW w:w="1860" w:type="dxa"/>
            <w:tcBorders>
              <w:top w:val="nil"/>
              <w:left w:val="nil"/>
              <w:bottom w:val="single" w:sz="4" w:space="0" w:color="auto"/>
              <w:right w:val="single" w:sz="4" w:space="0" w:color="auto"/>
            </w:tcBorders>
            <w:noWrap/>
            <w:vAlign w:val="center"/>
            <w:hideMark/>
          </w:tcPr>
          <w:p w14:paraId="066E8108" w14:textId="6E4D2949" w:rsidR="00980C91" w:rsidRPr="00131EED" w:rsidRDefault="00980C91" w:rsidP="00980C91">
            <w:pPr>
              <w:jc w:val="center"/>
              <w:rPr>
                <w:color w:val="000000"/>
                <w:sz w:val="20"/>
                <w:szCs w:val="20"/>
                <w:lang w:eastAsia="en-US"/>
              </w:rPr>
            </w:pPr>
            <w:r w:rsidRPr="00131EED">
              <w:rPr>
                <w:color w:val="000000"/>
                <w:sz w:val="20"/>
                <w:szCs w:val="20"/>
                <w:lang w:eastAsia="en-US"/>
              </w:rPr>
              <w:t>11410.</w:t>
            </w:r>
            <w:r w:rsidRPr="00131EED">
              <w:rPr>
                <w:color w:val="000000"/>
                <w:sz w:val="20"/>
                <w:szCs w:val="20"/>
              </w:rPr>
              <w:t>66</w:t>
            </w:r>
          </w:p>
        </w:tc>
        <w:tc>
          <w:tcPr>
            <w:tcW w:w="2600" w:type="dxa"/>
            <w:tcBorders>
              <w:top w:val="nil"/>
              <w:left w:val="nil"/>
              <w:bottom w:val="single" w:sz="4" w:space="0" w:color="auto"/>
              <w:right w:val="single" w:sz="4" w:space="0" w:color="auto"/>
            </w:tcBorders>
            <w:noWrap/>
            <w:vAlign w:val="center"/>
            <w:hideMark/>
          </w:tcPr>
          <w:p w14:paraId="5858BA64" w14:textId="28D95171" w:rsidR="00980C91" w:rsidRPr="00131EED" w:rsidRDefault="00980C91" w:rsidP="00980C91">
            <w:pPr>
              <w:jc w:val="center"/>
              <w:rPr>
                <w:color w:val="000000"/>
                <w:sz w:val="20"/>
                <w:szCs w:val="20"/>
                <w:lang w:eastAsia="en-US"/>
              </w:rPr>
            </w:pPr>
            <w:r w:rsidRPr="00131EED">
              <w:rPr>
                <w:color w:val="000000"/>
                <w:sz w:val="20"/>
                <w:szCs w:val="20"/>
                <w:lang w:eastAsia="en-US"/>
              </w:rPr>
              <w:t>11400.</w:t>
            </w:r>
            <w:r w:rsidRPr="00131EED">
              <w:rPr>
                <w:color w:val="000000"/>
                <w:sz w:val="20"/>
                <w:szCs w:val="20"/>
              </w:rPr>
              <w:t>98</w:t>
            </w:r>
          </w:p>
        </w:tc>
        <w:tc>
          <w:tcPr>
            <w:tcW w:w="1440" w:type="dxa"/>
            <w:tcBorders>
              <w:top w:val="nil"/>
              <w:left w:val="nil"/>
              <w:bottom w:val="single" w:sz="4" w:space="0" w:color="auto"/>
              <w:right w:val="single" w:sz="4" w:space="0" w:color="auto"/>
            </w:tcBorders>
            <w:noWrap/>
            <w:vAlign w:val="center"/>
            <w:hideMark/>
          </w:tcPr>
          <w:p w14:paraId="5EF367CA" w14:textId="77777777" w:rsidR="00980C91" w:rsidRPr="00131EED" w:rsidRDefault="00980C91" w:rsidP="00980C91">
            <w:pPr>
              <w:jc w:val="center"/>
              <w:rPr>
                <w:color w:val="000000"/>
                <w:sz w:val="20"/>
                <w:szCs w:val="20"/>
                <w:lang w:eastAsia="en-US"/>
              </w:rPr>
            </w:pPr>
            <w:r w:rsidRPr="00131EED">
              <w:rPr>
                <w:color w:val="000000"/>
                <w:sz w:val="20"/>
                <w:szCs w:val="20"/>
                <w:lang w:eastAsia="en-US"/>
              </w:rPr>
              <w:t>99.92</w:t>
            </w:r>
          </w:p>
        </w:tc>
      </w:tr>
      <w:tr w:rsidR="00980C91" w:rsidRPr="00131EED" w14:paraId="1F70CD91"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7E8E042E" w14:textId="77777777" w:rsidR="00980C91" w:rsidRPr="00131EED" w:rsidRDefault="00980C91" w:rsidP="00980C91">
            <w:pPr>
              <w:jc w:val="center"/>
              <w:rPr>
                <w:color w:val="000000"/>
                <w:sz w:val="20"/>
                <w:szCs w:val="20"/>
                <w:lang w:eastAsia="en-US"/>
              </w:rPr>
            </w:pPr>
            <w:r w:rsidRPr="00131EED">
              <w:rPr>
                <w:color w:val="000000"/>
                <w:sz w:val="20"/>
                <w:szCs w:val="20"/>
                <w:lang w:eastAsia="en-US"/>
              </w:rPr>
              <w:t>Chía</w:t>
            </w:r>
          </w:p>
        </w:tc>
        <w:tc>
          <w:tcPr>
            <w:tcW w:w="1860" w:type="dxa"/>
            <w:tcBorders>
              <w:top w:val="nil"/>
              <w:left w:val="nil"/>
              <w:bottom w:val="single" w:sz="4" w:space="0" w:color="auto"/>
              <w:right w:val="single" w:sz="4" w:space="0" w:color="auto"/>
            </w:tcBorders>
            <w:noWrap/>
            <w:vAlign w:val="center"/>
            <w:hideMark/>
          </w:tcPr>
          <w:p w14:paraId="29434B6E" w14:textId="50DC777E" w:rsidR="00980C91" w:rsidRPr="00131EED" w:rsidRDefault="00980C91" w:rsidP="00980C91">
            <w:pPr>
              <w:jc w:val="center"/>
              <w:rPr>
                <w:color w:val="000000"/>
                <w:sz w:val="20"/>
                <w:szCs w:val="20"/>
                <w:lang w:eastAsia="en-US"/>
              </w:rPr>
            </w:pPr>
            <w:r w:rsidRPr="00131EED">
              <w:rPr>
                <w:color w:val="000000"/>
                <w:sz w:val="20"/>
                <w:szCs w:val="20"/>
                <w:lang w:eastAsia="en-US"/>
              </w:rPr>
              <w:t>8003.</w:t>
            </w:r>
            <w:r w:rsidRPr="00131EED">
              <w:rPr>
                <w:color w:val="000000"/>
                <w:sz w:val="20"/>
                <w:szCs w:val="20"/>
              </w:rPr>
              <w:t>63</w:t>
            </w:r>
          </w:p>
        </w:tc>
        <w:tc>
          <w:tcPr>
            <w:tcW w:w="2600" w:type="dxa"/>
            <w:tcBorders>
              <w:top w:val="nil"/>
              <w:left w:val="nil"/>
              <w:bottom w:val="single" w:sz="4" w:space="0" w:color="auto"/>
              <w:right w:val="single" w:sz="4" w:space="0" w:color="auto"/>
            </w:tcBorders>
            <w:noWrap/>
            <w:vAlign w:val="center"/>
            <w:hideMark/>
          </w:tcPr>
          <w:p w14:paraId="15B17209" w14:textId="38B7704C" w:rsidR="00980C91" w:rsidRPr="00131EED" w:rsidRDefault="00980C91" w:rsidP="00980C91">
            <w:pPr>
              <w:jc w:val="center"/>
              <w:rPr>
                <w:color w:val="000000"/>
                <w:sz w:val="20"/>
                <w:szCs w:val="20"/>
                <w:lang w:eastAsia="en-US"/>
              </w:rPr>
            </w:pPr>
            <w:r w:rsidRPr="00131EED">
              <w:rPr>
                <w:color w:val="000000"/>
                <w:sz w:val="20"/>
                <w:szCs w:val="20"/>
                <w:lang w:eastAsia="en-US"/>
              </w:rPr>
              <w:t>7981.</w:t>
            </w:r>
            <w:r w:rsidRPr="00131EED">
              <w:rPr>
                <w:color w:val="000000"/>
                <w:sz w:val="20"/>
                <w:szCs w:val="20"/>
              </w:rPr>
              <w:t>28</w:t>
            </w:r>
          </w:p>
        </w:tc>
        <w:tc>
          <w:tcPr>
            <w:tcW w:w="1440" w:type="dxa"/>
            <w:tcBorders>
              <w:top w:val="nil"/>
              <w:left w:val="nil"/>
              <w:bottom w:val="single" w:sz="4" w:space="0" w:color="auto"/>
              <w:right w:val="single" w:sz="4" w:space="0" w:color="auto"/>
            </w:tcBorders>
            <w:noWrap/>
            <w:vAlign w:val="center"/>
            <w:hideMark/>
          </w:tcPr>
          <w:p w14:paraId="53708A27" w14:textId="77777777" w:rsidR="00980C91" w:rsidRPr="00131EED" w:rsidRDefault="00980C91" w:rsidP="00980C91">
            <w:pPr>
              <w:jc w:val="center"/>
              <w:rPr>
                <w:color w:val="000000"/>
                <w:sz w:val="20"/>
                <w:szCs w:val="20"/>
                <w:lang w:eastAsia="en-US"/>
              </w:rPr>
            </w:pPr>
            <w:r w:rsidRPr="00131EED">
              <w:rPr>
                <w:color w:val="000000"/>
                <w:sz w:val="20"/>
                <w:szCs w:val="20"/>
                <w:lang w:eastAsia="en-US"/>
              </w:rPr>
              <w:t>99.72</w:t>
            </w:r>
          </w:p>
        </w:tc>
      </w:tr>
      <w:tr w:rsidR="00980C91" w:rsidRPr="00131EED" w14:paraId="1D88F8A5"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458AED85" w14:textId="77777777" w:rsidR="00980C91" w:rsidRPr="00131EED" w:rsidRDefault="00980C91" w:rsidP="00980C91">
            <w:pPr>
              <w:jc w:val="center"/>
              <w:rPr>
                <w:color w:val="000000"/>
                <w:sz w:val="20"/>
                <w:szCs w:val="20"/>
                <w:lang w:eastAsia="en-US"/>
              </w:rPr>
            </w:pPr>
            <w:r w:rsidRPr="00131EED">
              <w:rPr>
                <w:color w:val="000000"/>
                <w:sz w:val="20"/>
                <w:szCs w:val="20"/>
                <w:lang w:eastAsia="en-US"/>
              </w:rPr>
              <w:t>Guasca</w:t>
            </w:r>
          </w:p>
        </w:tc>
        <w:tc>
          <w:tcPr>
            <w:tcW w:w="1860" w:type="dxa"/>
            <w:tcBorders>
              <w:top w:val="nil"/>
              <w:left w:val="nil"/>
              <w:bottom w:val="single" w:sz="4" w:space="0" w:color="auto"/>
              <w:right w:val="single" w:sz="4" w:space="0" w:color="auto"/>
            </w:tcBorders>
            <w:noWrap/>
            <w:vAlign w:val="center"/>
            <w:hideMark/>
          </w:tcPr>
          <w:p w14:paraId="7DC6E9D8" w14:textId="122CC0E4" w:rsidR="00980C91" w:rsidRPr="00131EED" w:rsidRDefault="00980C91" w:rsidP="00980C91">
            <w:pPr>
              <w:jc w:val="center"/>
              <w:rPr>
                <w:color w:val="000000"/>
                <w:sz w:val="20"/>
                <w:szCs w:val="20"/>
                <w:lang w:eastAsia="en-US"/>
              </w:rPr>
            </w:pPr>
            <w:r w:rsidRPr="00131EED">
              <w:rPr>
                <w:color w:val="000000"/>
                <w:sz w:val="20"/>
                <w:szCs w:val="20"/>
                <w:lang w:eastAsia="en-US"/>
              </w:rPr>
              <w:t>36006.</w:t>
            </w:r>
            <w:r w:rsidRPr="00131EED">
              <w:rPr>
                <w:color w:val="000000"/>
                <w:sz w:val="20"/>
                <w:szCs w:val="20"/>
              </w:rPr>
              <w:t>59</w:t>
            </w:r>
          </w:p>
        </w:tc>
        <w:tc>
          <w:tcPr>
            <w:tcW w:w="2600" w:type="dxa"/>
            <w:tcBorders>
              <w:top w:val="nil"/>
              <w:left w:val="nil"/>
              <w:bottom w:val="single" w:sz="4" w:space="0" w:color="auto"/>
              <w:right w:val="single" w:sz="4" w:space="0" w:color="auto"/>
            </w:tcBorders>
            <w:noWrap/>
            <w:vAlign w:val="center"/>
            <w:hideMark/>
          </w:tcPr>
          <w:p w14:paraId="5305FE33" w14:textId="01180F71" w:rsidR="00980C91" w:rsidRPr="00131EED" w:rsidRDefault="00980C91" w:rsidP="00980C91">
            <w:pPr>
              <w:jc w:val="center"/>
              <w:rPr>
                <w:color w:val="000000"/>
                <w:sz w:val="20"/>
                <w:szCs w:val="20"/>
                <w:lang w:eastAsia="en-US"/>
              </w:rPr>
            </w:pPr>
            <w:r w:rsidRPr="00131EED">
              <w:rPr>
                <w:color w:val="000000"/>
                <w:sz w:val="20"/>
                <w:szCs w:val="20"/>
                <w:lang w:eastAsia="en-US"/>
              </w:rPr>
              <w:t>20832.</w:t>
            </w:r>
            <w:r w:rsidRPr="00131EED">
              <w:rPr>
                <w:color w:val="000000"/>
                <w:sz w:val="20"/>
                <w:szCs w:val="20"/>
              </w:rPr>
              <w:t>33</w:t>
            </w:r>
          </w:p>
        </w:tc>
        <w:tc>
          <w:tcPr>
            <w:tcW w:w="1440" w:type="dxa"/>
            <w:tcBorders>
              <w:top w:val="nil"/>
              <w:left w:val="nil"/>
              <w:bottom w:val="single" w:sz="4" w:space="0" w:color="auto"/>
              <w:right w:val="single" w:sz="4" w:space="0" w:color="auto"/>
            </w:tcBorders>
            <w:noWrap/>
            <w:vAlign w:val="center"/>
            <w:hideMark/>
          </w:tcPr>
          <w:p w14:paraId="27F5D8C0" w14:textId="77777777" w:rsidR="00980C91" w:rsidRPr="00131EED" w:rsidRDefault="00980C91" w:rsidP="00980C91">
            <w:pPr>
              <w:jc w:val="center"/>
              <w:rPr>
                <w:color w:val="000000"/>
                <w:sz w:val="20"/>
                <w:szCs w:val="20"/>
                <w:lang w:eastAsia="en-US"/>
              </w:rPr>
            </w:pPr>
            <w:r w:rsidRPr="00131EED">
              <w:rPr>
                <w:color w:val="000000"/>
                <w:sz w:val="20"/>
                <w:szCs w:val="20"/>
                <w:lang w:eastAsia="en-US"/>
              </w:rPr>
              <w:t>57.86</w:t>
            </w:r>
          </w:p>
        </w:tc>
      </w:tr>
      <w:tr w:rsidR="00980C91" w:rsidRPr="00131EED" w14:paraId="7541BF6F"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2AB7A2F1" w14:textId="77777777" w:rsidR="00980C91" w:rsidRPr="00131EED" w:rsidRDefault="00980C91" w:rsidP="00980C91">
            <w:pPr>
              <w:jc w:val="center"/>
              <w:rPr>
                <w:color w:val="000000"/>
                <w:sz w:val="20"/>
                <w:szCs w:val="20"/>
                <w:lang w:eastAsia="en-US"/>
              </w:rPr>
            </w:pPr>
            <w:r w:rsidRPr="00131EED">
              <w:rPr>
                <w:color w:val="000000"/>
                <w:sz w:val="20"/>
                <w:szCs w:val="20"/>
                <w:lang w:eastAsia="en-US"/>
              </w:rPr>
              <w:t>El Rosal</w:t>
            </w:r>
          </w:p>
        </w:tc>
        <w:tc>
          <w:tcPr>
            <w:tcW w:w="1860" w:type="dxa"/>
            <w:tcBorders>
              <w:top w:val="nil"/>
              <w:left w:val="nil"/>
              <w:bottom w:val="single" w:sz="4" w:space="0" w:color="auto"/>
              <w:right w:val="single" w:sz="4" w:space="0" w:color="auto"/>
            </w:tcBorders>
            <w:noWrap/>
            <w:vAlign w:val="center"/>
            <w:hideMark/>
          </w:tcPr>
          <w:p w14:paraId="61F2B896" w14:textId="287AC9A7" w:rsidR="00980C91" w:rsidRPr="00131EED" w:rsidRDefault="00980C91" w:rsidP="00980C91">
            <w:pPr>
              <w:jc w:val="center"/>
              <w:rPr>
                <w:color w:val="000000"/>
                <w:sz w:val="20"/>
                <w:szCs w:val="20"/>
                <w:lang w:eastAsia="en-US"/>
              </w:rPr>
            </w:pPr>
            <w:r w:rsidRPr="00131EED">
              <w:rPr>
                <w:color w:val="000000"/>
                <w:sz w:val="20"/>
                <w:szCs w:val="20"/>
                <w:lang w:eastAsia="en-US"/>
              </w:rPr>
              <w:t>8711.</w:t>
            </w:r>
            <w:r w:rsidRPr="00131EED">
              <w:rPr>
                <w:color w:val="000000"/>
                <w:sz w:val="20"/>
                <w:szCs w:val="20"/>
              </w:rPr>
              <w:t>35</w:t>
            </w:r>
          </w:p>
        </w:tc>
        <w:tc>
          <w:tcPr>
            <w:tcW w:w="2600" w:type="dxa"/>
            <w:tcBorders>
              <w:top w:val="nil"/>
              <w:left w:val="nil"/>
              <w:bottom w:val="single" w:sz="4" w:space="0" w:color="auto"/>
              <w:right w:val="single" w:sz="4" w:space="0" w:color="auto"/>
            </w:tcBorders>
            <w:noWrap/>
            <w:vAlign w:val="center"/>
            <w:hideMark/>
          </w:tcPr>
          <w:p w14:paraId="37A045CF" w14:textId="7A02AF96" w:rsidR="00980C91" w:rsidRPr="00131EED" w:rsidRDefault="00980C91" w:rsidP="00980C91">
            <w:pPr>
              <w:jc w:val="center"/>
              <w:rPr>
                <w:color w:val="000000"/>
                <w:sz w:val="20"/>
                <w:szCs w:val="20"/>
                <w:lang w:eastAsia="en-US"/>
              </w:rPr>
            </w:pPr>
            <w:r w:rsidRPr="00131EED">
              <w:rPr>
                <w:color w:val="000000"/>
                <w:sz w:val="20"/>
                <w:szCs w:val="20"/>
                <w:lang w:eastAsia="en-US"/>
              </w:rPr>
              <w:t>6869.</w:t>
            </w:r>
            <w:r w:rsidRPr="00131EED">
              <w:rPr>
                <w:color w:val="000000"/>
                <w:sz w:val="20"/>
                <w:szCs w:val="20"/>
              </w:rPr>
              <w:t>74</w:t>
            </w:r>
          </w:p>
        </w:tc>
        <w:tc>
          <w:tcPr>
            <w:tcW w:w="1440" w:type="dxa"/>
            <w:tcBorders>
              <w:top w:val="nil"/>
              <w:left w:val="nil"/>
              <w:bottom w:val="single" w:sz="4" w:space="0" w:color="auto"/>
              <w:right w:val="single" w:sz="4" w:space="0" w:color="auto"/>
            </w:tcBorders>
            <w:noWrap/>
            <w:vAlign w:val="center"/>
            <w:hideMark/>
          </w:tcPr>
          <w:p w14:paraId="1AA2DE95" w14:textId="77777777" w:rsidR="00980C91" w:rsidRPr="00131EED" w:rsidRDefault="00980C91" w:rsidP="00980C91">
            <w:pPr>
              <w:jc w:val="center"/>
              <w:rPr>
                <w:color w:val="000000"/>
                <w:sz w:val="20"/>
                <w:szCs w:val="20"/>
                <w:lang w:eastAsia="en-US"/>
              </w:rPr>
            </w:pPr>
            <w:r w:rsidRPr="00131EED">
              <w:rPr>
                <w:color w:val="000000"/>
                <w:sz w:val="20"/>
                <w:szCs w:val="20"/>
                <w:lang w:eastAsia="en-US"/>
              </w:rPr>
              <w:t>78.86</w:t>
            </w:r>
          </w:p>
        </w:tc>
      </w:tr>
      <w:tr w:rsidR="00980C91" w:rsidRPr="00131EED" w14:paraId="3E5CFEFF"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765A0633" w14:textId="77777777" w:rsidR="00980C91" w:rsidRPr="00131EED" w:rsidRDefault="00980C91" w:rsidP="00980C91">
            <w:pPr>
              <w:jc w:val="center"/>
              <w:rPr>
                <w:color w:val="000000"/>
                <w:sz w:val="20"/>
                <w:szCs w:val="20"/>
                <w:lang w:eastAsia="en-US"/>
              </w:rPr>
            </w:pPr>
            <w:r w:rsidRPr="00131EED">
              <w:rPr>
                <w:color w:val="000000"/>
                <w:sz w:val="20"/>
                <w:szCs w:val="20"/>
                <w:lang w:eastAsia="en-US"/>
              </w:rPr>
              <w:t>Sopó</w:t>
            </w:r>
          </w:p>
        </w:tc>
        <w:tc>
          <w:tcPr>
            <w:tcW w:w="1860" w:type="dxa"/>
            <w:tcBorders>
              <w:top w:val="nil"/>
              <w:left w:val="nil"/>
              <w:bottom w:val="single" w:sz="4" w:space="0" w:color="auto"/>
              <w:right w:val="single" w:sz="4" w:space="0" w:color="auto"/>
            </w:tcBorders>
            <w:noWrap/>
            <w:vAlign w:val="center"/>
            <w:hideMark/>
          </w:tcPr>
          <w:p w14:paraId="76ACBC8C" w14:textId="106BAA6F" w:rsidR="00980C91" w:rsidRPr="00131EED" w:rsidRDefault="00980C91" w:rsidP="00980C91">
            <w:pPr>
              <w:jc w:val="center"/>
              <w:rPr>
                <w:color w:val="000000"/>
                <w:sz w:val="20"/>
                <w:szCs w:val="20"/>
                <w:lang w:eastAsia="en-US"/>
              </w:rPr>
            </w:pPr>
            <w:r w:rsidRPr="00131EED">
              <w:rPr>
                <w:color w:val="000000"/>
                <w:sz w:val="20"/>
                <w:szCs w:val="20"/>
                <w:lang w:eastAsia="en-US"/>
              </w:rPr>
              <w:t>11090.</w:t>
            </w:r>
            <w:r w:rsidRPr="00131EED">
              <w:rPr>
                <w:color w:val="000000"/>
                <w:sz w:val="20"/>
                <w:szCs w:val="20"/>
              </w:rPr>
              <w:t>62</w:t>
            </w:r>
          </w:p>
        </w:tc>
        <w:tc>
          <w:tcPr>
            <w:tcW w:w="2600" w:type="dxa"/>
            <w:tcBorders>
              <w:top w:val="nil"/>
              <w:left w:val="nil"/>
              <w:bottom w:val="single" w:sz="4" w:space="0" w:color="auto"/>
              <w:right w:val="single" w:sz="4" w:space="0" w:color="auto"/>
            </w:tcBorders>
            <w:noWrap/>
            <w:vAlign w:val="center"/>
            <w:hideMark/>
          </w:tcPr>
          <w:p w14:paraId="5BCA47F6" w14:textId="08507011" w:rsidR="00980C91" w:rsidRPr="00131EED" w:rsidRDefault="00980C91" w:rsidP="00980C91">
            <w:pPr>
              <w:jc w:val="center"/>
              <w:rPr>
                <w:color w:val="000000"/>
                <w:sz w:val="20"/>
                <w:szCs w:val="20"/>
                <w:lang w:eastAsia="en-US"/>
              </w:rPr>
            </w:pPr>
            <w:r w:rsidRPr="00131EED">
              <w:rPr>
                <w:color w:val="000000"/>
                <w:sz w:val="20"/>
                <w:szCs w:val="20"/>
                <w:lang w:eastAsia="en-US"/>
              </w:rPr>
              <w:t>11088.</w:t>
            </w:r>
            <w:r w:rsidRPr="00131EED">
              <w:rPr>
                <w:color w:val="000000"/>
                <w:sz w:val="20"/>
                <w:szCs w:val="20"/>
              </w:rPr>
              <w:t>93</w:t>
            </w:r>
          </w:p>
        </w:tc>
        <w:tc>
          <w:tcPr>
            <w:tcW w:w="1440" w:type="dxa"/>
            <w:tcBorders>
              <w:top w:val="nil"/>
              <w:left w:val="nil"/>
              <w:bottom w:val="single" w:sz="4" w:space="0" w:color="auto"/>
              <w:right w:val="single" w:sz="4" w:space="0" w:color="auto"/>
            </w:tcBorders>
            <w:noWrap/>
            <w:vAlign w:val="center"/>
            <w:hideMark/>
          </w:tcPr>
          <w:p w14:paraId="7A378101" w14:textId="77777777" w:rsidR="00980C91" w:rsidRPr="00131EED" w:rsidRDefault="00980C91" w:rsidP="00980C91">
            <w:pPr>
              <w:jc w:val="center"/>
              <w:rPr>
                <w:color w:val="000000"/>
                <w:sz w:val="20"/>
                <w:szCs w:val="20"/>
                <w:lang w:eastAsia="en-US"/>
              </w:rPr>
            </w:pPr>
            <w:r w:rsidRPr="00131EED">
              <w:rPr>
                <w:color w:val="000000"/>
                <w:sz w:val="20"/>
                <w:szCs w:val="20"/>
                <w:lang w:eastAsia="en-US"/>
              </w:rPr>
              <w:t>99.98</w:t>
            </w:r>
          </w:p>
        </w:tc>
      </w:tr>
      <w:tr w:rsidR="00980C91" w:rsidRPr="00131EED" w14:paraId="72887BAF"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10AF4B64" w14:textId="77777777" w:rsidR="00980C91" w:rsidRPr="00131EED" w:rsidRDefault="00980C91" w:rsidP="00980C91">
            <w:pPr>
              <w:jc w:val="center"/>
              <w:rPr>
                <w:color w:val="000000"/>
                <w:sz w:val="20"/>
                <w:szCs w:val="20"/>
                <w:lang w:eastAsia="en-US"/>
              </w:rPr>
            </w:pPr>
            <w:r w:rsidRPr="00131EED">
              <w:rPr>
                <w:color w:val="000000"/>
                <w:sz w:val="20"/>
                <w:szCs w:val="20"/>
                <w:lang w:eastAsia="en-US"/>
              </w:rPr>
              <w:t>Cajicá</w:t>
            </w:r>
          </w:p>
        </w:tc>
        <w:tc>
          <w:tcPr>
            <w:tcW w:w="1860" w:type="dxa"/>
            <w:tcBorders>
              <w:top w:val="nil"/>
              <w:left w:val="nil"/>
              <w:bottom w:val="single" w:sz="4" w:space="0" w:color="auto"/>
              <w:right w:val="single" w:sz="4" w:space="0" w:color="auto"/>
            </w:tcBorders>
            <w:noWrap/>
            <w:vAlign w:val="center"/>
            <w:hideMark/>
          </w:tcPr>
          <w:p w14:paraId="2FEBEB22" w14:textId="2FA1EBA8" w:rsidR="00980C91" w:rsidRPr="00131EED" w:rsidRDefault="00980C91" w:rsidP="00980C91">
            <w:pPr>
              <w:jc w:val="center"/>
              <w:rPr>
                <w:color w:val="000000"/>
                <w:sz w:val="20"/>
                <w:szCs w:val="20"/>
                <w:lang w:eastAsia="en-US"/>
              </w:rPr>
            </w:pPr>
            <w:r w:rsidRPr="00131EED">
              <w:rPr>
                <w:color w:val="000000"/>
                <w:sz w:val="20"/>
                <w:szCs w:val="20"/>
                <w:lang w:eastAsia="en-US"/>
              </w:rPr>
              <w:t>5124.</w:t>
            </w:r>
            <w:r w:rsidRPr="00131EED">
              <w:rPr>
                <w:color w:val="000000"/>
                <w:sz w:val="20"/>
                <w:szCs w:val="20"/>
              </w:rPr>
              <w:t>15</w:t>
            </w:r>
          </w:p>
        </w:tc>
        <w:tc>
          <w:tcPr>
            <w:tcW w:w="2600" w:type="dxa"/>
            <w:tcBorders>
              <w:top w:val="nil"/>
              <w:left w:val="nil"/>
              <w:bottom w:val="single" w:sz="4" w:space="0" w:color="auto"/>
              <w:right w:val="single" w:sz="4" w:space="0" w:color="auto"/>
            </w:tcBorders>
            <w:noWrap/>
            <w:vAlign w:val="center"/>
            <w:hideMark/>
          </w:tcPr>
          <w:p w14:paraId="08A84CD9" w14:textId="7DD01DE2" w:rsidR="00980C91" w:rsidRPr="00131EED" w:rsidRDefault="00D5799C" w:rsidP="00980C91">
            <w:pPr>
              <w:jc w:val="center"/>
              <w:rPr>
                <w:color w:val="000000"/>
                <w:sz w:val="20"/>
                <w:szCs w:val="20"/>
                <w:lang w:eastAsia="en-US"/>
              </w:rPr>
            </w:pPr>
            <w:r w:rsidRPr="00131EED">
              <w:rPr>
                <w:color w:val="000000"/>
                <w:sz w:val="20"/>
                <w:szCs w:val="20"/>
                <w:lang w:eastAsia="en-US"/>
              </w:rPr>
              <w:t>5124.</w:t>
            </w:r>
            <w:r w:rsidRPr="00131EED">
              <w:rPr>
                <w:color w:val="000000"/>
                <w:sz w:val="20"/>
                <w:szCs w:val="20"/>
              </w:rPr>
              <w:t>15</w:t>
            </w:r>
          </w:p>
        </w:tc>
        <w:tc>
          <w:tcPr>
            <w:tcW w:w="1440" w:type="dxa"/>
            <w:tcBorders>
              <w:top w:val="nil"/>
              <w:left w:val="nil"/>
              <w:bottom w:val="single" w:sz="4" w:space="0" w:color="auto"/>
              <w:right w:val="single" w:sz="4" w:space="0" w:color="auto"/>
            </w:tcBorders>
            <w:noWrap/>
            <w:vAlign w:val="center"/>
            <w:hideMark/>
          </w:tcPr>
          <w:p w14:paraId="3B98DDF9" w14:textId="11037E0C" w:rsidR="00980C91" w:rsidRPr="00131EED" w:rsidRDefault="00980C91" w:rsidP="00980C91">
            <w:pPr>
              <w:jc w:val="center"/>
              <w:rPr>
                <w:color w:val="000000"/>
                <w:sz w:val="20"/>
                <w:szCs w:val="20"/>
                <w:lang w:eastAsia="en-US"/>
              </w:rPr>
            </w:pPr>
            <w:r w:rsidRPr="00131EED">
              <w:rPr>
                <w:color w:val="000000"/>
                <w:sz w:val="20"/>
                <w:szCs w:val="20"/>
                <w:lang w:eastAsia="en-US"/>
              </w:rPr>
              <w:t>100</w:t>
            </w:r>
          </w:p>
        </w:tc>
      </w:tr>
      <w:tr w:rsidR="00980C91" w:rsidRPr="00131EED" w14:paraId="659ED22E"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78FDEDCB" w14:textId="77777777" w:rsidR="00980C91" w:rsidRPr="00131EED" w:rsidRDefault="00980C91" w:rsidP="00980C91">
            <w:pPr>
              <w:jc w:val="center"/>
              <w:rPr>
                <w:color w:val="000000"/>
                <w:sz w:val="20"/>
                <w:szCs w:val="20"/>
                <w:lang w:eastAsia="en-US"/>
              </w:rPr>
            </w:pPr>
            <w:r w:rsidRPr="00131EED">
              <w:rPr>
                <w:color w:val="000000"/>
                <w:sz w:val="20"/>
                <w:szCs w:val="20"/>
                <w:lang w:eastAsia="en-US"/>
              </w:rPr>
              <w:t>Guatavita</w:t>
            </w:r>
          </w:p>
        </w:tc>
        <w:tc>
          <w:tcPr>
            <w:tcW w:w="1860" w:type="dxa"/>
            <w:tcBorders>
              <w:top w:val="nil"/>
              <w:left w:val="nil"/>
              <w:bottom w:val="single" w:sz="4" w:space="0" w:color="auto"/>
              <w:right w:val="single" w:sz="4" w:space="0" w:color="auto"/>
            </w:tcBorders>
            <w:noWrap/>
            <w:vAlign w:val="center"/>
            <w:hideMark/>
          </w:tcPr>
          <w:p w14:paraId="40988373" w14:textId="6C765E8E" w:rsidR="00980C91" w:rsidRPr="00131EED" w:rsidRDefault="00980C91" w:rsidP="00980C91">
            <w:pPr>
              <w:jc w:val="center"/>
              <w:rPr>
                <w:color w:val="000000"/>
                <w:sz w:val="20"/>
                <w:szCs w:val="20"/>
                <w:lang w:eastAsia="en-US"/>
              </w:rPr>
            </w:pPr>
            <w:r w:rsidRPr="00131EED">
              <w:rPr>
                <w:color w:val="000000"/>
                <w:sz w:val="20"/>
                <w:szCs w:val="20"/>
                <w:lang w:eastAsia="en-US"/>
              </w:rPr>
              <w:t>25201.</w:t>
            </w:r>
            <w:r w:rsidRPr="00131EED">
              <w:rPr>
                <w:color w:val="000000"/>
                <w:sz w:val="20"/>
                <w:szCs w:val="20"/>
              </w:rPr>
              <w:t>04</w:t>
            </w:r>
          </w:p>
        </w:tc>
        <w:tc>
          <w:tcPr>
            <w:tcW w:w="2600" w:type="dxa"/>
            <w:tcBorders>
              <w:top w:val="nil"/>
              <w:left w:val="nil"/>
              <w:bottom w:val="single" w:sz="4" w:space="0" w:color="auto"/>
              <w:right w:val="single" w:sz="4" w:space="0" w:color="auto"/>
            </w:tcBorders>
            <w:noWrap/>
            <w:vAlign w:val="center"/>
            <w:hideMark/>
          </w:tcPr>
          <w:p w14:paraId="35F7B29D" w14:textId="3BB82D8B" w:rsidR="00980C91" w:rsidRPr="00131EED" w:rsidRDefault="00980C91" w:rsidP="00980C91">
            <w:pPr>
              <w:jc w:val="center"/>
              <w:rPr>
                <w:color w:val="000000"/>
                <w:sz w:val="20"/>
                <w:szCs w:val="20"/>
                <w:lang w:eastAsia="en-US"/>
              </w:rPr>
            </w:pPr>
            <w:r w:rsidRPr="00131EED">
              <w:rPr>
                <w:color w:val="000000"/>
                <w:sz w:val="20"/>
                <w:szCs w:val="20"/>
                <w:lang w:eastAsia="en-US"/>
              </w:rPr>
              <w:t>15334.</w:t>
            </w:r>
            <w:r w:rsidRPr="00131EED">
              <w:rPr>
                <w:color w:val="000000"/>
                <w:sz w:val="20"/>
                <w:szCs w:val="20"/>
              </w:rPr>
              <w:t>43</w:t>
            </w:r>
          </w:p>
        </w:tc>
        <w:tc>
          <w:tcPr>
            <w:tcW w:w="1440" w:type="dxa"/>
            <w:tcBorders>
              <w:top w:val="nil"/>
              <w:left w:val="nil"/>
              <w:bottom w:val="single" w:sz="4" w:space="0" w:color="auto"/>
              <w:right w:val="single" w:sz="4" w:space="0" w:color="auto"/>
            </w:tcBorders>
            <w:noWrap/>
            <w:vAlign w:val="center"/>
            <w:hideMark/>
          </w:tcPr>
          <w:p w14:paraId="7A8BF0B9" w14:textId="77777777" w:rsidR="00980C91" w:rsidRPr="00131EED" w:rsidRDefault="00980C91" w:rsidP="00980C91">
            <w:pPr>
              <w:jc w:val="center"/>
              <w:rPr>
                <w:color w:val="000000"/>
                <w:sz w:val="20"/>
                <w:szCs w:val="20"/>
                <w:lang w:eastAsia="en-US"/>
              </w:rPr>
            </w:pPr>
            <w:r w:rsidRPr="00131EED">
              <w:rPr>
                <w:color w:val="000000"/>
                <w:sz w:val="20"/>
                <w:szCs w:val="20"/>
                <w:lang w:eastAsia="en-US"/>
              </w:rPr>
              <w:t>60.85</w:t>
            </w:r>
          </w:p>
        </w:tc>
      </w:tr>
      <w:tr w:rsidR="00D5799C" w:rsidRPr="00131EED" w14:paraId="4E0CF995"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18F21AFC" w14:textId="77777777" w:rsidR="00D5799C" w:rsidRPr="00131EED" w:rsidRDefault="00D5799C" w:rsidP="00D5799C">
            <w:pPr>
              <w:jc w:val="center"/>
              <w:rPr>
                <w:color w:val="000000"/>
                <w:sz w:val="20"/>
                <w:szCs w:val="20"/>
                <w:lang w:eastAsia="en-US"/>
              </w:rPr>
            </w:pPr>
            <w:r w:rsidRPr="00131EED">
              <w:rPr>
                <w:color w:val="000000"/>
                <w:sz w:val="20"/>
                <w:szCs w:val="20"/>
                <w:lang w:eastAsia="en-US"/>
              </w:rPr>
              <w:t>Tabio</w:t>
            </w:r>
          </w:p>
        </w:tc>
        <w:tc>
          <w:tcPr>
            <w:tcW w:w="1860" w:type="dxa"/>
            <w:tcBorders>
              <w:top w:val="nil"/>
              <w:left w:val="nil"/>
              <w:bottom w:val="single" w:sz="4" w:space="0" w:color="auto"/>
              <w:right w:val="single" w:sz="4" w:space="0" w:color="auto"/>
            </w:tcBorders>
            <w:noWrap/>
            <w:vAlign w:val="center"/>
            <w:hideMark/>
          </w:tcPr>
          <w:p w14:paraId="1B01FB15" w14:textId="661DDE7D" w:rsidR="00D5799C" w:rsidRPr="00131EED" w:rsidRDefault="00D5799C" w:rsidP="00D5799C">
            <w:pPr>
              <w:jc w:val="center"/>
              <w:rPr>
                <w:color w:val="000000"/>
                <w:sz w:val="20"/>
                <w:szCs w:val="20"/>
                <w:lang w:eastAsia="en-US"/>
              </w:rPr>
            </w:pPr>
            <w:r w:rsidRPr="00131EED">
              <w:rPr>
                <w:color w:val="000000"/>
                <w:sz w:val="20"/>
                <w:szCs w:val="20"/>
                <w:lang w:eastAsia="en-US"/>
              </w:rPr>
              <w:t>7510.</w:t>
            </w:r>
            <w:r w:rsidRPr="00131EED">
              <w:rPr>
                <w:color w:val="000000"/>
                <w:sz w:val="20"/>
                <w:szCs w:val="20"/>
              </w:rPr>
              <w:t>66</w:t>
            </w:r>
          </w:p>
        </w:tc>
        <w:tc>
          <w:tcPr>
            <w:tcW w:w="2600" w:type="dxa"/>
            <w:tcBorders>
              <w:top w:val="nil"/>
              <w:left w:val="nil"/>
              <w:bottom w:val="single" w:sz="4" w:space="0" w:color="auto"/>
              <w:right w:val="single" w:sz="4" w:space="0" w:color="auto"/>
            </w:tcBorders>
            <w:noWrap/>
            <w:vAlign w:val="center"/>
            <w:hideMark/>
          </w:tcPr>
          <w:p w14:paraId="360A1DAF" w14:textId="1653FA53" w:rsidR="00D5799C" w:rsidRPr="00131EED" w:rsidRDefault="00D5799C" w:rsidP="00D5799C">
            <w:pPr>
              <w:jc w:val="center"/>
              <w:rPr>
                <w:color w:val="000000"/>
                <w:sz w:val="20"/>
                <w:szCs w:val="20"/>
                <w:lang w:eastAsia="en-US"/>
              </w:rPr>
            </w:pPr>
            <w:r w:rsidRPr="00131EED">
              <w:rPr>
                <w:color w:val="000000"/>
                <w:sz w:val="20"/>
                <w:szCs w:val="20"/>
                <w:lang w:eastAsia="en-US"/>
              </w:rPr>
              <w:t>7510.</w:t>
            </w:r>
            <w:r w:rsidRPr="00131EED">
              <w:rPr>
                <w:color w:val="000000"/>
                <w:sz w:val="20"/>
                <w:szCs w:val="20"/>
              </w:rPr>
              <w:t>66</w:t>
            </w:r>
          </w:p>
        </w:tc>
        <w:tc>
          <w:tcPr>
            <w:tcW w:w="1440" w:type="dxa"/>
            <w:tcBorders>
              <w:top w:val="nil"/>
              <w:left w:val="nil"/>
              <w:bottom w:val="single" w:sz="4" w:space="0" w:color="auto"/>
              <w:right w:val="single" w:sz="4" w:space="0" w:color="auto"/>
            </w:tcBorders>
            <w:noWrap/>
            <w:vAlign w:val="center"/>
            <w:hideMark/>
          </w:tcPr>
          <w:p w14:paraId="3D21A03C" w14:textId="75944F29" w:rsidR="00D5799C" w:rsidRPr="00131EED" w:rsidRDefault="00D5799C" w:rsidP="00D5799C">
            <w:pPr>
              <w:jc w:val="center"/>
              <w:rPr>
                <w:color w:val="000000"/>
                <w:sz w:val="20"/>
                <w:szCs w:val="20"/>
                <w:lang w:eastAsia="en-US"/>
              </w:rPr>
            </w:pPr>
            <w:r w:rsidRPr="00131EED">
              <w:rPr>
                <w:color w:val="000000"/>
                <w:sz w:val="20"/>
                <w:szCs w:val="20"/>
                <w:lang w:eastAsia="en-US"/>
              </w:rPr>
              <w:t>100</w:t>
            </w:r>
          </w:p>
        </w:tc>
      </w:tr>
      <w:tr w:rsidR="00D5799C" w:rsidRPr="00131EED" w14:paraId="3365B67A"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62CFB686" w14:textId="77777777" w:rsidR="00D5799C" w:rsidRPr="00131EED" w:rsidRDefault="00D5799C" w:rsidP="00D5799C">
            <w:pPr>
              <w:jc w:val="center"/>
              <w:rPr>
                <w:color w:val="000000"/>
                <w:sz w:val="20"/>
                <w:szCs w:val="20"/>
                <w:lang w:eastAsia="en-US"/>
              </w:rPr>
            </w:pPr>
            <w:r w:rsidRPr="00131EED">
              <w:rPr>
                <w:color w:val="000000"/>
                <w:sz w:val="20"/>
                <w:szCs w:val="20"/>
                <w:lang w:eastAsia="en-US"/>
              </w:rPr>
              <w:t>Tocancipá</w:t>
            </w:r>
          </w:p>
        </w:tc>
        <w:tc>
          <w:tcPr>
            <w:tcW w:w="1860" w:type="dxa"/>
            <w:tcBorders>
              <w:top w:val="nil"/>
              <w:left w:val="nil"/>
              <w:bottom w:val="single" w:sz="4" w:space="0" w:color="auto"/>
              <w:right w:val="single" w:sz="4" w:space="0" w:color="auto"/>
            </w:tcBorders>
            <w:noWrap/>
            <w:vAlign w:val="center"/>
            <w:hideMark/>
          </w:tcPr>
          <w:p w14:paraId="559A1403" w14:textId="02F6C799" w:rsidR="00D5799C" w:rsidRPr="00131EED" w:rsidRDefault="00D5799C" w:rsidP="00D5799C">
            <w:pPr>
              <w:jc w:val="center"/>
              <w:rPr>
                <w:color w:val="000000"/>
                <w:sz w:val="20"/>
                <w:szCs w:val="20"/>
                <w:lang w:eastAsia="en-US"/>
              </w:rPr>
            </w:pPr>
            <w:r w:rsidRPr="00131EED">
              <w:rPr>
                <w:color w:val="000000"/>
                <w:sz w:val="20"/>
                <w:szCs w:val="20"/>
                <w:lang w:eastAsia="en-US"/>
              </w:rPr>
              <w:t>7314.</w:t>
            </w:r>
            <w:r w:rsidRPr="00131EED">
              <w:rPr>
                <w:color w:val="000000"/>
                <w:sz w:val="20"/>
                <w:szCs w:val="20"/>
              </w:rPr>
              <w:t>14</w:t>
            </w:r>
          </w:p>
        </w:tc>
        <w:tc>
          <w:tcPr>
            <w:tcW w:w="2600" w:type="dxa"/>
            <w:tcBorders>
              <w:top w:val="nil"/>
              <w:left w:val="nil"/>
              <w:bottom w:val="single" w:sz="4" w:space="0" w:color="auto"/>
              <w:right w:val="single" w:sz="4" w:space="0" w:color="auto"/>
            </w:tcBorders>
            <w:noWrap/>
            <w:vAlign w:val="center"/>
            <w:hideMark/>
          </w:tcPr>
          <w:p w14:paraId="12FE8F0F" w14:textId="3D4A4408" w:rsidR="00D5799C" w:rsidRPr="00131EED" w:rsidRDefault="00D5799C" w:rsidP="00D5799C">
            <w:pPr>
              <w:jc w:val="center"/>
              <w:rPr>
                <w:color w:val="000000"/>
                <w:sz w:val="20"/>
                <w:szCs w:val="20"/>
                <w:lang w:eastAsia="en-US"/>
              </w:rPr>
            </w:pPr>
            <w:r w:rsidRPr="00131EED">
              <w:rPr>
                <w:color w:val="000000"/>
                <w:sz w:val="20"/>
                <w:szCs w:val="20"/>
                <w:lang w:eastAsia="en-US"/>
              </w:rPr>
              <w:t>7314.</w:t>
            </w:r>
            <w:r w:rsidRPr="00131EED">
              <w:rPr>
                <w:color w:val="000000"/>
                <w:sz w:val="20"/>
                <w:szCs w:val="20"/>
              </w:rPr>
              <w:t>14</w:t>
            </w:r>
          </w:p>
        </w:tc>
        <w:tc>
          <w:tcPr>
            <w:tcW w:w="1440" w:type="dxa"/>
            <w:tcBorders>
              <w:top w:val="nil"/>
              <w:left w:val="nil"/>
              <w:bottom w:val="single" w:sz="4" w:space="0" w:color="auto"/>
              <w:right w:val="single" w:sz="4" w:space="0" w:color="auto"/>
            </w:tcBorders>
            <w:noWrap/>
            <w:vAlign w:val="center"/>
            <w:hideMark/>
          </w:tcPr>
          <w:p w14:paraId="4AC2EF5E" w14:textId="5AFCC3A3" w:rsidR="00D5799C" w:rsidRPr="00131EED" w:rsidRDefault="00D5799C" w:rsidP="00D5799C">
            <w:pPr>
              <w:jc w:val="center"/>
              <w:rPr>
                <w:color w:val="000000"/>
                <w:sz w:val="20"/>
                <w:szCs w:val="20"/>
                <w:lang w:eastAsia="en-US"/>
              </w:rPr>
            </w:pPr>
            <w:r w:rsidRPr="00131EED">
              <w:rPr>
                <w:color w:val="000000"/>
                <w:sz w:val="20"/>
                <w:szCs w:val="20"/>
                <w:lang w:eastAsia="en-US"/>
              </w:rPr>
              <w:t>100</w:t>
            </w:r>
          </w:p>
        </w:tc>
      </w:tr>
      <w:tr w:rsidR="00980C91" w:rsidRPr="00131EED" w14:paraId="38039FDA"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60162B2E" w14:textId="77777777" w:rsidR="00980C91" w:rsidRPr="00131EED" w:rsidRDefault="00980C91" w:rsidP="00980C91">
            <w:pPr>
              <w:jc w:val="center"/>
              <w:rPr>
                <w:color w:val="000000"/>
                <w:sz w:val="20"/>
                <w:szCs w:val="20"/>
                <w:lang w:eastAsia="en-US"/>
              </w:rPr>
            </w:pPr>
            <w:r w:rsidRPr="00131EED">
              <w:rPr>
                <w:color w:val="000000"/>
                <w:sz w:val="20"/>
                <w:szCs w:val="20"/>
                <w:lang w:eastAsia="en-US"/>
              </w:rPr>
              <w:t>Gachancipá</w:t>
            </w:r>
          </w:p>
        </w:tc>
        <w:tc>
          <w:tcPr>
            <w:tcW w:w="1860" w:type="dxa"/>
            <w:tcBorders>
              <w:top w:val="nil"/>
              <w:left w:val="nil"/>
              <w:bottom w:val="single" w:sz="4" w:space="0" w:color="auto"/>
              <w:right w:val="single" w:sz="4" w:space="0" w:color="auto"/>
            </w:tcBorders>
            <w:noWrap/>
            <w:vAlign w:val="center"/>
            <w:hideMark/>
          </w:tcPr>
          <w:p w14:paraId="4D835AC7" w14:textId="686B3B31" w:rsidR="00980C91" w:rsidRPr="00131EED" w:rsidRDefault="00980C91" w:rsidP="00980C91">
            <w:pPr>
              <w:jc w:val="center"/>
              <w:rPr>
                <w:color w:val="000000"/>
                <w:sz w:val="20"/>
                <w:szCs w:val="20"/>
                <w:lang w:eastAsia="en-US"/>
              </w:rPr>
            </w:pPr>
            <w:r w:rsidRPr="00131EED">
              <w:rPr>
                <w:color w:val="000000"/>
                <w:sz w:val="20"/>
                <w:szCs w:val="20"/>
                <w:lang w:eastAsia="en-US"/>
              </w:rPr>
              <w:t>4300.</w:t>
            </w:r>
            <w:r w:rsidRPr="00131EED">
              <w:rPr>
                <w:color w:val="000000"/>
                <w:sz w:val="20"/>
                <w:szCs w:val="20"/>
              </w:rPr>
              <w:t>27</w:t>
            </w:r>
          </w:p>
        </w:tc>
        <w:tc>
          <w:tcPr>
            <w:tcW w:w="2600" w:type="dxa"/>
            <w:tcBorders>
              <w:top w:val="nil"/>
              <w:left w:val="nil"/>
              <w:bottom w:val="single" w:sz="4" w:space="0" w:color="auto"/>
              <w:right w:val="single" w:sz="4" w:space="0" w:color="auto"/>
            </w:tcBorders>
            <w:noWrap/>
            <w:vAlign w:val="center"/>
            <w:hideMark/>
          </w:tcPr>
          <w:p w14:paraId="433E60AE" w14:textId="20FF5186" w:rsidR="00980C91" w:rsidRPr="00131EED" w:rsidRDefault="00980C91" w:rsidP="00980C91">
            <w:pPr>
              <w:jc w:val="center"/>
              <w:rPr>
                <w:color w:val="000000"/>
                <w:sz w:val="20"/>
                <w:szCs w:val="20"/>
                <w:lang w:eastAsia="en-US"/>
              </w:rPr>
            </w:pPr>
            <w:r w:rsidRPr="00131EED">
              <w:rPr>
                <w:color w:val="000000"/>
                <w:sz w:val="20"/>
                <w:szCs w:val="20"/>
                <w:lang w:eastAsia="en-US"/>
              </w:rPr>
              <w:t>4286.</w:t>
            </w:r>
            <w:r w:rsidRPr="00131EED">
              <w:rPr>
                <w:color w:val="000000"/>
                <w:sz w:val="20"/>
                <w:szCs w:val="20"/>
              </w:rPr>
              <w:t>54</w:t>
            </w:r>
          </w:p>
        </w:tc>
        <w:tc>
          <w:tcPr>
            <w:tcW w:w="1440" w:type="dxa"/>
            <w:tcBorders>
              <w:top w:val="nil"/>
              <w:left w:val="nil"/>
              <w:bottom w:val="single" w:sz="4" w:space="0" w:color="auto"/>
              <w:right w:val="single" w:sz="4" w:space="0" w:color="auto"/>
            </w:tcBorders>
            <w:noWrap/>
            <w:vAlign w:val="center"/>
            <w:hideMark/>
          </w:tcPr>
          <w:p w14:paraId="4B0FCBA0" w14:textId="77777777" w:rsidR="00980C91" w:rsidRPr="00131EED" w:rsidRDefault="00980C91" w:rsidP="00980C91">
            <w:pPr>
              <w:jc w:val="center"/>
              <w:rPr>
                <w:color w:val="000000"/>
                <w:sz w:val="20"/>
                <w:szCs w:val="20"/>
                <w:lang w:eastAsia="en-US"/>
              </w:rPr>
            </w:pPr>
            <w:r w:rsidRPr="00131EED">
              <w:rPr>
                <w:color w:val="000000"/>
                <w:sz w:val="20"/>
                <w:szCs w:val="20"/>
                <w:lang w:eastAsia="en-US"/>
              </w:rPr>
              <w:t>99.68</w:t>
            </w:r>
          </w:p>
        </w:tc>
      </w:tr>
      <w:tr w:rsidR="00980C91" w:rsidRPr="00131EED" w14:paraId="0675C57A"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7E184928" w14:textId="77777777" w:rsidR="00980C91" w:rsidRPr="00131EED" w:rsidRDefault="00980C91" w:rsidP="00980C91">
            <w:pPr>
              <w:jc w:val="center"/>
              <w:rPr>
                <w:color w:val="000000"/>
                <w:sz w:val="20"/>
                <w:szCs w:val="20"/>
                <w:lang w:eastAsia="en-US"/>
              </w:rPr>
            </w:pPr>
            <w:r w:rsidRPr="00131EED">
              <w:rPr>
                <w:color w:val="000000"/>
                <w:sz w:val="20"/>
                <w:szCs w:val="20"/>
                <w:lang w:eastAsia="en-US"/>
              </w:rPr>
              <w:t>Subachoque</w:t>
            </w:r>
          </w:p>
        </w:tc>
        <w:tc>
          <w:tcPr>
            <w:tcW w:w="1860" w:type="dxa"/>
            <w:tcBorders>
              <w:top w:val="nil"/>
              <w:left w:val="nil"/>
              <w:bottom w:val="single" w:sz="4" w:space="0" w:color="auto"/>
              <w:right w:val="single" w:sz="4" w:space="0" w:color="auto"/>
            </w:tcBorders>
            <w:noWrap/>
            <w:vAlign w:val="center"/>
            <w:hideMark/>
          </w:tcPr>
          <w:p w14:paraId="04BB7101" w14:textId="2A118FA7" w:rsidR="00980C91" w:rsidRPr="00131EED" w:rsidRDefault="00980C91" w:rsidP="00980C91">
            <w:pPr>
              <w:jc w:val="center"/>
              <w:rPr>
                <w:color w:val="000000"/>
                <w:sz w:val="20"/>
                <w:szCs w:val="20"/>
                <w:lang w:eastAsia="en-US"/>
              </w:rPr>
            </w:pPr>
            <w:r w:rsidRPr="00131EED">
              <w:rPr>
                <w:color w:val="000000"/>
                <w:sz w:val="20"/>
                <w:szCs w:val="20"/>
                <w:lang w:eastAsia="en-US"/>
              </w:rPr>
              <w:t>20898.</w:t>
            </w:r>
            <w:r w:rsidRPr="00131EED">
              <w:rPr>
                <w:color w:val="000000"/>
                <w:sz w:val="20"/>
                <w:szCs w:val="20"/>
              </w:rPr>
              <w:t>73</w:t>
            </w:r>
          </w:p>
        </w:tc>
        <w:tc>
          <w:tcPr>
            <w:tcW w:w="2600" w:type="dxa"/>
            <w:tcBorders>
              <w:top w:val="nil"/>
              <w:left w:val="nil"/>
              <w:bottom w:val="single" w:sz="4" w:space="0" w:color="auto"/>
              <w:right w:val="single" w:sz="4" w:space="0" w:color="auto"/>
            </w:tcBorders>
            <w:noWrap/>
            <w:vAlign w:val="center"/>
            <w:hideMark/>
          </w:tcPr>
          <w:p w14:paraId="25EAF561" w14:textId="44CA078E" w:rsidR="00980C91" w:rsidRPr="00131EED" w:rsidRDefault="00980C91" w:rsidP="00980C91">
            <w:pPr>
              <w:jc w:val="center"/>
              <w:rPr>
                <w:color w:val="000000"/>
                <w:sz w:val="20"/>
                <w:szCs w:val="20"/>
                <w:lang w:eastAsia="en-US"/>
              </w:rPr>
            </w:pPr>
            <w:r w:rsidRPr="00131EED">
              <w:rPr>
                <w:color w:val="000000"/>
                <w:sz w:val="20"/>
                <w:szCs w:val="20"/>
                <w:lang w:eastAsia="en-US"/>
              </w:rPr>
              <w:t>18668.</w:t>
            </w:r>
            <w:r w:rsidRPr="00131EED">
              <w:rPr>
                <w:color w:val="000000"/>
                <w:sz w:val="20"/>
                <w:szCs w:val="20"/>
              </w:rPr>
              <w:t>15</w:t>
            </w:r>
          </w:p>
        </w:tc>
        <w:tc>
          <w:tcPr>
            <w:tcW w:w="1440" w:type="dxa"/>
            <w:tcBorders>
              <w:top w:val="nil"/>
              <w:left w:val="nil"/>
              <w:bottom w:val="single" w:sz="4" w:space="0" w:color="auto"/>
              <w:right w:val="single" w:sz="4" w:space="0" w:color="auto"/>
            </w:tcBorders>
            <w:noWrap/>
            <w:vAlign w:val="center"/>
            <w:hideMark/>
          </w:tcPr>
          <w:p w14:paraId="41D43EB0" w14:textId="77777777" w:rsidR="00980C91" w:rsidRPr="00131EED" w:rsidRDefault="00980C91" w:rsidP="00980C91">
            <w:pPr>
              <w:jc w:val="center"/>
              <w:rPr>
                <w:color w:val="000000"/>
                <w:sz w:val="20"/>
                <w:szCs w:val="20"/>
                <w:lang w:eastAsia="en-US"/>
              </w:rPr>
            </w:pPr>
            <w:r w:rsidRPr="00131EED">
              <w:rPr>
                <w:color w:val="000000"/>
                <w:sz w:val="20"/>
                <w:szCs w:val="20"/>
                <w:lang w:eastAsia="en-US"/>
              </w:rPr>
              <w:t>89.33</w:t>
            </w:r>
          </w:p>
        </w:tc>
      </w:tr>
      <w:tr w:rsidR="00980C91" w:rsidRPr="00131EED" w14:paraId="1E18EB05"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6F257D22" w14:textId="77777777" w:rsidR="00980C91" w:rsidRPr="00131EED" w:rsidRDefault="00980C91" w:rsidP="00980C91">
            <w:pPr>
              <w:jc w:val="center"/>
              <w:rPr>
                <w:color w:val="000000"/>
                <w:sz w:val="20"/>
                <w:szCs w:val="20"/>
                <w:lang w:eastAsia="en-US"/>
              </w:rPr>
            </w:pPr>
            <w:r w:rsidRPr="00131EED">
              <w:rPr>
                <w:color w:val="000000"/>
                <w:sz w:val="20"/>
                <w:szCs w:val="20"/>
                <w:lang w:eastAsia="en-US"/>
              </w:rPr>
              <w:t>Sesquilé</w:t>
            </w:r>
          </w:p>
        </w:tc>
        <w:tc>
          <w:tcPr>
            <w:tcW w:w="1860" w:type="dxa"/>
            <w:tcBorders>
              <w:top w:val="nil"/>
              <w:left w:val="nil"/>
              <w:bottom w:val="single" w:sz="4" w:space="0" w:color="auto"/>
              <w:right w:val="single" w:sz="4" w:space="0" w:color="auto"/>
            </w:tcBorders>
            <w:noWrap/>
            <w:vAlign w:val="center"/>
            <w:hideMark/>
          </w:tcPr>
          <w:p w14:paraId="0C3E7AD0" w14:textId="6C0B0E0F" w:rsidR="00980C91" w:rsidRPr="00131EED" w:rsidRDefault="00980C91" w:rsidP="00980C91">
            <w:pPr>
              <w:jc w:val="center"/>
              <w:rPr>
                <w:color w:val="000000"/>
                <w:sz w:val="20"/>
                <w:szCs w:val="20"/>
                <w:lang w:eastAsia="en-US"/>
              </w:rPr>
            </w:pPr>
            <w:r w:rsidRPr="00131EED">
              <w:rPr>
                <w:color w:val="000000"/>
                <w:sz w:val="20"/>
                <w:szCs w:val="20"/>
                <w:lang w:eastAsia="en-US"/>
              </w:rPr>
              <w:t>14095.</w:t>
            </w:r>
            <w:r w:rsidRPr="00131EED">
              <w:rPr>
                <w:color w:val="000000"/>
                <w:sz w:val="20"/>
                <w:szCs w:val="20"/>
              </w:rPr>
              <w:t>43</w:t>
            </w:r>
          </w:p>
        </w:tc>
        <w:tc>
          <w:tcPr>
            <w:tcW w:w="2600" w:type="dxa"/>
            <w:tcBorders>
              <w:top w:val="nil"/>
              <w:left w:val="nil"/>
              <w:bottom w:val="single" w:sz="4" w:space="0" w:color="auto"/>
              <w:right w:val="single" w:sz="4" w:space="0" w:color="auto"/>
            </w:tcBorders>
            <w:noWrap/>
            <w:vAlign w:val="center"/>
            <w:hideMark/>
          </w:tcPr>
          <w:p w14:paraId="53FA41F9" w14:textId="1F70230F" w:rsidR="00980C91" w:rsidRPr="00131EED" w:rsidRDefault="00980C91" w:rsidP="00980C91">
            <w:pPr>
              <w:jc w:val="center"/>
              <w:rPr>
                <w:color w:val="000000"/>
                <w:sz w:val="20"/>
                <w:szCs w:val="20"/>
                <w:lang w:eastAsia="en-US"/>
              </w:rPr>
            </w:pPr>
            <w:r w:rsidRPr="00131EED">
              <w:rPr>
                <w:color w:val="000000"/>
                <w:sz w:val="20"/>
                <w:szCs w:val="20"/>
                <w:lang w:eastAsia="en-US"/>
              </w:rPr>
              <w:t>14080.</w:t>
            </w:r>
            <w:r w:rsidRPr="00131EED">
              <w:rPr>
                <w:color w:val="000000"/>
                <w:sz w:val="20"/>
                <w:szCs w:val="20"/>
              </w:rPr>
              <w:t>93</w:t>
            </w:r>
          </w:p>
        </w:tc>
        <w:tc>
          <w:tcPr>
            <w:tcW w:w="1440" w:type="dxa"/>
            <w:tcBorders>
              <w:top w:val="nil"/>
              <w:left w:val="nil"/>
              <w:bottom w:val="single" w:sz="4" w:space="0" w:color="auto"/>
              <w:right w:val="single" w:sz="4" w:space="0" w:color="auto"/>
            </w:tcBorders>
            <w:noWrap/>
            <w:vAlign w:val="center"/>
            <w:hideMark/>
          </w:tcPr>
          <w:p w14:paraId="42C1C114" w14:textId="77777777" w:rsidR="00980C91" w:rsidRPr="00131EED" w:rsidRDefault="00980C91" w:rsidP="00980C91">
            <w:pPr>
              <w:jc w:val="center"/>
              <w:rPr>
                <w:color w:val="000000"/>
                <w:sz w:val="20"/>
                <w:szCs w:val="20"/>
                <w:lang w:eastAsia="en-US"/>
              </w:rPr>
            </w:pPr>
            <w:r w:rsidRPr="00131EED">
              <w:rPr>
                <w:color w:val="000000"/>
                <w:sz w:val="20"/>
                <w:szCs w:val="20"/>
                <w:lang w:eastAsia="en-US"/>
              </w:rPr>
              <w:t>99.90</w:t>
            </w:r>
          </w:p>
        </w:tc>
      </w:tr>
      <w:tr w:rsidR="00980C91" w:rsidRPr="00131EED" w14:paraId="556EF1D9"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3CFCCE9F" w14:textId="77777777" w:rsidR="00980C91" w:rsidRPr="00131EED" w:rsidRDefault="00980C91" w:rsidP="00980C91">
            <w:pPr>
              <w:jc w:val="center"/>
              <w:rPr>
                <w:color w:val="000000"/>
                <w:sz w:val="20"/>
                <w:szCs w:val="20"/>
                <w:lang w:eastAsia="en-US"/>
              </w:rPr>
            </w:pPr>
            <w:r w:rsidRPr="00131EED">
              <w:rPr>
                <w:color w:val="000000"/>
                <w:sz w:val="20"/>
                <w:szCs w:val="20"/>
                <w:lang w:eastAsia="en-US"/>
              </w:rPr>
              <w:t>Zipaquirá</w:t>
            </w:r>
          </w:p>
        </w:tc>
        <w:tc>
          <w:tcPr>
            <w:tcW w:w="1860" w:type="dxa"/>
            <w:tcBorders>
              <w:top w:val="nil"/>
              <w:left w:val="nil"/>
              <w:bottom w:val="single" w:sz="4" w:space="0" w:color="auto"/>
              <w:right w:val="single" w:sz="4" w:space="0" w:color="auto"/>
            </w:tcBorders>
            <w:noWrap/>
            <w:vAlign w:val="center"/>
            <w:hideMark/>
          </w:tcPr>
          <w:p w14:paraId="498F7F41" w14:textId="41CDC855" w:rsidR="00980C91" w:rsidRPr="00131EED" w:rsidRDefault="00980C91" w:rsidP="00980C91">
            <w:pPr>
              <w:jc w:val="center"/>
              <w:rPr>
                <w:color w:val="000000"/>
                <w:sz w:val="20"/>
                <w:szCs w:val="20"/>
                <w:lang w:eastAsia="en-US"/>
              </w:rPr>
            </w:pPr>
            <w:r w:rsidRPr="00131EED">
              <w:rPr>
                <w:color w:val="000000"/>
                <w:sz w:val="20"/>
                <w:szCs w:val="20"/>
                <w:lang w:eastAsia="en-US"/>
              </w:rPr>
              <w:t>19456.</w:t>
            </w:r>
            <w:r w:rsidRPr="00131EED">
              <w:rPr>
                <w:color w:val="000000"/>
                <w:sz w:val="20"/>
                <w:szCs w:val="20"/>
              </w:rPr>
              <w:t>54</w:t>
            </w:r>
          </w:p>
        </w:tc>
        <w:tc>
          <w:tcPr>
            <w:tcW w:w="2600" w:type="dxa"/>
            <w:tcBorders>
              <w:top w:val="nil"/>
              <w:left w:val="nil"/>
              <w:bottom w:val="single" w:sz="4" w:space="0" w:color="auto"/>
              <w:right w:val="single" w:sz="4" w:space="0" w:color="auto"/>
            </w:tcBorders>
            <w:noWrap/>
            <w:vAlign w:val="center"/>
            <w:hideMark/>
          </w:tcPr>
          <w:p w14:paraId="2111C41F" w14:textId="0F7BE450" w:rsidR="00980C91" w:rsidRPr="00131EED" w:rsidRDefault="00980C91" w:rsidP="00980C91">
            <w:pPr>
              <w:jc w:val="center"/>
              <w:rPr>
                <w:color w:val="000000"/>
                <w:sz w:val="20"/>
                <w:szCs w:val="20"/>
                <w:lang w:eastAsia="en-US"/>
              </w:rPr>
            </w:pPr>
            <w:r w:rsidRPr="00131EED">
              <w:rPr>
                <w:color w:val="000000"/>
                <w:sz w:val="20"/>
                <w:szCs w:val="20"/>
                <w:lang w:eastAsia="en-US"/>
              </w:rPr>
              <w:t>18133.</w:t>
            </w:r>
            <w:r w:rsidRPr="00131EED">
              <w:rPr>
                <w:color w:val="000000"/>
                <w:sz w:val="20"/>
                <w:szCs w:val="20"/>
              </w:rPr>
              <w:t>33</w:t>
            </w:r>
          </w:p>
        </w:tc>
        <w:tc>
          <w:tcPr>
            <w:tcW w:w="1440" w:type="dxa"/>
            <w:tcBorders>
              <w:top w:val="nil"/>
              <w:left w:val="nil"/>
              <w:bottom w:val="single" w:sz="4" w:space="0" w:color="auto"/>
              <w:right w:val="single" w:sz="4" w:space="0" w:color="auto"/>
            </w:tcBorders>
            <w:noWrap/>
            <w:vAlign w:val="center"/>
            <w:hideMark/>
          </w:tcPr>
          <w:p w14:paraId="419D9521" w14:textId="77777777" w:rsidR="00980C91" w:rsidRPr="00131EED" w:rsidRDefault="00980C91" w:rsidP="00980C91">
            <w:pPr>
              <w:jc w:val="center"/>
              <w:rPr>
                <w:color w:val="000000"/>
                <w:sz w:val="20"/>
                <w:szCs w:val="20"/>
                <w:lang w:eastAsia="en-US"/>
              </w:rPr>
            </w:pPr>
            <w:r w:rsidRPr="00131EED">
              <w:rPr>
                <w:color w:val="000000"/>
                <w:sz w:val="20"/>
                <w:szCs w:val="20"/>
                <w:lang w:eastAsia="en-US"/>
              </w:rPr>
              <w:t>93.20</w:t>
            </w:r>
          </w:p>
        </w:tc>
      </w:tr>
      <w:tr w:rsidR="00980C91" w:rsidRPr="00131EED" w14:paraId="29D47381"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1C40EA06" w14:textId="77777777" w:rsidR="00980C91" w:rsidRPr="00131EED" w:rsidRDefault="00980C91" w:rsidP="00980C91">
            <w:pPr>
              <w:jc w:val="center"/>
              <w:rPr>
                <w:color w:val="000000"/>
                <w:sz w:val="20"/>
                <w:szCs w:val="20"/>
                <w:lang w:eastAsia="en-US"/>
              </w:rPr>
            </w:pPr>
            <w:r w:rsidRPr="00131EED">
              <w:rPr>
                <w:color w:val="000000"/>
                <w:sz w:val="20"/>
                <w:szCs w:val="20"/>
                <w:lang w:eastAsia="en-US"/>
              </w:rPr>
              <w:t>Nemocón</w:t>
            </w:r>
          </w:p>
        </w:tc>
        <w:tc>
          <w:tcPr>
            <w:tcW w:w="1860" w:type="dxa"/>
            <w:tcBorders>
              <w:top w:val="nil"/>
              <w:left w:val="nil"/>
              <w:bottom w:val="single" w:sz="4" w:space="0" w:color="auto"/>
              <w:right w:val="single" w:sz="4" w:space="0" w:color="auto"/>
            </w:tcBorders>
            <w:noWrap/>
            <w:vAlign w:val="center"/>
            <w:hideMark/>
          </w:tcPr>
          <w:p w14:paraId="015EBA01" w14:textId="57DC3EED" w:rsidR="00980C91" w:rsidRPr="00131EED" w:rsidRDefault="00980C91" w:rsidP="00980C91">
            <w:pPr>
              <w:jc w:val="center"/>
              <w:rPr>
                <w:color w:val="000000"/>
                <w:sz w:val="20"/>
                <w:szCs w:val="20"/>
                <w:lang w:eastAsia="en-US"/>
              </w:rPr>
            </w:pPr>
            <w:r w:rsidRPr="00131EED">
              <w:rPr>
                <w:color w:val="000000"/>
                <w:sz w:val="20"/>
                <w:szCs w:val="20"/>
                <w:lang w:eastAsia="en-US"/>
              </w:rPr>
              <w:t>9822.</w:t>
            </w:r>
            <w:r w:rsidRPr="00131EED">
              <w:rPr>
                <w:color w:val="000000"/>
                <w:sz w:val="20"/>
                <w:szCs w:val="20"/>
              </w:rPr>
              <w:t>44</w:t>
            </w:r>
          </w:p>
        </w:tc>
        <w:tc>
          <w:tcPr>
            <w:tcW w:w="2600" w:type="dxa"/>
            <w:tcBorders>
              <w:top w:val="nil"/>
              <w:left w:val="nil"/>
              <w:bottom w:val="single" w:sz="4" w:space="0" w:color="auto"/>
              <w:right w:val="single" w:sz="4" w:space="0" w:color="auto"/>
            </w:tcBorders>
            <w:noWrap/>
            <w:vAlign w:val="center"/>
            <w:hideMark/>
          </w:tcPr>
          <w:p w14:paraId="2A127954" w14:textId="3FB937DA" w:rsidR="00980C91" w:rsidRPr="00131EED" w:rsidRDefault="00D5799C" w:rsidP="00980C91">
            <w:pPr>
              <w:jc w:val="center"/>
              <w:rPr>
                <w:color w:val="000000"/>
                <w:sz w:val="20"/>
                <w:szCs w:val="20"/>
                <w:lang w:eastAsia="en-US"/>
              </w:rPr>
            </w:pPr>
            <w:r w:rsidRPr="00131EED">
              <w:rPr>
                <w:color w:val="000000"/>
                <w:sz w:val="20"/>
                <w:szCs w:val="20"/>
                <w:lang w:eastAsia="en-US"/>
              </w:rPr>
              <w:t>9822.</w:t>
            </w:r>
            <w:r w:rsidRPr="00131EED">
              <w:rPr>
                <w:color w:val="000000"/>
                <w:sz w:val="20"/>
                <w:szCs w:val="20"/>
              </w:rPr>
              <w:t>44</w:t>
            </w:r>
          </w:p>
        </w:tc>
        <w:tc>
          <w:tcPr>
            <w:tcW w:w="1440" w:type="dxa"/>
            <w:tcBorders>
              <w:top w:val="nil"/>
              <w:left w:val="nil"/>
              <w:bottom w:val="single" w:sz="4" w:space="0" w:color="auto"/>
              <w:right w:val="single" w:sz="4" w:space="0" w:color="auto"/>
            </w:tcBorders>
            <w:noWrap/>
            <w:vAlign w:val="center"/>
            <w:hideMark/>
          </w:tcPr>
          <w:p w14:paraId="21C55181" w14:textId="665F5520" w:rsidR="00980C91" w:rsidRPr="00131EED" w:rsidRDefault="00980C91" w:rsidP="00980C91">
            <w:pPr>
              <w:jc w:val="center"/>
              <w:rPr>
                <w:color w:val="000000"/>
                <w:sz w:val="20"/>
                <w:szCs w:val="20"/>
                <w:lang w:eastAsia="en-US"/>
              </w:rPr>
            </w:pPr>
            <w:r w:rsidRPr="00131EED">
              <w:rPr>
                <w:color w:val="000000"/>
                <w:sz w:val="20"/>
                <w:szCs w:val="20"/>
                <w:lang w:eastAsia="en-US"/>
              </w:rPr>
              <w:t>100</w:t>
            </w:r>
          </w:p>
        </w:tc>
      </w:tr>
      <w:tr w:rsidR="00980C91" w:rsidRPr="00131EED" w14:paraId="3EB44849"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565FEF72" w14:textId="77777777" w:rsidR="00980C91" w:rsidRPr="00131EED" w:rsidRDefault="00980C91" w:rsidP="00980C91">
            <w:pPr>
              <w:jc w:val="center"/>
              <w:rPr>
                <w:color w:val="000000"/>
                <w:sz w:val="20"/>
                <w:szCs w:val="20"/>
                <w:lang w:eastAsia="en-US"/>
              </w:rPr>
            </w:pPr>
            <w:r w:rsidRPr="00131EED">
              <w:rPr>
                <w:color w:val="000000"/>
                <w:sz w:val="20"/>
                <w:szCs w:val="20"/>
                <w:lang w:eastAsia="en-US"/>
              </w:rPr>
              <w:t>Cogua</w:t>
            </w:r>
          </w:p>
        </w:tc>
        <w:tc>
          <w:tcPr>
            <w:tcW w:w="1860" w:type="dxa"/>
            <w:tcBorders>
              <w:top w:val="nil"/>
              <w:left w:val="nil"/>
              <w:bottom w:val="single" w:sz="4" w:space="0" w:color="auto"/>
              <w:right w:val="single" w:sz="4" w:space="0" w:color="auto"/>
            </w:tcBorders>
            <w:noWrap/>
            <w:vAlign w:val="center"/>
            <w:hideMark/>
          </w:tcPr>
          <w:p w14:paraId="3971C6DD" w14:textId="6AA786CF" w:rsidR="00980C91" w:rsidRPr="00131EED" w:rsidRDefault="00980C91" w:rsidP="00980C91">
            <w:pPr>
              <w:jc w:val="center"/>
              <w:rPr>
                <w:color w:val="000000"/>
                <w:sz w:val="20"/>
                <w:szCs w:val="20"/>
                <w:lang w:eastAsia="en-US"/>
              </w:rPr>
            </w:pPr>
            <w:r w:rsidRPr="00131EED">
              <w:rPr>
                <w:color w:val="000000"/>
                <w:sz w:val="20"/>
                <w:szCs w:val="20"/>
                <w:lang w:eastAsia="en-US"/>
              </w:rPr>
              <w:t>13269.</w:t>
            </w:r>
            <w:r w:rsidRPr="00131EED">
              <w:rPr>
                <w:color w:val="000000"/>
                <w:sz w:val="20"/>
                <w:szCs w:val="20"/>
              </w:rPr>
              <w:t>60</w:t>
            </w:r>
          </w:p>
        </w:tc>
        <w:tc>
          <w:tcPr>
            <w:tcW w:w="2600" w:type="dxa"/>
            <w:tcBorders>
              <w:top w:val="nil"/>
              <w:left w:val="nil"/>
              <w:bottom w:val="single" w:sz="4" w:space="0" w:color="auto"/>
              <w:right w:val="single" w:sz="4" w:space="0" w:color="auto"/>
            </w:tcBorders>
            <w:noWrap/>
            <w:vAlign w:val="center"/>
            <w:hideMark/>
          </w:tcPr>
          <w:p w14:paraId="5CE6D15E" w14:textId="65E9A79F" w:rsidR="00980C91" w:rsidRPr="00131EED" w:rsidRDefault="00980C91" w:rsidP="00980C91">
            <w:pPr>
              <w:jc w:val="center"/>
              <w:rPr>
                <w:color w:val="000000"/>
                <w:sz w:val="20"/>
                <w:szCs w:val="20"/>
                <w:lang w:eastAsia="en-US"/>
              </w:rPr>
            </w:pPr>
            <w:r w:rsidRPr="00131EED">
              <w:rPr>
                <w:color w:val="000000"/>
                <w:sz w:val="20"/>
                <w:szCs w:val="20"/>
                <w:lang w:eastAsia="en-US"/>
              </w:rPr>
              <w:t>13269.</w:t>
            </w:r>
            <w:r w:rsidRPr="00131EED">
              <w:rPr>
                <w:color w:val="000000"/>
                <w:sz w:val="20"/>
                <w:szCs w:val="20"/>
              </w:rPr>
              <w:t>09</w:t>
            </w:r>
          </w:p>
        </w:tc>
        <w:tc>
          <w:tcPr>
            <w:tcW w:w="1440" w:type="dxa"/>
            <w:tcBorders>
              <w:top w:val="nil"/>
              <w:left w:val="nil"/>
              <w:bottom w:val="single" w:sz="4" w:space="0" w:color="auto"/>
              <w:right w:val="single" w:sz="4" w:space="0" w:color="auto"/>
            </w:tcBorders>
            <w:noWrap/>
            <w:vAlign w:val="center"/>
            <w:hideMark/>
          </w:tcPr>
          <w:p w14:paraId="1DFAEF1F" w14:textId="3F36A186" w:rsidR="00980C91" w:rsidRPr="00131EED" w:rsidRDefault="00980C91" w:rsidP="00980C91">
            <w:pPr>
              <w:jc w:val="center"/>
              <w:rPr>
                <w:color w:val="000000"/>
                <w:sz w:val="20"/>
                <w:szCs w:val="20"/>
                <w:lang w:eastAsia="en-US"/>
              </w:rPr>
            </w:pPr>
            <w:r w:rsidRPr="00131EED">
              <w:rPr>
                <w:color w:val="000000"/>
                <w:sz w:val="20"/>
                <w:szCs w:val="20"/>
                <w:lang w:eastAsia="en-US"/>
              </w:rPr>
              <w:t>100</w:t>
            </w:r>
          </w:p>
        </w:tc>
      </w:tr>
      <w:tr w:rsidR="00980C91" w:rsidRPr="00131EED" w14:paraId="31EED255"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2545F210" w14:textId="77777777" w:rsidR="00980C91" w:rsidRPr="00131EED" w:rsidRDefault="00980C91" w:rsidP="00980C91">
            <w:pPr>
              <w:jc w:val="center"/>
              <w:rPr>
                <w:color w:val="000000"/>
                <w:sz w:val="20"/>
                <w:szCs w:val="20"/>
                <w:lang w:eastAsia="en-US"/>
              </w:rPr>
            </w:pPr>
            <w:r w:rsidRPr="00131EED">
              <w:rPr>
                <w:color w:val="000000"/>
                <w:sz w:val="20"/>
                <w:szCs w:val="20"/>
                <w:lang w:eastAsia="en-US"/>
              </w:rPr>
              <w:t>Suesca</w:t>
            </w:r>
          </w:p>
        </w:tc>
        <w:tc>
          <w:tcPr>
            <w:tcW w:w="1860" w:type="dxa"/>
            <w:tcBorders>
              <w:top w:val="nil"/>
              <w:left w:val="nil"/>
              <w:bottom w:val="single" w:sz="4" w:space="0" w:color="auto"/>
              <w:right w:val="single" w:sz="4" w:space="0" w:color="auto"/>
            </w:tcBorders>
            <w:noWrap/>
            <w:vAlign w:val="center"/>
            <w:hideMark/>
          </w:tcPr>
          <w:p w14:paraId="0764059D" w14:textId="0B9287B1" w:rsidR="00980C91" w:rsidRPr="00131EED" w:rsidRDefault="00980C91" w:rsidP="00980C91">
            <w:pPr>
              <w:jc w:val="center"/>
              <w:rPr>
                <w:color w:val="000000"/>
                <w:sz w:val="20"/>
                <w:szCs w:val="20"/>
                <w:lang w:eastAsia="en-US"/>
              </w:rPr>
            </w:pPr>
            <w:r w:rsidRPr="00131EED">
              <w:rPr>
                <w:color w:val="000000"/>
                <w:sz w:val="20"/>
                <w:szCs w:val="20"/>
                <w:lang w:eastAsia="en-US"/>
              </w:rPr>
              <w:t>17283.</w:t>
            </w:r>
            <w:r w:rsidRPr="00131EED">
              <w:rPr>
                <w:color w:val="000000"/>
                <w:sz w:val="20"/>
                <w:szCs w:val="20"/>
              </w:rPr>
              <w:t>03</w:t>
            </w:r>
          </w:p>
        </w:tc>
        <w:tc>
          <w:tcPr>
            <w:tcW w:w="2600" w:type="dxa"/>
            <w:tcBorders>
              <w:top w:val="nil"/>
              <w:left w:val="nil"/>
              <w:bottom w:val="single" w:sz="4" w:space="0" w:color="auto"/>
              <w:right w:val="single" w:sz="4" w:space="0" w:color="auto"/>
            </w:tcBorders>
            <w:noWrap/>
            <w:vAlign w:val="center"/>
            <w:hideMark/>
          </w:tcPr>
          <w:p w14:paraId="23381B8C" w14:textId="48B3EB29" w:rsidR="00980C91" w:rsidRPr="00131EED" w:rsidRDefault="00980C91" w:rsidP="00980C91">
            <w:pPr>
              <w:jc w:val="center"/>
              <w:rPr>
                <w:color w:val="000000"/>
                <w:sz w:val="20"/>
                <w:szCs w:val="20"/>
                <w:lang w:eastAsia="en-US"/>
              </w:rPr>
            </w:pPr>
            <w:r w:rsidRPr="00131EED">
              <w:rPr>
                <w:color w:val="000000"/>
                <w:sz w:val="20"/>
                <w:szCs w:val="20"/>
                <w:lang w:eastAsia="en-US"/>
              </w:rPr>
              <w:t>11503.</w:t>
            </w:r>
            <w:r w:rsidRPr="00131EED">
              <w:rPr>
                <w:color w:val="000000"/>
                <w:sz w:val="20"/>
                <w:szCs w:val="20"/>
              </w:rPr>
              <w:t>97</w:t>
            </w:r>
          </w:p>
        </w:tc>
        <w:tc>
          <w:tcPr>
            <w:tcW w:w="1440" w:type="dxa"/>
            <w:tcBorders>
              <w:top w:val="nil"/>
              <w:left w:val="nil"/>
              <w:bottom w:val="single" w:sz="4" w:space="0" w:color="auto"/>
              <w:right w:val="single" w:sz="4" w:space="0" w:color="auto"/>
            </w:tcBorders>
            <w:noWrap/>
            <w:vAlign w:val="center"/>
            <w:hideMark/>
          </w:tcPr>
          <w:p w14:paraId="3A859696" w14:textId="77777777" w:rsidR="00980C91" w:rsidRPr="00131EED" w:rsidRDefault="00980C91" w:rsidP="00980C91">
            <w:pPr>
              <w:jc w:val="center"/>
              <w:rPr>
                <w:color w:val="000000"/>
                <w:sz w:val="20"/>
                <w:szCs w:val="20"/>
                <w:lang w:eastAsia="en-US"/>
              </w:rPr>
            </w:pPr>
            <w:r w:rsidRPr="00131EED">
              <w:rPr>
                <w:color w:val="000000"/>
                <w:sz w:val="20"/>
                <w:szCs w:val="20"/>
                <w:lang w:eastAsia="en-US"/>
              </w:rPr>
              <w:t>66.56</w:t>
            </w:r>
          </w:p>
        </w:tc>
      </w:tr>
      <w:tr w:rsidR="00980C91" w:rsidRPr="00131EED" w14:paraId="04B119B3"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3207D88D" w14:textId="77777777" w:rsidR="00980C91" w:rsidRPr="00131EED" w:rsidRDefault="00980C91" w:rsidP="00980C91">
            <w:pPr>
              <w:jc w:val="center"/>
              <w:rPr>
                <w:color w:val="000000"/>
                <w:sz w:val="20"/>
                <w:szCs w:val="20"/>
                <w:lang w:eastAsia="en-US"/>
              </w:rPr>
            </w:pPr>
            <w:r w:rsidRPr="00131EED">
              <w:rPr>
                <w:color w:val="000000"/>
                <w:sz w:val="20"/>
                <w:szCs w:val="20"/>
                <w:lang w:eastAsia="en-US"/>
              </w:rPr>
              <w:t>Chocontá</w:t>
            </w:r>
          </w:p>
        </w:tc>
        <w:tc>
          <w:tcPr>
            <w:tcW w:w="1860" w:type="dxa"/>
            <w:tcBorders>
              <w:top w:val="nil"/>
              <w:left w:val="nil"/>
              <w:bottom w:val="single" w:sz="4" w:space="0" w:color="auto"/>
              <w:right w:val="single" w:sz="4" w:space="0" w:color="auto"/>
            </w:tcBorders>
            <w:noWrap/>
            <w:vAlign w:val="center"/>
            <w:hideMark/>
          </w:tcPr>
          <w:p w14:paraId="720B729C" w14:textId="038E0F91" w:rsidR="00980C91" w:rsidRPr="00131EED" w:rsidRDefault="00980C91" w:rsidP="00980C91">
            <w:pPr>
              <w:jc w:val="center"/>
              <w:rPr>
                <w:color w:val="000000"/>
                <w:sz w:val="20"/>
                <w:szCs w:val="20"/>
                <w:lang w:eastAsia="en-US"/>
              </w:rPr>
            </w:pPr>
            <w:r w:rsidRPr="00131EED">
              <w:rPr>
                <w:color w:val="000000"/>
                <w:sz w:val="20"/>
                <w:szCs w:val="20"/>
                <w:lang w:eastAsia="en-US"/>
              </w:rPr>
              <w:t>29974.</w:t>
            </w:r>
            <w:r w:rsidRPr="00131EED">
              <w:rPr>
                <w:color w:val="000000"/>
                <w:sz w:val="20"/>
                <w:szCs w:val="20"/>
              </w:rPr>
              <w:t>87</w:t>
            </w:r>
          </w:p>
        </w:tc>
        <w:tc>
          <w:tcPr>
            <w:tcW w:w="2600" w:type="dxa"/>
            <w:tcBorders>
              <w:top w:val="nil"/>
              <w:left w:val="nil"/>
              <w:bottom w:val="single" w:sz="4" w:space="0" w:color="auto"/>
              <w:right w:val="single" w:sz="4" w:space="0" w:color="auto"/>
            </w:tcBorders>
            <w:noWrap/>
            <w:vAlign w:val="center"/>
            <w:hideMark/>
          </w:tcPr>
          <w:p w14:paraId="3C38BF43" w14:textId="6CE7A4F8" w:rsidR="00980C91" w:rsidRPr="00131EED" w:rsidRDefault="00980C91" w:rsidP="00980C91">
            <w:pPr>
              <w:jc w:val="center"/>
              <w:rPr>
                <w:color w:val="000000"/>
                <w:sz w:val="20"/>
                <w:szCs w:val="20"/>
                <w:lang w:eastAsia="en-US"/>
              </w:rPr>
            </w:pPr>
            <w:r w:rsidRPr="00131EED">
              <w:rPr>
                <w:color w:val="000000"/>
                <w:sz w:val="20"/>
                <w:szCs w:val="20"/>
                <w:lang w:eastAsia="en-US"/>
              </w:rPr>
              <w:t>24962.</w:t>
            </w:r>
            <w:r w:rsidRPr="00131EED">
              <w:rPr>
                <w:color w:val="000000"/>
                <w:sz w:val="20"/>
                <w:szCs w:val="20"/>
              </w:rPr>
              <w:t>58</w:t>
            </w:r>
          </w:p>
        </w:tc>
        <w:tc>
          <w:tcPr>
            <w:tcW w:w="1440" w:type="dxa"/>
            <w:tcBorders>
              <w:top w:val="nil"/>
              <w:left w:val="nil"/>
              <w:bottom w:val="single" w:sz="4" w:space="0" w:color="auto"/>
              <w:right w:val="single" w:sz="4" w:space="0" w:color="auto"/>
            </w:tcBorders>
            <w:noWrap/>
            <w:vAlign w:val="center"/>
            <w:hideMark/>
          </w:tcPr>
          <w:p w14:paraId="680E3917" w14:textId="77777777" w:rsidR="00980C91" w:rsidRPr="00131EED" w:rsidRDefault="00980C91" w:rsidP="00980C91">
            <w:pPr>
              <w:jc w:val="center"/>
              <w:rPr>
                <w:color w:val="000000"/>
                <w:sz w:val="20"/>
                <w:szCs w:val="20"/>
                <w:lang w:eastAsia="en-US"/>
              </w:rPr>
            </w:pPr>
            <w:r w:rsidRPr="00131EED">
              <w:rPr>
                <w:color w:val="000000"/>
                <w:sz w:val="20"/>
                <w:szCs w:val="20"/>
                <w:lang w:eastAsia="en-US"/>
              </w:rPr>
              <w:t>83.28</w:t>
            </w:r>
          </w:p>
        </w:tc>
      </w:tr>
      <w:tr w:rsidR="00980C91" w:rsidRPr="00131EED" w14:paraId="2EB91E92"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1933A28D" w14:textId="77777777" w:rsidR="00980C91" w:rsidRPr="00131EED" w:rsidRDefault="00980C91" w:rsidP="00980C91">
            <w:pPr>
              <w:jc w:val="center"/>
              <w:rPr>
                <w:color w:val="000000"/>
                <w:sz w:val="20"/>
                <w:szCs w:val="20"/>
                <w:lang w:eastAsia="en-US"/>
              </w:rPr>
            </w:pPr>
            <w:r w:rsidRPr="00131EED">
              <w:rPr>
                <w:color w:val="000000"/>
                <w:sz w:val="20"/>
                <w:szCs w:val="20"/>
                <w:lang w:eastAsia="en-US"/>
              </w:rPr>
              <w:t>Tausa</w:t>
            </w:r>
          </w:p>
        </w:tc>
        <w:tc>
          <w:tcPr>
            <w:tcW w:w="1860" w:type="dxa"/>
            <w:tcBorders>
              <w:top w:val="nil"/>
              <w:left w:val="nil"/>
              <w:bottom w:val="single" w:sz="4" w:space="0" w:color="auto"/>
              <w:right w:val="single" w:sz="4" w:space="0" w:color="auto"/>
            </w:tcBorders>
            <w:noWrap/>
            <w:vAlign w:val="center"/>
            <w:hideMark/>
          </w:tcPr>
          <w:p w14:paraId="6CEFA960" w14:textId="509DFA10" w:rsidR="00980C91" w:rsidRPr="00131EED" w:rsidRDefault="00980C91" w:rsidP="00980C91">
            <w:pPr>
              <w:jc w:val="center"/>
              <w:rPr>
                <w:color w:val="000000"/>
                <w:sz w:val="20"/>
                <w:szCs w:val="20"/>
                <w:lang w:eastAsia="en-US"/>
              </w:rPr>
            </w:pPr>
            <w:r w:rsidRPr="00131EED">
              <w:rPr>
                <w:color w:val="000000"/>
                <w:sz w:val="20"/>
                <w:szCs w:val="20"/>
                <w:lang w:eastAsia="en-US"/>
              </w:rPr>
              <w:t>20160.</w:t>
            </w:r>
            <w:r w:rsidRPr="00131EED">
              <w:rPr>
                <w:color w:val="000000"/>
                <w:sz w:val="20"/>
                <w:szCs w:val="20"/>
              </w:rPr>
              <w:t>85</w:t>
            </w:r>
          </w:p>
        </w:tc>
        <w:tc>
          <w:tcPr>
            <w:tcW w:w="2600" w:type="dxa"/>
            <w:tcBorders>
              <w:top w:val="nil"/>
              <w:left w:val="nil"/>
              <w:bottom w:val="single" w:sz="4" w:space="0" w:color="auto"/>
              <w:right w:val="single" w:sz="4" w:space="0" w:color="auto"/>
            </w:tcBorders>
            <w:noWrap/>
            <w:vAlign w:val="center"/>
            <w:hideMark/>
          </w:tcPr>
          <w:p w14:paraId="4141C3E2" w14:textId="2731DF01" w:rsidR="00980C91" w:rsidRPr="00131EED" w:rsidRDefault="00980C91" w:rsidP="00980C91">
            <w:pPr>
              <w:jc w:val="center"/>
              <w:rPr>
                <w:color w:val="000000"/>
                <w:sz w:val="20"/>
                <w:szCs w:val="20"/>
                <w:lang w:eastAsia="en-US"/>
              </w:rPr>
            </w:pPr>
            <w:r w:rsidRPr="00131EED">
              <w:rPr>
                <w:color w:val="000000"/>
                <w:sz w:val="20"/>
                <w:szCs w:val="20"/>
                <w:lang w:eastAsia="en-US"/>
              </w:rPr>
              <w:t>13886.</w:t>
            </w:r>
            <w:r w:rsidRPr="00131EED">
              <w:rPr>
                <w:color w:val="000000"/>
                <w:sz w:val="20"/>
                <w:szCs w:val="20"/>
              </w:rPr>
              <w:t>26</w:t>
            </w:r>
          </w:p>
        </w:tc>
        <w:tc>
          <w:tcPr>
            <w:tcW w:w="1440" w:type="dxa"/>
            <w:tcBorders>
              <w:top w:val="nil"/>
              <w:left w:val="nil"/>
              <w:bottom w:val="single" w:sz="4" w:space="0" w:color="auto"/>
              <w:right w:val="single" w:sz="4" w:space="0" w:color="auto"/>
            </w:tcBorders>
            <w:noWrap/>
            <w:vAlign w:val="center"/>
            <w:hideMark/>
          </w:tcPr>
          <w:p w14:paraId="13048042" w14:textId="77777777" w:rsidR="00980C91" w:rsidRPr="00131EED" w:rsidRDefault="00980C91" w:rsidP="00980C91">
            <w:pPr>
              <w:jc w:val="center"/>
              <w:rPr>
                <w:color w:val="000000"/>
                <w:sz w:val="20"/>
                <w:szCs w:val="20"/>
                <w:lang w:eastAsia="en-US"/>
              </w:rPr>
            </w:pPr>
            <w:r w:rsidRPr="00131EED">
              <w:rPr>
                <w:color w:val="000000"/>
                <w:sz w:val="20"/>
                <w:szCs w:val="20"/>
                <w:lang w:eastAsia="en-US"/>
              </w:rPr>
              <w:t>68.88</w:t>
            </w:r>
          </w:p>
        </w:tc>
      </w:tr>
      <w:tr w:rsidR="00980C91" w:rsidRPr="00131EED" w14:paraId="4EBAAF82"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0ED6A288" w14:textId="77777777" w:rsidR="00980C91" w:rsidRPr="00131EED" w:rsidRDefault="00980C91" w:rsidP="00980C91">
            <w:pPr>
              <w:jc w:val="center"/>
              <w:rPr>
                <w:color w:val="000000"/>
                <w:sz w:val="20"/>
                <w:szCs w:val="20"/>
                <w:lang w:eastAsia="en-US"/>
              </w:rPr>
            </w:pPr>
            <w:r w:rsidRPr="00131EED">
              <w:rPr>
                <w:color w:val="000000"/>
                <w:sz w:val="20"/>
                <w:szCs w:val="20"/>
                <w:lang w:eastAsia="en-US"/>
              </w:rPr>
              <w:t>Cucunubá</w:t>
            </w:r>
          </w:p>
        </w:tc>
        <w:tc>
          <w:tcPr>
            <w:tcW w:w="1860" w:type="dxa"/>
            <w:tcBorders>
              <w:top w:val="nil"/>
              <w:left w:val="nil"/>
              <w:bottom w:val="single" w:sz="4" w:space="0" w:color="auto"/>
              <w:right w:val="single" w:sz="4" w:space="0" w:color="auto"/>
            </w:tcBorders>
            <w:noWrap/>
            <w:vAlign w:val="center"/>
            <w:hideMark/>
          </w:tcPr>
          <w:p w14:paraId="5B25E690" w14:textId="540365CC" w:rsidR="00980C91" w:rsidRPr="00131EED" w:rsidRDefault="00980C91" w:rsidP="00980C91">
            <w:pPr>
              <w:jc w:val="center"/>
              <w:rPr>
                <w:color w:val="000000"/>
                <w:sz w:val="20"/>
                <w:szCs w:val="20"/>
                <w:lang w:eastAsia="en-US"/>
              </w:rPr>
            </w:pPr>
            <w:r w:rsidRPr="00131EED">
              <w:rPr>
                <w:color w:val="000000"/>
                <w:sz w:val="20"/>
                <w:szCs w:val="20"/>
                <w:lang w:eastAsia="en-US"/>
              </w:rPr>
              <w:t>10967.</w:t>
            </w:r>
            <w:r w:rsidRPr="00131EED">
              <w:rPr>
                <w:color w:val="000000"/>
                <w:sz w:val="20"/>
                <w:szCs w:val="20"/>
              </w:rPr>
              <w:t>70</w:t>
            </w:r>
          </w:p>
        </w:tc>
        <w:tc>
          <w:tcPr>
            <w:tcW w:w="2600" w:type="dxa"/>
            <w:tcBorders>
              <w:top w:val="nil"/>
              <w:left w:val="nil"/>
              <w:bottom w:val="single" w:sz="4" w:space="0" w:color="auto"/>
              <w:right w:val="single" w:sz="4" w:space="0" w:color="auto"/>
            </w:tcBorders>
            <w:noWrap/>
            <w:vAlign w:val="center"/>
            <w:hideMark/>
          </w:tcPr>
          <w:p w14:paraId="580B1421" w14:textId="3FDABF07" w:rsidR="00980C91" w:rsidRPr="00131EED" w:rsidRDefault="00980C91" w:rsidP="00980C91">
            <w:pPr>
              <w:jc w:val="center"/>
              <w:rPr>
                <w:color w:val="000000"/>
                <w:sz w:val="20"/>
                <w:szCs w:val="20"/>
                <w:lang w:eastAsia="en-US"/>
              </w:rPr>
            </w:pPr>
            <w:r w:rsidRPr="00131EED">
              <w:rPr>
                <w:color w:val="000000"/>
                <w:sz w:val="20"/>
                <w:szCs w:val="20"/>
                <w:lang w:eastAsia="en-US"/>
              </w:rPr>
              <w:t>1204.</w:t>
            </w:r>
            <w:r w:rsidRPr="00131EED">
              <w:rPr>
                <w:color w:val="000000"/>
                <w:sz w:val="20"/>
                <w:szCs w:val="20"/>
              </w:rPr>
              <w:t>35</w:t>
            </w:r>
          </w:p>
        </w:tc>
        <w:tc>
          <w:tcPr>
            <w:tcW w:w="1440" w:type="dxa"/>
            <w:tcBorders>
              <w:top w:val="nil"/>
              <w:left w:val="nil"/>
              <w:bottom w:val="single" w:sz="4" w:space="0" w:color="auto"/>
              <w:right w:val="single" w:sz="4" w:space="0" w:color="auto"/>
            </w:tcBorders>
            <w:noWrap/>
            <w:vAlign w:val="center"/>
            <w:hideMark/>
          </w:tcPr>
          <w:p w14:paraId="3C100C75" w14:textId="77777777" w:rsidR="00980C91" w:rsidRPr="00131EED" w:rsidRDefault="00980C91" w:rsidP="00980C91">
            <w:pPr>
              <w:jc w:val="center"/>
              <w:rPr>
                <w:color w:val="000000"/>
                <w:sz w:val="20"/>
                <w:szCs w:val="20"/>
                <w:lang w:eastAsia="en-US"/>
              </w:rPr>
            </w:pPr>
            <w:r w:rsidRPr="00131EED">
              <w:rPr>
                <w:color w:val="000000"/>
                <w:sz w:val="20"/>
                <w:szCs w:val="20"/>
                <w:lang w:eastAsia="en-US"/>
              </w:rPr>
              <w:t>10.98</w:t>
            </w:r>
          </w:p>
        </w:tc>
      </w:tr>
      <w:tr w:rsidR="00980C91" w:rsidRPr="00131EED" w14:paraId="0B0856C3" w14:textId="77777777" w:rsidTr="00980C91">
        <w:trPr>
          <w:trHeight w:val="288"/>
          <w:jc w:val="center"/>
        </w:trPr>
        <w:tc>
          <w:tcPr>
            <w:tcW w:w="1323" w:type="dxa"/>
            <w:tcBorders>
              <w:top w:val="nil"/>
              <w:left w:val="single" w:sz="4" w:space="0" w:color="auto"/>
              <w:bottom w:val="single" w:sz="4" w:space="0" w:color="auto"/>
              <w:right w:val="single" w:sz="4" w:space="0" w:color="auto"/>
            </w:tcBorders>
            <w:noWrap/>
            <w:vAlign w:val="center"/>
            <w:hideMark/>
          </w:tcPr>
          <w:p w14:paraId="6AEBE13F" w14:textId="77777777" w:rsidR="00980C91" w:rsidRPr="00131EED" w:rsidRDefault="00980C91" w:rsidP="00980C91">
            <w:pPr>
              <w:jc w:val="center"/>
              <w:rPr>
                <w:color w:val="000000"/>
                <w:sz w:val="20"/>
                <w:szCs w:val="20"/>
                <w:lang w:eastAsia="en-US"/>
              </w:rPr>
            </w:pPr>
            <w:r w:rsidRPr="00131EED">
              <w:rPr>
                <w:color w:val="000000"/>
                <w:sz w:val="20"/>
                <w:szCs w:val="20"/>
                <w:lang w:eastAsia="en-US"/>
              </w:rPr>
              <w:t>Villapinzon</w:t>
            </w:r>
          </w:p>
        </w:tc>
        <w:tc>
          <w:tcPr>
            <w:tcW w:w="1860" w:type="dxa"/>
            <w:tcBorders>
              <w:top w:val="nil"/>
              <w:left w:val="nil"/>
              <w:bottom w:val="single" w:sz="4" w:space="0" w:color="auto"/>
              <w:right w:val="single" w:sz="4" w:space="0" w:color="auto"/>
            </w:tcBorders>
            <w:noWrap/>
            <w:vAlign w:val="center"/>
            <w:hideMark/>
          </w:tcPr>
          <w:p w14:paraId="762D119D" w14:textId="1F9F4257" w:rsidR="00980C91" w:rsidRPr="00131EED" w:rsidRDefault="00980C91" w:rsidP="00980C91">
            <w:pPr>
              <w:jc w:val="center"/>
              <w:rPr>
                <w:color w:val="000000"/>
                <w:sz w:val="20"/>
                <w:szCs w:val="20"/>
                <w:lang w:eastAsia="en-US"/>
              </w:rPr>
            </w:pPr>
            <w:r w:rsidRPr="00131EED">
              <w:rPr>
                <w:color w:val="000000"/>
                <w:sz w:val="20"/>
                <w:szCs w:val="20"/>
                <w:lang w:eastAsia="en-US"/>
              </w:rPr>
              <w:t>22577.</w:t>
            </w:r>
            <w:r w:rsidRPr="00131EED">
              <w:rPr>
                <w:color w:val="000000"/>
                <w:sz w:val="20"/>
                <w:szCs w:val="20"/>
              </w:rPr>
              <w:t>35</w:t>
            </w:r>
          </w:p>
        </w:tc>
        <w:tc>
          <w:tcPr>
            <w:tcW w:w="2600" w:type="dxa"/>
            <w:tcBorders>
              <w:top w:val="nil"/>
              <w:left w:val="nil"/>
              <w:bottom w:val="single" w:sz="4" w:space="0" w:color="auto"/>
              <w:right w:val="single" w:sz="4" w:space="0" w:color="auto"/>
            </w:tcBorders>
            <w:noWrap/>
            <w:vAlign w:val="center"/>
            <w:hideMark/>
          </w:tcPr>
          <w:p w14:paraId="3A09AB3F" w14:textId="6CF43E83" w:rsidR="00980C91" w:rsidRPr="00131EED" w:rsidRDefault="00980C91" w:rsidP="00980C91">
            <w:pPr>
              <w:jc w:val="center"/>
              <w:rPr>
                <w:color w:val="000000"/>
                <w:sz w:val="20"/>
                <w:szCs w:val="20"/>
                <w:lang w:eastAsia="en-US"/>
              </w:rPr>
            </w:pPr>
            <w:r w:rsidRPr="00131EED">
              <w:rPr>
                <w:color w:val="000000"/>
                <w:sz w:val="20"/>
                <w:szCs w:val="20"/>
                <w:lang w:eastAsia="en-US"/>
              </w:rPr>
              <w:t>12582.</w:t>
            </w:r>
            <w:r w:rsidRPr="00131EED">
              <w:rPr>
                <w:color w:val="000000"/>
                <w:sz w:val="20"/>
                <w:szCs w:val="20"/>
              </w:rPr>
              <w:t>19</w:t>
            </w:r>
          </w:p>
        </w:tc>
        <w:tc>
          <w:tcPr>
            <w:tcW w:w="1440" w:type="dxa"/>
            <w:tcBorders>
              <w:top w:val="nil"/>
              <w:left w:val="nil"/>
              <w:bottom w:val="single" w:sz="4" w:space="0" w:color="auto"/>
              <w:right w:val="single" w:sz="4" w:space="0" w:color="auto"/>
            </w:tcBorders>
            <w:noWrap/>
            <w:vAlign w:val="center"/>
            <w:hideMark/>
          </w:tcPr>
          <w:p w14:paraId="1FFB696E" w14:textId="77777777" w:rsidR="00980C91" w:rsidRPr="00131EED" w:rsidRDefault="00980C91" w:rsidP="00980C91">
            <w:pPr>
              <w:jc w:val="center"/>
              <w:rPr>
                <w:color w:val="000000"/>
                <w:sz w:val="20"/>
                <w:szCs w:val="20"/>
                <w:lang w:eastAsia="en-US"/>
              </w:rPr>
            </w:pPr>
            <w:r w:rsidRPr="00131EED">
              <w:rPr>
                <w:color w:val="000000"/>
                <w:sz w:val="20"/>
                <w:szCs w:val="20"/>
                <w:lang w:eastAsia="en-US"/>
              </w:rPr>
              <w:t>55.73</w:t>
            </w:r>
          </w:p>
        </w:tc>
      </w:tr>
    </w:tbl>
    <w:p w14:paraId="53D29BA8" w14:textId="52E536D9" w:rsidR="00A663A4" w:rsidRPr="00131EED" w:rsidRDefault="006C20B0" w:rsidP="006C20B0">
      <w:pPr>
        <w:jc w:val="center"/>
        <w:rPr>
          <w:sz w:val="20"/>
          <w:szCs w:val="20"/>
          <w:lang w:eastAsia="en-US"/>
        </w:rPr>
      </w:pPr>
      <w:r w:rsidRPr="00131EED">
        <w:rPr>
          <w:sz w:val="20"/>
          <w:szCs w:val="20"/>
          <w:lang w:eastAsia="en-US"/>
        </w:rPr>
        <w:t>Fuente: MinAmbiente, 2025</w:t>
      </w:r>
    </w:p>
    <w:p w14:paraId="55697350" w14:textId="3BE897CE" w:rsidR="0049275E" w:rsidRPr="00131EED" w:rsidRDefault="0049275E" w:rsidP="00410194">
      <w:pPr>
        <w:pStyle w:val="Heading1"/>
        <w:numPr>
          <w:ilvl w:val="0"/>
          <w:numId w:val="31"/>
        </w:numPr>
      </w:pPr>
      <w:bookmarkStart w:id="47" w:name="_Toc216468683"/>
      <w:r w:rsidRPr="00131EED">
        <w:t>EL ORDENAMIENTO ALREDEDOR DEL CICLO DEL AGUA</w:t>
      </w:r>
      <w:bookmarkEnd w:id="47"/>
      <w:r w:rsidRPr="00131EED">
        <w:t xml:space="preserve"> </w:t>
      </w:r>
    </w:p>
    <w:p w14:paraId="4979A279" w14:textId="77777777" w:rsidR="0049275E" w:rsidRPr="00131EED" w:rsidRDefault="0049275E" w:rsidP="0049275E">
      <w:pPr>
        <w:pStyle w:val="NoSpacing"/>
        <w:tabs>
          <w:tab w:val="left" w:pos="6418"/>
        </w:tabs>
        <w:jc w:val="center"/>
        <w:rPr>
          <w:rFonts w:ascii="Baskerville" w:eastAsia="Utsaah" w:hAnsi="Baskerville" w:cs="Gautami"/>
          <w:color w:val="0D0D0D" w:themeColor="text1" w:themeTint="F2"/>
        </w:rPr>
      </w:pPr>
    </w:p>
    <w:p w14:paraId="5A5AD0B3" w14:textId="77777777" w:rsidR="0049275E" w:rsidRPr="00131EED" w:rsidRDefault="0049275E" w:rsidP="00B71BC1">
      <w:pPr>
        <w:pStyle w:val="NoSpacing"/>
        <w:tabs>
          <w:tab w:val="left" w:pos="6418"/>
        </w:tabs>
        <w:ind w:left="360"/>
        <w:jc w:val="right"/>
        <w:rPr>
          <w:rFonts w:ascii="Baskerville Old Face" w:eastAsia="Utsaah" w:hAnsi="Baskerville Old Face" w:cs="Gautami"/>
          <w:i w:val="0"/>
          <w:color w:val="0D0D0D" w:themeColor="text1" w:themeTint="F2"/>
          <w:sz w:val="24"/>
          <w:szCs w:val="24"/>
        </w:rPr>
      </w:pPr>
      <w:r w:rsidRPr="00131EED">
        <w:rPr>
          <w:rFonts w:ascii="Baskerville Old Face" w:eastAsia="Utsaah" w:hAnsi="Baskerville Old Face" w:cs="Gautami"/>
          <w:color w:val="0D0D0D" w:themeColor="text1" w:themeTint="F2"/>
          <w:sz w:val="24"/>
          <w:szCs w:val="24"/>
        </w:rPr>
        <w:t>“El ordenamiento del territorio alrededor del agua, busca un cambio en la planificación del ordenamiento y del desarrollo del territorio, donde la protección de los determinantes ambientales y de las áreas de especial interés para garantizar el derecho a la alimentación sean objetivos centrales que, desde un enfoque funcional del ordenamiento, orienten procesos de planificación territorial participativos, donde las voces de las y los que habitan los territorios sean escuchadas e incorporadas”.</w:t>
      </w:r>
    </w:p>
    <w:p w14:paraId="69054D93" w14:textId="77777777" w:rsidR="0049275E" w:rsidRPr="00131EED" w:rsidRDefault="0049275E" w:rsidP="00B71BC1">
      <w:pPr>
        <w:pStyle w:val="NoSpacing"/>
        <w:tabs>
          <w:tab w:val="left" w:pos="6418"/>
        </w:tabs>
        <w:ind w:left="360"/>
        <w:jc w:val="right"/>
        <w:rPr>
          <w:rFonts w:ascii="Baskerville Old Face" w:eastAsia="Utsaah" w:hAnsi="Baskerville Old Face" w:cs="Gautami"/>
          <w:color w:val="0D0D0D" w:themeColor="text1" w:themeTint="F2"/>
          <w:sz w:val="24"/>
          <w:szCs w:val="24"/>
        </w:rPr>
      </w:pPr>
      <w:r w:rsidRPr="00131EED">
        <w:rPr>
          <w:rFonts w:ascii="Baskerville Old Face" w:eastAsia="Utsaah" w:hAnsi="Baskerville Old Face" w:cs="Gautami"/>
          <w:color w:val="0D0D0D" w:themeColor="text1" w:themeTint="F2"/>
          <w:sz w:val="24"/>
          <w:szCs w:val="24"/>
        </w:rPr>
        <w:t xml:space="preserve">Ley 2029 de 2023. Art. 3. Plan Nacional de Desarrollo 2022 – 2026. </w:t>
      </w:r>
    </w:p>
    <w:p w14:paraId="0B7DE57C" w14:textId="77777777" w:rsidR="0049275E" w:rsidRPr="00131EED" w:rsidRDefault="0049275E" w:rsidP="0049275E">
      <w:pPr>
        <w:pStyle w:val="NoSpacing"/>
        <w:tabs>
          <w:tab w:val="left" w:pos="6418"/>
        </w:tabs>
        <w:jc w:val="center"/>
        <w:rPr>
          <w:rFonts w:ascii="Baskerville Old Face" w:eastAsia="Utsaah" w:hAnsi="Baskerville Old Face" w:cs="Gautami"/>
          <w:i w:val="0"/>
          <w:color w:val="0D0D0D" w:themeColor="text1" w:themeTint="F2"/>
          <w:sz w:val="24"/>
          <w:szCs w:val="24"/>
        </w:rPr>
      </w:pPr>
    </w:p>
    <w:p w14:paraId="77D97ACB" w14:textId="77777777" w:rsidR="0049275E" w:rsidRPr="00131EED" w:rsidRDefault="0049275E" w:rsidP="0049275E">
      <w:pPr>
        <w:rPr>
          <w:rFonts w:cs="Arial"/>
        </w:rPr>
      </w:pPr>
      <w:r w:rsidRPr="00131EED">
        <w:rPr>
          <w:rFonts w:cs="Arial"/>
        </w:rPr>
        <w:t>El ordenamiento territorial alrededor del agua (OTAA) es un nuevo enfoque para la transformación sostenible de la ocupación y uso del territorio que resalta la importancia del agua, desde la perspectiva del ciclo hidrológico, sus relaciones con la vida, las culturas, el territorio y la productividad, reconociendo las potencialidades y los límites que impone este ciclo a las actividades humanas, en un contexto de crisis ambiental. (Documento de Trabajo, Minambiente 2025)</w:t>
      </w:r>
    </w:p>
    <w:p w14:paraId="6D48B927" w14:textId="77777777" w:rsidR="0049275E" w:rsidRPr="00131EED" w:rsidRDefault="0049275E" w:rsidP="0049275E">
      <w:pPr>
        <w:rPr>
          <w:rFonts w:cs="Arial"/>
        </w:rPr>
      </w:pPr>
    </w:p>
    <w:p w14:paraId="19F3ED4E" w14:textId="77777777" w:rsidR="0049275E" w:rsidRPr="00131EED" w:rsidRDefault="0049275E" w:rsidP="0049275E">
      <w:pPr>
        <w:rPr>
          <w:rFonts w:cs="Arial"/>
        </w:rPr>
      </w:pPr>
      <w:r w:rsidRPr="00131EED">
        <w:rPr>
          <w:rFonts w:cs="Arial"/>
        </w:rPr>
        <w:t>El Plan Nacional de Desarrollo de Colombia 2022-2026 ha identificado la necesidad de reorientar las políticas hacia este enfoque, que coloca al agua en el centro de las decisiones territoriales y estratégicas del país. En ese sentido busca acelerar y profundizar acciones a corto, mediano y largo plazo, así como tomar decisiones que permitan la mayor armonización de la ocupación, el uso, las actividades productivas y las infraestructuras con los espacios necesarios para el buen funcionamiento del ciclo del agua y por tanto la reducción de conflictos socio ambientales y mayor adaptación territorial. (PND 2.022 – 2026)</w:t>
      </w:r>
    </w:p>
    <w:p w14:paraId="3DE37E9C" w14:textId="77777777" w:rsidR="0049275E" w:rsidRPr="00131EED" w:rsidRDefault="0049275E" w:rsidP="0049275E">
      <w:pPr>
        <w:rPr>
          <w:rFonts w:cs="Arial"/>
        </w:rPr>
      </w:pPr>
    </w:p>
    <w:p w14:paraId="5B7D0621" w14:textId="77777777" w:rsidR="0049275E" w:rsidRPr="00131EED" w:rsidRDefault="0049275E" w:rsidP="0049275E">
      <w:pPr>
        <w:rPr>
          <w:rFonts w:cs="Arial"/>
        </w:rPr>
      </w:pPr>
      <w:r w:rsidRPr="00131EED">
        <w:rPr>
          <w:rFonts w:cs="Arial"/>
        </w:rPr>
        <w:t>Ante la triple crisis ambiental (cambio climático, pérdida de biodiversidad y contaminación) que pone en riesgo el bienestar humano y la supervivencia de los ecosistemas, es fundamental abordar estas situaciones de manera conjunta. El ordenamiento territorial alrededor del agua se constituye en un eje transversal para su integración. En ese marco es fundamental reconsiderar prácticas de desarrollo y crecimiento económico que dañan los recursos naturales y el ambiente, sin tener en cuenta las necesidades de las futuras generaciones.</w:t>
      </w:r>
    </w:p>
    <w:p w14:paraId="6661098F" w14:textId="77777777" w:rsidR="0049275E" w:rsidRPr="00131EED" w:rsidRDefault="0049275E" w:rsidP="0049275E">
      <w:pPr>
        <w:rPr>
          <w:rFonts w:cs="Arial"/>
        </w:rPr>
      </w:pPr>
    </w:p>
    <w:p w14:paraId="33B8B088" w14:textId="77777777" w:rsidR="0049275E" w:rsidRPr="00131EED" w:rsidRDefault="0049275E" w:rsidP="0049275E">
      <w:pPr>
        <w:rPr>
          <w:rFonts w:cs="Arial"/>
        </w:rPr>
      </w:pPr>
      <w:r w:rsidRPr="00131EED">
        <w:rPr>
          <w:rFonts w:cs="Arial"/>
        </w:rPr>
        <w:t>El ordenamiento del territorio alrededor del agua supone redireccionar los procesos de ordenamiento territorial vigente, ajustar la arquitectura institucional, simplificar los instrumentos que la acompañan y poner en práctica un sistema de gobernanza, entre otras, que contribuya a transformar el modelo de desarrollo. De esta manera se fortalece la gobernabilidad involucrando a actores a nivel local, regional, nacional y global en la gestión y conservación del ciclo del agua, reconociendo la necesidad de formas de gobernanza que faciliten decisiones democráticas y reflejen las necesidades de la población. Para abordar estas tensiones, se requieren mecanismos de mediación y consenso que reconozcan la diversidad de perspectivas y consideren las particularidades de cada territorio.</w:t>
      </w:r>
    </w:p>
    <w:p w14:paraId="4F59155E" w14:textId="77777777" w:rsidR="0049275E" w:rsidRPr="00131EED" w:rsidRDefault="0049275E" w:rsidP="0049275E">
      <w:pPr>
        <w:rPr>
          <w:rFonts w:cs="Arial"/>
        </w:rPr>
      </w:pPr>
    </w:p>
    <w:p w14:paraId="27958753" w14:textId="77777777" w:rsidR="0049275E" w:rsidRPr="00131EED" w:rsidRDefault="0049275E" w:rsidP="0049275E">
      <w:pPr>
        <w:rPr>
          <w:rFonts w:cs="Arial"/>
        </w:rPr>
      </w:pPr>
      <w:r w:rsidRPr="00131EED">
        <w:rPr>
          <w:rFonts w:cs="Arial"/>
        </w:rPr>
        <w:t xml:space="preserve">Ordenar el territorio de la Sabana de Bogotá alrededor del agua, significa comprender el comportamiento y los espacios del agua, sus </w:t>
      </w:r>
      <w:r w:rsidRPr="00131EED">
        <w:rPr>
          <w:rFonts w:cs="Arial"/>
          <w:i/>
        </w:rPr>
        <w:t>reservas</w:t>
      </w:r>
      <w:r w:rsidRPr="00131EED">
        <w:rPr>
          <w:rFonts w:cs="Arial"/>
        </w:rPr>
        <w:t xml:space="preserve"> y sus </w:t>
      </w:r>
      <w:r w:rsidRPr="00131EED">
        <w:rPr>
          <w:rFonts w:cs="Arial"/>
          <w:i/>
        </w:rPr>
        <w:t xml:space="preserve">flujos. </w:t>
      </w:r>
      <w:r w:rsidRPr="00131EED">
        <w:rPr>
          <w:rFonts w:cs="Arial"/>
        </w:rPr>
        <w:t xml:space="preserve">El ciclo del agua está conformado por una serie de eventos que se repiten a lo largo de periodos de tiempo específicos, es un proceso en donde el agua vuelve a puntos de partida después de completar distintas etapas. </w:t>
      </w:r>
    </w:p>
    <w:p w14:paraId="2E753C44" w14:textId="77777777" w:rsidR="0049275E" w:rsidRPr="00131EED" w:rsidRDefault="0049275E" w:rsidP="0049275E">
      <w:pPr>
        <w:rPr>
          <w:rFonts w:cs="Arial"/>
        </w:rPr>
      </w:pPr>
    </w:p>
    <w:p w14:paraId="6295D09F" w14:textId="77777777" w:rsidR="0049275E" w:rsidRPr="00131EED" w:rsidRDefault="0049275E" w:rsidP="0049275E">
      <w:pPr>
        <w:rPr>
          <w:rFonts w:cs="Arial"/>
        </w:rPr>
      </w:pPr>
      <w:r w:rsidRPr="00131EED">
        <w:rPr>
          <w:rFonts w:cs="Arial"/>
        </w:rPr>
        <w:t xml:space="preserve">La alteración de dichos ciclos o su alteración estructural obedece a procesos globales pero también a decisiones locales, </w:t>
      </w:r>
      <w:r w:rsidRPr="00131EED">
        <w:t>siendo estas últimas las que pueden abordarse de manera más directa desde la toma de decisiones en materia de ordenamiento territorial</w:t>
      </w:r>
      <w:r w:rsidRPr="00131EED">
        <w:rPr>
          <w:rFonts w:cs="Arial"/>
        </w:rPr>
        <w:t xml:space="preserve">. Las transformaciones territoriales que no tienen presente dichos ciclos, ni los espacios necesarios para que funcionen de la mejor manera, generan consecuencias a nivel territorial que se expresan bien sea en situaciones de desabastecimiento hídrico, aumento de las zonas y eventos asociados a riesgos climáticos y de desastres, o el aumento de la vulnerabilidad frente al cambio climático, entre otros. </w:t>
      </w:r>
    </w:p>
    <w:p w14:paraId="28714E63" w14:textId="77777777" w:rsidR="0049275E" w:rsidRPr="00131EED" w:rsidRDefault="0049275E" w:rsidP="0049275E">
      <w:pPr>
        <w:rPr>
          <w:rFonts w:cs="Arial"/>
        </w:rPr>
      </w:pPr>
    </w:p>
    <w:p w14:paraId="1DD8F1A7" w14:textId="77777777" w:rsidR="0049275E" w:rsidRPr="00131EED" w:rsidRDefault="0049275E" w:rsidP="0049275E">
      <w:pPr>
        <w:rPr>
          <w:rFonts w:cs="Arial"/>
        </w:rPr>
      </w:pPr>
      <w:r w:rsidRPr="00131EED">
        <w:rPr>
          <w:rFonts w:cs="Arial"/>
        </w:rPr>
        <w:t xml:space="preserve">La Sabana de Bogotá, un ecosistema andino caracterizado por su riqueza hídrica, alberga una diversidad de reservorios que almacenan y distribuyen el agua a través de un ciclo complejo. En las zonas montañosas, donde predominan los páramos, sucede el proceso de captación y infiltración del agua de lluvia. Los musgos y frailejones actúan como esponjas naturales, absorbiendo y reteniendo el agua, la cual se percola a través del suelo, alimentando cuerpos de agua superficial y los acuíferos, </w:t>
      </w:r>
      <w:r w:rsidRPr="00131EED">
        <w:t>a través de los cuales el agua se desplaza</w:t>
      </w:r>
      <w:r w:rsidRPr="00131EED">
        <w:rPr>
          <w:rFonts w:cs="Arial"/>
        </w:rPr>
        <w:t>. Desde la alta montaña descienden estas aguas, y en la zona de altiplanicie, el agua aflora conformando ríos, quebradas, manantiales y humedales. Estos últimos, caracterizados por sus condiciones geomorfológicas e hidrológicas específicas, funcionan como reservorios temporales o permanentes (según la Política Nacional de Humedales Interiores de Colombia), creando un hábitat único para que diversos organismos de la biodiversidad se adapten a dichas condiciones de saturación hídrica.</w:t>
      </w:r>
    </w:p>
    <w:p w14:paraId="26BB444C" w14:textId="77777777" w:rsidR="0049275E" w:rsidRPr="00131EED" w:rsidRDefault="0049275E" w:rsidP="0049275E">
      <w:pPr>
        <w:rPr>
          <w:rFonts w:cs="Arial"/>
        </w:rPr>
      </w:pPr>
    </w:p>
    <w:p w14:paraId="7937ED06" w14:textId="77777777" w:rsidR="0049275E" w:rsidRPr="00131EED" w:rsidRDefault="0049275E" w:rsidP="0049275E">
      <w:pPr>
        <w:rPr>
          <w:rFonts w:cs="Arial"/>
        </w:rPr>
      </w:pPr>
      <w:r w:rsidRPr="00131EED">
        <w:rPr>
          <w:rFonts w:cs="Arial"/>
        </w:rPr>
        <w:t xml:space="preserve">Las lagunas y lagos ubicados en planicies de inundación también contribuyen a las reservas superficiales, almacenando excedentes de agua durante las épocas de precipitación intensa. Bajo tierra, los acuíferos constituidos por formaciones geológicas permeables, transportan y almacenan agua, que puede ser aprovechada mediante pozos, aljibes, o brotar naturalmente en manantiales que abastecen a comunidades. </w:t>
      </w:r>
      <w:r w:rsidRPr="00131EED">
        <w:t>El agua continúa, como es natural, hacia la cuenca baja, uniéndose las aguas del río Bogotá con las del río Magdalena y posteriormente llegando al mar</w:t>
      </w:r>
      <w:r w:rsidRPr="00131EED">
        <w:rPr>
          <w:rFonts w:cs="Arial"/>
        </w:rPr>
        <w:t xml:space="preserve">. El ciclo del agua que abastece la Sabana de Bogotá continúa no solo con la evaporación del agua de los océanos, también con la transpiración de la vegetación de lugares como la Amazonía, que forman nubes que son transportadas por el viento, ríos voladores, masas de aire húmedo que se elevan sobre la Cordillera Oriental, donde se enfrían y precipitan, alimentando páramos como Chingaza y Sumapaz.  </w:t>
      </w:r>
      <w:r w:rsidRPr="00131EED">
        <w:t>De esta manera, el ciclo del agua se renueva.</w:t>
      </w:r>
    </w:p>
    <w:p w14:paraId="718D0214" w14:textId="77777777" w:rsidR="0049275E" w:rsidRPr="00131EED" w:rsidRDefault="0049275E" w:rsidP="0049275E">
      <w:pPr>
        <w:rPr>
          <w:rFonts w:cs="Arial"/>
        </w:rPr>
      </w:pPr>
    </w:p>
    <w:p w14:paraId="49959FB1" w14:textId="77777777" w:rsidR="0049275E" w:rsidRPr="00131EED" w:rsidRDefault="0049275E" w:rsidP="0049275E">
      <w:pPr>
        <w:rPr>
          <w:rFonts w:cs="Arial"/>
        </w:rPr>
      </w:pPr>
      <w:r w:rsidRPr="00131EED">
        <w:rPr>
          <w:rFonts w:cs="Arial"/>
        </w:rPr>
        <w:t>Este ciclo del agua no solo es importante para asegurar la disponibilidad para el consumo humano, la agricultura y la industria, sino que también juega un papel fundamental en la regulación del clima y el mantenimiento de la biodiversidad de la región. La identificación, caracterización y protección de la conectividad de los reservorios de agua, es crucial para garantizar la sostenibilidad ambiental de la Sabana de Bogotá y su futuro. El uso del suelo y la ocupación actual de la Sabana de Bogotá interfieren en algunos componentes del ciclo del agua, afectando tanto sus flujos superficiales, subsuperficiales y subterráneos, como aspectos relacionados con su calidad.</w:t>
      </w:r>
    </w:p>
    <w:p w14:paraId="0C1C2ED5" w14:textId="77777777" w:rsidR="0049275E" w:rsidRPr="00131EED" w:rsidRDefault="0049275E" w:rsidP="0049275E">
      <w:pPr>
        <w:rPr>
          <w:rFonts w:cs="Arial"/>
        </w:rPr>
      </w:pPr>
    </w:p>
    <w:p w14:paraId="303D5994" w14:textId="273EEDC1" w:rsidR="0049275E" w:rsidRPr="00131EED" w:rsidRDefault="0031155D" w:rsidP="0031155D">
      <w:pPr>
        <w:pStyle w:val="Caption"/>
        <w:jc w:val="center"/>
      </w:pPr>
      <w:bookmarkStart w:id="48" w:name="_Toc216468777"/>
      <w:r w:rsidRPr="00131EED">
        <w:t xml:space="preserve">Ilustración </w:t>
      </w:r>
      <w:fldSimple w:instr=" SEQ Ilustración \* ARABIC ">
        <w:r w:rsidR="00CE096F">
          <w:rPr>
            <w:noProof/>
          </w:rPr>
          <w:t>12</w:t>
        </w:r>
      </w:fldSimple>
      <w:r w:rsidRPr="00131EED">
        <w:t xml:space="preserve"> </w:t>
      </w:r>
      <w:r w:rsidR="0049275E" w:rsidRPr="00131EED">
        <w:t>Modelo general del ciclo del agua</w:t>
      </w:r>
      <w:bookmarkEnd w:id="48"/>
    </w:p>
    <w:p w14:paraId="3CA23F15" w14:textId="77777777" w:rsidR="0049275E" w:rsidRPr="00131EED" w:rsidRDefault="0049275E" w:rsidP="0049275E">
      <w:pPr>
        <w:jc w:val="center"/>
        <w:rPr>
          <w:rFonts w:ascii="Baskerville" w:hAnsi="Baskerville" w:cs="Arial"/>
          <w:bCs/>
        </w:rPr>
      </w:pPr>
      <w:r w:rsidRPr="00131EED">
        <w:rPr>
          <w:rFonts w:ascii="Baskerville" w:hAnsi="Baskerville" w:cs="Arial"/>
          <w:noProof/>
          <w:lang w:eastAsia="en-US"/>
        </w:rPr>
        <w:drawing>
          <wp:inline distT="0" distB="0" distL="0" distR="0" wp14:anchorId="2C35CC66" wp14:editId="26EF3920">
            <wp:extent cx="4826208" cy="2308225"/>
            <wp:effectExtent l="19050" t="19050" r="12700" b="15875"/>
            <wp:docPr id="1474823175" name="Picture 4" descr="A map of the river&#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5543093" name="Picture 4" descr="A map of the river&#10;&#10;AI-generated content may be incorrect."/>
                    <pic:cNvPicPr>
                      <a:picLocks noChangeArrowheads="1"/>
                    </pic:cNvPicPr>
                  </pic:nvPicPr>
                  <pic:blipFill rotWithShape="1">
                    <a:blip r:embed="rId43" cstate="screen">
                      <a:extLst>
                        <a:ext uri="{28A0092B-C50C-407E-A947-70E740481C1C}">
                          <a14:useLocalDpi xmlns:a14="http://schemas.microsoft.com/office/drawing/2010/main"/>
                        </a:ext>
                      </a:extLst>
                    </a:blip>
                    <a:srcRect t="3763" b="2738"/>
                    <a:stretch/>
                  </pic:blipFill>
                  <pic:spPr bwMode="auto">
                    <a:xfrm>
                      <a:off x="0" y="0"/>
                      <a:ext cx="4836494" cy="2313145"/>
                    </a:xfrm>
                    <a:prstGeom prst="rect">
                      <a:avLst/>
                    </a:prstGeom>
                    <a:noFill/>
                    <a:ln w="19050">
                      <a:solidFill>
                        <a:schemeClr val="tx1"/>
                      </a:solidFill>
                    </a:ln>
                    <a:extLst>
                      <a:ext uri="{53640926-AAD7-44D8-BBD7-CCE9431645EC}">
                        <a14:shadowObscured xmlns:a14="http://schemas.microsoft.com/office/drawing/2010/main"/>
                      </a:ext>
                    </a:extLst>
                  </pic:spPr>
                </pic:pic>
              </a:graphicData>
            </a:graphic>
          </wp:inline>
        </w:drawing>
      </w:r>
    </w:p>
    <w:p w14:paraId="375AEAF0" w14:textId="77777777" w:rsidR="0049275E" w:rsidRPr="00131EED" w:rsidRDefault="0049275E" w:rsidP="0049275E">
      <w:pPr>
        <w:jc w:val="center"/>
        <w:rPr>
          <w:rFonts w:cs="Arial"/>
          <w:sz w:val="20"/>
          <w:szCs w:val="20"/>
        </w:rPr>
      </w:pPr>
      <w:r w:rsidRPr="00131EED">
        <w:rPr>
          <w:rFonts w:cs="Arial"/>
          <w:sz w:val="20"/>
          <w:szCs w:val="20"/>
        </w:rPr>
        <w:t>Fuente: USGS, 2023</w:t>
      </w:r>
    </w:p>
    <w:p w14:paraId="35F3B8A7" w14:textId="77777777" w:rsidR="0049275E" w:rsidRPr="00131EED" w:rsidRDefault="0049275E" w:rsidP="0049275E"/>
    <w:p w14:paraId="61FFB2BC" w14:textId="77777777" w:rsidR="0049275E" w:rsidRPr="00131EED" w:rsidRDefault="0049275E" w:rsidP="0049275E"/>
    <w:p w14:paraId="2978CEDC" w14:textId="77777777" w:rsidR="0049275E" w:rsidRPr="00131EED" w:rsidRDefault="0049275E" w:rsidP="0049275E">
      <w:r w:rsidRPr="00131EED">
        <w:t>Armonizar la ocupación de la Sabana de Bogotá con los ciclos naturales —en particular el del agua— implica reconocer que existen límites definidos por las dinámicas, tiempos y espacios de dichos ciclos (flujos y reservas), así como por otros procesos ecológicos como los del suelo, la energía, los nutrientes y la biodiversidad. Estos límites condicionan el uso y la ocupación del territorio y deben asumirse colectivamente como una regla social, orientada a garantizar la sostenibilidad territorial.</w:t>
      </w:r>
    </w:p>
    <w:p w14:paraId="1AA48B5E" w14:textId="77777777" w:rsidR="0049275E" w:rsidRPr="00131EED" w:rsidRDefault="0049275E" w:rsidP="0049275E">
      <w:pPr>
        <w:rPr>
          <w:rFonts w:ascii="Baskerville" w:hAnsi="Baskerville" w:cs="Arial"/>
        </w:rPr>
      </w:pPr>
    </w:p>
    <w:p w14:paraId="35834687" w14:textId="77777777" w:rsidR="0049275E" w:rsidRPr="00131EED" w:rsidRDefault="0049275E" w:rsidP="0049275E">
      <w:pPr>
        <w:rPr>
          <w:rFonts w:cs="Arial"/>
          <w:b/>
        </w:rPr>
      </w:pPr>
      <w:r w:rsidRPr="00131EED">
        <w:rPr>
          <w:rFonts w:cs="Arial"/>
          <w:b/>
        </w:rPr>
        <w:t>Gobernanza para el ordenamiento territorial en torno al agua</w:t>
      </w:r>
    </w:p>
    <w:p w14:paraId="0835776C" w14:textId="77777777" w:rsidR="0049275E" w:rsidRPr="00131EED" w:rsidRDefault="0049275E" w:rsidP="0049275E">
      <w:pPr>
        <w:rPr>
          <w:rFonts w:cs="Arial"/>
        </w:rPr>
      </w:pPr>
    </w:p>
    <w:p w14:paraId="06331D90" w14:textId="77777777" w:rsidR="0049275E" w:rsidRPr="00131EED" w:rsidRDefault="0049275E" w:rsidP="0049275E">
      <w:pPr>
        <w:rPr>
          <w:rFonts w:cs="Arial"/>
        </w:rPr>
      </w:pPr>
      <w:r w:rsidRPr="00131EED">
        <w:rPr>
          <w:rFonts w:cs="Arial"/>
        </w:rPr>
        <w:t>La planificación y gestión del ordenamiento territorial centrado en el agua requiere de procesos técnicos, políticos e institucionales renovados, que se sustenten en sólidos sistemas de gobernanza tanto territorial como hídrica. Esto se debe a que la implementación de las estrategias necesarias no puede depender únicamente de mecanismos de comando, control y regulación. Es fundamental lograr que los diversos actores del territorio se apropien de las iniciativas y se empoderen en torno a visiones compartidas. Para avanzar hacia el desarrollo y ordenamiento territorial acordado colectivamente, es imprescindible que estos actores estén organizados dentro de un sistema de gobernanza robusto que fomente el desarrollo endógeno y promueva la autogestión, facilitando así la construcción social del territorio.</w:t>
      </w:r>
    </w:p>
    <w:p w14:paraId="7201E10C" w14:textId="77777777" w:rsidR="0049275E" w:rsidRPr="00131EED" w:rsidRDefault="0049275E" w:rsidP="0049275E">
      <w:pPr>
        <w:rPr>
          <w:rFonts w:cs="Arial"/>
        </w:rPr>
      </w:pPr>
    </w:p>
    <w:p w14:paraId="4D236AFE" w14:textId="77777777" w:rsidR="0049275E" w:rsidRPr="00131EED" w:rsidRDefault="0049275E" w:rsidP="0049275E">
      <w:pPr>
        <w:rPr>
          <w:rFonts w:cs="Arial"/>
        </w:rPr>
      </w:pPr>
      <w:r w:rsidRPr="00131EED">
        <w:rPr>
          <w:rFonts w:cs="Arial"/>
        </w:rPr>
        <w:t>En esta misma línea, se hace necesaria una nueva forma de articulación entre actores sociales e institucionales que posibilite una participación horizontal y multinivel de todos los involucrados, incluida la ciudadanía. El Estado debe asumir un rol de facilitador y dinamizador, integrando nuevos actores que permitan superar las dinámicas simples y las relaciones asimétricas. Esto supone construir una gobernanza en red entendida como un proceso de adaptación de los gobiernos a sus entornos, donde actores públicos, privados y sociales se asocien y comprometan para regular los conflictos y tensiones que surgen en la relación entre sociedad y territorio. Para ello, se requieren instituciones fortalecidas capaces de gestionar y coordinar las interacciones con actores e intereses privados y no gubernamentales (Pierre, 2000).</w:t>
      </w:r>
    </w:p>
    <w:p w14:paraId="62CC5FD3" w14:textId="77777777" w:rsidR="0049275E" w:rsidRPr="00131EED" w:rsidRDefault="0049275E" w:rsidP="0049275E">
      <w:pPr>
        <w:rPr>
          <w:rFonts w:cs="Arial"/>
        </w:rPr>
      </w:pPr>
    </w:p>
    <w:p w14:paraId="5584FB6A" w14:textId="77777777" w:rsidR="0049275E" w:rsidRPr="00131EED" w:rsidRDefault="0049275E" w:rsidP="0049275E">
      <w:pPr>
        <w:rPr>
          <w:rFonts w:cs="Arial"/>
          <w:b/>
        </w:rPr>
      </w:pPr>
      <w:r w:rsidRPr="00131EED">
        <w:rPr>
          <w:rFonts w:cs="Arial"/>
          <w:b/>
        </w:rPr>
        <w:t>Articulación y coordinación de instrumentos de planificación y ordenamiento territorial</w:t>
      </w:r>
    </w:p>
    <w:p w14:paraId="69AE0293" w14:textId="77777777" w:rsidR="0049275E" w:rsidRPr="00131EED" w:rsidRDefault="0049275E" w:rsidP="0049275E">
      <w:pPr>
        <w:rPr>
          <w:rFonts w:cs="Arial"/>
        </w:rPr>
      </w:pPr>
    </w:p>
    <w:p w14:paraId="53A59EE9" w14:textId="77777777" w:rsidR="0049275E" w:rsidRPr="00131EED" w:rsidRDefault="0049275E" w:rsidP="0049275E">
      <w:pPr>
        <w:rPr>
          <w:rFonts w:cs="Arial"/>
        </w:rPr>
      </w:pPr>
      <w:r w:rsidRPr="00131EED">
        <w:rPr>
          <w:rFonts w:cs="Arial"/>
        </w:rPr>
        <w:t>En Colombia persiste una falta de articulación y coordinación entre los distintos instrumentos de planificación y ordenamiento territorial, lo que ha generado su exceso, superposición y escasa eficacia normativa. Estos instrumentos suelen estar desalineados en el tiempo y el espacio, derivando en acciones sectoriales aisladas que no abordan de manera integral los problemas y oportunidades del territorio. Además, los procesos de participación son limitados y con poca incidencia, lo que dificulta la gobernanza y la resolución de conflictos, incluidos los socioambientales. Por ello, es prioritario incorporar el enfoque de ordenamiento territorial alrededor del agua en dichos instrumentos, para orientar de forma coherente las acciones, responsabilidades y acuerdos colectivos que impulsen transformaciones sostenibles tanto a nivel sectorial como territorial.</w:t>
      </w:r>
    </w:p>
    <w:p w14:paraId="13CE44DD" w14:textId="77777777" w:rsidR="0049275E" w:rsidRPr="00131EED" w:rsidRDefault="0049275E" w:rsidP="0049275E">
      <w:pPr>
        <w:rPr>
          <w:rFonts w:cs="Arial"/>
        </w:rPr>
      </w:pPr>
    </w:p>
    <w:p w14:paraId="6B347B32" w14:textId="77777777" w:rsidR="0049275E" w:rsidRPr="00131EED" w:rsidRDefault="0049275E" w:rsidP="0049275E">
      <w:pPr>
        <w:rPr>
          <w:rFonts w:cs="Arial"/>
        </w:rPr>
      </w:pPr>
      <w:r w:rsidRPr="00131EED">
        <w:rPr>
          <w:rFonts w:cs="Arial"/>
        </w:rPr>
        <w:t>A partir de lo anterior, es evidente la necesidad de integrar mejor los espacios esenciales para el funcionamiento del ciclo del agua en el ordenamiento territorial. También resulta prioritario implementar medidas de protección y recuperación de estas áreas de importancia ambiental, con el fin de reducir los riesgos asociados a su degradación y avanzar hacia un territorio más resiliente y adaptado. Esto requiere un proceso gradual de toma de decisiones basado en la gestión del conocimiento y la generación de directrices claras para el ordenamiento ambiental del territorio.</w:t>
      </w:r>
    </w:p>
    <w:p w14:paraId="57670DBF" w14:textId="77777777" w:rsidR="0049275E" w:rsidRPr="00131EED" w:rsidRDefault="0049275E" w:rsidP="00410194">
      <w:pPr>
        <w:pStyle w:val="Heading1"/>
        <w:numPr>
          <w:ilvl w:val="0"/>
          <w:numId w:val="31"/>
        </w:numPr>
      </w:pPr>
      <w:bookmarkStart w:id="49" w:name="_Toc216468684"/>
      <w:r w:rsidRPr="00131EED">
        <w:t>DETERMINANTES AMBIENTALES EN EL ORDENAMIENTO TERRITORIAL</w:t>
      </w:r>
      <w:bookmarkEnd w:id="49"/>
    </w:p>
    <w:p w14:paraId="27873779" w14:textId="77777777" w:rsidR="0049275E" w:rsidRPr="00131EED" w:rsidRDefault="0049275E" w:rsidP="0049275E">
      <w:pPr>
        <w:rPr>
          <w:rFonts w:ascii="Baskerville" w:hAnsi="Baskerville" w:cs="Arial"/>
        </w:rPr>
      </w:pPr>
    </w:p>
    <w:p w14:paraId="0967E3B1" w14:textId="77777777" w:rsidR="0049275E" w:rsidRPr="00131EED" w:rsidRDefault="0049275E" w:rsidP="0049275E">
      <w:pPr>
        <w:rPr>
          <w:rFonts w:cs="Arial"/>
        </w:rPr>
      </w:pPr>
      <w:r w:rsidRPr="00131EED">
        <w:rPr>
          <w:rFonts w:cs="Arial"/>
        </w:rPr>
        <w:t xml:space="preserve">En primer lugar, es preciso tener presente lo señalado por el artículo 61 de la Ley 99 de 1993 el cual indica: </w:t>
      </w:r>
    </w:p>
    <w:p w14:paraId="7196C2C2" w14:textId="77777777" w:rsidR="0049275E" w:rsidRPr="00131EED" w:rsidRDefault="0049275E" w:rsidP="0049275E">
      <w:pPr>
        <w:rPr>
          <w:rFonts w:cs="Arial"/>
        </w:rPr>
      </w:pPr>
    </w:p>
    <w:p w14:paraId="3FBA74ED" w14:textId="77777777" w:rsidR="0049275E" w:rsidRPr="00131EED" w:rsidRDefault="0049275E" w:rsidP="0049275E">
      <w:pPr>
        <w:rPr>
          <w:rFonts w:cs="Arial"/>
          <w:i/>
        </w:rPr>
      </w:pPr>
      <w:r w:rsidRPr="00131EED">
        <w:rPr>
          <w:rFonts w:cs="Arial"/>
          <w:b/>
          <w:i/>
        </w:rPr>
        <w:t>Artículo 61.</w:t>
      </w:r>
      <w:r w:rsidRPr="00131EED">
        <w:rPr>
          <w:rFonts w:cs="Arial"/>
          <w:i/>
        </w:rPr>
        <w:t xml:space="preserve"> Declárase la Sabana de Bogotá, sus páramos, aguas, valles aledaños, cerros circundantes y sistemas montañosos como de interés ecológico nacional, cuya destinación prioritaria será la agropecuaria y forestal.</w:t>
      </w:r>
    </w:p>
    <w:p w14:paraId="6F248A07" w14:textId="77777777" w:rsidR="0049275E" w:rsidRPr="00131EED" w:rsidRDefault="0049275E" w:rsidP="0049275E">
      <w:pPr>
        <w:rPr>
          <w:rFonts w:cs="Arial"/>
          <w:i/>
        </w:rPr>
      </w:pPr>
    </w:p>
    <w:p w14:paraId="67D017E4" w14:textId="77777777" w:rsidR="0049275E" w:rsidRPr="00131EED" w:rsidRDefault="0049275E" w:rsidP="0049275E">
      <w:pPr>
        <w:rPr>
          <w:rFonts w:cs="Arial"/>
          <w:i/>
        </w:rPr>
      </w:pPr>
      <w:r w:rsidRPr="00131EED">
        <w:rPr>
          <w:rFonts w:cs="Arial"/>
          <w:i/>
        </w:rPr>
        <w:t>El Ministerio del Medio Ambiente determinará las zonas en las cuales exista compatibilidad con las explotaciones mineras, con base en esta determinación, la Corporación Autónoma Regional de Cundinamarca (CAR), otorgará o negará las correspondientes licencias ambientales.</w:t>
      </w:r>
    </w:p>
    <w:p w14:paraId="35316EA7" w14:textId="77777777" w:rsidR="0049275E" w:rsidRPr="00131EED" w:rsidRDefault="0049275E" w:rsidP="0049275E">
      <w:pPr>
        <w:rPr>
          <w:rFonts w:cs="Arial"/>
          <w:i/>
        </w:rPr>
      </w:pPr>
    </w:p>
    <w:p w14:paraId="446EDAEE" w14:textId="5AFB1F52" w:rsidR="0049275E" w:rsidRPr="00131EED" w:rsidRDefault="0049275E" w:rsidP="0049275E">
      <w:pPr>
        <w:rPr>
          <w:rFonts w:cs="Arial"/>
          <w:b/>
          <w:i/>
        </w:rPr>
      </w:pPr>
      <w:r w:rsidRPr="00131EED">
        <w:rPr>
          <w:rFonts w:cs="Arial"/>
          <w:b/>
          <w:i/>
        </w:rPr>
        <w:t xml:space="preserve">Los municipios y el Distrito </w:t>
      </w:r>
      <w:r w:rsidR="00B71BC1" w:rsidRPr="00131EED">
        <w:rPr>
          <w:rFonts w:cs="Arial"/>
          <w:b/>
          <w:i/>
        </w:rPr>
        <w:t>Capital</w:t>
      </w:r>
      <w:r w:rsidRPr="00131EED">
        <w:rPr>
          <w:rFonts w:cs="Arial"/>
          <w:b/>
          <w:i/>
        </w:rPr>
        <w:t xml:space="preserve"> expedirán la reglamentación de los usos del suelo, teniendo en cuenta las disposiciones de que trata este artículo y las que a nivel nacional expida el Ministerio del Medio Ambiente</w:t>
      </w:r>
    </w:p>
    <w:p w14:paraId="6BD1A344" w14:textId="77777777" w:rsidR="0049275E" w:rsidRPr="00131EED" w:rsidRDefault="0049275E" w:rsidP="0049275E">
      <w:pPr>
        <w:rPr>
          <w:rFonts w:cs="Arial"/>
        </w:rPr>
      </w:pPr>
    </w:p>
    <w:p w14:paraId="64715A7E" w14:textId="77777777" w:rsidR="0049275E" w:rsidRPr="00131EED" w:rsidRDefault="0049275E" w:rsidP="0049275E">
      <w:pPr>
        <w:rPr>
          <w:rFonts w:cs="Arial"/>
        </w:rPr>
      </w:pPr>
      <w:r w:rsidRPr="00131EED">
        <w:rPr>
          <w:rFonts w:cs="Arial"/>
        </w:rPr>
        <w:t>Igualmente, la Ley 388 de 1997 en su artículo 10, modificado por el artículo 32 de la Ley 2294 de 2023, establece sobre las determinantes ambientales de ordenamiento territorial:</w:t>
      </w:r>
    </w:p>
    <w:p w14:paraId="6BA9781A" w14:textId="77777777" w:rsidR="0049275E" w:rsidRPr="00131EED" w:rsidRDefault="0049275E" w:rsidP="0049275E">
      <w:pPr>
        <w:rPr>
          <w:rFonts w:cs="Arial"/>
        </w:rPr>
      </w:pPr>
    </w:p>
    <w:p w14:paraId="5F715F9A" w14:textId="77777777" w:rsidR="0049275E" w:rsidRPr="00131EED" w:rsidRDefault="0049275E" w:rsidP="0049275E">
      <w:pPr>
        <w:rPr>
          <w:rFonts w:cs="Arial"/>
          <w:i/>
        </w:rPr>
      </w:pPr>
      <w:r w:rsidRPr="00131EED">
        <w:rPr>
          <w:rFonts w:cs="Arial"/>
          <w:b/>
          <w:i/>
        </w:rPr>
        <w:t>Artículo 10. Determinantes de ordenamiento territorial y su orden de prevalencia</w:t>
      </w:r>
      <w:r w:rsidRPr="00131EED">
        <w:rPr>
          <w:rFonts w:cs="Arial"/>
          <w:i/>
        </w:rPr>
        <w:t>. En la elaboración y adopción de sus planes de ordenamiento territorial, los municipios y distritos deberán tener en cuenta las siguientes determinantes, que constituyen normas de superior jerarquía en sus propios ámbitos de competencia, de acuerdo con la Constitución y las leyes.</w:t>
      </w:r>
    </w:p>
    <w:p w14:paraId="1B6D6EFD" w14:textId="77777777" w:rsidR="0049275E" w:rsidRPr="00131EED" w:rsidRDefault="0049275E" w:rsidP="0049275E">
      <w:pPr>
        <w:rPr>
          <w:rFonts w:cs="Arial"/>
        </w:rPr>
      </w:pPr>
    </w:p>
    <w:p w14:paraId="5047A3CB" w14:textId="77777777" w:rsidR="0049275E" w:rsidRPr="00131EED" w:rsidRDefault="0049275E" w:rsidP="0049275E">
      <w:pPr>
        <w:rPr>
          <w:rFonts w:cs="Arial"/>
          <w:i/>
        </w:rPr>
      </w:pPr>
      <w:r w:rsidRPr="00131EED">
        <w:rPr>
          <w:rFonts w:cs="Arial"/>
          <w:i/>
        </w:rPr>
        <w:t xml:space="preserve">Nivel 1. Las determinantes relacionadas con la conservación, la protección del ambiente y los ecosistemas, el ciclo del agua, los recursos naturales, la prevención de amenazas y riesgos de desastres, la gestión del cambio climático y la soberanía alimentaria. </w:t>
      </w:r>
    </w:p>
    <w:p w14:paraId="67639250" w14:textId="77777777" w:rsidR="0049275E" w:rsidRPr="00131EED" w:rsidRDefault="0049275E" w:rsidP="0049275E">
      <w:pPr>
        <w:rPr>
          <w:rFonts w:cs="Arial"/>
          <w:i/>
        </w:rPr>
      </w:pPr>
    </w:p>
    <w:p w14:paraId="71F0F2A8" w14:textId="77777777" w:rsidR="0049275E" w:rsidRPr="00131EED" w:rsidRDefault="0049275E" w:rsidP="0049275E">
      <w:pPr>
        <w:rPr>
          <w:rFonts w:cs="Arial"/>
          <w:i/>
        </w:rPr>
      </w:pPr>
      <w:r w:rsidRPr="00131EED">
        <w:rPr>
          <w:rFonts w:cs="Arial"/>
          <w:i/>
        </w:rPr>
        <w:t>a) Las directrices, normas y reglamentos expedidos en ejercicio de sus respectivas facultades legales por las entidades del Sistema Nacional Ambiental en los aspectos relacionados con el ordenamiento espacial del territorio, de acuerdo con la Ley 99 de 1993 y el Código de Recursos Naturales y demás normativa concordante, tales como las limitaciones derivadas de estatuto de zonificación de uso adecuado del territorio y las regulaciones nacionales sobre uso del suelo en lo concerniente exclusivamente a sus aspectos ambientales. </w:t>
      </w:r>
    </w:p>
    <w:p w14:paraId="439A10F1" w14:textId="77777777" w:rsidR="0049275E" w:rsidRPr="00131EED" w:rsidRDefault="0049275E" w:rsidP="0049275E">
      <w:pPr>
        <w:rPr>
          <w:rFonts w:cs="Arial"/>
          <w:i/>
        </w:rPr>
      </w:pPr>
      <w:r w:rsidRPr="00131EED">
        <w:rPr>
          <w:rFonts w:cs="Arial"/>
          <w:i/>
        </w:rPr>
        <w:t> </w:t>
      </w:r>
    </w:p>
    <w:p w14:paraId="0888B569" w14:textId="77777777" w:rsidR="0049275E" w:rsidRPr="00131EED" w:rsidRDefault="0049275E" w:rsidP="0049275E">
      <w:pPr>
        <w:rPr>
          <w:rFonts w:cs="Arial"/>
          <w:i/>
        </w:rPr>
      </w:pPr>
      <w:r w:rsidRPr="00131EED">
        <w:rPr>
          <w:rFonts w:cs="Arial"/>
          <w:i/>
        </w:rPr>
        <w:t>b) Las disposiciones que reglamentan el uso y funcionamiento de las áreas que integran el sistema de parques nacionales naturales y las reservas forestales nacionales.</w:t>
      </w:r>
    </w:p>
    <w:p w14:paraId="7FA43809" w14:textId="77777777" w:rsidR="0049275E" w:rsidRPr="00131EED" w:rsidRDefault="0049275E" w:rsidP="0049275E">
      <w:pPr>
        <w:rPr>
          <w:rFonts w:cs="Arial"/>
          <w:i/>
        </w:rPr>
      </w:pPr>
      <w:r w:rsidRPr="00131EED">
        <w:rPr>
          <w:rFonts w:cs="Arial"/>
          <w:i/>
        </w:rPr>
        <w:t>c) Las regulaciones sobre conservación, preservación, uso y manejo del ambiente y de los recursos naturales renovables, en especial en las zonas marinas y costeras y los ecosistemas estratégicos; las disposiciones producidas por la Corporación Autónoma Regional o la autoridad ambiental de la respectiva jurisdicción en cuanto a la reserva, alindamiento, administración o sustracción de los distritos de manejo integrado, los distritos de conservación de suelos, y las reservas forestales; a la reserva, alindamiento y administración de los parques naturales de carácter regional; las normas y directrices para el manejo de las cuencas hidrográficas expedidas por la Corporación Autónoma Regional o la autoridad ambiental de la respectiva jurisdicción, y las directrices y normas expedidas por las autoridades ambientales para la conservación de las áreas de especial importancia ecosistémica.</w:t>
      </w:r>
    </w:p>
    <w:p w14:paraId="5A06A8A1" w14:textId="77777777" w:rsidR="0049275E" w:rsidRPr="00131EED" w:rsidRDefault="0049275E" w:rsidP="0049275E">
      <w:pPr>
        <w:rPr>
          <w:rFonts w:cs="Arial"/>
          <w:i/>
        </w:rPr>
      </w:pPr>
      <w:r w:rsidRPr="00131EED">
        <w:rPr>
          <w:rFonts w:cs="Arial"/>
          <w:i/>
        </w:rPr>
        <w:t> </w:t>
      </w:r>
    </w:p>
    <w:p w14:paraId="4C800FF7" w14:textId="77777777" w:rsidR="0049275E" w:rsidRPr="00131EED" w:rsidRDefault="0049275E" w:rsidP="0049275E">
      <w:pPr>
        <w:rPr>
          <w:rFonts w:cs="Arial"/>
          <w:i/>
        </w:rPr>
      </w:pPr>
      <w:r w:rsidRPr="00131EED">
        <w:rPr>
          <w:rFonts w:cs="Arial"/>
          <w:i/>
        </w:rPr>
        <w:t>d) Las políticas, directrices y regulaciones sobre prevención de amenazas y riesgos de desastres, el señalamiento y localización de las áreas de riesgo para asentamientos humanos, así como las estrategias de manejo de zonas expuestas a amenazas y riesgos naturales, y las relacionadas con la gestión del cambio climático.</w:t>
      </w:r>
    </w:p>
    <w:p w14:paraId="67F14AA6" w14:textId="77777777" w:rsidR="0049275E" w:rsidRPr="00131EED" w:rsidRDefault="0049275E" w:rsidP="0049275E">
      <w:pPr>
        <w:rPr>
          <w:rFonts w:cs="Arial"/>
          <w:i/>
        </w:rPr>
      </w:pPr>
    </w:p>
    <w:p w14:paraId="2EC9ACEE" w14:textId="77777777" w:rsidR="0049275E" w:rsidRPr="00131EED" w:rsidRDefault="0049275E" w:rsidP="0049275E">
      <w:pPr>
        <w:rPr>
          <w:rFonts w:cs="Arial"/>
          <w:i/>
        </w:rPr>
      </w:pPr>
      <w:r w:rsidRPr="00131EED">
        <w:rPr>
          <w:rFonts w:cs="Arial"/>
          <w:i/>
        </w:rPr>
        <w:t xml:space="preserve">Nivel 2. Las áreas de especial interés para proteger el derecho humano o la alimentación de los habitantes del territorio nacional localizadas dentro de la frontera agrícola, en particular, las incluidas en las áreas declaradas por el Ministerio de Agricultura y Desarrollo Rural, de acuerdo con los criterios definidos por la Unidad de Planificación Rural Agropecuaria - UPRA, y en la zonificación de los planes de desarrollo sostenible de las Zonas de Reserva Campesina constituidas por el Consejo Directivo de la Agencia Nacional de Tierras - ANT. Lo anterior, en coordinación con el Ministerio de Ambiente y Desarrollo Sostenible, y el Ministerio de Vivienda, Ciudad y Territorio. </w:t>
      </w:r>
    </w:p>
    <w:p w14:paraId="09FBEC26" w14:textId="77777777" w:rsidR="0049275E" w:rsidRPr="00131EED" w:rsidRDefault="0049275E" w:rsidP="0049275E">
      <w:pPr>
        <w:rPr>
          <w:rFonts w:cs="Arial"/>
          <w:i/>
        </w:rPr>
      </w:pPr>
    </w:p>
    <w:p w14:paraId="209F1E6F" w14:textId="77777777" w:rsidR="0049275E" w:rsidRPr="00131EED" w:rsidRDefault="0049275E" w:rsidP="0049275E">
      <w:pPr>
        <w:rPr>
          <w:rFonts w:cs="Arial"/>
          <w:i/>
        </w:rPr>
      </w:pPr>
      <w:r w:rsidRPr="00131EED">
        <w:rPr>
          <w:rFonts w:cs="Arial"/>
          <w:i/>
        </w:rPr>
        <w:t xml:space="preserve">3. Nivel 3. Las políticas, directrices y regulaciones sobre conservación, preservación y uso de las áreas e inmuebles consideradas como patrimonio cultural de la Nación y de los departamentos, incluyendo el histórico, artístico, arqueológico y arquitectónico, de conformidad con la legislación correspondiente. </w:t>
      </w:r>
    </w:p>
    <w:p w14:paraId="135F5DBF" w14:textId="77777777" w:rsidR="0049275E" w:rsidRPr="00131EED" w:rsidRDefault="0049275E" w:rsidP="0049275E">
      <w:pPr>
        <w:rPr>
          <w:rFonts w:cs="Arial"/>
          <w:i/>
        </w:rPr>
      </w:pPr>
    </w:p>
    <w:p w14:paraId="4C9C1E8F" w14:textId="77777777" w:rsidR="0049275E" w:rsidRPr="00131EED" w:rsidRDefault="0049275E" w:rsidP="0049275E">
      <w:pPr>
        <w:rPr>
          <w:rFonts w:cs="Arial"/>
          <w:i/>
        </w:rPr>
      </w:pPr>
      <w:r w:rsidRPr="00131EED">
        <w:rPr>
          <w:rFonts w:cs="Arial"/>
          <w:i/>
        </w:rPr>
        <w:t xml:space="preserve">4. Nivel 4. El señalamiento y localización de las infraestructuras básicas relativas a la red vial nacional y regional; fluvial, red férrea, puertos y aeropuertos; infraestructura logística especializada definida por el nivel nacional y regional para resolver intermodalidad, y sistemas de abastecimiento de agua, saneamiento y suministro de energía y gas, e internet. En este nivel también se considerarán las directrices de ordenamiento para las áreas de influencia de los referidos usos. </w:t>
      </w:r>
    </w:p>
    <w:p w14:paraId="1C4D3A4E" w14:textId="77777777" w:rsidR="0049275E" w:rsidRPr="00131EED" w:rsidRDefault="0049275E" w:rsidP="0049275E">
      <w:pPr>
        <w:rPr>
          <w:rFonts w:cs="Arial"/>
          <w:i/>
        </w:rPr>
      </w:pPr>
    </w:p>
    <w:p w14:paraId="59C27A75" w14:textId="77777777" w:rsidR="0049275E" w:rsidRPr="00131EED" w:rsidRDefault="0049275E" w:rsidP="0049275E">
      <w:pPr>
        <w:rPr>
          <w:rFonts w:cs="Arial"/>
          <w:i/>
        </w:rPr>
      </w:pPr>
      <w:r w:rsidRPr="00131EED">
        <w:rPr>
          <w:rFonts w:cs="Arial"/>
          <w:i/>
        </w:rPr>
        <w:t xml:space="preserve">5. Nivel 5. Los componentes de ordenamiento territorial de los planes integrales de desarrollo metropolitano, en cuanto se refieran a hechos metropolitanos, así como las normas generales que establezcan los objetivos y criterios definidos por las áreas metropolitanas en los asuntos de ordenamiento del territorio municipal, de conformidad con lo dispuesto por la Ley 625 de 200 3 y la presente Ley. 6. </w:t>
      </w:r>
    </w:p>
    <w:p w14:paraId="14E0B638" w14:textId="77777777" w:rsidR="0049275E" w:rsidRPr="00131EED" w:rsidRDefault="0049275E" w:rsidP="0049275E">
      <w:pPr>
        <w:rPr>
          <w:rFonts w:cs="Arial"/>
          <w:i/>
        </w:rPr>
      </w:pPr>
      <w:r w:rsidRPr="00131EED">
        <w:rPr>
          <w:rFonts w:cs="Arial"/>
          <w:i/>
        </w:rPr>
        <w:t>Nivel 6. Los Proyectos Turísticos Especiales e infraestructura asociada, definidos por el Ministerio de Comercio, Industria y Turismo.</w:t>
      </w:r>
    </w:p>
    <w:p w14:paraId="0BBB4269" w14:textId="77777777" w:rsidR="0049275E" w:rsidRPr="00131EED" w:rsidRDefault="0049275E" w:rsidP="0049275E">
      <w:pPr>
        <w:rPr>
          <w:rFonts w:cs="Arial"/>
          <w:i/>
        </w:rPr>
      </w:pPr>
    </w:p>
    <w:p w14:paraId="29EF753C" w14:textId="77777777" w:rsidR="0049275E" w:rsidRPr="00131EED" w:rsidRDefault="0049275E" w:rsidP="0049275E">
      <w:pPr>
        <w:rPr>
          <w:rFonts w:cs="Arial"/>
          <w:i/>
        </w:rPr>
      </w:pPr>
      <w:r w:rsidRPr="00131EED">
        <w:rPr>
          <w:rFonts w:cs="Arial"/>
          <w:i/>
        </w:rPr>
        <w:t>(…)</w:t>
      </w:r>
    </w:p>
    <w:p w14:paraId="62715663" w14:textId="77777777" w:rsidR="0049275E" w:rsidRPr="00131EED" w:rsidRDefault="0049275E" w:rsidP="0049275E">
      <w:pPr>
        <w:rPr>
          <w:rFonts w:cs="Arial"/>
        </w:rPr>
      </w:pPr>
    </w:p>
    <w:p w14:paraId="310BFAC5" w14:textId="77777777" w:rsidR="0049275E" w:rsidRPr="00131EED" w:rsidRDefault="0049275E" w:rsidP="0049275E">
      <w:pPr>
        <w:rPr>
          <w:rFonts w:cs="Arial"/>
        </w:rPr>
      </w:pPr>
      <w:r w:rsidRPr="00131EED">
        <w:rPr>
          <w:rFonts w:cs="Arial"/>
        </w:rPr>
        <w:t xml:space="preserve">El Ministerio de Ambiente y Desarrollo Sostenible, en cumplimiento de sus funciones ha elaborado el documento </w:t>
      </w:r>
      <w:r w:rsidRPr="00131EED">
        <w:rPr>
          <w:rFonts w:cs="Arial"/>
          <w:i/>
        </w:rPr>
        <w:t>“Orientaciones para la definición y actualización de las determinantes ambientales por parte de las autoridades ambientales y su incorporación en los planes de ordenamiento territorial”</w:t>
      </w:r>
      <w:r w:rsidRPr="00131EED">
        <w:rPr>
          <w:rFonts w:cs="Arial"/>
        </w:rPr>
        <w:t xml:space="preserve">, en el que se definen las determinantes ambientales como aquellos </w:t>
      </w:r>
      <w:r w:rsidRPr="00131EED">
        <w:rPr>
          <w:rFonts w:cs="Arial"/>
          <w:i/>
        </w:rPr>
        <w:t>“Términos y condiciones fijados por las autoridades ambientales para garantizar la sostenibilidad ambiental de los procesos de ordenamiento territorial”</w:t>
      </w:r>
      <w:r w:rsidRPr="00131EED">
        <w:rPr>
          <w:rFonts w:cs="Arial"/>
        </w:rPr>
        <w:t>, y cuyas características más relevantes se describen a continuación.</w:t>
      </w:r>
    </w:p>
    <w:p w14:paraId="33A01323" w14:textId="77777777" w:rsidR="0049275E" w:rsidRPr="00131EED" w:rsidRDefault="0049275E" w:rsidP="0049275E">
      <w:pPr>
        <w:rPr>
          <w:rFonts w:cs="Arial"/>
        </w:rPr>
      </w:pPr>
    </w:p>
    <w:p w14:paraId="1F0AE8B4" w14:textId="2106D88C" w:rsidR="0049275E" w:rsidRPr="00131EED" w:rsidRDefault="0049275E" w:rsidP="0049275E">
      <w:pPr>
        <w:rPr>
          <w:rFonts w:cs="Arial"/>
        </w:rPr>
      </w:pPr>
      <w:r w:rsidRPr="00131EED">
        <w:rPr>
          <w:rFonts w:cs="Arial"/>
        </w:rPr>
        <w:t>Las determinantes ambientales</w:t>
      </w:r>
      <w:r w:rsidRPr="00131EED">
        <w:rPr>
          <w:rFonts w:cs="Arial"/>
          <w:i/>
        </w:rPr>
        <w:t xml:space="preserve"> </w:t>
      </w:r>
      <w:r w:rsidRPr="00131EED">
        <w:rPr>
          <w:rFonts w:cs="Arial"/>
        </w:rPr>
        <w:t>son todas aquellas normas, lineamientos, directrices y pronunciamientos de carácter general emanados por las autoridades ambientales (Min</w:t>
      </w:r>
      <w:r w:rsidR="00DD272A" w:rsidRPr="00131EED">
        <w:rPr>
          <w:rFonts w:cs="Arial"/>
        </w:rPr>
        <w:t>A</w:t>
      </w:r>
      <w:r w:rsidRPr="00131EED">
        <w:rPr>
          <w:rFonts w:cs="Arial"/>
        </w:rPr>
        <w:t>mbiente, las CAR, PNN de Colombia, autoridades ambientales urbanas).  Así mismo pueden provenir de sentencias y mandatos judiciales. Adicionalmente, se resalta dentro de sus características que:</w:t>
      </w:r>
    </w:p>
    <w:p w14:paraId="008E03B5" w14:textId="77777777" w:rsidR="0049275E" w:rsidRPr="00131EED" w:rsidRDefault="0049275E" w:rsidP="00410194">
      <w:pPr>
        <w:numPr>
          <w:ilvl w:val="0"/>
          <w:numId w:val="6"/>
        </w:numPr>
        <w:rPr>
          <w:rFonts w:cs="Arial"/>
        </w:rPr>
      </w:pPr>
      <w:r w:rsidRPr="00131EED">
        <w:rPr>
          <w:rFonts w:cs="Arial"/>
        </w:rPr>
        <w:t>Cuentan con vida jurídica propia.</w:t>
      </w:r>
    </w:p>
    <w:p w14:paraId="6330E0B6" w14:textId="77777777" w:rsidR="0049275E" w:rsidRPr="00131EED" w:rsidRDefault="0049275E" w:rsidP="00410194">
      <w:pPr>
        <w:numPr>
          <w:ilvl w:val="0"/>
          <w:numId w:val="6"/>
        </w:numPr>
        <w:rPr>
          <w:rFonts w:cs="Arial"/>
        </w:rPr>
      </w:pPr>
      <w:r w:rsidRPr="00131EED">
        <w:rPr>
          <w:rFonts w:cs="Arial"/>
        </w:rPr>
        <w:t>Constituyen normas de superior jerarquía y obligatorio cumplimiento.</w:t>
      </w:r>
    </w:p>
    <w:p w14:paraId="65299B87" w14:textId="77777777" w:rsidR="0049275E" w:rsidRPr="00131EED" w:rsidRDefault="0049275E" w:rsidP="00410194">
      <w:pPr>
        <w:numPr>
          <w:ilvl w:val="0"/>
          <w:numId w:val="6"/>
        </w:numPr>
        <w:rPr>
          <w:rFonts w:cs="Arial"/>
        </w:rPr>
      </w:pPr>
      <w:r w:rsidRPr="00131EED">
        <w:rPr>
          <w:rFonts w:cs="Arial"/>
        </w:rPr>
        <w:t>Presentan diferentes niveles de restricción o condicionamiento a los usos del suelo.</w:t>
      </w:r>
    </w:p>
    <w:p w14:paraId="0840878D" w14:textId="77777777" w:rsidR="0049275E" w:rsidRPr="00131EED" w:rsidRDefault="0049275E" w:rsidP="00410194">
      <w:pPr>
        <w:numPr>
          <w:ilvl w:val="0"/>
          <w:numId w:val="6"/>
        </w:numPr>
        <w:rPr>
          <w:rFonts w:cs="Arial"/>
        </w:rPr>
      </w:pPr>
      <w:r w:rsidRPr="00131EED">
        <w:rPr>
          <w:rFonts w:cs="Arial"/>
        </w:rPr>
        <w:t>Permiten la gestión integral del medio ambiente y de los recursos naturales renovables en los procesos de ordenamiento territorial.</w:t>
      </w:r>
    </w:p>
    <w:p w14:paraId="2E9CE937" w14:textId="77777777" w:rsidR="0049275E" w:rsidRPr="00131EED" w:rsidRDefault="0049275E" w:rsidP="00410194">
      <w:pPr>
        <w:numPr>
          <w:ilvl w:val="0"/>
          <w:numId w:val="6"/>
        </w:numPr>
        <w:rPr>
          <w:rFonts w:cs="Arial"/>
        </w:rPr>
      </w:pPr>
      <w:r w:rsidRPr="00131EED">
        <w:rPr>
          <w:rFonts w:cs="Arial"/>
        </w:rPr>
        <w:t>Derivan de instrumentos de gestión ambiental y de planes de manejo.</w:t>
      </w:r>
    </w:p>
    <w:p w14:paraId="54ABB746" w14:textId="77777777" w:rsidR="0049275E" w:rsidRPr="00131EED" w:rsidRDefault="0049275E" w:rsidP="00410194">
      <w:pPr>
        <w:numPr>
          <w:ilvl w:val="0"/>
          <w:numId w:val="6"/>
        </w:numPr>
        <w:rPr>
          <w:rFonts w:cs="Arial"/>
        </w:rPr>
      </w:pPr>
      <w:r w:rsidRPr="00131EED">
        <w:rPr>
          <w:rFonts w:cs="Arial"/>
        </w:rPr>
        <w:t>Provienen de regulaciones que reglamentan actividades que deterioran el ambiente de manera directa o indirecta</w:t>
      </w:r>
    </w:p>
    <w:p w14:paraId="5AA2DF88" w14:textId="77777777" w:rsidR="0049275E" w:rsidRPr="00131EED" w:rsidRDefault="0049275E" w:rsidP="00410194">
      <w:pPr>
        <w:numPr>
          <w:ilvl w:val="0"/>
          <w:numId w:val="6"/>
        </w:numPr>
        <w:rPr>
          <w:rFonts w:cs="Arial"/>
        </w:rPr>
      </w:pPr>
      <w:r w:rsidRPr="00131EED">
        <w:rPr>
          <w:rFonts w:cs="Arial"/>
        </w:rPr>
        <w:t>Contribuyen al cumplimiento de los estándares de calidad para un ambiente sano.</w:t>
      </w:r>
    </w:p>
    <w:p w14:paraId="35663BD9" w14:textId="77777777" w:rsidR="0049275E" w:rsidRPr="00131EED" w:rsidRDefault="0049275E" w:rsidP="00410194">
      <w:pPr>
        <w:numPr>
          <w:ilvl w:val="0"/>
          <w:numId w:val="6"/>
        </w:numPr>
        <w:rPr>
          <w:rFonts w:cs="Arial"/>
        </w:rPr>
      </w:pPr>
      <w:r w:rsidRPr="00131EED">
        <w:rPr>
          <w:rFonts w:cs="Arial"/>
        </w:rPr>
        <w:t>Provienen de medidas de prevención, mitigación, compensación y corrección de aspectos e impactos ambientales.</w:t>
      </w:r>
    </w:p>
    <w:p w14:paraId="2E12CCB3" w14:textId="77777777" w:rsidR="0049275E" w:rsidRPr="00131EED" w:rsidRDefault="0049275E" w:rsidP="00410194">
      <w:pPr>
        <w:numPr>
          <w:ilvl w:val="0"/>
          <w:numId w:val="6"/>
        </w:numPr>
        <w:rPr>
          <w:rFonts w:cs="Arial"/>
        </w:rPr>
      </w:pPr>
      <w:r w:rsidRPr="00131EED">
        <w:rPr>
          <w:rFonts w:cs="Arial"/>
        </w:rPr>
        <w:t>Contribuyen a la construcción de territorios seguros a partir de la incorporación de la gestión del riesgo de desastres.</w:t>
      </w:r>
    </w:p>
    <w:p w14:paraId="2243B2D7" w14:textId="77777777" w:rsidR="0049275E" w:rsidRPr="00131EED" w:rsidRDefault="0049275E" w:rsidP="00410194">
      <w:pPr>
        <w:numPr>
          <w:ilvl w:val="0"/>
          <w:numId w:val="6"/>
        </w:numPr>
        <w:rPr>
          <w:rFonts w:cs="Arial"/>
        </w:rPr>
      </w:pPr>
      <w:r w:rsidRPr="00131EED">
        <w:rPr>
          <w:rFonts w:cs="Arial"/>
        </w:rPr>
        <w:t>Contribuyen a la gestión de los efectos generados por la variabilidad y el cambio climático.</w:t>
      </w:r>
    </w:p>
    <w:p w14:paraId="1A30A458" w14:textId="77777777" w:rsidR="0049275E" w:rsidRPr="00131EED" w:rsidRDefault="0049275E" w:rsidP="0049275E">
      <w:pPr>
        <w:rPr>
          <w:rFonts w:cs="Arial"/>
        </w:rPr>
      </w:pPr>
    </w:p>
    <w:p w14:paraId="571D8D53" w14:textId="77777777" w:rsidR="0049275E" w:rsidRPr="00131EED" w:rsidRDefault="0049275E" w:rsidP="0049275E">
      <w:pPr>
        <w:rPr>
          <w:rFonts w:cs="Arial"/>
        </w:rPr>
      </w:pPr>
      <w:r w:rsidRPr="00131EED">
        <w:rPr>
          <w:rFonts w:cs="Arial"/>
        </w:rPr>
        <w:t xml:space="preserve">Con lo anterior, este Ministerio definió en sus orientaciones cuatro ejes temáticos dentro de los que se encuentran:  </w:t>
      </w:r>
    </w:p>
    <w:p w14:paraId="23C37C53" w14:textId="77777777" w:rsidR="0049275E" w:rsidRPr="00131EED" w:rsidRDefault="0049275E" w:rsidP="0049275E">
      <w:pPr>
        <w:rPr>
          <w:rFonts w:cs="Arial"/>
        </w:rPr>
      </w:pPr>
    </w:p>
    <w:p w14:paraId="1D854775" w14:textId="77777777" w:rsidR="0049275E" w:rsidRPr="00131EED" w:rsidRDefault="0049275E" w:rsidP="00410194">
      <w:pPr>
        <w:numPr>
          <w:ilvl w:val="0"/>
          <w:numId w:val="7"/>
        </w:numPr>
        <w:rPr>
          <w:rFonts w:cs="Arial"/>
        </w:rPr>
      </w:pPr>
      <w:r w:rsidRPr="00131EED">
        <w:rPr>
          <w:rFonts w:cs="Arial"/>
          <w:b/>
          <w:i/>
        </w:rPr>
        <w:t>Determinantes ambientales del medio natural</w:t>
      </w:r>
      <w:r w:rsidRPr="00131EED">
        <w:rPr>
          <w:rFonts w:cs="Arial"/>
        </w:rPr>
        <w:t xml:space="preserve">, derivadas de los elementos naturales del territorio, aquellas que resultan en la conservación y protección de los ecosistemas estratégicos y el mantenimiento de los servicios ecosistémicos que soportan los modelos de ocupación de los distritos y municipios; </w:t>
      </w:r>
    </w:p>
    <w:p w14:paraId="1D131C09" w14:textId="77777777" w:rsidR="0049275E" w:rsidRPr="00131EED" w:rsidRDefault="0049275E" w:rsidP="00410194">
      <w:pPr>
        <w:numPr>
          <w:ilvl w:val="0"/>
          <w:numId w:val="7"/>
        </w:numPr>
        <w:rPr>
          <w:rFonts w:cs="Arial"/>
        </w:rPr>
      </w:pPr>
      <w:r w:rsidRPr="00131EED">
        <w:rPr>
          <w:rFonts w:cs="Arial"/>
          <w:i/>
        </w:rPr>
        <w:t>Determinantes del medio transformado</w:t>
      </w:r>
      <w:r w:rsidRPr="00131EED">
        <w:rPr>
          <w:rFonts w:cs="Arial"/>
        </w:rPr>
        <w:t xml:space="preserve"> que recogen todos aquellos elementos asociados al ordenamiento derivados de políticas, directrices, disposiciones, regulaciones, normas y reglamentos para prevenir, mitigar y manejar los efectos ambientales negativos derivados del desarrollo de las actividades humanas que intervienen en la definición del modelo de ocupación del municipio o distrito, buscando el cumplimiento de las obligaciones derivadas de ellos en armonía con el régimen de usos propuesto; </w:t>
      </w:r>
    </w:p>
    <w:p w14:paraId="01275885" w14:textId="77777777" w:rsidR="0049275E" w:rsidRPr="00131EED" w:rsidRDefault="0049275E" w:rsidP="00410194">
      <w:pPr>
        <w:numPr>
          <w:ilvl w:val="0"/>
          <w:numId w:val="7"/>
        </w:numPr>
        <w:rPr>
          <w:rFonts w:cs="Arial"/>
        </w:rPr>
      </w:pPr>
      <w:r w:rsidRPr="00131EED">
        <w:rPr>
          <w:rFonts w:cs="Arial"/>
          <w:i/>
        </w:rPr>
        <w:t>Determinantes de la gestión del riesgo y cambio climático</w:t>
      </w:r>
      <w:r w:rsidRPr="00131EED">
        <w:rPr>
          <w:rFonts w:cs="Arial"/>
        </w:rPr>
        <w:t xml:space="preserve">, cuyas orientaciones facilitan la toma de decisiones en lo que se refiere a la definición de los regímenes de usos del suelo, garantizando el asentamiento de las poblaciones y sus actividades básicas de desarrollo, subsistencia y recreación en zonas con condiciones seguras, y que permiten definir lineamientos, programas, proyectos y acciones enfocadas a la construcción de territorios resilientes, adaptados a los efectos del cambio climático y a la definición de modelos de desarrollo sostenibles que promuevan la conservación de la oferta de servicios ecosistémicos de cada territorio; y </w:t>
      </w:r>
    </w:p>
    <w:p w14:paraId="5D7B9239" w14:textId="77777777" w:rsidR="0049275E" w:rsidRPr="00131EED" w:rsidRDefault="0049275E" w:rsidP="00410194">
      <w:pPr>
        <w:numPr>
          <w:ilvl w:val="0"/>
          <w:numId w:val="7"/>
        </w:numPr>
        <w:rPr>
          <w:rFonts w:cs="Arial"/>
        </w:rPr>
      </w:pPr>
      <w:r w:rsidRPr="00131EED">
        <w:rPr>
          <w:rFonts w:cs="Arial"/>
          <w:i/>
        </w:rPr>
        <w:t>Determinantes asociadas a las densidades de suelo rural</w:t>
      </w:r>
      <w:r w:rsidRPr="00131EED">
        <w:rPr>
          <w:rFonts w:cs="Arial"/>
        </w:rPr>
        <w:t xml:space="preserve">, desarrolladas con aquellas contenidas en el Decreto 1077 de 2015 (libro 2, parte 2, título 2, capítulo 2) referidas a las densidades máximas de ocupación, extensión de corredores viales suburbanos y umbrales máximos de suburbanización, que pueden ser de su interés.  </w:t>
      </w:r>
    </w:p>
    <w:p w14:paraId="68A57F7B" w14:textId="77777777" w:rsidR="0049275E" w:rsidRPr="00131EED" w:rsidRDefault="0049275E" w:rsidP="0049275E">
      <w:pPr>
        <w:rPr>
          <w:rFonts w:cs="Arial"/>
        </w:rPr>
      </w:pPr>
    </w:p>
    <w:p w14:paraId="301870C5" w14:textId="77777777" w:rsidR="0049275E" w:rsidRPr="00131EED" w:rsidRDefault="0049275E" w:rsidP="0049275E">
      <w:pPr>
        <w:rPr>
          <w:rFonts w:cs="Arial"/>
        </w:rPr>
      </w:pPr>
      <w:r w:rsidRPr="00131EED">
        <w:rPr>
          <w:rFonts w:cs="Arial"/>
        </w:rPr>
        <w:t>Dicho documento, es una herramienta de referencia dirigido a las autoridades ambientales para la actualización de las determinantes ambientales, y, por ende, facilitar la incorporación de la dimensión ambiental en el principal instrumento de ordenamiento territorial, y contiene una serie de fichas técnicas como anexo para la identificación de determinantes ambientales por parte de las autoridades ambientales dentro de las cuales se encuentra la descripción y alcance de cada determinante ambiental</w:t>
      </w:r>
      <w:r w:rsidRPr="00131EED">
        <w:rPr>
          <w:rFonts w:cs="Arial"/>
          <w:i/>
        </w:rPr>
        <w:t xml:space="preserve">; </w:t>
      </w:r>
      <w:r w:rsidRPr="00131EED">
        <w:rPr>
          <w:rFonts w:cs="Arial"/>
        </w:rPr>
        <w:t>documento disponible para su consulta en el siguiente enlace:</w:t>
      </w:r>
    </w:p>
    <w:p w14:paraId="34AAFC4D" w14:textId="77777777" w:rsidR="0049275E" w:rsidRPr="00131EED" w:rsidRDefault="0049275E" w:rsidP="0049275E"/>
    <w:p w14:paraId="1E9DDB6F" w14:textId="34FE0F4A" w:rsidR="0049275E" w:rsidRPr="00131EED" w:rsidRDefault="0049275E" w:rsidP="0049275E">
      <w:pPr>
        <w:rPr>
          <w:rFonts w:cs="Arial"/>
          <w:i/>
        </w:rPr>
      </w:pPr>
      <w:hyperlink r:id="rId44" w:history="1">
        <w:r w:rsidRPr="00131EED">
          <w:rPr>
            <w:rStyle w:val="Hyperlink"/>
            <w:rFonts w:cs="Arial"/>
            <w:i/>
          </w:rPr>
          <w:t>https://www.minambiente.gov.co/wp-content/uploads/2025/06/20250616_CARTILLA-6_DETERMINANTES-AMBIENTALES-2024.pdf</w:t>
        </w:r>
      </w:hyperlink>
    </w:p>
    <w:p w14:paraId="28F7F36A" w14:textId="77777777" w:rsidR="0049275E" w:rsidRPr="00131EED" w:rsidRDefault="0049275E" w:rsidP="0049275E">
      <w:pPr>
        <w:rPr>
          <w:rFonts w:cs="Arial"/>
          <w:u w:val="single"/>
        </w:rPr>
      </w:pPr>
    </w:p>
    <w:p w14:paraId="4B41E4ED" w14:textId="77777777" w:rsidR="0049275E" w:rsidRPr="00131EED" w:rsidRDefault="0049275E" w:rsidP="0049275E">
      <w:pPr>
        <w:rPr>
          <w:rFonts w:cs="Arial"/>
        </w:rPr>
      </w:pPr>
      <w:r w:rsidRPr="00131EED">
        <w:rPr>
          <w:rFonts w:cs="Arial"/>
        </w:rPr>
        <w:t xml:space="preserve">Acogiendo lo señalado en el documento "Orientaciones para la definición y actualización de las determinantes ambientales por parte de las autoridades ambientales y su incorporación en los planes de ordenamiento territorial" del Ministerio de Ambiente y Desarrollo Sostenible, las determinantes del medio natural en la Sabana de Bogotá corresponderían a: </w:t>
      </w:r>
    </w:p>
    <w:p w14:paraId="39F83383" w14:textId="77777777" w:rsidR="0049275E" w:rsidRPr="00131EED" w:rsidRDefault="0049275E" w:rsidP="0049275E">
      <w:pPr>
        <w:rPr>
          <w:rFonts w:cs="Arial"/>
        </w:rPr>
      </w:pPr>
    </w:p>
    <w:p w14:paraId="01DCF326" w14:textId="77777777" w:rsidR="0049275E" w:rsidRPr="00131EED" w:rsidRDefault="0049275E" w:rsidP="0049275E">
      <w:pPr>
        <w:rPr>
          <w:rFonts w:cs="Arial"/>
        </w:rPr>
      </w:pPr>
      <w:r w:rsidRPr="00131EED">
        <w:rPr>
          <w:rFonts w:cs="Arial"/>
        </w:rPr>
        <w:t xml:space="preserve">1.     Áreas del Sistema Nacional de Áreas Protegidas (SINAP).  </w:t>
      </w:r>
    </w:p>
    <w:p w14:paraId="1468A205" w14:textId="77777777" w:rsidR="0049275E" w:rsidRPr="00131EED" w:rsidRDefault="0049275E" w:rsidP="0049275E">
      <w:pPr>
        <w:rPr>
          <w:rFonts w:cs="Arial"/>
        </w:rPr>
      </w:pPr>
      <w:r w:rsidRPr="00131EED">
        <w:rPr>
          <w:rFonts w:cs="Arial"/>
        </w:rPr>
        <w:t xml:space="preserve">2.     Áreas de especial importancia ecosistémica y ecosistemas estratégicos. </w:t>
      </w:r>
    </w:p>
    <w:p w14:paraId="0D1C498D" w14:textId="77777777" w:rsidR="0049275E" w:rsidRPr="00131EED" w:rsidRDefault="0049275E" w:rsidP="0049275E">
      <w:pPr>
        <w:rPr>
          <w:rFonts w:cs="Arial"/>
        </w:rPr>
      </w:pPr>
      <w:r w:rsidRPr="00131EED">
        <w:rPr>
          <w:rFonts w:cs="Arial"/>
        </w:rPr>
        <w:t xml:space="preserve">3.     Estrategias de conservación. </w:t>
      </w:r>
    </w:p>
    <w:p w14:paraId="113E6564" w14:textId="77777777" w:rsidR="0049275E" w:rsidRPr="00131EED" w:rsidRDefault="0049275E" w:rsidP="0049275E">
      <w:pPr>
        <w:rPr>
          <w:rFonts w:cs="Arial"/>
        </w:rPr>
      </w:pPr>
      <w:r w:rsidRPr="00131EED">
        <w:rPr>
          <w:rFonts w:cs="Arial"/>
        </w:rPr>
        <w:t xml:space="preserve">4.     Derivadas de Instrumentos de planificación. </w:t>
      </w:r>
    </w:p>
    <w:p w14:paraId="21C46587" w14:textId="77777777" w:rsidR="0049275E" w:rsidRPr="00131EED" w:rsidRDefault="0049275E" w:rsidP="0049275E">
      <w:pPr>
        <w:rPr>
          <w:rFonts w:cs="Arial"/>
        </w:rPr>
      </w:pPr>
      <w:r w:rsidRPr="00131EED">
        <w:rPr>
          <w:rFonts w:cs="Arial"/>
        </w:rPr>
        <w:t xml:space="preserve">5.     Derivadas de Estructura ecológica. </w:t>
      </w:r>
    </w:p>
    <w:p w14:paraId="0677A85D" w14:textId="77777777" w:rsidR="0049275E" w:rsidRPr="00131EED" w:rsidRDefault="0049275E" w:rsidP="0049275E">
      <w:pPr>
        <w:rPr>
          <w:rFonts w:cs="Arial"/>
        </w:rPr>
      </w:pPr>
    </w:p>
    <w:p w14:paraId="3782B3BB" w14:textId="77777777" w:rsidR="0049275E" w:rsidRPr="00131EED" w:rsidRDefault="0049275E" w:rsidP="0049275E">
      <w:pPr>
        <w:rPr>
          <w:rFonts w:cs="Arial"/>
        </w:rPr>
      </w:pPr>
      <w:r w:rsidRPr="00131EED">
        <w:rPr>
          <w:rFonts w:cs="Arial"/>
        </w:rPr>
        <w:t>Por tanto, las disposiciones sobre la Sabana de Bogotá que expida el Ministerio de Ambiente y Desarrollo Sostenible mediante directrices son determinantes ambientales para los instrumentos de ordenamiento territorial, porque vinculan la reglamentación de los usos del suelo por parte de los municipios y el Distrito Capital teniendo presente el artículo 61 de la Ley 99 de 1993. Igualmente, son determinantes del nivel 1, literal a, en los términos del artículo 10 de la Ley 388 de 1997, en tanto son directrices expedidas por el MADS como ente rector y coordinador del SINA y en ejercicio de una facultad legal establecida en la Ley 99 de 1993.</w:t>
      </w:r>
    </w:p>
    <w:p w14:paraId="5379BD04" w14:textId="77777777" w:rsidR="00A9390F" w:rsidRPr="00131EED" w:rsidRDefault="00A9390F" w:rsidP="006845C5">
      <w:pPr>
        <w:keepNext/>
        <w:jc w:val="center"/>
      </w:pPr>
    </w:p>
    <w:p w14:paraId="3DA62C11" w14:textId="0AE47532" w:rsidR="008B16BF" w:rsidRPr="00131EED" w:rsidRDefault="008B16BF">
      <w:pPr>
        <w:spacing w:after="200" w:line="276" w:lineRule="auto"/>
        <w:jc w:val="left"/>
        <w:rPr>
          <w:rFonts w:ascii="Century Gothic" w:hAnsi="Century Gothic" w:cs="Calibri"/>
          <w:b/>
          <w:bCs/>
          <w:smallCaps/>
          <w:color w:val="000000"/>
          <w:sz w:val="36"/>
          <w:szCs w:val="36"/>
          <w:lang w:eastAsia="en-US"/>
        </w:rPr>
      </w:pPr>
      <w:r w:rsidRPr="00131EED">
        <w:br w:type="page"/>
      </w:r>
    </w:p>
    <w:p w14:paraId="3AD084E4" w14:textId="7986A649" w:rsidR="009A5D19" w:rsidRPr="00131EED" w:rsidRDefault="00B47D8C" w:rsidP="00410194">
      <w:pPr>
        <w:pStyle w:val="Heading1"/>
        <w:numPr>
          <w:ilvl w:val="0"/>
          <w:numId w:val="31"/>
        </w:numPr>
      </w:pPr>
      <w:bookmarkStart w:id="50" w:name="_Toc216468685"/>
      <w:r w:rsidRPr="00131EED">
        <w:t>CONSERVACIÓN DE LA INTEGRIDAD ECOLÓGICA Y ADAPTACIÓN AL CAMBIO CLIMÁTICO.</w:t>
      </w:r>
      <w:bookmarkEnd w:id="50"/>
    </w:p>
    <w:p w14:paraId="59BB1A85" w14:textId="77777777" w:rsidR="008A326C" w:rsidRPr="00131EED" w:rsidRDefault="008A326C" w:rsidP="00410194">
      <w:pPr>
        <w:pStyle w:val="Heading2"/>
        <w:numPr>
          <w:ilvl w:val="1"/>
          <w:numId w:val="31"/>
        </w:numPr>
        <w:rPr>
          <w:rFonts w:eastAsia="Georgia"/>
        </w:rPr>
      </w:pPr>
      <w:bookmarkStart w:id="51" w:name="_Toc216468686"/>
      <w:bookmarkStart w:id="52" w:name="_Toc167854498"/>
      <w:r w:rsidRPr="00131EED">
        <w:rPr>
          <w:rFonts w:eastAsia="Georgia"/>
        </w:rPr>
        <w:t>Pérdida de Biodiversidad: Deterioro de la integridad ecológica</w:t>
      </w:r>
      <w:bookmarkEnd w:id="51"/>
    </w:p>
    <w:p w14:paraId="79F53EA6" w14:textId="77777777" w:rsidR="008A326C" w:rsidRPr="00131EED" w:rsidRDefault="008A326C" w:rsidP="008A326C">
      <w:pPr>
        <w:tabs>
          <w:tab w:val="left" w:pos="1320"/>
          <w:tab w:val="right" w:pos="8828"/>
        </w:tabs>
        <w:rPr>
          <w:rFonts w:ascii="Baskerville" w:eastAsia="Century Gothic" w:hAnsi="Baskerville" w:cs="Arial"/>
        </w:rPr>
      </w:pPr>
    </w:p>
    <w:p w14:paraId="50715A71" w14:textId="63A3F9FE" w:rsidR="008A326C" w:rsidRPr="00131EED" w:rsidRDefault="008A326C" w:rsidP="008A326C">
      <w:pPr>
        <w:tabs>
          <w:tab w:val="left" w:pos="1320"/>
          <w:tab w:val="right" w:pos="8828"/>
        </w:tabs>
        <w:rPr>
          <w:rFonts w:eastAsia="Century Gothic" w:cs="Arial"/>
        </w:rPr>
      </w:pPr>
      <w:r w:rsidRPr="00131EED">
        <w:rPr>
          <w:rFonts w:eastAsia="Century Gothic" w:cs="Arial"/>
        </w:rPr>
        <w:t xml:space="preserve">La ecorregión sabana de Bogotá comprende un área de </w:t>
      </w:r>
      <w:r w:rsidR="00D8120E" w:rsidRPr="00131EED">
        <w:rPr>
          <w:rFonts w:eastAsia="Century Gothic" w:cs="Arial"/>
        </w:rPr>
        <w:t xml:space="preserve">419.919 </w:t>
      </w:r>
      <w:r w:rsidRPr="00131EED">
        <w:rPr>
          <w:rFonts w:eastAsia="Century Gothic" w:cs="Arial"/>
        </w:rPr>
        <w:t xml:space="preserve">hectáreas, equivalente al 0,5% del área continental colombiana, es un escenario estratégico donde confluyen diversidad de actividades económicas en el centro del país y quizá el territorio con la mayor densidad poblacional.  </w:t>
      </w:r>
    </w:p>
    <w:p w14:paraId="27A78FDF" w14:textId="77777777" w:rsidR="008A326C" w:rsidRPr="00131EED" w:rsidRDefault="008A326C" w:rsidP="008A326C">
      <w:pPr>
        <w:tabs>
          <w:tab w:val="left" w:pos="1320"/>
          <w:tab w:val="right" w:pos="8828"/>
        </w:tabs>
        <w:rPr>
          <w:rFonts w:eastAsia="Century Gothic" w:cs="Arial"/>
        </w:rPr>
      </w:pPr>
    </w:p>
    <w:p w14:paraId="09D87AD5" w14:textId="77777777" w:rsidR="008A326C" w:rsidRPr="00131EED" w:rsidRDefault="008A326C" w:rsidP="008A326C">
      <w:pPr>
        <w:tabs>
          <w:tab w:val="left" w:pos="1320"/>
          <w:tab w:val="right" w:pos="8828"/>
        </w:tabs>
        <w:rPr>
          <w:rFonts w:eastAsia="Century Gothic" w:cs="Arial"/>
        </w:rPr>
      </w:pPr>
      <w:r w:rsidRPr="00131EED">
        <w:rPr>
          <w:rFonts w:cs="Arial"/>
        </w:rPr>
        <w:t xml:space="preserve">El presente capítulo tiene como base conceptual los acuerdos que Colombia ha suscrito para la conservación de la biodiversidad, en especial el Convenio de diversidad biológica y comprendiendo la </w:t>
      </w:r>
      <w:r w:rsidRPr="00131EED">
        <w:rPr>
          <w:rFonts w:cs="Arial"/>
          <w:b/>
        </w:rPr>
        <w:t>biodiversidad</w:t>
      </w:r>
      <w:r w:rsidRPr="00131EED">
        <w:rPr>
          <w:rFonts w:cs="Arial"/>
        </w:rPr>
        <w:t xml:space="preserve"> como</w:t>
      </w:r>
      <w:r w:rsidRPr="00131EED">
        <w:rPr>
          <w:rFonts w:eastAsia="Century Gothic" w:cs="Arial"/>
        </w:rPr>
        <w:t xml:space="preserve"> la variabilidad de organismos vivos de cualquier fuente, incluidos, entre otras cosas, los ecosistemas terrestres y marinos y otros ecosistemas acuáticos y los complejos ecológicos de los que forman parte; comprende la diversidad dentro de cada especie, entre las especies y de los ecosistemas conservación (Convenio de Diversidad Biológica).</w:t>
      </w:r>
    </w:p>
    <w:p w14:paraId="50ECEE28" w14:textId="77777777" w:rsidR="008A326C" w:rsidRPr="00131EED" w:rsidRDefault="008A326C" w:rsidP="008A326C">
      <w:pPr>
        <w:tabs>
          <w:tab w:val="left" w:pos="1320"/>
          <w:tab w:val="right" w:pos="8828"/>
        </w:tabs>
        <w:rPr>
          <w:rFonts w:cs="Arial"/>
        </w:rPr>
      </w:pPr>
    </w:p>
    <w:p w14:paraId="2C7957E3" w14:textId="77777777" w:rsidR="008A326C" w:rsidRPr="00131EED" w:rsidRDefault="008A326C" w:rsidP="008A326C">
      <w:pPr>
        <w:tabs>
          <w:tab w:val="left" w:pos="1320"/>
          <w:tab w:val="right" w:pos="8828"/>
        </w:tabs>
        <w:rPr>
          <w:rFonts w:eastAsia="Century Gothic" w:cs="Arial"/>
        </w:rPr>
      </w:pPr>
      <w:r w:rsidRPr="00131EED">
        <w:rPr>
          <w:rFonts w:cs="Arial"/>
        </w:rPr>
        <w:t xml:space="preserve">Dentro de las principales estrategias identificadas para la conservación de la biodiversidad </w:t>
      </w:r>
      <w:r w:rsidRPr="00131EED">
        <w:rPr>
          <w:rStyle w:val="FootnoteReference"/>
          <w:rFonts w:cs="Arial"/>
        </w:rPr>
        <w:footnoteReference w:id="2"/>
      </w:r>
      <w:r w:rsidRPr="00131EED">
        <w:rPr>
          <w:rFonts w:cs="Arial"/>
        </w:rPr>
        <w:t xml:space="preserve">, se encuentra la declaratoria de </w:t>
      </w:r>
      <w:r w:rsidRPr="00131EED">
        <w:rPr>
          <w:rFonts w:cs="Arial"/>
          <w:b/>
        </w:rPr>
        <w:t>áreas protegidas</w:t>
      </w:r>
      <w:r w:rsidRPr="00131EED">
        <w:rPr>
          <w:rFonts w:cs="Arial"/>
        </w:rPr>
        <w:t xml:space="preserve">, definidas como un </w:t>
      </w:r>
      <w:r w:rsidRPr="00131EED">
        <w:rPr>
          <w:rFonts w:cs="Arial"/>
          <w:i/>
        </w:rPr>
        <w:t>á</w:t>
      </w:r>
      <w:r w:rsidRPr="00131EED">
        <w:rPr>
          <w:rFonts w:eastAsia="Century Gothic" w:cs="Arial"/>
          <w:i/>
        </w:rPr>
        <w:t>rea definida geográficamente que haya sido designada, regulada y administrada a fin de alcanzar objetivos específicos de conservación</w:t>
      </w:r>
      <w:r w:rsidRPr="00131EED">
        <w:rPr>
          <w:rFonts w:eastAsia="Century Gothic" w:cs="Arial"/>
        </w:rPr>
        <w:t xml:space="preserve"> (Ley 165 de 1994, Decreto 1076 de 2015, Art. 2.2.2.1.1.2).</w:t>
      </w:r>
    </w:p>
    <w:p w14:paraId="462D73C2" w14:textId="77777777" w:rsidR="008A326C" w:rsidRPr="00131EED" w:rsidRDefault="008A326C" w:rsidP="008A326C">
      <w:pPr>
        <w:tabs>
          <w:tab w:val="left" w:pos="1320"/>
          <w:tab w:val="right" w:pos="8828"/>
        </w:tabs>
        <w:rPr>
          <w:rFonts w:cs="Arial"/>
        </w:rPr>
      </w:pPr>
    </w:p>
    <w:p w14:paraId="58BEC094" w14:textId="555DB685" w:rsidR="008A326C" w:rsidRPr="00131EED" w:rsidRDefault="008A326C" w:rsidP="008A326C">
      <w:pPr>
        <w:tabs>
          <w:tab w:val="left" w:pos="1320"/>
          <w:tab w:val="right" w:pos="8828"/>
        </w:tabs>
        <w:rPr>
          <w:rFonts w:cs="Arial"/>
        </w:rPr>
      </w:pPr>
      <w:r w:rsidRPr="00131EED">
        <w:rPr>
          <w:rFonts w:cs="Arial"/>
        </w:rPr>
        <w:t xml:space="preserve">En Colombia hacen parte de las áreas protegidas del Sistema Nacional de Áreas Protegidas – SINAP, las </w:t>
      </w:r>
      <w:r w:rsidR="00D8120E" w:rsidRPr="00131EED">
        <w:rPr>
          <w:rFonts w:cs="Arial"/>
        </w:rPr>
        <w:t xml:space="preserve"> categorías </w:t>
      </w:r>
      <w:r w:rsidRPr="00131EED">
        <w:rPr>
          <w:rFonts w:cs="Arial"/>
        </w:rPr>
        <w:t>definidas en el Decreto 2372 de 2010 actualmente compilado en el Decreto 1076 de 2015, que corresponden a las áreas protegidas públicas con las categorías de Parque Natural Nacional, Parque Natural Regional, Reserva Forestal Protectora Nacional, Reserva Forestal Protectora Regional, Distritos Regionales de Manejo Integrado, Distritos Nacionales de Manejo Integrado, Distritos de Conservación de Suelos y Áreas de Recreación y en las áreas protegidas privadas se encuentran las Reservas Naturales de la Sociedad Civil.</w:t>
      </w:r>
    </w:p>
    <w:p w14:paraId="072FFC6A" w14:textId="77777777" w:rsidR="009C26A2" w:rsidRPr="00131EED" w:rsidRDefault="009C26A2" w:rsidP="008A326C">
      <w:pPr>
        <w:tabs>
          <w:tab w:val="left" w:pos="1320"/>
          <w:tab w:val="right" w:pos="8828"/>
        </w:tabs>
        <w:rPr>
          <w:rFonts w:cs="Arial"/>
        </w:rPr>
      </w:pPr>
    </w:p>
    <w:p w14:paraId="6B105B1E" w14:textId="73A60E86" w:rsidR="008A326C" w:rsidRPr="00131EED" w:rsidRDefault="008A326C" w:rsidP="008A326C">
      <w:pPr>
        <w:rPr>
          <w:rFonts w:eastAsia="Century Gothic" w:cs="Arial"/>
        </w:rPr>
      </w:pPr>
      <w:r w:rsidRPr="00131EED">
        <w:rPr>
          <w:rFonts w:cs="Arial"/>
        </w:rPr>
        <w:t xml:space="preserve">Adicional a las áreas protegidas, se cuentan con </w:t>
      </w:r>
      <w:r w:rsidRPr="00131EED">
        <w:rPr>
          <w:rFonts w:cs="Arial"/>
          <w:b/>
        </w:rPr>
        <w:t>O</w:t>
      </w:r>
      <w:r w:rsidRPr="00131EED">
        <w:rPr>
          <w:rFonts w:eastAsia="Century Gothic" w:cs="Arial"/>
          <w:b/>
        </w:rPr>
        <w:t>tras Medidas Efectivas de Conservación Basadas en Áreas</w:t>
      </w:r>
      <w:r w:rsidRPr="00131EED">
        <w:rPr>
          <w:rFonts w:eastAsia="Century Gothic" w:cs="Arial"/>
        </w:rPr>
        <w:t xml:space="preserve"> (OMEC), las cuales fueron definidas en la Decisión 14/8 de 2018 del Convenio sobre la Diversidad Biológica y son definidas como </w:t>
      </w:r>
      <w:r w:rsidRPr="00131EED">
        <w:rPr>
          <w:rFonts w:eastAsia="Century Gothic" w:cs="Arial"/>
          <w:i/>
        </w:rPr>
        <w:t>“Un área geográficamente definida que no sea un área protegida, que está gobernada y gestionada de manera que se logren resultados positivos y sostenidos a largo plazo para la conservación in situ de la biodiversidad, las funciones y los servicios ecosistémicos asociados; y cuando proceda, los valores culturales, espirituales, socioeconómicos y otros valores localmente relevantes</w:t>
      </w:r>
      <w:r w:rsidRPr="00131EED">
        <w:rPr>
          <w:rFonts w:eastAsia="Century Gothic" w:cs="Arial"/>
        </w:rPr>
        <w:t xml:space="preserve"> (CBD 2018)”.</w:t>
      </w:r>
    </w:p>
    <w:p w14:paraId="6D847812" w14:textId="77777777" w:rsidR="008A326C" w:rsidRPr="00131EED" w:rsidRDefault="008A326C" w:rsidP="008A326C">
      <w:pPr>
        <w:rPr>
          <w:rFonts w:eastAsia="Century Gothic" w:cs="Arial"/>
        </w:rPr>
      </w:pPr>
    </w:p>
    <w:p w14:paraId="0DFF3338" w14:textId="7BE43217" w:rsidR="008A326C" w:rsidRPr="00131EED" w:rsidRDefault="008A326C" w:rsidP="008A326C">
      <w:pPr>
        <w:rPr>
          <w:rFonts w:eastAsia="Century Gothic" w:cs="Arial"/>
        </w:rPr>
      </w:pPr>
      <w:r w:rsidRPr="00131EED">
        <w:rPr>
          <w:rFonts w:cs="Arial"/>
        </w:rPr>
        <w:t xml:space="preserve">Para contar con una aproximación al estado de la conservación de la biodiversidad, se han utilizado varias fuentes de información de acuerdo a la escala </w:t>
      </w:r>
      <w:r w:rsidR="00D8120E" w:rsidRPr="00131EED">
        <w:rPr>
          <w:rFonts w:cs="Arial"/>
        </w:rPr>
        <w:t>de la biodiversidad objeto de evaluación</w:t>
      </w:r>
      <w:r w:rsidRPr="00131EED">
        <w:rPr>
          <w:rFonts w:cs="Arial"/>
        </w:rPr>
        <w:t xml:space="preserve">, en este caso particular se ha acudido a los análisis basados en las coberturas de la tierra, definidas por el IDEAM </w:t>
      </w:r>
      <w:r w:rsidRPr="00131EED">
        <w:rPr>
          <w:rFonts w:eastAsia="Century Gothic" w:cs="Arial"/>
        </w:rPr>
        <w:t xml:space="preserve">como </w:t>
      </w:r>
      <w:r w:rsidRPr="00131EED">
        <w:rPr>
          <w:rFonts w:eastAsia="Century Gothic" w:cs="Arial"/>
          <w:i/>
        </w:rPr>
        <w:t>la unidad delimitable que surge a partir de un análisis de respuestas espectrales determinadas por sus características fisionómicas y ambientales, diferenciables con respecto a la unidad próxima</w:t>
      </w:r>
      <w:r w:rsidRPr="00131EED">
        <w:rPr>
          <w:rFonts w:eastAsia="Century Gothic" w:cs="Arial"/>
        </w:rPr>
        <w:t>, análisis para Colombia realizados a partir de la Metodología Corine Land Cover CLC con una leyenda unificada (IDEAM 2010).</w:t>
      </w:r>
    </w:p>
    <w:p w14:paraId="125C9562" w14:textId="77777777" w:rsidR="008A326C" w:rsidRPr="00131EED" w:rsidRDefault="008A326C" w:rsidP="008A326C">
      <w:pPr>
        <w:rPr>
          <w:rFonts w:eastAsia="Arial" w:cs="Arial"/>
          <w:color w:val="666666"/>
        </w:rPr>
      </w:pPr>
    </w:p>
    <w:p w14:paraId="04DB8043" w14:textId="6B6B81D2" w:rsidR="008A326C" w:rsidRPr="00131EED" w:rsidRDefault="008A326C" w:rsidP="008A326C">
      <w:pPr>
        <w:rPr>
          <w:rFonts w:eastAsia="Century Gothic" w:cs="Arial"/>
        </w:rPr>
      </w:pPr>
      <w:r w:rsidRPr="00131EED">
        <w:rPr>
          <w:rFonts w:cs="Arial"/>
        </w:rPr>
        <w:t xml:space="preserve">Adicionalmente se ha utilizado la información asociada al mapa nacional de ecosistemas marinos y terrestres para Colombia realizado en el año 2017 </w:t>
      </w:r>
      <w:r w:rsidR="00D8120E" w:rsidRPr="00131EED">
        <w:rPr>
          <w:rFonts w:cs="Arial"/>
        </w:rPr>
        <w:t xml:space="preserve">y actualizado en el año 2024 </w:t>
      </w:r>
      <w:r w:rsidRPr="00131EED">
        <w:rPr>
          <w:rFonts w:cs="Arial"/>
        </w:rPr>
        <w:t xml:space="preserve">a escala 1:100.000, en el cual se definen los ecosistemas como un </w:t>
      </w:r>
      <w:r w:rsidRPr="00131EED">
        <w:rPr>
          <w:rFonts w:cs="Arial"/>
          <w:i/>
        </w:rPr>
        <w:t>c</w:t>
      </w:r>
      <w:r w:rsidRPr="00131EED">
        <w:rPr>
          <w:rFonts w:eastAsia="Century Gothic" w:cs="Arial"/>
          <w:i/>
        </w:rPr>
        <w:t xml:space="preserve">omplejo dinámico de comunidades de plantas, animales y microorganismos y el ambiente abiótico con el que interactúan y forman una unidad funcional. Comunidad o tipo de vegetación, entendiendo comunidad como un ensamblaje de poblaciones de especies que ocurren juntas en espacio y tiempo </w:t>
      </w:r>
      <w:r w:rsidRPr="00131EED">
        <w:rPr>
          <w:rFonts w:eastAsia="Century Gothic" w:cs="Arial"/>
        </w:rPr>
        <w:t>(Convención de Diversidad Biológica).</w:t>
      </w:r>
    </w:p>
    <w:p w14:paraId="73D42B88" w14:textId="77777777" w:rsidR="008A326C" w:rsidRPr="00131EED" w:rsidRDefault="008A326C" w:rsidP="008A326C">
      <w:pPr>
        <w:rPr>
          <w:rFonts w:eastAsia="Century Gothic" w:cs="Arial"/>
        </w:rPr>
      </w:pPr>
    </w:p>
    <w:p w14:paraId="2D96EC28" w14:textId="1652BDBB" w:rsidR="008A326C" w:rsidRPr="00131EED" w:rsidRDefault="008A326C" w:rsidP="008A326C">
      <w:pPr>
        <w:rPr>
          <w:rFonts w:eastAsia="Century Gothic" w:cs="Arial"/>
        </w:rPr>
      </w:pPr>
      <w:r w:rsidRPr="00131EED">
        <w:rPr>
          <w:rFonts w:eastAsia="Century Gothic" w:cs="Arial"/>
        </w:rPr>
        <w:t xml:space="preserve">La importancia de la conservación de los ecosistemas naturales o nativos, no solo se centra en la presencia de estos ecosistemas en sí, si no poder mantener las </w:t>
      </w:r>
      <w:r w:rsidRPr="00131EED">
        <w:rPr>
          <w:rFonts w:eastAsia="Century Gothic" w:cs="Arial"/>
          <w:b/>
        </w:rPr>
        <w:t>contribuciones de la naturaleza a las personas</w:t>
      </w:r>
      <w:r w:rsidRPr="00131EED">
        <w:rPr>
          <w:rFonts w:eastAsia="Century Gothic" w:cs="Arial"/>
        </w:rPr>
        <w:t xml:space="preserve"> (IPBES), o aun llamados como servicios ecosistémicos, comprendidos como </w:t>
      </w:r>
      <w:r w:rsidRPr="00131EED">
        <w:rPr>
          <w:rFonts w:eastAsia="Century Gothic" w:cs="Arial"/>
          <w:i/>
        </w:rPr>
        <w:t>aquellos procesos y funciones de los ecosistemas que son percibidos por el humano como un beneficio (de tipo ecológico, cultural o económico) directo o indirecto. Incluyen aquellos de aprovisionamiento, como comida y agua; servicios de regulación, como la regulación de las inundaciones, sequías, degradación del terreno y enfermedades; servicios de sustento como la formación del sustrato y el reciclaje de los nutrientes; y servicios culturales, ya sean recreacionales, espirituales, religiosos u otros beneficios no materiales</w:t>
      </w:r>
      <w:r w:rsidRPr="00131EED">
        <w:rPr>
          <w:rFonts w:eastAsia="Century Gothic" w:cs="Arial"/>
        </w:rPr>
        <w:t>, siendo en la Sabana de Bogotá unos de los servicios más importantes la regulación hídrica, el suministro de alimentos, la calidad del aire</w:t>
      </w:r>
      <w:r w:rsidR="00D8120E" w:rsidRPr="00131EED">
        <w:rPr>
          <w:rFonts w:eastAsia="Century Gothic" w:cs="Arial"/>
        </w:rPr>
        <w:t xml:space="preserve"> y</w:t>
      </w:r>
      <w:r w:rsidRPr="00131EED">
        <w:rPr>
          <w:rFonts w:eastAsia="Century Gothic" w:cs="Arial"/>
        </w:rPr>
        <w:t xml:space="preserve"> el albergue de biodiversidad.</w:t>
      </w:r>
    </w:p>
    <w:p w14:paraId="11EE75CD" w14:textId="77777777" w:rsidR="008A326C" w:rsidRPr="00131EED" w:rsidRDefault="008A326C" w:rsidP="008A326C">
      <w:pPr>
        <w:rPr>
          <w:rFonts w:eastAsia="Century Gothic" w:cs="Arial"/>
        </w:rPr>
      </w:pPr>
    </w:p>
    <w:p w14:paraId="042A06F4" w14:textId="77777777" w:rsidR="008A326C" w:rsidRPr="00131EED" w:rsidRDefault="008A326C" w:rsidP="008A326C">
      <w:pPr>
        <w:rPr>
          <w:rFonts w:eastAsia="Century Gothic" w:cs="Arial"/>
        </w:rPr>
      </w:pPr>
      <w:r w:rsidRPr="00131EED">
        <w:rPr>
          <w:rFonts w:eastAsia="Century Gothic" w:cs="Arial"/>
        </w:rPr>
        <w:t>Finalmente, otro insumo para acercarse a los estados de conservación a nivel de especies, se utiliza la presencia de registros de especies endémicas, amenazadas exóticas e invasoras,</w:t>
      </w:r>
      <w:r w:rsidRPr="00131EED">
        <w:rPr>
          <w:rFonts w:eastAsia="Century Gothic" w:cs="Arial"/>
          <w:b/>
        </w:rPr>
        <w:t xml:space="preserve"> </w:t>
      </w:r>
      <w:r w:rsidRPr="00131EED">
        <w:rPr>
          <w:rFonts w:eastAsia="Century Gothic" w:cs="Arial"/>
        </w:rPr>
        <w:t xml:space="preserve">entendiendo las </w:t>
      </w:r>
      <w:r w:rsidRPr="00131EED">
        <w:rPr>
          <w:rFonts w:eastAsia="Century Gothic" w:cs="Arial"/>
          <w:b/>
        </w:rPr>
        <w:t xml:space="preserve">especies amenazadas </w:t>
      </w:r>
      <w:r w:rsidRPr="00131EED">
        <w:rPr>
          <w:rFonts w:eastAsia="Century Gothic" w:cs="Arial"/>
        </w:rPr>
        <w:t xml:space="preserve">como al conjunto de las especies que han sido categorizadas bajo algún grado de riesgo a la extinción ya sea como “En Peligro Crítico (CR)”, “En Peligro (EN)” o “Vulnerable (VU)”, según las categorías de las listas rojas propuestas por la UICN (IUCN 2001). Las </w:t>
      </w:r>
      <w:r w:rsidRPr="00131EED">
        <w:rPr>
          <w:rFonts w:eastAsia="Century Gothic" w:cs="Arial"/>
          <w:b/>
        </w:rPr>
        <w:t>especies exóticas</w:t>
      </w:r>
      <w:r w:rsidRPr="00131EED">
        <w:rPr>
          <w:rFonts w:eastAsia="Century Gothic" w:cs="Arial"/>
        </w:rPr>
        <w:t xml:space="preserve"> (Especies introducidas): corresponden a especies introducidas fuera de su rango de distribución normal (Millenium Ecosystem Assessment 2005).</w:t>
      </w:r>
    </w:p>
    <w:p w14:paraId="5B596B12" w14:textId="77777777" w:rsidR="008A326C" w:rsidRPr="00131EED" w:rsidRDefault="008A326C" w:rsidP="008A326C">
      <w:pPr>
        <w:rPr>
          <w:rFonts w:eastAsia="Century Gothic" w:cs="Arial"/>
        </w:rPr>
      </w:pPr>
    </w:p>
    <w:p w14:paraId="106D86BB" w14:textId="119D5A95" w:rsidR="008A326C" w:rsidRPr="00131EED" w:rsidRDefault="008A326C" w:rsidP="008A326C">
      <w:pPr>
        <w:rPr>
          <w:rFonts w:eastAsia="Century Gothic" w:cs="Arial"/>
        </w:rPr>
      </w:pPr>
      <w:r w:rsidRPr="00131EED">
        <w:rPr>
          <w:rFonts w:eastAsia="Century Gothic" w:cs="Arial"/>
        </w:rPr>
        <w:t xml:space="preserve">Con estos elementos, se busca identificar la potencial </w:t>
      </w:r>
      <w:r w:rsidRPr="00131EED">
        <w:rPr>
          <w:rFonts w:eastAsia="Century Gothic" w:cs="Arial"/>
          <w:b/>
        </w:rPr>
        <w:t>degradación ecosistémica</w:t>
      </w:r>
      <w:r w:rsidRPr="00131EED">
        <w:rPr>
          <w:rFonts w:eastAsia="Century Gothic" w:cs="Arial"/>
        </w:rPr>
        <w:t xml:space="preserve"> en la sabana de Bogotá, entendiendo esta como una reducción persistente de los ecosistemas en su capacidad de proporcionar servicios (ver servicios ecosistémicos) (Millenium Ecosystem Assessment 2005).</w:t>
      </w:r>
      <w:hyperlink w:anchor="_heading=h.49x2ik5">
        <w:r w:rsidRPr="00131EED">
          <w:rPr>
            <w:rFonts w:eastAsia="Arial" w:cs="Arial"/>
          </w:rPr>
          <w:tab/>
        </w:r>
      </w:hyperlink>
    </w:p>
    <w:p w14:paraId="56A177EE" w14:textId="77777777" w:rsidR="0080745E" w:rsidRPr="00131EED" w:rsidRDefault="0080745E" w:rsidP="0080745E">
      <w:pPr>
        <w:rPr>
          <w:vanish/>
          <w:lang w:eastAsia="en-US"/>
        </w:rPr>
      </w:pPr>
      <w:r w:rsidRPr="00131EED">
        <w:rPr>
          <w:vanish/>
          <w:lang w:eastAsia="en-US"/>
        </w:rPr>
        <w:t>Top of Form</w:t>
      </w:r>
    </w:p>
    <w:p w14:paraId="35197A4E" w14:textId="77777777" w:rsidR="0080745E" w:rsidRPr="00131EED" w:rsidRDefault="0080745E" w:rsidP="0080745E">
      <w:pPr>
        <w:rPr>
          <w:vanish/>
          <w:lang w:eastAsia="en-US"/>
        </w:rPr>
      </w:pPr>
      <w:r w:rsidRPr="00131EED">
        <w:rPr>
          <w:vanish/>
          <w:lang w:eastAsia="en-US"/>
        </w:rPr>
        <w:t>Bottom of Form</w:t>
      </w:r>
    </w:p>
    <w:p w14:paraId="257915AF" w14:textId="77777777" w:rsidR="0080745E" w:rsidRPr="00131EED" w:rsidRDefault="0080745E" w:rsidP="0080745E">
      <w:pPr>
        <w:rPr>
          <w:lang w:eastAsia="en-US"/>
        </w:rPr>
      </w:pPr>
    </w:p>
    <w:p w14:paraId="40C87320" w14:textId="394B12E1" w:rsidR="008A326C" w:rsidRPr="00131EED" w:rsidRDefault="008A326C" w:rsidP="00410194">
      <w:pPr>
        <w:pStyle w:val="Heading3"/>
        <w:numPr>
          <w:ilvl w:val="2"/>
          <w:numId w:val="31"/>
        </w:numPr>
        <w:rPr>
          <w:sz w:val="24"/>
          <w:szCs w:val="24"/>
        </w:rPr>
      </w:pPr>
      <w:bookmarkStart w:id="53" w:name="_Toc216468687"/>
      <w:r w:rsidRPr="00131EED">
        <w:rPr>
          <w:sz w:val="24"/>
          <w:szCs w:val="24"/>
        </w:rPr>
        <w:t>Las transformaciones de los biomas</w:t>
      </w:r>
      <w:r w:rsidR="00633E3F" w:rsidRPr="00131EED">
        <w:rPr>
          <w:sz w:val="24"/>
          <w:szCs w:val="24"/>
        </w:rPr>
        <w:t xml:space="preserve"> y </w:t>
      </w:r>
      <w:r w:rsidR="00A00193" w:rsidRPr="00131EED">
        <w:rPr>
          <w:sz w:val="24"/>
          <w:szCs w:val="24"/>
        </w:rPr>
        <w:t>ecosistemas</w:t>
      </w:r>
      <w:r w:rsidRPr="00131EED">
        <w:rPr>
          <w:sz w:val="24"/>
          <w:szCs w:val="24"/>
        </w:rPr>
        <w:t xml:space="preserve"> en la Sabana de Bogotá</w:t>
      </w:r>
      <w:bookmarkEnd w:id="53"/>
      <w:r w:rsidRPr="00131EED">
        <w:rPr>
          <w:sz w:val="24"/>
          <w:szCs w:val="24"/>
        </w:rPr>
        <w:t xml:space="preserve"> </w:t>
      </w:r>
    </w:p>
    <w:p w14:paraId="64F57681" w14:textId="77777777" w:rsidR="008A326C" w:rsidRPr="00131EED" w:rsidRDefault="008A326C" w:rsidP="008A326C">
      <w:pPr>
        <w:tabs>
          <w:tab w:val="left" w:pos="1320"/>
          <w:tab w:val="right" w:pos="8828"/>
        </w:tabs>
        <w:rPr>
          <w:rFonts w:eastAsia="Century Gothic" w:cs="Arial"/>
        </w:rPr>
      </w:pPr>
    </w:p>
    <w:p w14:paraId="617B5324" w14:textId="6813C117" w:rsidR="00BE6779" w:rsidRPr="00131EED" w:rsidRDefault="008A326C" w:rsidP="008A326C">
      <w:pPr>
        <w:tabs>
          <w:tab w:val="left" w:pos="1320"/>
          <w:tab w:val="right" w:pos="8828"/>
        </w:tabs>
        <w:rPr>
          <w:rFonts w:eastAsia="Century Gothic" w:cs="Arial"/>
        </w:rPr>
      </w:pPr>
      <w:r w:rsidRPr="00131EED">
        <w:rPr>
          <w:rFonts w:eastAsia="Century Gothic" w:cs="Arial"/>
        </w:rPr>
        <w:t xml:space="preserve">En líneas generales, de acuerdo con la clasificación realizada por el Instituto Alexander von Humboldt, la Sabana de Bogotá </w:t>
      </w:r>
      <w:r w:rsidR="00FB40F3" w:rsidRPr="00131EED">
        <w:rPr>
          <w:rFonts w:eastAsia="Century Gothic" w:cs="Arial"/>
        </w:rPr>
        <w:t xml:space="preserve">se encuentran </w:t>
      </w:r>
      <w:r w:rsidR="007467ED" w:rsidRPr="00131EED">
        <w:rPr>
          <w:rFonts w:eastAsia="Century Gothic" w:cs="Arial"/>
        </w:rPr>
        <w:t xml:space="preserve">29 ecosistemas, de los cuales </w:t>
      </w:r>
      <w:r w:rsidR="00953940" w:rsidRPr="00131EED">
        <w:rPr>
          <w:rFonts w:eastAsia="Century Gothic" w:cs="Arial"/>
        </w:rPr>
        <w:t>14 son ecosistemas natural</w:t>
      </w:r>
      <w:r w:rsidR="008C1BBC" w:rsidRPr="00131EED">
        <w:rPr>
          <w:rFonts w:eastAsia="Century Gothic" w:cs="Arial"/>
        </w:rPr>
        <w:t>es</w:t>
      </w:r>
      <w:r w:rsidR="00C467A8" w:rsidRPr="00131EED">
        <w:rPr>
          <w:rFonts w:eastAsia="Century Gothic" w:cs="Arial"/>
        </w:rPr>
        <w:t xml:space="preserve"> (91.480 ha) </w:t>
      </w:r>
      <w:r w:rsidR="00A11390" w:rsidRPr="00131EED">
        <w:rPr>
          <w:rFonts w:eastAsia="Century Gothic" w:cs="Arial"/>
        </w:rPr>
        <w:t xml:space="preserve">que corresponden </w:t>
      </w:r>
      <w:r w:rsidR="00356919" w:rsidRPr="00131EED">
        <w:rPr>
          <w:rFonts w:eastAsia="Century Gothic" w:cs="Arial"/>
        </w:rPr>
        <w:t>al 21% de la saban</w:t>
      </w:r>
      <w:r w:rsidR="00D375E9" w:rsidRPr="00131EED">
        <w:rPr>
          <w:rFonts w:eastAsia="Century Gothic" w:cs="Arial"/>
        </w:rPr>
        <w:t>a</w:t>
      </w:r>
      <w:r w:rsidR="00953940" w:rsidRPr="00131EED">
        <w:rPr>
          <w:rFonts w:eastAsia="Century Gothic" w:cs="Arial"/>
        </w:rPr>
        <w:t xml:space="preserve"> y 15 son transformados</w:t>
      </w:r>
      <w:r w:rsidR="00C467A8" w:rsidRPr="00131EED">
        <w:rPr>
          <w:rFonts w:eastAsia="Century Gothic" w:cs="Arial"/>
        </w:rPr>
        <w:t xml:space="preserve"> que </w:t>
      </w:r>
      <w:r w:rsidR="00330BDA" w:rsidRPr="00131EED">
        <w:rPr>
          <w:rFonts w:eastAsia="Century Gothic" w:cs="Arial"/>
        </w:rPr>
        <w:t>ocupan el 78% de</w:t>
      </w:r>
      <w:r w:rsidR="00356919" w:rsidRPr="00131EED">
        <w:rPr>
          <w:rFonts w:eastAsia="Century Gothic" w:cs="Arial"/>
        </w:rPr>
        <w:t xml:space="preserve">l área de estudio, siendo el más predominante </w:t>
      </w:r>
      <w:r w:rsidR="00851086" w:rsidRPr="00131EED">
        <w:rPr>
          <w:rFonts w:eastAsia="Century Gothic" w:cs="Arial"/>
        </w:rPr>
        <w:t xml:space="preserve">el agroecosistema </w:t>
      </w:r>
      <w:r w:rsidR="012C851E" w:rsidRPr="00131EED">
        <w:rPr>
          <w:rFonts w:eastAsia="Century Gothic" w:cs="Arial"/>
        </w:rPr>
        <w:t>ganadero</w:t>
      </w:r>
      <w:r w:rsidR="00851086" w:rsidRPr="00131EED">
        <w:rPr>
          <w:rFonts w:eastAsia="Century Gothic" w:cs="Arial"/>
        </w:rPr>
        <w:t xml:space="preserve"> y el agroecosistema de mosaico de cultivos y pastos que en conjunto ocupan el </w:t>
      </w:r>
      <w:r w:rsidR="00897095" w:rsidRPr="00131EED">
        <w:rPr>
          <w:rFonts w:eastAsia="Century Gothic" w:cs="Arial"/>
        </w:rPr>
        <w:t>55% de la sabana, sin ignorar que el 11% de la sabana se encuentra en territorios artificializados (48.058 ha)</w:t>
      </w:r>
      <w:r w:rsidR="008C1BBC" w:rsidRPr="00131EED">
        <w:rPr>
          <w:rFonts w:eastAsia="Century Gothic" w:cs="Arial"/>
        </w:rPr>
        <w:t xml:space="preserve"> (ver </w:t>
      </w:r>
      <w:r w:rsidR="008C1BBC" w:rsidRPr="00131EED">
        <w:rPr>
          <w:rFonts w:eastAsia="Century Gothic" w:cs="Arial"/>
        </w:rPr>
        <w:fldChar w:fldCharType="begin"/>
      </w:r>
      <w:r w:rsidR="008C1BBC" w:rsidRPr="00131EED">
        <w:rPr>
          <w:rFonts w:eastAsia="Century Gothic" w:cs="Arial"/>
        </w:rPr>
        <w:instrText xml:space="preserve"> REF _Ref210655275 \h </w:instrText>
      </w:r>
      <w:r w:rsidR="006C79E8" w:rsidRPr="00131EED">
        <w:rPr>
          <w:rFonts w:eastAsia="Century Gothic" w:cs="Arial"/>
        </w:rPr>
        <w:instrText xml:space="preserve"> \* MERGEFORMAT </w:instrText>
      </w:r>
      <w:r w:rsidR="008C1BBC" w:rsidRPr="00131EED">
        <w:rPr>
          <w:rFonts w:eastAsia="Century Gothic" w:cs="Arial"/>
        </w:rPr>
      </w:r>
      <w:r w:rsidR="008C1BBC" w:rsidRPr="00131EED">
        <w:rPr>
          <w:rFonts w:eastAsia="Century Gothic" w:cs="Arial"/>
        </w:rPr>
        <w:fldChar w:fldCharType="separate"/>
      </w:r>
      <w:r w:rsidR="00CE096F" w:rsidRPr="00131EED">
        <w:t xml:space="preserve">Tabla </w:t>
      </w:r>
      <w:r w:rsidR="008C1BBC" w:rsidRPr="00131EED">
        <w:rPr>
          <w:rFonts w:eastAsia="Century Gothic" w:cs="Arial"/>
        </w:rPr>
        <w:fldChar w:fldCharType="end"/>
      </w:r>
      <w:r w:rsidR="008C1BBC" w:rsidRPr="00131EED">
        <w:rPr>
          <w:rFonts w:eastAsia="Century Gothic" w:cs="Arial"/>
        </w:rPr>
        <w:t xml:space="preserve"> e </w:t>
      </w:r>
      <w:r w:rsidR="008C1BBC" w:rsidRPr="00131EED">
        <w:rPr>
          <w:rFonts w:eastAsia="Century Gothic" w:cs="Arial"/>
        </w:rPr>
        <w:fldChar w:fldCharType="begin"/>
      </w:r>
      <w:r w:rsidR="008C1BBC" w:rsidRPr="00131EED">
        <w:rPr>
          <w:rFonts w:eastAsia="Century Gothic" w:cs="Arial"/>
        </w:rPr>
        <w:instrText xml:space="preserve"> REF _Ref210655294 \h </w:instrText>
      </w:r>
      <w:r w:rsidR="006C79E8" w:rsidRPr="00131EED">
        <w:rPr>
          <w:rFonts w:eastAsia="Century Gothic" w:cs="Arial"/>
        </w:rPr>
        <w:instrText xml:space="preserve"> \* MERGEFORMAT </w:instrText>
      </w:r>
      <w:r w:rsidR="008C1BBC" w:rsidRPr="00131EED">
        <w:rPr>
          <w:rFonts w:eastAsia="Century Gothic" w:cs="Arial"/>
        </w:rPr>
      </w:r>
      <w:r w:rsidR="008C1BBC" w:rsidRPr="00131EED">
        <w:rPr>
          <w:rFonts w:eastAsia="Century Gothic" w:cs="Arial"/>
        </w:rPr>
        <w:fldChar w:fldCharType="separate"/>
      </w:r>
      <w:r w:rsidR="00CE096F" w:rsidRPr="00CE096F">
        <w:t>Ilustración 13</w:t>
      </w:r>
      <w:r w:rsidR="008C1BBC" w:rsidRPr="00131EED">
        <w:rPr>
          <w:rFonts w:eastAsia="Century Gothic" w:cs="Arial"/>
        </w:rPr>
        <w:fldChar w:fldCharType="end"/>
      </w:r>
      <w:r w:rsidR="008C1BBC" w:rsidRPr="00131EED">
        <w:rPr>
          <w:rFonts w:eastAsia="Century Gothic" w:cs="Arial"/>
        </w:rPr>
        <w:t>)</w:t>
      </w:r>
      <w:r w:rsidR="00897095" w:rsidRPr="00131EED">
        <w:rPr>
          <w:rFonts w:eastAsia="Century Gothic" w:cs="Arial"/>
        </w:rPr>
        <w:t>.</w:t>
      </w:r>
    </w:p>
    <w:p w14:paraId="6064BEF1" w14:textId="77777777" w:rsidR="00BE6779" w:rsidRPr="00131EED" w:rsidRDefault="00BE6779" w:rsidP="008A326C">
      <w:pPr>
        <w:tabs>
          <w:tab w:val="left" w:pos="1320"/>
          <w:tab w:val="right" w:pos="8828"/>
        </w:tabs>
        <w:rPr>
          <w:rFonts w:eastAsia="Century Gothic" w:cs="Arial"/>
        </w:rPr>
      </w:pPr>
    </w:p>
    <w:p w14:paraId="37D01193" w14:textId="74C14478" w:rsidR="008A326C" w:rsidRPr="00131EED" w:rsidRDefault="00B65877" w:rsidP="008A326C">
      <w:pPr>
        <w:tabs>
          <w:tab w:val="left" w:pos="1320"/>
          <w:tab w:val="right" w:pos="8828"/>
        </w:tabs>
        <w:rPr>
          <w:rFonts w:eastAsia="Century Gothic" w:cs="Arial"/>
        </w:rPr>
      </w:pPr>
      <w:r w:rsidRPr="00131EED">
        <w:rPr>
          <w:rFonts w:eastAsia="Century Gothic" w:cs="Arial"/>
        </w:rPr>
        <w:t xml:space="preserve">En ecosistemas naturales, </w:t>
      </w:r>
      <w:r w:rsidR="00304B01" w:rsidRPr="00131EED">
        <w:rPr>
          <w:rFonts w:eastAsia="Century Gothic" w:cs="Arial"/>
        </w:rPr>
        <w:t xml:space="preserve">El </w:t>
      </w:r>
      <w:r w:rsidR="008A326C" w:rsidRPr="00131EED">
        <w:rPr>
          <w:rFonts w:eastAsia="Century Gothic" w:cs="Arial"/>
        </w:rPr>
        <w:t>Orobioma de Páramo Altoandino cordillera oriental en l</w:t>
      </w:r>
      <w:r w:rsidR="00404B5D" w:rsidRPr="00131EED">
        <w:rPr>
          <w:rFonts w:eastAsia="Century Gothic" w:cs="Arial"/>
        </w:rPr>
        <w:t>o</w:t>
      </w:r>
      <w:r w:rsidR="008A326C" w:rsidRPr="00131EED">
        <w:rPr>
          <w:rFonts w:eastAsia="Century Gothic" w:cs="Arial"/>
        </w:rPr>
        <w:t>s cuales se encuentran los cinco complejos de páramos (Rabanal – Nacimiento del Río Bogotá, Chingaza, Cruz Verde – Sumapaz, Guerrero y Altiplano)</w:t>
      </w:r>
      <w:r w:rsidR="00404B5D" w:rsidRPr="00131EED">
        <w:rPr>
          <w:rFonts w:eastAsia="Century Gothic" w:cs="Arial"/>
        </w:rPr>
        <w:t xml:space="preserve"> son los que mayor extensión cubren (13% de la sabana), </w:t>
      </w:r>
      <w:r w:rsidR="002F11DD" w:rsidRPr="00131EED">
        <w:rPr>
          <w:rFonts w:eastAsia="Century Gothic" w:cs="Arial"/>
        </w:rPr>
        <w:t>seguido por los ecosistemas del orobioma andino que ocupan el 3,03% de la saba</w:t>
      </w:r>
      <w:r w:rsidR="00476A95" w:rsidRPr="00131EED">
        <w:rPr>
          <w:rFonts w:eastAsia="Century Gothic" w:cs="Arial"/>
        </w:rPr>
        <w:t>n</w:t>
      </w:r>
      <w:r w:rsidR="002F11DD" w:rsidRPr="00131EED">
        <w:rPr>
          <w:rFonts w:eastAsia="Century Gothic" w:cs="Arial"/>
        </w:rPr>
        <w:t>a</w:t>
      </w:r>
      <w:r w:rsidR="008A326C" w:rsidRPr="00131EED">
        <w:rPr>
          <w:rFonts w:eastAsia="Century Gothic" w:cs="Arial"/>
        </w:rPr>
        <w:t xml:space="preserve">, junto con una importante red de humedales del altiplano </w:t>
      </w:r>
      <w:r w:rsidR="002F11DD" w:rsidRPr="00131EED">
        <w:rPr>
          <w:rFonts w:eastAsia="Century Gothic" w:cs="Arial"/>
        </w:rPr>
        <w:t xml:space="preserve">recogidos en los </w:t>
      </w:r>
      <w:r w:rsidR="009E716A" w:rsidRPr="00131EED">
        <w:rPr>
          <w:rFonts w:eastAsia="Century Gothic" w:cs="Arial"/>
        </w:rPr>
        <w:t>ecosistemas agrupados en los helobiomas e hidrobiomas que en conjunto</w:t>
      </w:r>
      <w:r w:rsidR="00476A95" w:rsidRPr="00131EED">
        <w:rPr>
          <w:rFonts w:eastAsia="Century Gothic" w:cs="Arial"/>
        </w:rPr>
        <w:t xml:space="preserve"> cubren el 1,64% de la sabana</w:t>
      </w:r>
      <w:r w:rsidR="009E716A" w:rsidRPr="00131EED">
        <w:rPr>
          <w:rFonts w:eastAsia="Century Gothic" w:cs="Arial"/>
        </w:rPr>
        <w:t xml:space="preserve"> </w:t>
      </w:r>
      <w:r w:rsidR="008A326C" w:rsidRPr="00131EED">
        <w:rPr>
          <w:rFonts w:eastAsia="Century Gothic" w:cs="Arial"/>
        </w:rPr>
        <w:t xml:space="preserve">; adicionalmente, se cuenta con un </w:t>
      </w:r>
      <w:r w:rsidR="00B81474" w:rsidRPr="00131EED">
        <w:rPr>
          <w:rFonts w:eastAsia="Century Gothic" w:cs="Arial"/>
        </w:rPr>
        <w:t xml:space="preserve">ecosistema </w:t>
      </w:r>
      <w:r w:rsidR="008A326C" w:rsidRPr="00131EED">
        <w:rPr>
          <w:rFonts w:eastAsia="Century Gothic" w:cs="Arial"/>
        </w:rPr>
        <w:t xml:space="preserve"> único que corresponde a la subxerofitia andina, la cual solo se encuentra en la Sabana de Bogotá y ha generado condiciones para endemismos de especies, principalmente aves.</w:t>
      </w:r>
    </w:p>
    <w:p w14:paraId="443EFEA8" w14:textId="77777777" w:rsidR="008A326C" w:rsidRPr="00131EED" w:rsidRDefault="008A326C" w:rsidP="008A326C">
      <w:pPr>
        <w:tabs>
          <w:tab w:val="left" w:pos="1320"/>
          <w:tab w:val="right" w:pos="8828"/>
        </w:tabs>
        <w:rPr>
          <w:rFonts w:eastAsia="Century Gothic" w:cs="Arial"/>
        </w:rPr>
      </w:pPr>
    </w:p>
    <w:p w14:paraId="3FBC4D18" w14:textId="77777777" w:rsidR="008A326C" w:rsidRPr="00131EED" w:rsidRDefault="008A326C" w:rsidP="008A326C">
      <w:pPr>
        <w:tabs>
          <w:tab w:val="left" w:pos="1320"/>
          <w:tab w:val="right" w:pos="8828"/>
        </w:tabs>
        <w:rPr>
          <w:rFonts w:eastAsia="Century Gothic" w:cs="Arial"/>
        </w:rPr>
      </w:pPr>
      <w:r w:rsidRPr="00131EED">
        <w:rPr>
          <w:rFonts w:eastAsia="Century Gothic" w:cs="Arial"/>
        </w:rPr>
        <w:t xml:space="preserve">En su mayor parte, las áreas con mayor transformación corresponden a las áreas del orobioma Andino Altoandino, sobre la cual se encuentra el valle del río Bogotá y que ha tenido inicialmente actividades agropecuarias, pero con el aumento de la huella urbana se ha venido transformando hacia centros urbanos, industriales y comerciales. De igual manera en los ecosistemas de páramos y bosques altoandinos se han dado trasformaciones principalmente por actividades agropecuarias y mineras, de manera tal que el páramo de Guerrero es el más transformado en el país por cultivos intensivos de papa y actividades de minería de carbón y materiales de construcción (IAVH, 2011).  </w:t>
      </w:r>
    </w:p>
    <w:p w14:paraId="35E6784C" w14:textId="77777777" w:rsidR="008A326C" w:rsidRPr="00131EED" w:rsidRDefault="008A326C" w:rsidP="008A326C">
      <w:pPr>
        <w:tabs>
          <w:tab w:val="left" w:pos="1320"/>
          <w:tab w:val="right" w:pos="8828"/>
        </w:tabs>
        <w:rPr>
          <w:rFonts w:eastAsia="Century Gothic" w:cs="Arial"/>
        </w:rPr>
      </w:pPr>
    </w:p>
    <w:p w14:paraId="65A1C8A2" w14:textId="77777777" w:rsidR="008A326C" w:rsidRPr="00131EED" w:rsidRDefault="008A326C" w:rsidP="008A326C">
      <w:pPr>
        <w:tabs>
          <w:tab w:val="left" w:pos="1320"/>
          <w:tab w:val="right" w:pos="8828"/>
        </w:tabs>
        <w:rPr>
          <w:rFonts w:eastAsia="Century Gothic" w:cs="Arial"/>
        </w:rPr>
      </w:pPr>
      <w:r w:rsidRPr="00131EED">
        <w:rPr>
          <w:rFonts w:eastAsia="Century Gothic" w:cs="Arial"/>
        </w:rPr>
        <w:t>El orobioma Azonal Andino se constituye en un ecosistema particular de la Sabana de Bogotá, que responde principalmente a las condiciones de baja temperatura y precipitación, su ubicación sobre el altiplano y las condiciones que ha generado procesos de adaptación en estas áreas, lo cual le da la singularidad a nivel nacional.</w:t>
      </w:r>
    </w:p>
    <w:p w14:paraId="184C6B20" w14:textId="77777777" w:rsidR="006C79E8" w:rsidRPr="00131EED" w:rsidRDefault="006C79E8" w:rsidP="008A326C">
      <w:pPr>
        <w:tabs>
          <w:tab w:val="left" w:pos="1320"/>
          <w:tab w:val="right" w:pos="8828"/>
        </w:tabs>
        <w:rPr>
          <w:rFonts w:ascii="Baskerville" w:eastAsia="Century Gothic" w:hAnsi="Baskerville" w:cs="Arial"/>
        </w:rPr>
      </w:pPr>
    </w:p>
    <w:p w14:paraId="59923EAC" w14:textId="77777777" w:rsidR="006C79E8" w:rsidRPr="00131EED" w:rsidRDefault="006C79E8" w:rsidP="008A326C">
      <w:pPr>
        <w:tabs>
          <w:tab w:val="left" w:pos="1320"/>
          <w:tab w:val="right" w:pos="8828"/>
        </w:tabs>
        <w:rPr>
          <w:rFonts w:ascii="Baskerville" w:eastAsia="Century Gothic" w:hAnsi="Baskerville" w:cs="Arial"/>
        </w:rPr>
      </w:pPr>
    </w:p>
    <w:p w14:paraId="256B8146" w14:textId="09F9DFAA" w:rsidR="0017346D" w:rsidRPr="00131EED" w:rsidRDefault="00B647DF" w:rsidP="002F5A01">
      <w:pPr>
        <w:pStyle w:val="Caption"/>
        <w:jc w:val="center"/>
        <w:rPr>
          <w:rFonts w:ascii="Baskerville" w:eastAsia="Century Gothic" w:hAnsi="Baskerville"/>
        </w:rPr>
      </w:pPr>
      <w:bookmarkStart w:id="54" w:name="_Ref210655275"/>
      <w:bookmarkStart w:id="55" w:name="_Toc216468918"/>
      <w:r w:rsidRPr="00131EED">
        <w:t xml:space="preserve">Tabla </w:t>
      </w:r>
      <w:bookmarkEnd w:id="54"/>
      <w:r w:rsidRPr="00131EED">
        <w:fldChar w:fldCharType="begin"/>
      </w:r>
      <w:r w:rsidRPr="00131EED">
        <w:instrText>SEQ Tabla \* ARABIC</w:instrText>
      </w:r>
      <w:r w:rsidRPr="00131EED">
        <w:fldChar w:fldCharType="separate"/>
      </w:r>
      <w:r w:rsidR="00CE096F">
        <w:rPr>
          <w:noProof/>
        </w:rPr>
        <w:t>8</w:t>
      </w:r>
      <w:r w:rsidRPr="00131EED">
        <w:fldChar w:fldCharType="end"/>
      </w:r>
      <w:r w:rsidR="00BE697A" w:rsidRPr="00131EED">
        <w:t xml:space="preserve"> Relación de biomas y ecosistemas identificados en la Sabana de Bogota, según clasificación IDEAM 2024.</w:t>
      </w:r>
      <w:bookmarkEnd w:id="55"/>
    </w:p>
    <w:tbl>
      <w:tblPr>
        <w:tblStyle w:val="TableGrid"/>
        <w:tblW w:w="5323" w:type="pct"/>
        <w:tblLayout w:type="fixed"/>
        <w:tblLook w:val="04A0" w:firstRow="1" w:lastRow="0" w:firstColumn="1" w:lastColumn="0" w:noHBand="0" w:noVBand="1"/>
      </w:tblPr>
      <w:tblGrid>
        <w:gridCol w:w="1958"/>
        <w:gridCol w:w="1669"/>
        <w:gridCol w:w="3609"/>
        <w:gridCol w:w="1207"/>
        <w:gridCol w:w="955"/>
      </w:tblGrid>
      <w:tr w:rsidR="00671C5C" w:rsidRPr="00131EED" w14:paraId="5B603001" w14:textId="77777777" w:rsidTr="007D7F12">
        <w:trPr>
          <w:trHeight w:val="270"/>
          <w:tblHeader/>
        </w:trPr>
        <w:tc>
          <w:tcPr>
            <w:tcW w:w="1042" w:type="pct"/>
            <w:noWrap/>
            <w:hideMark/>
          </w:tcPr>
          <w:p w14:paraId="4ED1180B" w14:textId="40F4B79D" w:rsidR="0057774B" w:rsidRPr="00131EED" w:rsidRDefault="0057774B" w:rsidP="00C861DF">
            <w:pPr>
              <w:jc w:val="left"/>
              <w:rPr>
                <w:rFonts w:cs="Calibri"/>
                <w:b/>
                <w:color w:val="000000"/>
                <w:sz w:val="20"/>
                <w:szCs w:val="20"/>
                <w:lang w:eastAsia="en-US"/>
              </w:rPr>
            </w:pPr>
            <w:r w:rsidRPr="00131EED">
              <w:rPr>
                <w:rFonts w:cs="Calibri"/>
                <w:b/>
                <w:color w:val="000000"/>
                <w:sz w:val="20"/>
                <w:szCs w:val="20"/>
                <w:lang w:eastAsia="en-US"/>
              </w:rPr>
              <w:t>Grado de transformación</w:t>
            </w:r>
          </w:p>
        </w:tc>
        <w:tc>
          <w:tcPr>
            <w:tcW w:w="888" w:type="pct"/>
            <w:noWrap/>
            <w:hideMark/>
          </w:tcPr>
          <w:p w14:paraId="469447CB" w14:textId="6A406E74" w:rsidR="0057774B" w:rsidRPr="00131EED" w:rsidRDefault="0057774B" w:rsidP="00C861DF">
            <w:pPr>
              <w:jc w:val="left"/>
              <w:rPr>
                <w:rFonts w:cs="Calibri"/>
                <w:b/>
                <w:color w:val="000000"/>
                <w:sz w:val="20"/>
                <w:szCs w:val="20"/>
                <w:lang w:eastAsia="en-US"/>
              </w:rPr>
            </w:pPr>
            <w:r w:rsidRPr="00131EED">
              <w:rPr>
                <w:rFonts w:cs="Calibri"/>
                <w:b/>
                <w:color w:val="000000"/>
                <w:sz w:val="20"/>
                <w:szCs w:val="20"/>
                <w:lang w:eastAsia="en-US"/>
              </w:rPr>
              <w:t>Biomas</w:t>
            </w:r>
          </w:p>
        </w:tc>
        <w:tc>
          <w:tcPr>
            <w:tcW w:w="1919" w:type="pct"/>
            <w:noWrap/>
            <w:hideMark/>
          </w:tcPr>
          <w:p w14:paraId="419322DE" w14:textId="3EA4EA00" w:rsidR="0057774B" w:rsidRPr="00131EED" w:rsidRDefault="0057774B" w:rsidP="00C861DF">
            <w:pPr>
              <w:jc w:val="left"/>
              <w:rPr>
                <w:rFonts w:cs="Calibri"/>
                <w:b/>
                <w:color w:val="000000"/>
                <w:sz w:val="20"/>
                <w:szCs w:val="20"/>
                <w:lang w:eastAsia="en-US"/>
              </w:rPr>
            </w:pPr>
            <w:r w:rsidRPr="00131EED">
              <w:rPr>
                <w:rFonts w:cs="Calibri"/>
                <w:b/>
                <w:color w:val="000000"/>
                <w:sz w:val="20"/>
                <w:szCs w:val="20"/>
                <w:lang w:eastAsia="en-US"/>
              </w:rPr>
              <w:t>Ecosistemas</w:t>
            </w:r>
          </w:p>
        </w:tc>
        <w:tc>
          <w:tcPr>
            <w:tcW w:w="642" w:type="pct"/>
            <w:noWrap/>
            <w:hideMark/>
          </w:tcPr>
          <w:p w14:paraId="44AD7C9C" w14:textId="71232037" w:rsidR="0057774B" w:rsidRPr="00131EED" w:rsidRDefault="0057774B" w:rsidP="00C861DF">
            <w:pPr>
              <w:jc w:val="left"/>
              <w:rPr>
                <w:rFonts w:cs="Calibri"/>
                <w:b/>
                <w:color w:val="000000"/>
                <w:sz w:val="20"/>
                <w:szCs w:val="20"/>
                <w:lang w:eastAsia="en-US"/>
              </w:rPr>
            </w:pPr>
            <w:r w:rsidRPr="00131EED">
              <w:rPr>
                <w:rFonts w:cs="Calibri"/>
                <w:b/>
                <w:color w:val="000000"/>
                <w:sz w:val="20"/>
                <w:szCs w:val="20"/>
                <w:lang w:eastAsia="en-US"/>
              </w:rPr>
              <w:t>Extensión (Ha)</w:t>
            </w:r>
          </w:p>
        </w:tc>
        <w:tc>
          <w:tcPr>
            <w:tcW w:w="509" w:type="pct"/>
            <w:noWrap/>
            <w:hideMark/>
          </w:tcPr>
          <w:p w14:paraId="4E923DF8" w14:textId="05873178" w:rsidR="0057774B" w:rsidRPr="00131EED" w:rsidRDefault="00671C5C" w:rsidP="00C861DF">
            <w:pPr>
              <w:jc w:val="left"/>
              <w:rPr>
                <w:rFonts w:cs="Calibri"/>
                <w:b/>
                <w:color w:val="000000"/>
                <w:sz w:val="20"/>
                <w:szCs w:val="20"/>
                <w:lang w:eastAsia="en-US"/>
              </w:rPr>
            </w:pPr>
            <w:r w:rsidRPr="00131EED">
              <w:rPr>
                <w:rFonts w:cs="Calibri"/>
                <w:b/>
                <w:color w:val="000000"/>
                <w:sz w:val="20"/>
                <w:szCs w:val="20"/>
                <w:lang w:eastAsia="en-US"/>
              </w:rPr>
              <w:t xml:space="preserve">% </w:t>
            </w:r>
          </w:p>
        </w:tc>
      </w:tr>
      <w:tr w:rsidR="00BC2B70" w:rsidRPr="00131EED" w14:paraId="2D7DCBCF" w14:textId="77777777" w:rsidTr="006C79E8">
        <w:trPr>
          <w:trHeight w:val="270"/>
        </w:trPr>
        <w:tc>
          <w:tcPr>
            <w:tcW w:w="1042" w:type="pct"/>
            <w:vMerge w:val="restart"/>
            <w:noWrap/>
            <w:hideMark/>
          </w:tcPr>
          <w:p w14:paraId="141E7932"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Natural</w:t>
            </w:r>
          </w:p>
        </w:tc>
        <w:tc>
          <w:tcPr>
            <w:tcW w:w="888" w:type="pct"/>
            <w:vMerge w:val="restart"/>
            <w:noWrap/>
            <w:hideMark/>
          </w:tcPr>
          <w:p w14:paraId="701C3D0A"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Helobioma</w:t>
            </w:r>
          </w:p>
        </w:tc>
        <w:tc>
          <w:tcPr>
            <w:tcW w:w="1919" w:type="pct"/>
            <w:noWrap/>
            <w:hideMark/>
          </w:tcPr>
          <w:p w14:paraId="065EAC96"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Arbustal Inundable Andino</w:t>
            </w:r>
          </w:p>
        </w:tc>
        <w:tc>
          <w:tcPr>
            <w:tcW w:w="642" w:type="pct"/>
            <w:noWrap/>
            <w:hideMark/>
          </w:tcPr>
          <w:p w14:paraId="790FA505"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126</w:t>
            </w:r>
          </w:p>
        </w:tc>
        <w:tc>
          <w:tcPr>
            <w:tcW w:w="509" w:type="pct"/>
            <w:noWrap/>
            <w:hideMark/>
          </w:tcPr>
          <w:p w14:paraId="683AA94D"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0,03%</w:t>
            </w:r>
          </w:p>
        </w:tc>
      </w:tr>
      <w:tr w:rsidR="00BC2B70" w:rsidRPr="00131EED" w14:paraId="1F92AAE3" w14:textId="77777777" w:rsidTr="006C79E8">
        <w:trPr>
          <w:trHeight w:val="270"/>
        </w:trPr>
        <w:tc>
          <w:tcPr>
            <w:tcW w:w="1042" w:type="pct"/>
            <w:vMerge/>
            <w:noWrap/>
            <w:hideMark/>
          </w:tcPr>
          <w:p w14:paraId="4E00A010"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090953D1" w14:textId="77777777" w:rsidR="00BC2B70" w:rsidRPr="00131EED" w:rsidRDefault="00BC2B70" w:rsidP="00C861DF">
            <w:pPr>
              <w:jc w:val="left"/>
              <w:rPr>
                <w:sz w:val="20"/>
                <w:szCs w:val="20"/>
                <w:lang w:eastAsia="en-US"/>
              </w:rPr>
            </w:pPr>
          </w:p>
        </w:tc>
        <w:tc>
          <w:tcPr>
            <w:tcW w:w="1919" w:type="pct"/>
            <w:noWrap/>
            <w:hideMark/>
          </w:tcPr>
          <w:p w14:paraId="45E12FC6"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Herbazal Inundable Andino</w:t>
            </w:r>
          </w:p>
        </w:tc>
        <w:tc>
          <w:tcPr>
            <w:tcW w:w="642" w:type="pct"/>
            <w:noWrap/>
            <w:hideMark/>
          </w:tcPr>
          <w:p w14:paraId="6AF29745"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31</w:t>
            </w:r>
          </w:p>
        </w:tc>
        <w:tc>
          <w:tcPr>
            <w:tcW w:w="509" w:type="pct"/>
            <w:noWrap/>
            <w:hideMark/>
          </w:tcPr>
          <w:p w14:paraId="77A211D2"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0,01%</w:t>
            </w:r>
          </w:p>
        </w:tc>
      </w:tr>
      <w:tr w:rsidR="00BC2B70" w:rsidRPr="00131EED" w14:paraId="304DDF94" w14:textId="77777777" w:rsidTr="006C79E8">
        <w:trPr>
          <w:trHeight w:val="270"/>
        </w:trPr>
        <w:tc>
          <w:tcPr>
            <w:tcW w:w="1042" w:type="pct"/>
            <w:vMerge/>
            <w:noWrap/>
            <w:hideMark/>
          </w:tcPr>
          <w:p w14:paraId="58B29B35"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56F92ACD" w14:textId="77777777" w:rsidR="00BC2B70" w:rsidRPr="00131EED" w:rsidRDefault="00BC2B70" w:rsidP="00C861DF">
            <w:pPr>
              <w:jc w:val="left"/>
              <w:rPr>
                <w:sz w:val="20"/>
                <w:szCs w:val="20"/>
                <w:lang w:eastAsia="en-US"/>
              </w:rPr>
            </w:pPr>
          </w:p>
        </w:tc>
        <w:tc>
          <w:tcPr>
            <w:tcW w:w="1919" w:type="pct"/>
            <w:noWrap/>
            <w:hideMark/>
          </w:tcPr>
          <w:p w14:paraId="2FEBDF8D"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Turbera de Paramo</w:t>
            </w:r>
          </w:p>
        </w:tc>
        <w:tc>
          <w:tcPr>
            <w:tcW w:w="642" w:type="pct"/>
            <w:noWrap/>
            <w:hideMark/>
          </w:tcPr>
          <w:p w14:paraId="06EBFF57"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326</w:t>
            </w:r>
          </w:p>
        </w:tc>
        <w:tc>
          <w:tcPr>
            <w:tcW w:w="509" w:type="pct"/>
            <w:noWrap/>
            <w:hideMark/>
          </w:tcPr>
          <w:p w14:paraId="26AF5B4A"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0,08%</w:t>
            </w:r>
          </w:p>
        </w:tc>
      </w:tr>
      <w:tr w:rsidR="00BC2B70" w:rsidRPr="00131EED" w14:paraId="36D4B8F2" w14:textId="77777777" w:rsidTr="006C79E8">
        <w:trPr>
          <w:trHeight w:val="270"/>
        </w:trPr>
        <w:tc>
          <w:tcPr>
            <w:tcW w:w="1042" w:type="pct"/>
            <w:vMerge/>
            <w:noWrap/>
            <w:hideMark/>
          </w:tcPr>
          <w:p w14:paraId="3687055C"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74E57708" w14:textId="77777777" w:rsidR="00BC2B70" w:rsidRPr="00131EED" w:rsidRDefault="00BC2B70" w:rsidP="00C861DF">
            <w:pPr>
              <w:jc w:val="left"/>
              <w:rPr>
                <w:sz w:val="20"/>
                <w:szCs w:val="20"/>
                <w:lang w:eastAsia="en-US"/>
              </w:rPr>
            </w:pPr>
          </w:p>
        </w:tc>
        <w:tc>
          <w:tcPr>
            <w:tcW w:w="1919" w:type="pct"/>
            <w:noWrap/>
            <w:hideMark/>
          </w:tcPr>
          <w:p w14:paraId="22145B3B"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Zona Pantanosa Andina</w:t>
            </w:r>
          </w:p>
        </w:tc>
        <w:tc>
          <w:tcPr>
            <w:tcW w:w="642" w:type="pct"/>
            <w:noWrap/>
            <w:hideMark/>
          </w:tcPr>
          <w:p w14:paraId="01FC9A83"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1702</w:t>
            </w:r>
          </w:p>
        </w:tc>
        <w:tc>
          <w:tcPr>
            <w:tcW w:w="509" w:type="pct"/>
            <w:noWrap/>
            <w:hideMark/>
          </w:tcPr>
          <w:p w14:paraId="52C05048"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0,40%</w:t>
            </w:r>
          </w:p>
        </w:tc>
      </w:tr>
      <w:tr w:rsidR="00BC2B70" w:rsidRPr="00131EED" w14:paraId="1E4E929F" w14:textId="77777777" w:rsidTr="006C79E8">
        <w:trPr>
          <w:trHeight w:val="270"/>
        </w:trPr>
        <w:tc>
          <w:tcPr>
            <w:tcW w:w="1042" w:type="pct"/>
            <w:vMerge/>
            <w:noWrap/>
            <w:hideMark/>
          </w:tcPr>
          <w:p w14:paraId="19C7DDC7" w14:textId="77777777" w:rsidR="00BC2B70" w:rsidRPr="00131EED" w:rsidRDefault="00BC2B70" w:rsidP="00C861DF">
            <w:pPr>
              <w:jc w:val="left"/>
              <w:rPr>
                <w:rFonts w:cs="Calibri"/>
                <w:color w:val="000000"/>
                <w:sz w:val="20"/>
                <w:szCs w:val="20"/>
                <w:lang w:eastAsia="en-US"/>
              </w:rPr>
            </w:pPr>
          </w:p>
        </w:tc>
        <w:tc>
          <w:tcPr>
            <w:tcW w:w="2807" w:type="pct"/>
            <w:gridSpan w:val="2"/>
            <w:noWrap/>
            <w:hideMark/>
          </w:tcPr>
          <w:p w14:paraId="7C3EA165" w14:textId="30087FD0"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Total Helobioma</w:t>
            </w:r>
          </w:p>
        </w:tc>
        <w:tc>
          <w:tcPr>
            <w:tcW w:w="642" w:type="pct"/>
            <w:noWrap/>
            <w:hideMark/>
          </w:tcPr>
          <w:p w14:paraId="09C28F7D" w14:textId="57C6FE8E"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2</w:t>
            </w:r>
            <w:r w:rsidR="00BE697A" w:rsidRPr="00131EED">
              <w:rPr>
                <w:rFonts w:cs="Calibri"/>
                <w:b/>
                <w:color w:val="000000"/>
                <w:sz w:val="20"/>
                <w:szCs w:val="20"/>
                <w:lang w:eastAsia="en-US"/>
              </w:rPr>
              <w:t>.</w:t>
            </w:r>
            <w:r w:rsidRPr="00131EED">
              <w:rPr>
                <w:rFonts w:cs="Calibri"/>
                <w:b/>
                <w:color w:val="000000"/>
                <w:sz w:val="20"/>
                <w:szCs w:val="20"/>
                <w:lang w:eastAsia="en-US"/>
              </w:rPr>
              <w:t>185</w:t>
            </w:r>
          </w:p>
        </w:tc>
        <w:tc>
          <w:tcPr>
            <w:tcW w:w="509" w:type="pct"/>
            <w:noWrap/>
            <w:hideMark/>
          </w:tcPr>
          <w:p w14:paraId="08076230"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0,51%</w:t>
            </w:r>
          </w:p>
        </w:tc>
      </w:tr>
      <w:tr w:rsidR="00BC2B70" w:rsidRPr="00131EED" w14:paraId="427EF5B8" w14:textId="77777777" w:rsidTr="006C79E8">
        <w:trPr>
          <w:trHeight w:val="270"/>
        </w:trPr>
        <w:tc>
          <w:tcPr>
            <w:tcW w:w="1042" w:type="pct"/>
            <w:vMerge/>
            <w:noWrap/>
            <w:hideMark/>
          </w:tcPr>
          <w:p w14:paraId="475BA6AB" w14:textId="77777777" w:rsidR="00BC2B70" w:rsidRPr="00131EED" w:rsidRDefault="00BC2B70" w:rsidP="00C861DF">
            <w:pPr>
              <w:jc w:val="left"/>
              <w:rPr>
                <w:rFonts w:cs="Calibri"/>
                <w:b/>
                <w:color w:val="000000"/>
                <w:sz w:val="20"/>
                <w:szCs w:val="20"/>
                <w:lang w:eastAsia="en-US"/>
              </w:rPr>
            </w:pPr>
          </w:p>
        </w:tc>
        <w:tc>
          <w:tcPr>
            <w:tcW w:w="888" w:type="pct"/>
            <w:vMerge w:val="restart"/>
            <w:noWrap/>
            <w:hideMark/>
          </w:tcPr>
          <w:p w14:paraId="2215BDD9"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Hidrobioma</w:t>
            </w:r>
          </w:p>
        </w:tc>
        <w:tc>
          <w:tcPr>
            <w:tcW w:w="1919" w:type="pct"/>
            <w:noWrap/>
            <w:hideMark/>
          </w:tcPr>
          <w:p w14:paraId="3720EB80"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Laguna Aluvial</w:t>
            </w:r>
          </w:p>
        </w:tc>
        <w:tc>
          <w:tcPr>
            <w:tcW w:w="642" w:type="pct"/>
            <w:noWrap/>
            <w:hideMark/>
          </w:tcPr>
          <w:p w14:paraId="04F753C9"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452</w:t>
            </w:r>
          </w:p>
        </w:tc>
        <w:tc>
          <w:tcPr>
            <w:tcW w:w="509" w:type="pct"/>
            <w:noWrap/>
            <w:hideMark/>
          </w:tcPr>
          <w:p w14:paraId="1F560809"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0,11%</w:t>
            </w:r>
          </w:p>
        </w:tc>
      </w:tr>
      <w:tr w:rsidR="00BC2B70" w:rsidRPr="00131EED" w14:paraId="6C5CE0E7" w14:textId="77777777" w:rsidTr="006C79E8">
        <w:trPr>
          <w:trHeight w:val="270"/>
        </w:trPr>
        <w:tc>
          <w:tcPr>
            <w:tcW w:w="1042" w:type="pct"/>
            <w:vMerge/>
            <w:noWrap/>
            <w:hideMark/>
          </w:tcPr>
          <w:p w14:paraId="1BA57361"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35481A6B" w14:textId="77777777" w:rsidR="00BC2B70" w:rsidRPr="00131EED" w:rsidRDefault="00BC2B70" w:rsidP="00C861DF">
            <w:pPr>
              <w:jc w:val="left"/>
              <w:rPr>
                <w:sz w:val="20"/>
                <w:szCs w:val="20"/>
                <w:lang w:eastAsia="en-US"/>
              </w:rPr>
            </w:pPr>
          </w:p>
        </w:tc>
        <w:tc>
          <w:tcPr>
            <w:tcW w:w="1919" w:type="pct"/>
            <w:noWrap/>
            <w:hideMark/>
          </w:tcPr>
          <w:p w14:paraId="2A2A4DF8"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Laguna Glacial</w:t>
            </w:r>
          </w:p>
        </w:tc>
        <w:tc>
          <w:tcPr>
            <w:tcW w:w="642" w:type="pct"/>
            <w:noWrap/>
            <w:hideMark/>
          </w:tcPr>
          <w:p w14:paraId="33FDE76E"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70</w:t>
            </w:r>
          </w:p>
        </w:tc>
        <w:tc>
          <w:tcPr>
            <w:tcW w:w="509" w:type="pct"/>
            <w:noWrap/>
            <w:hideMark/>
          </w:tcPr>
          <w:p w14:paraId="2EA4339D"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0,02%</w:t>
            </w:r>
          </w:p>
        </w:tc>
      </w:tr>
      <w:tr w:rsidR="00BC2B70" w:rsidRPr="00131EED" w14:paraId="04C59613" w14:textId="77777777" w:rsidTr="006C79E8">
        <w:trPr>
          <w:trHeight w:val="270"/>
        </w:trPr>
        <w:tc>
          <w:tcPr>
            <w:tcW w:w="1042" w:type="pct"/>
            <w:vMerge/>
            <w:noWrap/>
            <w:hideMark/>
          </w:tcPr>
          <w:p w14:paraId="422CFA13"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528283FE" w14:textId="77777777" w:rsidR="00BC2B70" w:rsidRPr="00131EED" w:rsidRDefault="00BC2B70" w:rsidP="00C861DF">
            <w:pPr>
              <w:jc w:val="left"/>
              <w:rPr>
                <w:sz w:val="20"/>
                <w:szCs w:val="20"/>
                <w:lang w:eastAsia="en-US"/>
              </w:rPr>
            </w:pPr>
          </w:p>
        </w:tc>
        <w:tc>
          <w:tcPr>
            <w:tcW w:w="1919" w:type="pct"/>
            <w:noWrap/>
            <w:hideMark/>
          </w:tcPr>
          <w:p w14:paraId="740E7FFC"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Laguna Tectonica</w:t>
            </w:r>
          </w:p>
        </w:tc>
        <w:tc>
          <w:tcPr>
            <w:tcW w:w="642" w:type="pct"/>
            <w:noWrap/>
            <w:hideMark/>
          </w:tcPr>
          <w:p w14:paraId="6B50E925" w14:textId="26B47466"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3</w:t>
            </w:r>
            <w:r w:rsidR="00BE697A" w:rsidRPr="00131EED">
              <w:rPr>
                <w:rFonts w:cs="Calibri"/>
                <w:color w:val="000000"/>
                <w:sz w:val="20"/>
                <w:szCs w:val="20"/>
                <w:lang w:eastAsia="en-US"/>
              </w:rPr>
              <w:t>.</w:t>
            </w:r>
            <w:r w:rsidRPr="00131EED">
              <w:rPr>
                <w:rFonts w:cs="Calibri"/>
                <w:color w:val="000000"/>
                <w:sz w:val="20"/>
                <w:szCs w:val="20"/>
                <w:lang w:eastAsia="en-US"/>
              </w:rPr>
              <w:t>513</w:t>
            </w:r>
          </w:p>
        </w:tc>
        <w:tc>
          <w:tcPr>
            <w:tcW w:w="509" w:type="pct"/>
            <w:noWrap/>
            <w:hideMark/>
          </w:tcPr>
          <w:p w14:paraId="1A0D215C"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0,82%</w:t>
            </w:r>
          </w:p>
        </w:tc>
      </w:tr>
      <w:tr w:rsidR="00BC2B70" w:rsidRPr="00131EED" w14:paraId="791F09EE" w14:textId="77777777" w:rsidTr="006C79E8">
        <w:trPr>
          <w:trHeight w:val="270"/>
        </w:trPr>
        <w:tc>
          <w:tcPr>
            <w:tcW w:w="1042" w:type="pct"/>
            <w:vMerge/>
            <w:noWrap/>
            <w:hideMark/>
          </w:tcPr>
          <w:p w14:paraId="2B1B0D9A"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47E59759" w14:textId="77777777" w:rsidR="00BC2B70" w:rsidRPr="00131EED" w:rsidRDefault="00BC2B70" w:rsidP="00C861DF">
            <w:pPr>
              <w:jc w:val="left"/>
              <w:rPr>
                <w:sz w:val="20"/>
                <w:szCs w:val="20"/>
                <w:lang w:eastAsia="en-US"/>
              </w:rPr>
            </w:pPr>
          </w:p>
        </w:tc>
        <w:tc>
          <w:tcPr>
            <w:tcW w:w="1919" w:type="pct"/>
            <w:noWrap/>
            <w:hideMark/>
          </w:tcPr>
          <w:p w14:paraId="4DEC1955"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Rio de Aguas Blancas</w:t>
            </w:r>
          </w:p>
        </w:tc>
        <w:tc>
          <w:tcPr>
            <w:tcW w:w="642" w:type="pct"/>
            <w:noWrap/>
            <w:hideMark/>
          </w:tcPr>
          <w:p w14:paraId="7594B036"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780</w:t>
            </w:r>
          </w:p>
        </w:tc>
        <w:tc>
          <w:tcPr>
            <w:tcW w:w="509" w:type="pct"/>
            <w:noWrap/>
            <w:hideMark/>
          </w:tcPr>
          <w:p w14:paraId="6438FBC1"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0,18%</w:t>
            </w:r>
          </w:p>
        </w:tc>
      </w:tr>
      <w:tr w:rsidR="00BC2B70" w:rsidRPr="00131EED" w14:paraId="6223E1D7" w14:textId="77777777" w:rsidTr="006C79E8">
        <w:trPr>
          <w:trHeight w:val="270"/>
        </w:trPr>
        <w:tc>
          <w:tcPr>
            <w:tcW w:w="1042" w:type="pct"/>
            <w:vMerge/>
            <w:noWrap/>
            <w:hideMark/>
          </w:tcPr>
          <w:p w14:paraId="36CCE21A" w14:textId="77777777" w:rsidR="00BC2B70" w:rsidRPr="00131EED" w:rsidRDefault="00BC2B70" w:rsidP="00C861DF">
            <w:pPr>
              <w:jc w:val="left"/>
              <w:rPr>
                <w:rFonts w:cs="Calibri"/>
                <w:color w:val="000000"/>
                <w:sz w:val="20"/>
                <w:szCs w:val="20"/>
                <w:lang w:eastAsia="en-US"/>
              </w:rPr>
            </w:pPr>
          </w:p>
        </w:tc>
        <w:tc>
          <w:tcPr>
            <w:tcW w:w="2807" w:type="pct"/>
            <w:gridSpan w:val="2"/>
            <w:noWrap/>
            <w:hideMark/>
          </w:tcPr>
          <w:p w14:paraId="53C01CE1" w14:textId="46B245A3"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Total Hidrobioma</w:t>
            </w:r>
          </w:p>
        </w:tc>
        <w:tc>
          <w:tcPr>
            <w:tcW w:w="642" w:type="pct"/>
            <w:noWrap/>
            <w:hideMark/>
          </w:tcPr>
          <w:p w14:paraId="0C20D928" w14:textId="23B00DC9"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4</w:t>
            </w:r>
            <w:r w:rsidR="00BE697A" w:rsidRPr="00131EED">
              <w:rPr>
                <w:rFonts w:cs="Calibri"/>
                <w:b/>
                <w:color w:val="000000"/>
                <w:sz w:val="20"/>
                <w:szCs w:val="20"/>
                <w:lang w:eastAsia="en-US"/>
              </w:rPr>
              <w:t>.</w:t>
            </w:r>
            <w:r w:rsidRPr="00131EED">
              <w:rPr>
                <w:rFonts w:cs="Calibri"/>
                <w:b/>
                <w:color w:val="000000"/>
                <w:sz w:val="20"/>
                <w:szCs w:val="20"/>
                <w:lang w:eastAsia="en-US"/>
              </w:rPr>
              <w:t>815</w:t>
            </w:r>
          </w:p>
        </w:tc>
        <w:tc>
          <w:tcPr>
            <w:tcW w:w="509" w:type="pct"/>
            <w:noWrap/>
            <w:hideMark/>
          </w:tcPr>
          <w:p w14:paraId="633778D8"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1,12%</w:t>
            </w:r>
          </w:p>
        </w:tc>
      </w:tr>
      <w:tr w:rsidR="00BC2B70" w:rsidRPr="00131EED" w14:paraId="0895341B" w14:textId="77777777" w:rsidTr="006C79E8">
        <w:trPr>
          <w:trHeight w:val="270"/>
        </w:trPr>
        <w:tc>
          <w:tcPr>
            <w:tcW w:w="1042" w:type="pct"/>
            <w:vMerge/>
            <w:noWrap/>
            <w:hideMark/>
          </w:tcPr>
          <w:p w14:paraId="159BDA1D" w14:textId="77777777" w:rsidR="00BC2B70" w:rsidRPr="00131EED" w:rsidRDefault="00BC2B70" w:rsidP="00C861DF">
            <w:pPr>
              <w:jc w:val="left"/>
              <w:rPr>
                <w:rFonts w:cs="Calibri"/>
                <w:b/>
                <w:color w:val="000000"/>
                <w:sz w:val="20"/>
                <w:szCs w:val="20"/>
                <w:lang w:eastAsia="en-US"/>
              </w:rPr>
            </w:pPr>
          </w:p>
        </w:tc>
        <w:tc>
          <w:tcPr>
            <w:tcW w:w="888" w:type="pct"/>
            <w:vMerge w:val="restart"/>
            <w:noWrap/>
            <w:hideMark/>
          </w:tcPr>
          <w:p w14:paraId="170B3852"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Orobioma Andino</w:t>
            </w:r>
          </w:p>
        </w:tc>
        <w:tc>
          <w:tcPr>
            <w:tcW w:w="1919" w:type="pct"/>
            <w:noWrap/>
            <w:hideMark/>
          </w:tcPr>
          <w:p w14:paraId="247C5498"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Arbustal Andino Humedo</w:t>
            </w:r>
          </w:p>
        </w:tc>
        <w:tc>
          <w:tcPr>
            <w:tcW w:w="642" w:type="pct"/>
            <w:noWrap/>
            <w:hideMark/>
          </w:tcPr>
          <w:p w14:paraId="50C6048A"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8407</w:t>
            </w:r>
          </w:p>
        </w:tc>
        <w:tc>
          <w:tcPr>
            <w:tcW w:w="509" w:type="pct"/>
            <w:noWrap/>
            <w:hideMark/>
          </w:tcPr>
          <w:p w14:paraId="57A8FA3F"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1,96%</w:t>
            </w:r>
          </w:p>
        </w:tc>
      </w:tr>
      <w:tr w:rsidR="00BC2B70" w:rsidRPr="00131EED" w14:paraId="4FA62699" w14:textId="77777777" w:rsidTr="006C79E8">
        <w:trPr>
          <w:trHeight w:val="270"/>
        </w:trPr>
        <w:tc>
          <w:tcPr>
            <w:tcW w:w="1042" w:type="pct"/>
            <w:vMerge/>
            <w:noWrap/>
            <w:hideMark/>
          </w:tcPr>
          <w:p w14:paraId="5EFCB4E4"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1FB47ACD" w14:textId="77777777" w:rsidR="00BC2B70" w:rsidRPr="00131EED" w:rsidRDefault="00BC2B70" w:rsidP="00C861DF">
            <w:pPr>
              <w:jc w:val="left"/>
              <w:rPr>
                <w:sz w:val="20"/>
                <w:szCs w:val="20"/>
                <w:lang w:eastAsia="en-US"/>
              </w:rPr>
            </w:pPr>
          </w:p>
        </w:tc>
        <w:tc>
          <w:tcPr>
            <w:tcW w:w="1919" w:type="pct"/>
            <w:noWrap/>
            <w:hideMark/>
          </w:tcPr>
          <w:p w14:paraId="69D7DA7E"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Bosque Andino Humedo</w:t>
            </w:r>
          </w:p>
        </w:tc>
        <w:tc>
          <w:tcPr>
            <w:tcW w:w="642" w:type="pct"/>
            <w:noWrap/>
            <w:hideMark/>
          </w:tcPr>
          <w:p w14:paraId="18E613AE"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1560</w:t>
            </w:r>
          </w:p>
        </w:tc>
        <w:tc>
          <w:tcPr>
            <w:tcW w:w="509" w:type="pct"/>
            <w:noWrap/>
            <w:hideMark/>
          </w:tcPr>
          <w:p w14:paraId="4D8DB002"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0,36%</w:t>
            </w:r>
          </w:p>
        </w:tc>
      </w:tr>
      <w:tr w:rsidR="00BC2B70" w:rsidRPr="00131EED" w14:paraId="0E0EAD77" w14:textId="77777777" w:rsidTr="006C79E8">
        <w:trPr>
          <w:trHeight w:val="270"/>
        </w:trPr>
        <w:tc>
          <w:tcPr>
            <w:tcW w:w="1042" w:type="pct"/>
            <w:vMerge/>
            <w:noWrap/>
            <w:hideMark/>
          </w:tcPr>
          <w:p w14:paraId="3423AEAC"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57F0D652" w14:textId="77777777" w:rsidR="00BC2B70" w:rsidRPr="00131EED" w:rsidRDefault="00BC2B70" w:rsidP="00C861DF">
            <w:pPr>
              <w:jc w:val="left"/>
              <w:rPr>
                <w:sz w:val="20"/>
                <w:szCs w:val="20"/>
                <w:lang w:eastAsia="en-US"/>
              </w:rPr>
            </w:pPr>
          </w:p>
        </w:tc>
        <w:tc>
          <w:tcPr>
            <w:tcW w:w="1919" w:type="pct"/>
            <w:noWrap/>
            <w:hideMark/>
          </w:tcPr>
          <w:p w14:paraId="4D5AFFD3"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Herbazal Andino Humedo</w:t>
            </w:r>
          </w:p>
        </w:tc>
        <w:tc>
          <w:tcPr>
            <w:tcW w:w="642" w:type="pct"/>
            <w:noWrap/>
            <w:hideMark/>
          </w:tcPr>
          <w:p w14:paraId="37151B0B" w14:textId="4B9A3780"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3</w:t>
            </w:r>
            <w:r w:rsidR="00BE697A" w:rsidRPr="00131EED">
              <w:rPr>
                <w:rFonts w:cs="Calibri"/>
                <w:color w:val="000000"/>
                <w:sz w:val="20"/>
                <w:szCs w:val="20"/>
                <w:lang w:eastAsia="en-US"/>
              </w:rPr>
              <w:t>.</w:t>
            </w:r>
            <w:r w:rsidRPr="00131EED">
              <w:rPr>
                <w:rFonts w:cs="Calibri"/>
                <w:color w:val="000000"/>
                <w:sz w:val="20"/>
                <w:szCs w:val="20"/>
                <w:lang w:eastAsia="en-US"/>
              </w:rPr>
              <w:t>018</w:t>
            </w:r>
          </w:p>
        </w:tc>
        <w:tc>
          <w:tcPr>
            <w:tcW w:w="509" w:type="pct"/>
            <w:noWrap/>
            <w:hideMark/>
          </w:tcPr>
          <w:p w14:paraId="3FBB4339"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0,70%</w:t>
            </w:r>
          </w:p>
        </w:tc>
      </w:tr>
      <w:tr w:rsidR="00BC2B70" w:rsidRPr="00131EED" w14:paraId="2023FBE2" w14:textId="77777777" w:rsidTr="006C79E8">
        <w:trPr>
          <w:trHeight w:val="270"/>
        </w:trPr>
        <w:tc>
          <w:tcPr>
            <w:tcW w:w="1042" w:type="pct"/>
            <w:vMerge/>
            <w:noWrap/>
            <w:hideMark/>
          </w:tcPr>
          <w:p w14:paraId="642153D8" w14:textId="77777777" w:rsidR="00BC2B70" w:rsidRPr="00131EED" w:rsidRDefault="00BC2B70" w:rsidP="00C861DF">
            <w:pPr>
              <w:jc w:val="left"/>
              <w:rPr>
                <w:rFonts w:cs="Calibri"/>
                <w:color w:val="000000"/>
                <w:sz w:val="20"/>
                <w:szCs w:val="20"/>
                <w:lang w:eastAsia="en-US"/>
              </w:rPr>
            </w:pPr>
          </w:p>
        </w:tc>
        <w:tc>
          <w:tcPr>
            <w:tcW w:w="2807" w:type="pct"/>
            <w:gridSpan w:val="2"/>
            <w:noWrap/>
            <w:hideMark/>
          </w:tcPr>
          <w:p w14:paraId="57555F37" w14:textId="33AB90F9"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Total Orobioma Andino</w:t>
            </w:r>
          </w:p>
        </w:tc>
        <w:tc>
          <w:tcPr>
            <w:tcW w:w="642" w:type="pct"/>
            <w:noWrap/>
            <w:hideMark/>
          </w:tcPr>
          <w:p w14:paraId="013296A1" w14:textId="112B4DB5"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12</w:t>
            </w:r>
            <w:r w:rsidR="00BD0972" w:rsidRPr="00131EED">
              <w:rPr>
                <w:rFonts w:cs="Calibri"/>
                <w:b/>
                <w:color w:val="000000"/>
                <w:sz w:val="20"/>
                <w:szCs w:val="20"/>
                <w:lang w:eastAsia="en-US"/>
              </w:rPr>
              <w:t>.</w:t>
            </w:r>
            <w:r w:rsidRPr="00131EED">
              <w:rPr>
                <w:rFonts w:cs="Calibri"/>
                <w:b/>
                <w:color w:val="000000"/>
                <w:sz w:val="20"/>
                <w:szCs w:val="20"/>
                <w:lang w:eastAsia="en-US"/>
              </w:rPr>
              <w:t>985</w:t>
            </w:r>
          </w:p>
        </w:tc>
        <w:tc>
          <w:tcPr>
            <w:tcW w:w="509" w:type="pct"/>
            <w:noWrap/>
            <w:hideMark/>
          </w:tcPr>
          <w:p w14:paraId="0CC94335"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3,03%</w:t>
            </w:r>
          </w:p>
        </w:tc>
      </w:tr>
      <w:tr w:rsidR="00BC2B70" w:rsidRPr="00131EED" w14:paraId="6EA640D8" w14:textId="77777777" w:rsidTr="006C79E8">
        <w:trPr>
          <w:trHeight w:val="270"/>
        </w:trPr>
        <w:tc>
          <w:tcPr>
            <w:tcW w:w="1042" w:type="pct"/>
            <w:vMerge/>
            <w:noWrap/>
            <w:hideMark/>
          </w:tcPr>
          <w:p w14:paraId="1F82D1DA" w14:textId="77777777" w:rsidR="00BC2B70" w:rsidRPr="00131EED" w:rsidRDefault="00BC2B70" w:rsidP="00C861DF">
            <w:pPr>
              <w:jc w:val="left"/>
              <w:rPr>
                <w:rFonts w:cs="Calibri"/>
                <w:b/>
                <w:color w:val="000000"/>
                <w:sz w:val="20"/>
                <w:szCs w:val="20"/>
                <w:lang w:eastAsia="en-US"/>
              </w:rPr>
            </w:pPr>
          </w:p>
        </w:tc>
        <w:tc>
          <w:tcPr>
            <w:tcW w:w="888" w:type="pct"/>
            <w:vMerge w:val="restart"/>
            <w:noWrap/>
            <w:hideMark/>
          </w:tcPr>
          <w:p w14:paraId="78B951A0"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Orobioma Azonal Andino</w:t>
            </w:r>
          </w:p>
        </w:tc>
        <w:tc>
          <w:tcPr>
            <w:tcW w:w="1919" w:type="pct"/>
            <w:noWrap/>
            <w:hideMark/>
          </w:tcPr>
          <w:p w14:paraId="787D5CDF"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Bosque Andino Seco</w:t>
            </w:r>
          </w:p>
        </w:tc>
        <w:tc>
          <w:tcPr>
            <w:tcW w:w="642" w:type="pct"/>
            <w:noWrap/>
            <w:hideMark/>
          </w:tcPr>
          <w:p w14:paraId="7C60D543"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910</w:t>
            </w:r>
          </w:p>
        </w:tc>
        <w:tc>
          <w:tcPr>
            <w:tcW w:w="509" w:type="pct"/>
            <w:noWrap/>
            <w:hideMark/>
          </w:tcPr>
          <w:p w14:paraId="29E26E17"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0,21%</w:t>
            </w:r>
          </w:p>
        </w:tc>
      </w:tr>
      <w:tr w:rsidR="00BC2B70" w:rsidRPr="00131EED" w14:paraId="27A8ECA1" w14:textId="77777777" w:rsidTr="006C79E8">
        <w:trPr>
          <w:trHeight w:val="270"/>
        </w:trPr>
        <w:tc>
          <w:tcPr>
            <w:tcW w:w="1042" w:type="pct"/>
            <w:vMerge/>
            <w:noWrap/>
            <w:hideMark/>
          </w:tcPr>
          <w:p w14:paraId="7B128C29"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1197FE1A" w14:textId="77777777" w:rsidR="00BC2B70" w:rsidRPr="00131EED" w:rsidRDefault="00BC2B70" w:rsidP="00C861DF">
            <w:pPr>
              <w:jc w:val="left"/>
              <w:rPr>
                <w:sz w:val="20"/>
                <w:szCs w:val="20"/>
                <w:lang w:eastAsia="en-US"/>
              </w:rPr>
            </w:pPr>
          </w:p>
        </w:tc>
        <w:tc>
          <w:tcPr>
            <w:tcW w:w="1919" w:type="pct"/>
            <w:noWrap/>
            <w:hideMark/>
          </w:tcPr>
          <w:p w14:paraId="0EFBF301"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Subxerofitia Andina</w:t>
            </w:r>
          </w:p>
        </w:tc>
        <w:tc>
          <w:tcPr>
            <w:tcW w:w="642" w:type="pct"/>
            <w:noWrap/>
            <w:hideMark/>
          </w:tcPr>
          <w:p w14:paraId="72A632BE" w14:textId="2945A011"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14</w:t>
            </w:r>
            <w:r w:rsidR="00BD0972" w:rsidRPr="00131EED">
              <w:rPr>
                <w:rFonts w:cs="Calibri"/>
                <w:color w:val="000000"/>
                <w:sz w:val="20"/>
                <w:szCs w:val="20"/>
                <w:lang w:eastAsia="en-US"/>
              </w:rPr>
              <w:t>.</w:t>
            </w:r>
            <w:r w:rsidRPr="00131EED">
              <w:rPr>
                <w:rFonts w:cs="Calibri"/>
                <w:color w:val="000000"/>
                <w:sz w:val="20"/>
                <w:szCs w:val="20"/>
                <w:lang w:eastAsia="en-US"/>
              </w:rPr>
              <w:t>769</w:t>
            </w:r>
          </w:p>
        </w:tc>
        <w:tc>
          <w:tcPr>
            <w:tcW w:w="509" w:type="pct"/>
            <w:noWrap/>
            <w:hideMark/>
          </w:tcPr>
          <w:p w14:paraId="6CF5AADE"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3,45%</w:t>
            </w:r>
          </w:p>
        </w:tc>
      </w:tr>
      <w:tr w:rsidR="00BC2B70" w:rsidRPr="00131EED" w14:paraId="2A352020" w14:textId="77777777" w:rsidTr="006C79E8">
        <w:trPr>
          <w:trHeight w:val="270"/>
        </w:trPr>
        <w:tc>
          <w:tcPr>
            <w:tcW w:w="1042" w:type="pct"/>
            <w:vMerge/>
            <w:noWrap/>
            <w:hideMark/>
          </w:tcPr>
          <w:p w14:paraId="168A9836" w14:textId="77777777" w:rsidR="00BC2B70" w:rsidRPr="00131EED" w:rsidRDefault="00BC2B70" w:rsidP="00C861DF">
            <w:pPr>
              <w:jc w:val="left"/>
              <w:rPr>
                <w:rFonts w:cs="Calibri"/>
                <w:color w:val="000000"/>
                <w:sz w:val="20"/>
                <w:szCs w:val="20"/>
                <w:lang w:eastAsia="en-US"/>
              </w:rPr>
            </w:pPr>
          </w:p>
        </w:tc>
        <w:tc>
          <w:tcPr>
            <w:tcW w:w="2807" w:type="pct"/>
            <w:gridSpan w:val="2"/>
            <w:noWrap/>
            <w:hideMark/>
          </w:tcPr>
          <w:p w14:paraId="737370C7" w14:textId="241C3D9B"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Total Orobioma Azonal Andino</w:t>
            </w:r>
          </w:p>
        </w:tc>
        <w:tc>
          <w:tcPr>
            <w:tcW w:w="642" w:type="pct"/>
            <w:noWrap/>
            <w:hideMark/>
          </w:tcPr>
          <w:p w14:paraId="2EBA79BB" w14:textId="79A13BC9"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15</w:t>
            </w:r>
            <w:r w:rsidR="00BD0972" w:rsidRPr="00131EED">
              <w:rPr>
                <w:rFonts w:cs="Calibri"/>
                <w:b/>
                <w:color w:val="000000"/>
                <w:sz w:val="20"/>
                <w:szCs w:val="20"/>
                <w:lang w:eastAsia="en-US"/>
              </w:rPr>
              <w:t>.</w:t>
            </w:r>
            <w:r w:rsidRPr="00131EED">
              <w:rPr>
                <w:rFonts w:cs="Calibri"/>
                <w:b/>
                <w:color w:val="000000"/>
                <w:sz w:val="20"/>
                <w:szCs w:val="20"/>
                <w:lang w:eastAsia="en-US"/>
              </w:rPr>
              <w:t>679</w:t>
            </w:r>
          </w:p>
        </w:tc>
        <w:tc>
          <w:tcPr>
            <w:tcW w:w="509" w:type="pct"/>
            <w:noWrap/>
            <w:hideMark/>
          </w:tcPr>
          <w:p w14:paraId="42DCC317"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3,66%</w:t>
            </w:r>
          </w:p>
        </w:tc>
      </w:tr>
      <w:tr w:rsidR="00BC2B70" w:rsidRPr="00131EED" w14:paraId="62491189" w14:textId="77777777" w:rsidTr="006C79E8">
        <w:trPr>
          <w:trHeight w:val="270"/>
        </w:trPr>
        <w:tc>
          <w:tcPr>
            <w:tcW w:w="1042" w:type="pct"/>
            <w:vMerge/>
            <w:noWrap/>
            <w:hideMark/>
          </w:tcPr>
          <w:p w14:paraId="531E2C23" w14:textId="77777777" w:rsidR="00BC2B70" w:rsidRPr="00131EED" w:rsidRDefault="00BC2B70" w:rsidP="00C861DF">
            <w:pPr>
              <w:jc w:val="left"/>
              <w:rPr>
                <w:rFonts w:cs="Calibri"/>
                <w:b/>
                <w:color w:val="000000"/>
                <w:sz w:val="20"/>
                <w:szCs w:val="20"/>
                <w:lang w:eastAsia="en-US"/>
              </w:rPr>
            </w:pPr>
          </w:p>
        </w:tc>
        <w:tc>
          <w:tcPr>
            <w:tcW w:w="888" w:type="pct"/>
            <w:noWrap/>
            <w:hideMark/>
          </w:tcPr>
          <w:p w14:paraId="4790239D"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Orobioma de Paramo</w:t>
            </w:r>
          </w:p>
        </w:tc>
        <w:tc>
          <w:tcPr>
            <w:tcW w:w="1919" w:type="pct"/>
            <w:noWrap/>
            <w:hideMark/>
          </w:tcPr>
          <w:p w14:paraId="7FB32342"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Paramo</w:t>
            </w:r>
          </w:p>
        </w:tc>
        <w:tc>
          <w:tcPr>
            <w:tcW w:w="642" w:type="pct"/>
            <w:noWrap/>
            <w:hideMark/>
          </w:tcPr>
          <w:p w14:paraId="165CAA64"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55816</w:t>
            </w:r>
          </w:p>
        </w:tc>
        <w:tc>
          <w:tcPr>
            <w:tcW w:w="509" w:type="pct"/>
            <w:noWrap/>
            <w:hideMark/>
          </w:tcPr>
          <w:p w14:paraId="7C018B47"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13,04%</w:t>
            </w:r>
          </w:p>
        </w:tc>
      </w:tr>
      <w:tr w:rsidR="00BC2B70" w:rsidRPr="00131EED" w14:paraId="1ECB44FA" w14:textId="77777777" w:rsidTr="006C79E8">
        <w:trPr>
          <w:trHeight w:val="270"/>
        </w:trPr>
        <w:tc>
          <w:tcPr>
            <w:tcW w:w="1042" w:type="pct"/>
            <w:vMerge/>
            <w:noWrap/>
            <w:hideMark/>
          </w:tcPr>
          <w:p w14:paraId="2832A098" w14:textId="77777777" w:rsidR="00BC2B70" w:rsidRPr="00131EED" w:rsidRDefault="00BC2B70" w:rsidP="00C861DF">
            <w:pPr>
              <w:jc w:val="left"/>
              <w:rPr>
                <w:rFonts w:cs="Calibri"/>
                <w:color w:val="000000"/>
                <w:sz w:val="20"/>
                <w:szCs w:val="20"/>
                <w:lang w:eastAsia="en-US"/>
              </w:rPr>
            </w:pPr>
          </w:p>
        </w:tc>
        <w:tc>
          <w:tcPr>
            <w:tcW w:w="2807" w:type="pct"/>
            <w:gridSpan w:val="2"/>
            <w:noWrap/>
            <w:hideMark/>
          </w:tcPr>
          <w:p w14:paraId="0D36F71F" w14:textId="270284B2"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Total Orobioma de Paramo</w:t>
            </w:r>
          </w:p>
        </w:tc>
        <w:tc>
          <w:tcPr>
            <w:tcW w:w="642" w:type="pct"/>
            <w:noWrap/>
            <w:hideMark/>
          </w:tcPr>
          <w:p w14:paraId="10B31550" w14:textId="3BB32FEB"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55</w:t>
            </w:r>
            <w:r w:rsidR="00BD0972" w:rsidRPr="00131EED">
              <w:rPr>
                <w:rFonts w:cs="Calibri"/>
                <w:b/>
                <w:color w:val="000000"/>
                <w:sz w:val="20"/>
                <w:szCs w:val="20"/>
                <w:lang w:eastAsia="en-US"/>
              </w:rPr>
              <w:t>.</w:t>
            </w:r>
            <w:r w:rsidRPr="00131EED">
              <w:rPr>
                <w:rFonts w:cs="Calibri"/>
                <w:b/>
                <w:color w:val="000000"/>
                <w:sz w:val="20"/>
                <w:szCs w:val="20"/>
                <w:lang w:eastAsia="en-US"/>
              </w:rPr>
              <w:t>816</w:t>
            </w:r>
          </w:p>
        </w:tc>
        <w:tc>
          <w:tcPr>
            <w:tcW w:w="509" w:type="pct"/>
            <w:noWrap/>
            <w:hideMark/>
          </w:tcPr>
          <w:p w14:paraId="4145689E"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13,04%</w:t>
            </w:r>
          </w:p>
        </w:tc>
      </w:tr>
      <w:tr w:rsidR="00BC2B70" w:rsidRPr="00131EED" w14:paraId="46A5800B" w14:textId="77777777" w:rsidTr="006C79E8">
        <w:trPr>
          <w:trHeight w:val="270"/>
        </w:trPr>
        <w:tc>
          <w:tcPr>
            <w:tcW w:w="3850" w:type="pct"/>
            <w:gridSpan w:val="3"/>
            <w:noWrap/>
            <w:hideMark/>
          </w:tcPr>
          <w:p w14:paraId="2D7D8404" w14:textId="3C5D5B29" w:rsidR="00BC2B70" w:rsidRPr="00131EED" w:rsidRDefault="00BC2B70" w:rsidP="00C861DF">
            <w:pPr>
              <w:jc w:val="left"/>
              <w:rPr>
                <w:sz w:val="20"/>
                <w:szCs w:val="20"/>
                <w:lang w:eastAsia="en-US"/>
              </w:rPr>
            </w:pPr>
            <w:r w:rsidRPr="00131EED">
              <w:rPr>
                <w:rFonts w:cs="Calibri"/>
                <w:b/>
                <w:color w:val="000000"/>
                <w:sz w:val="20"/>
                <w:szCs w:val="20"/>
                <w:lang w:eastAsia="en-US"/>
              </w:rPr>
              <w:t>Total Natural</w:t>
            </w:r>
          </w:p>
        </w:tc>
        <w:tc>
          <w:tcPr>
            <w:tcW w:w="642" w:type="pct"/>
            <w:noWrap/>
            <w:hideMark/>
          </w:tcPr>
          <w:p w14:paraId="433E48F2" w14:textId="3D6B54E6"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91</w:t>
            </w:r>
            <w:r w:rsidR="00BD0972" w:rsidRPr="00131EED">
              <w:rPr>
                <w:rFonts w:cs="Calibri"/>
                <w:b/>
                <w:color w:val="000000"/>
                <w:sz w:val="20"/>
                <w:szCs w:val="20"/>
                <w:lang w:eastAsia="en-US"/>
              </w:rPr>
              <w:t>.</w:t>
            </w:r>
            <w:r w:rsidRPr="00131EED">
              <w:rPr>
                <w:rFonts w:cs="Calibri"/>
                <w:b/>
                <w:color w:val="000000"/>
                <w:sz w:val="20"/>
                <w:szCs w:val="20"/>
                <w:lang w:eastAsia="en-US"/>
              </w:rPr>
              <w:t>480</w:t>
            </w:r>
          </w:p>
        </w:tc>
        <w:tc>
          <w:tcPr>
            <w:tcW w:w="509" w:type="pct"/>
            <w:noWrap/>
            <w:hideMark/>
          </w:tcPr>
          <w:p w14:paraId="47814E4B"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21,37%</w:t>
            </w:r>
          </w:p>
        </w:tc>
      </w:tr>
      <w:tr w:rsidR="00BC2B70" w:rsidRPr="00131EED" w14:paraId="528C7679" w14:textId="77777777" w:rsidTr="006C79E8">
        <w:trPr>
          <w:trHeight w:val="270"/>
        </w:trPr>
        <w:tc>
          <w:tcPr>
            <w:tcW w:w="1042" w:type="pct"/>
            <w:vMerge w:val="restart"/>
            <w:noWrap/>
            <w:hideMark/>
          </w:tcPr>
          <w:p w14:paraId="562DF5F2"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Transformado</w:t>
            </w:r>
          </w:p>
        </w:tc>
        <w:tc>
          <w:tcPr>
            <w:tcW w:w="888" w:type="pct"/>
            <w:noWrap/>
            <w:hideMark/>
          </w:tcPr>
          <w:p w14:paraId="3C41177C"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Helobioma</w:t>
            </w:r>
          </w:p>
        </w:tc>
        <w:tc>
          <w:tcPr>
            <w:tcW w:w="1919" w:type="pct"/>
            <w:noWrap/>
            <w:hideMark/>
          </w:tcPr>
          <w:p w14:paraId="282ED055"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Transicional Transformado</w:t>
            </w:r>
          </w:p>
        </w:tc>
        <w:tc>
          <w:tcPr>
            <w:tcW w:w="642" w:type="pct"/>
            <w:noWrap/>
            <w:hideMark/>
          </w:tcPr>
          <w:p w14:paraId="26FB1004" w14:textId="1F15F2C4"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31</w:t>
            </w:r>
            <w:r w:rsidR="00BD0972" w:rsidRPr="00131EED">
              <w:rPr>
                <w:rFonts w:cs="Calibri"/>
                <w:color w:val="000000"/>
                <w:sz w:val="20"/>
                <w:szCs w:val="20"/>
                <w:lang w:eastAsia="en-US"/>
              </w:rPr>
              <w:t>.</w:t>
            </w:r>
            <w:r w:rsidRPr="00131EED">
              <w:rPr>
                <w:rFonts w:cs="Calibri"/>
                <w:color w:val="000000"/>
                <w:sz w:val="20"/>
                <w:szCs w:val="20"/>
                <w:lang w:eastAsia="en-US"/>
              </w:rPr>
              <w:t>751</w:t>
            </w:r>
          </w:p>
        </w:tc>
        <w:tc>
          <w:tcPr>
            <w:tcW w:w="509" w:type="pct"/>
            <w:noWrap/>
            <w:hideMark/>
          </w:tcPr>
          <w:p w14:paraId="08A239B4"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7,42%</w:t>
            </w:r>
          </w:p>
        </w:tc>
      </w:tr>
      <w:tr w:rsidR="00BC2B70" w:rsidRPr="00131EED" w14:paraId="42AD6167" w14:textId="77777777" w:rsidTr="006C79E8">
        <w:trPr>
          <w:trHeight w:val="270"/>
        </w:trPr>
        <w:tc>
          <w:tcPr>
            <w:tcW w:w="1042" w:type="pct"/>
            <w:vMerge/>
            <w:noWrap/>
            <w:hideMark/>
          </w:tcPr>
          <w:p w14:paraId="71A9CFC1" w14:textId="77777777" w:rsidR="00BC2B70" w:rsidRPr="00131EED" w:rsidRDefault="00BC2B70" w:rsidP="00C861DF">
            <w:pPr>
              <w:jc w:val="left"/>
              <w:rPr>
                <w:rFonts w:cs="Calibri"/>
                <w:color w:val="000000"/>
                <w:sz w:val="20"/>
                <w:szCs w:val="20"/>
                <w:lang w:eastAsia="en-US"/>
              </w:rPr>
            </w:pPr>
          </w:p>
        </w:tc>
        <w:tc>
          <w:tcPr>
            <w:tcW w:w="2807" w:type="pct"/>
            <w:gridSpan w:val="2"/>
            <w:noWrap/>
            <w:hideMark/>
          </w:tcPr>
          <w:p w14:paraId="3C54BCB3" w14:textId="53E0E7F0"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Total Helobioma</w:t>
            </w:r>
          </w:p>
        </w:tc>
        <w:tc>
          <w:tcPr>
            <w:tcW w:w="642" w:type="pct"/>
            <w:noWrap/>
            <w:hideMark/>
          </w:tcPr>
          <w:p w14:paraId="19D7E16B" w14:textId="2B1A3D86"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31</w:t>
            </w:r>
            <w:r w:rsidR="00BD0972" w:rsidRPr="00131EED">
              <w:rPr>
                <w:rFonts w:cs="Calibri"/>
                <w:b/>
                <w:color w:val="000000"/>
                <w:sz w:val="20"/>
                <w:szCs w:val="20"/>
                <w:lang w:eastAsia="en-US"/>
              </w:rPr>
              <w:t>.</w:t>
            </w:r>
            <w:r w:rsidRPr="00131EED">
              <w:rPr>
                <w:rFonts w:cs="Calibri"/>
                <w:b/>
                <w:color w:val="000000"/>
                <w:sz w:val="20"/>
                <w:szCs w:val="20"/>
                <w:lang w:eastAsia="en-US"/>
              </w:rPr>
              <w:t>751</w:t>
            </w:r>
          </w:p>
        </w:tc>
        <w:tc>
          <w:tcPr>
            <w:tcW w:w="509" w:type="pct"/>
            <w:noWrap/>
            <w:hideMark/>
          </w:tcPr>
          <w:p w14:paraId="09EF76CE"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7,42%</w:t>
            </w:r>
          </w:p>
        </w:tc>
      </w:tr>
      <w:tr w:rsidR="00BC2B70" w:rsidRPr="00131EED" w14:paraId="0672A153" w14:textId="77777777" w:rsidTr="006C79E8">
        <w:trPr>
          <w:trHeight w:val="270"/>
        </w:trPr>
        <w:tc>
          <w:tcPr>
            <w:tcW w:w="1042" w:type="pct"/>
            <w:vMerge/>
            <w:noWrap/>
            <w:hideMark/>
          </w:tcPr>
          <w:p w14:paraId="107E7879" w14:textId="77777777" w:rsidR="00BC2B70" w:rsidRPr="00131EED" w:rsidRDefault="00BC2B70" w:rsidP="00C861DF">
            <w:pPr>
              <w:jc w:val="left"/>
              <w:rPr>
                <w:rFonts w:cs="Calibri"/>
                <w:b/>
                <w:color w:val="000000"/>
                <w:sz w:val="20"/>
                <w:szCs w:val="20"/>
                <w:lang w:eastAsia="en-US"/>
              </w:rPr>
            </w:pPr>
          </w:p>
        </w:tc>
        <w:tc>
          <w:tcPr>
            <w:tcW w:w="888" w:type="pct"/>
            <w:noWrap/>
            <w:hideMark/>
          </w:tcPr>
          <w:p w14:paraId="5EE07B71"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Hidrobioma</w:t>
            </w:r>
          </w:p>
        </w:tc>
        <w:tc>
          <w:tcPr>
            <w:tcW w:w="1919" w:type="pct"/>
            <w:noWrap/>
            <w:hideMark/>
          </w:tcPr>
          <w:p w14:paraId="64EC94CF"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Cuerpo de Agua Artificial</w:t>
            </w:r>
          </w:p>
        </w:tc>
        <w:tc>
          <w:tcPr>
            <w:tcW w:w="642" w:type="pct"/>
            <w:noWrap/>
            <w:hideMark/>
          </w:tcPr>
          <w:p w14:paraId="6315C594"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890</w:t>
            </w:r>
          </w:p>
        </w:tc>
        <w:tc>
          <w:tcPr>
            <w:tcW w:w="509" w:type="pct"/>
            <w:noWrap/>
            <w:hideMark/>
          </w:tcPr>
          <w:p w14:paraId="5549ACAF"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0,21%</w:t>
            </w:r>
          </w:p>
        </w:tc>
      </w:tr>
      <w:tr w:rsidR="00BC2B70" w:rsidRPr="00131EED" w14:paraId="3240F867" w14:textId="77777777" w:rsidTr="006C79E8">
        <w:trPr>
          <w:trHeight w:val="270"/>
        </w:trPr>
        <w:tc>
          <w:tcPr>
            <w:tcW w:w="1042" w:type="pct"/>
            <w:vMerge/>
            <w:noWrap/>
            <w:hideMark/>
          </w:tcPr>
          <w:p w14:paraId="76A3A845" w14:textId="77777777" w:rsidR="00BC2B70" w:rsidRPr="00131EED" w:rsidRDefault="00BC2B70" w:rsidP="00C861DF">
            <w:pPr>
              <w:jc w:val="left"/>
              <w:rPr>
                <w:rFonts w:cs="Calibri"/>
                <w:color w:val="000000"/>
                <w:sz w:val="20"/>
                <w:szCs w:val="20"/>
                <w:lang w:eastAsia="en-US"/>
              </w:rPr>
            </w:pPr>
          </w:p>
        </w:tc>
        <w:tc>
          <w:tcPr>
            <w:tcW w:w="2807" w:type="pct"/>
            <w:gridSpan w:val="2"/>
            <w:noWrap/>
            <w:hideMark/>
          </w:tcPr>
          <w:p w14:paraId="3711B922" w14:textId="17DC3DBB"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Total Hidrobioma</w:t>
            </w:r>
          </w:p>
        </w:tc>
        <w:tc>
          <w:tcPr>
            <w:tcW w:w="642" w:type="pct"/>
            <w:noWrap/>
            <w:hideMark/>
          </w:tcPr>
          <w:p w14:paraId="3DF81B81"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890</w:t>
            </w:r>
          </w:p>
        </w:tc>
        <w:tc>
          <w:tcPr>
            <w:tcW w:w="509" w:type="pct"/>
            <w:noWrap/>
            <w:hideMark/>
          </w:tcPr>
          <w:p w14:paraId="7243E8A5"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0,21%</w:t>
            </w:r>
          </w:p>
        </w:tc>
      </w:tr>
      <w:tr w:rsidR="00BC2B70" w:rsidRPr="00131EED" w14:paraId="66370AF7" w14:textId="77777777" w:rsidTr="006C79E8">
        <w:trPr>
          <w:trHeight w:val="270"/>
        </w:trPr>
        <w:tc>
          <w:tcPr>
            <w:tcW w:w="1042" w:type="pct"/>
            <w:vMerge/>
            <w:noWrap/>
            <w:hideMark/>
          </w:tcPr>
          <w:p w14:paraId="01866801" w14:textId="77777777" w:rsidR="00BC2B70" w:rsidRPr="00131EED" w:rsidRDefault="00BC2B70" w:rsidP="00C861DF">
            <w:pPr>
              <w:jc w:val="left"/>
              <w:rPr>
                <w:rFonts w:cs="Calibri"/>
                <w:b/>
                <w:color w:val="000000"/>
                <w:sz w:val="20"/>
                <w:szCs w:val="20"/>
                <w:lang w:eastAsia="en-US"/>
              </w:rPr>
            </w:pPr>
          </w:p>
        </w:tc>
        <w:tc>
          <w:tcPr>
            <w:tcW w:w="888" w:type="pct"/>
            <w:vMerge w:val="restart"/>
            <w:noWrap/>
            <w:hideMark/>
          </w:tcPr>
          <w:p w14:paraId="1C50A703"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Orobioma Andino</w:t>
            </w:r>
          </w:p>
        </w:tc>
        <w:tc>
          <w:tcPr>
            <w:tcW w:w="1919" w:type="pct"/>
            <w:noWrap/>
            <w:hideMark/>
          </w:tcPr>
          <w:p w14:paraId="5D23DDDB"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de Cultivos Permanentes</w:t>
            </w:r>
          </w:p>
        </w:tc>
        <w:tc>
          <w:tcPr>
            <w:tcW w:w="642" w:type="pct"/>
            <w:noWrap/>
            <w:hideMark/>
          </w:tcPr>
          <w:p w14:paraId="4402EFA4" w14:textId="09A7DD71"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1</w:t>
            </w:r>
            <w:r w:rsidR="00BD0972" w:rsidRPr="00131EED">
              <w:rPr>
                <w:rFonts w:cs="Calibri"/>
                <w:color w:val="000000"/>
                <w:sz w:val="20"/>
                <w:szCs w:val="20"/>
                <w:lang w:eastAsia="en-US"/>
              </w:rPr>
              <w:t>.</w:t>
            </w:r>
            <w:r w:rsidRPr="00131EED">
              <w:rPr>
                <w:rFonts w:cs="Calibri"/>
                <w:color w:val="000000"/>
                <w:sz w:val="20"/>
                <w:szCs w:val="20"/>
                <w:lang w:eastAsia="en-US"/>
              </w:rPr>
              <w:t>526</w:t>
            </w:r>
          </w:p>
        </w:tc>
        <w:tc>
          <w:tcPr>
            <w:tcW w:w="509" w:type="pct"/>
            <w:noWrap/>
            <w:hideMark/>
          </w:tcPr>
          <w:p w14:paraId="3FB036E7"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0,36%</w:t>
            </w:r>
          </w:p>
        </w:tc>
      </w:tr>
      <w:tr w:rsidR="00BC2B70" w:rsidRPr="00131EED" w14:paraId="12FFB1F4" w14:textId="77777777" w:rsidTr="006C79E8">
        <w:trPr>
          <w:trHeight w:val="270"/>
        </w:trPr>
        <w:tc>
          <w:tcPr>
            <w:tcW w:w="1042" w:type="pct"/>
            <w:vMerge/>
            <w:noWrap/>
            <w:hideMark/>
          </w:tcPr>
          <w:p w14:paraId="68AC97C5"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40474BF0" w14:textId="77777777" w:rsidR="00BC2B70" w:rsidRPr="00131EED" w:rsidRDefault="00BC2B70" w:rsidP="00C861DF">
            <w:pPr>
              <w:jc w:val="left"/>
              <w:rPr>
                <w:sz w:val="20"/>
                <w:szCs w:val="20"/>
                <w:lang w:eastAsia="en-US"/>
              </w:rPr>
            </w:pPr>
          </w:p>
        </w:tc>
        <w:tc>
          <w:tcPr>
            <w:tcW w:w="1919" w:type="pct"/>
            <w:noWrap/>
            <w:hideMark/>
          </w:tcPr>
          <w:p w14:paraId="0A391B32"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de Cultivos Transitorios</w:t>
            </w:r>
          </w:p>
        </w:tc>
        <w:tc>
          <w:tcPr>
            <w:tcW w:w="642" w:type="pct"/>
            <w:noWrap/>
            <w:hideMark/>
          </w:tcPr>
          <w:p w14:paraId="4BD4FAF2"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40</w:t>
            </w:r>
          </w:p>
        </w:tc>
        <w:tc>
          <w:tcPr>
            <w:tcW w:w="509" w:type="pct"/>
            <w:noWrap/>
            <w:hideMark/>
          </w:tcPr>
          <w:p w14:paraId="44ABEF14"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0,01%</w:t>
            </w:r>
          </w:p>
        </w:tc>
      </w:tr>
      <w:tr w:rsidR="00BC2B70" w:rsidRPr="00131EED" w14:paraId="3446A322" w14:textId="77777777" w:rsidTr="006C79E8">
        <w:trPr>
          <w:trHeight w:val="270"/>
        </w:trPr>
        <w:tc>
          <w:tcPr>
            <w:tcW w:w="1042" w:type="pct"/>
            <w:vMerge/>
            <w:noWrap/>
            <w:hideMark/>
          </w:tcPr>
          <w:p w14:paraId="765A8F64"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0B3BE08C" w14:textId="77777777" w:rsidR="00BC2B70" w:rsidRPr="00131EED" w:rsidRDefault="00BC2B70" w:rsidP="00C861DF">
            <w:pPr>
              <w:jc w:val="left"/>
              <w:rPr>
                <w:sz w:val="20"/>
                <w:szCs w:val="20"/>
                <w:lang w:eastAsia="en-US"/>
              </w:rPr>
            </w:pPr>
          </w:p>
        </w:tc>
        <w:tc>
          <w:tcPr>
            <w:tcW w:w="1919" w:type="pct"/>
            <w:noWrap/>
            <w:hideMark/>
          </w:tcPr>
          <w:p w14:paraId="13222005"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de Mosaico de Cultivos y Espacios Naturales</w:t>
            </w:r>
          </w:p>
        </w:tc>
        <w:tc>
          <w:tcPr>
            <w:tcW w:w="642" w:type="pct"/>
            <w:noWrap/>
            <w:hideMark/>
          </w:tcPr>
          <w:p w14:paraId="1F332C65"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51</w:t>
            </w:r>
          </w:p>
        </w:tc>
        <w:tc>
          <w:tcPr>
            <w:tcW w:w="509" w:type="pct"/>
            <w:noWrap/>
            <w:hideMark/>
          </w:tcPr>
          <w:p w14:paraId="093AEA99"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0,01%</w:t>
            </w:r>
          </w:p>
        </w:tc>
      </w:tr>
      <w:tr w:rsidR="00BC2B70" w:rsidRPr="00131EED" w14:paraId="5114E4DD" w14:textId="77777777" w:rsidTr="006C79E8">
        <w:trPr>
          <w:trHeight w:val="270"/>
        </w:trPr>
        <w:tc>
          <w:tcPr>
            <w:tcW w:w="1042" w:type="pct"/>
            <w:vMerge/>
            <w:noWrap/>
            <w:hideMark/>
          </w:tcPr>
          <w:p w14:paraId="14ED27FF"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6924108A" w14:textId="77777777" w:rsidR="00BC2B70" w:rsidRPr="00131EED" w:rsidRDefault="00BC2B70" w:rsidP="00C861DF">
            <w:pPr>
              <w:jc w:val="left"/>
              <w:rPr>
                <w:sz w:val="20"/>
                <w:szCs w:val="20"/>
                <w:lang w:eastAsia="en-US"/>
              </w:rPr>
            </w:pPr>
          </w:p>
        </w:tc>
        <w:tc>
          <w:tcPr>
            <w:tcW w:w="1919" w:type="pct"/>
            <w:noWrap/>
            <w:hideMark/>
          </w:tcPr>
          <w:p w14:paraId="279B7319"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de Mosaico de Cultivos y Pastos</w:t>
            </w:r>
          </w:p>
        </w:tc>
        <w:tc>
          <w:tcPr>
            <w:tcW w:w="642" w:type="pct"/>
            <w:noWrap/>
            <w:hideMark/>
          </w:tcPr>
          <w:p w14:paraId="119B4E51" w14:textId="351C7ECB"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54</w:t>
            </w:r>
            <w:r w:rsidR="00BD0972" w:rsidRPr="00131EED">
              <w:rPr>
                <w:rFonts w:cs="Calibri"/>
                <w:color w:val="000000"/>
                <w:sz w:val="20"/>
                <w:szCs w:val="20"/>
                <w:lang w:eastAsia="en-US"/>
              </w:rPr>
              <w:t>.</w:t>
            </w:r>
            <w:r w:rsidRPr="00131EED">
              <w:rPr>
                <w:rFonts w:cs="Calibri"/>
                <w:color w:val="000000"/>
                <w:sz w:val="20"/>
                <w:szCs w:val="20"/>
                <w:lang w:eastAsia="en-US"/>
              </w:rPr>
              <w:t>488</w:t>
            </w:r>
          </w:p>
        </w:tc>
        <w:tc>
          <w:tcPr>
            <w:tcW w:w="509" w:type="pct"/>
            <w:noWrap/>
            <w:hideMark/>
          </w:tcPr>
          <w:p w14:paraId="0E1830CD"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12,73%</w:t>
            </w:r>
          </w:p>
        </w:tc>
      </w:tr>
      <w:tr w:rsidR="00BC2B70" w:rsidRPr="00131EED" w14:paraId="2B30F171" w14:textId="77777777" w:rsidTr="006C79E8">
        <w:trPr>
          <w:trHeight w:val="270"/>
        </w:trPr>
        <w:tc>
          <w:tcPr>
            <w:tcW w:w="1042" w:type="pct"/>
            <w:vMerge/>
            <w:noWrap/>
            <w:hideMark/>
          </w:tcPr>
          <w:p w14:paraId="299CDB90"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019FDEA9" w14:textId="77777777" w:rsidR="00BC2B70" w:rsidRPr="00131EED" w:rsidRDefault="00BC2B70" w:rsidP="00C861DF">
            <w:pPr>
              <w:jc w:val="left"/>
              <w:rPr>
                <w:sz w:val="20"/>
                <w:szCs w:val="20"/>
                <w:lang w:eastAsia="en-US"/>
              </w:rPr>
            </w:pPr>
          </w:p>
        </w:tc>
        <w:tc>
          <w:tcPr>
            <w:tcW w:w="1919" w:type="pct"/>
            <w:noWrap/>
            <w:hideMark/>
          </w:tcPr>
          <w:p w14:paraId="6D2DA779"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de Mosaico de Cultivos, Pastos y Espacios Naturales</w:t>
            </w:r>
          </w:p>
        </w:tc>
        <w:tc>
          <w:tcPr>
            <w:tcW w:w="642" w:type="pct"/>
            <w:noWrap/>
            <w:hideMark/>
          </w:tcPr>
          <w:p w14:paraId="0B7EC200" w14:textId="0F58D63E"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5</w:t>
            </w:r>
            <w:r w:rsidR="00BD0972" w:rsidRPr="00131EED">
              <w:rPr>
                <w:rFonts w:cs="Calibri"/>
                <w:color w:val="000000"/>
                <w:sz w:val="20"/>
                <w:szCs w:val="20"/>
                <w:lang w:eastAsia="en-US"/>
              </w:rPr>
              <w:t>.</w:t>
            </w:r>
            <w:r w:rsidRPr="00131EED">
              <w:rPr>
                <w:rFonts w:cs="Calibri"/>
                <w:color w:val="000000"/>
                <w:sz w:val="20"/>
                <w:szCs w:val="20"/>
                <w:lang w:eastAsia="en-US"/>
              </w:rPr>
              <w:t>656</w:t>
            </w:r>
          </w:p>
        </w:tc>
        <w:tc>
          <w:tcPr>
            <w:tcW w:w="509" w:type="pct"/>
            <w:noWrap/>
            <w:hideMark/>
          </w:tcPr>
          <w:p w14:paraId="18E52E61"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1,32%</w:t>
            </w:r>
          </w:p>
        </w:tc>
      </w:tr>
      <w:tr w:rsidR="00BC2B70" w:rsidRPr="00131EED" w14:paraId="6981A990" w14:textId="77777777" w:rsidTr="006C79E8">
        <w:trPr>
          <w:trHeight w:val="270"/>
        </w:trPr>
        <w:tc>
          <w:tcPr>
            <w:tcW w:w="1042" w:type="pct"/>
            <w:vMerge/>
            <w:noWrap/>
            <w:hideMark/>
          </w:tcPr>
          <w:p w14:paraId="0FAB4A5B"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3950316B" w14:textId="77777777" w:rsidR="00BC2B70" w:rsidRPr="00131EED" w:rsidRDefault="00BC2B70" w:rsidP="00C861DF">
            <w:pPr>
              <w:jc w:val="left"/>
              <w:rPr>
                <w:sz w:val="20"/>
                <w:szCs w:val="20"/>
                <w:lang w:eastAsia="en-US"/>
              </w:rPr>
            </w:pPr>
          </w:p>
        </w:tc>
        <w:tc>
          <w:tcPr>
            <w:tcW w:w="1919" w:type="pct"/>
            <w:noWrap/>
            <w:hideMark/>
          </w:tcPr>
          <w:p w14:paraId="54849DBA"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de Mosaico de Pastos y Espacios Naturales</w:t>
            </w:r>
          </w:p>
        </w:tc>
        <w:tc>
          <w:tcPr>
            <w:tcW w:w="642" w:type="pct"/>
            <w:noWrap/>
            <w:hideMark/>
          </w:tcPr>
          <w:p w14:paraId="7EA3C9D3" w14:textId="2A525245"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5</w:t>
            </w:r>
            <w:r w:rsidR="00BD0972" w:rsidRPr="00131EED">
              <w:rPr>
                <w:rFonts w:cs="Calibri"/>
                <w:color w:val="000000"/>
                <w:sz w:val="20"/>
                <w:szCs w:val="20"/>
                <w:lang w:eastAsia="en-US"/>
              </w:rPr>
              <w:t>.</w:t>
            </w:r>
            <w:r w:rsidRPr="00131EED">
              <w:rPr>
                <w:rFonts w:cs="Calibri"/>
                <w:color w:val="000000"/>
                <w:sz w:val="20"/>
                <w:szCs w:val="20"/>
                <w:lang w:eastAsia="en-US"/>
              </w:rPr>
              <w:t>315</w:t>
            </w:r>
          </w:p>
        </w:tc>
        <w:tc>
          <w:tcPr>
            <w:tcW w:w="509" w:type="pct"/>
            <w:noWrap/>
            <w:hideMark/>
          </w:tcPr>
          <w:p w14:paraId="6C829B03"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1,24%</w:t>
            </w:r>
          </w:p>
        </w:tc>
      </w:tr>
      <w:tr w:rsidR="00BC2B70" w:rsidRPr="00131EED" w14:paraId="3BF98182" w14:textId="77777777" w:rsidTr="006C79E8">
        <w:trPr>
          <w:trHeight w:val="270"/>
        </w:trPr>
        <w:tc>
          <w:tcPr>
            <w:tcW w:w="1042" w:type="pct"/>
            <w:vMerge/>
            <w:noWrap/>
            <w:hideMark/>
          </w:tcPr>
          <w:p w14:paraId="2E52F3AC"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3F5AD8B6" w14:textId="77777777" w:rsidR="00BC2B70" w:rsidRPr="00131EED" w:rsidRDefault="00BC2B70" w:rsidP="00C861DF">
            <w:pPr>
              <w:jc w:val="left"/>
              <w:rPr>
                <w:sz w:val="20"/>
                <w:szCs w:val="20"/>
                <w:lang w:eastAsia="en-US"/>
              </w:rPr>
            </w:pPr>
          </w:p>
        </w:tc>
        <w:tc>
          <w:tcPr>
            <w:tcW w:w="1919" w:type="pct"/>
            <w:noWrap/>
            <w:hideMark/>
          </w:tcPr>
          <w:p w14:paraId="1B38A60C"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Forestal</w:t>
            </w:r>
          </w:p>
        </w:tc>
        <w:tc>
          <w:tcPr>
            <w:tcW w:w="642" w:type="pct"/>
            <w:noWrap/>
            <w:hideMark/>
          </w:tcPr>
          <w:p w14:paraId="6746CB5C" w14:textId="110BF394"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6</w:t>
            </w:r>
            <w:r w:rsidR="00BD0972" w:rsidRPr="00131EED">
              <w:rPr>
                <w:rFonts w:cs="Calibri"/>
                <w:color w:val="000000"/>
                <w:sz w:val="20"/>
                <w:szCs w:val="20"/>
                <w:lang w:eastAsia="en-US"/>
              </w:rPr>
              <w:t>.</w:t>
            </w:r>
            <w:r w:rsidRPr="00131EED">
              <w:rPr>
                <w:rFonts w:cs="Calibri"/>
                <w:color w:val="000000"/>
                <w:sz w:val="20"/>
                <w:szCs w:val="20"/>
                <w:lang w:eastAsia="en-US"/>
              </w:rPr>
              <w:t>091</w:t>
            </w:r>
          </w:p>
        </w:tc>
        <w:tc>
          <w:tcPr>
            <w:tcW w:w="509" w:type="pct"/>
            <w:noWrap/>
            <w:hideMark/>
          </w:tcPr>
          <w:p w14:paraId="21F480AF"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1,42%</w:t>
            </w:r>
          </w:p>
        </w:tc>
      </w:tr>
      <w:tr w:rsidR="00BC2B70" w:rsidRPr="00131EED" w14:paraId="7B43C916" w14:textId="77777777" w:rsidTr="006C79E8">
        <w:trPr>
          <w:trHeight w:val="270"/>
        </w:trPr>
        <w:tc>
          <w:tcPr>
            <w:tcW w:w="1042" w:type="pct"/>
            <w:vMerge/>
            <w:noWrap/>
            <w:hideMark/>
          </w:tcPr>
          <w:p w14:paraId="6DEA1A16"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48F7B13B" w14:textId="77777777" w:rsidR="00BC2B70" w:rsidRPr="00131EED" w:rsidRDefault="00BC2B70" w:rsidP="00C861DF">
            <w:pPr>
              <w:jc w:val="left"/>
              <w:rPr>
                <w:sz w:val="20"/>
                <w:szCs w:val="20"/>
                <w:lang w:eastAsia="en-US"/>
              </w:rPr>
            </w:pPr>
          </w:p>
        </w:tc>
        <w:tc>
          <w:tcPr>
            <w:tcW w:w="1919" w:type="pct"/>
            <w:noWrap/>
            <w:hideMark/>
          </w:tcPr>
          <w:p w14:paraId="61570C5C"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Ganadero</w:t>
            </w:r>
          </w:p>
        </w:tc>
        <w:tc>
          <w:tcPr>
            <w:tcW w:w="642" w:type="pct"/>
            <w:noWrap/>
            <w:hideMark/>
          </w:tcPr>
          <w:p w14:paraId="6381FCC9" w14:textId="6A4E8B6A"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42</w:t>
            </w:r>
            <w:r w:rsidR="00BD0972" w:rsidRPr="00131EED">
              <w:rPr>
                <w:rFonts w:cs="Calibri"/>
                <w:color w:val="000000"/>
                <w:sz w:val="20"/>
                <w:szCs w:val="20"/>
                <w:lang w:eastAsia="en-US"/>
              </w:rPr>
              <w:t>.</w:t>
            </w:r>
            <w:r w:rsidRPr="00131EED">
              <w:rPr>
                <w:rFonts w:cs="Calibri"/>
                <w:color w:val="000000"/>
                <w:sz w:val="20"/>
                <w:szCs w:val="20"/>
                <w:lang w:eastAsia="en-US"/>
              </w:rPr>
              <w:t>928</w:t>
            </w:r>
          </w:p>
        </w:tc>
        <w:tc>
          <w:tcPr>
            <w:tcW w:w="509" w:type="pct"/>
            <w:noWrap/>
            <w:hideMark/>
          </w:tcPr>
          <w:p w14:paraId="0CCBA348"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10,03%</w:t>
            </w:r>
          </w:p>
        </w:tc>
      </w:tr>
      <w:tr w:rsidR="00BC2B70" w:rsidRPr="00131EED" w14:paraId="736B5DCD" w14:textId="77777777" w:rsidTr="006C79E8">
        <w:trPr>
          <w:trHeight w:val="270"/>
        </w:trPr>
        <w:tc>
          <w:tcPr>
            <w:tcW w:w="1042" w:type="pct"/>
            <w:vMerge/>
            <w:noWrap/>
            <w:hideMark/>
          </w:tcPr>
          <w:p w14:paraId="72863937"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224DE64C" w14:textId="77777777" w:rsidR="00BC2B70" w:rsidRPr="00131EED" w:rsidRDefault="00BC2B70" w:rsidP="00C861DF">
            <w:pPr>
              <w:jc w:val="left"/>
              <w:rPr>
                <w:sz w:val="20"/>
                <w:szCs w:val="20"/>
                <w:lang w:eastAsia="en-US"/>
              </w:rPr>
            </w:pPr>
          </w:p>
        </w:tc>
        <w:tc>
          <w:tcPr>
            <w:tcW w:w="1919" w:type="pct"/>
            <w:noWrap/>
            <w:hideMark/>
          </w:tcPr>
          <w:p w14:paraId="2188BA11"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Papero</w:t>
            </w:r>
          </w:p>
        </w:tc>
        <w:tc>
          <w:tcPr>
            <w:tcW w:w="642" w:type="pct"/>
            <w:noWrap/>
            <w:hideMark/>
          </w:tcPr>
          <w:p w14:paraId="1556EA75" w14:textId="0CA7BD6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3</w:t>
            </w:r>
            <w:r w:rsidR="00BD0972" w:rsidRPr="00131EED">
              <w:rPr>
                <w:rFonts w:cs="Calibri"/>
                <w:color w:val="000000"/>
                <w:sz w:val="20"/>
                <w:szCs w:val="20"/>
                <w:lang w:eastAsia="en-US"/>
              </w:rPr>
              <w:t>.</w:t>
            </w:r>
            <w:r w:rsidRPr="00131EED">
              <w:rPr>
                <w:rFonts w:cs="Calibri"/>
                <w:color w:val="000000"/>
                <w:sz w:val="20"/>
                <w:szCs w:val="20"/>
                <w:lang w:eastAsia="en-US"/>
              </w:rPr>
              <w:t>485</w:t>
            </w:r>
          </w:p>
        </w:tc>
        <w:tc>
          <w:tcPr>
            <w:tcW w:w="509" w:type="pct"/>
            <w:noWrap/>
            <w:hideMark/>
          </w:tcPr>
          <w:p w14:paraId="426D3A88"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0,81%</w:t>
            </w:r>
          </w:p>
        </w:tc>
      </w:tr>
      <w:tr w:rsidR="00BC2B70" w:rsidRPr="00131EED" w14:paraId="40A2CD1B" w14:textId="77777777" w:rsidTr="006C79E8">
        <w:trPr>
          <w:trHeight w:val="270"/>
        </w:trPr>
        <w:tc>
          <w:tcPr>
            <w:tcW w:w="1042" w:type="pct"/>
            <w:vMerge/>
            <w:noWrap/>
            <w:hideMark/>
          </w:tcPr>
          <w:p w14:paraId="78FA7EF9"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3CE62040" w14:textId="77777777" w:rsidR="00BC2B70" w:rsidRPr="00131EED" w:rsidRDefault="00BC2B70" w:rsidP="00C861DF">
            <w:pPr>
              <w:jc w:val="left"/>
              <w:rPr>
                <w:sz w:val="20"/>
                <w:szCs w:val="20"/>
                <w:lang w:eastAsia="en-US"/>
              </w:rPr>
            </w:pPr>
          </w:p>
        </w:tc>
        <w:tc>
          <w:tcPr>
            <w:tcW w:w="1919" w:type="pct"/>
            <w:noWrap/>
            <w:hideMark/>
          </w:tcPr>
          <w:p w14:paraId="63701296"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Bosque Fragmentado con Pastos y Cultivos</w:t>
            </w:r>
          </w:p>
        </w:tc>
        <w:tc>
          <w:tcPr>
            <w:tcW w:w="642" w:type="pct"/>
            <w:noWrap/>
            <w:hideMark/>
          </w:tcPr>
          <w:p w14:paraId="5D85EE70"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65</w:t>
            </w:r>
          </w:p>
        </w:tc>
        <w:tc>
          <w:tcPr>
            <w:tcW w:w="509" w:type="pct"/>
            <w:noWrap/>
            <w:hideMark/>
          </w:tcPr>
          <w:p w14:paraId="761938BE"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0,02%</w:t>
            </w:r>
          </w:p>
        </w:tc>
      </w:tr>
      <w:tr w:rsidR="00BC2B70" w:rsidRPr="00131EED" w14:paraId="3F654E6A" w14:textId="77777777" w:rsidTr="006C79E8">
        <w:trPr>
          <w:trHeight w:val="270"/>
        </w:trPr>
        <w:tc>
          <w:tcPr>
            <w:tcW w:w="1042" w:type="pct"/>
            <w:vMerge/>
            <w:noWrap/>
            <w:hideMark/>
          </w:tcPr>
          <w:p w14:paraId="40A356DB"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5547E56D" w14:textId="77777777" w:rsidR="00BC2B70" w:rsidRPr="00131EED" w:rsidRDefault="00BC2B70" w:rsidP="00C861DF">
            <w:pPr>
              <w:jc w:val="left"/>
              <w:rPr>
                <w:sz w:val="20"/>
                <w:szCs w:val="20"/>
                <w:lang w:eastAsia="en-US"/>
              </w:rPr>
            </w:pPr>
          </w:p>
        </w:tc>
        <w:tc>
          <w:tcPr>
            <w:tcW w:w="1919" w:type="pct"/>
            <w:noWrap/>
            <w:hideMark/>
          </w:tcPr>
          <w:p w14:paraId="42396695"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Bosque Fragmentado con Vegetacion Secundaria</w:t>
            </w:r>
          </w:p>
        </w:tc>
        <w:tc>
          <w:tcPr>
            <w:tcW w:w="642" w:type="pct"/>
            <w:noWrap/>
            <w:hideMark/>
          </w:tcPr>
          <w:p w14:paraId="2F212FC2"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102</w:t>
            </w:r>
          </w:p>
        </w:tc>
        <w:tc>
          <w:tcPr>
            <w:tcW w:w="509" w:type="pct"/>
            <w:noWrap/>
            <w:hideMark/>
          </w:tcPr>
          <w:p w14:paraId="2731DFD9"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0,02%</w:t>
            </w:r>
          </w:p>
        </w:tc>
      </w:tr>
      <w:tr w:rsidR="00BC2B70" w:rsidRPr="00131EED" w14:paraId="68E2D43C" w14:textId="77777777" w:rsidTr="006C79E8">
        <w:trPr>
          <w:trHeight w:val="270"/>
        </w:trPr>
        <w:tc>
          <w:tcPr>
            <w:tcW w:w="1042" w:type="pct"/>
            <w:vMerge/>
            <w:noWrap/>
            <w:hideMark/>
          </w:tcPr>
          <w:p w14:paraId="2C7E1665"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7C2DEB04" w14:textId="77777777" w:rsidR="00BC2B70" w:rsidRPr="00131EED" w:rsidRDefault="00BC2B70" w:rsidP="00C861DF">
            <w:pPr>
              <w:jc w:val="left"/>
              <w:rPr>
                <w:sz w:val="20"/>
                <w:szCs w:val="20"/>
                <w:lang w:eastAsia="en-US"/>
              </w:rPr>
            </w:pPr>
          </w:p>
        </w:tc>
        <w:tc>
          <w:tcPr>
            <w:tcW w:w="1919" w:type="pct"/>
            <w:noWrap/>
            <w:hideMark/>
          </w:tcPr>
          <w:p w14:paraId="089DFFDA"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Territorio Artificializado</w:t>
            </w:r>
          </w:p>
        </w:tc>
        <w:tc>
          <w:tcPr>
            <w:tcW w:w="642" w:type="pct"/>
            <w:noWrap/>
            <w:hideMark/>
          </w:tcPr>
          <w:p w14:paraId="306D0A5D" w14:textId="0AF33506"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26</w:t>
            </w:r>
            <w:r w:rsidR="00BD0972" w:rsidRPr="00131EED">
              <w:rPr>
                <w:rFonts w:cs="Calibri"/>
                <w:color w:val="000000"/>
                <w:sz w:val="20"/>
                <w:szCs w:val="20"/>
                <w:lang w:eastAsia="en-US"/>
              </w:rPr>
              <w:t>.</w:t>
            </w:r>
            <w:r w:rsidRPr="00131EED">
              <w:rPr>
                <w:rFonts w:cs="Calibri"/>
                <w:color w:val="000000"/>
                <w:sz w:val="20"/>
                <w:szCs w:val="20"/>
                <w:lang w:eastAsia="en-US"/>
              </w:rPr>
              <w:t>807</w:t>
            </w:r>
          </w:p>
        </w:tc>
        <w:tc>
          <w:tcPr>
            <w:tcW w:w="509" w:type="pct"/>
            <w:noWrap/>
            <w:hideMark/>
          </w:tcPr>
          <w:p w14:paraId="62336627"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6,26%</w:t>
            </w:r>
          </w:p>
        </w:tc>
      </w:tr>
      <w:tr w:rsidR="00BC2B70" w:rsidRPr="00131EED" w14:paraId="4EE61225" w14:textId="77777777" w:rsidTr="006C79E8">
        <w:trPr>
          <w:trHeight w:val="270"/>
        </w:trPr>
        <w:tc>
          <w:tcPr>
            <w:tcW w:w="1042" w:type="pct"/>
            <w:vMerge/>
            <w:noWrap/>
            <w:hideMark/>
          </w:tcPr>
          <w:p w14:paraId="60F4FB7B"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316076ED" w14:textId="77777777" w:rsidR="00BC2B70" w:rsidRPr="00131EED" w:rsidRDefault="00BC2B70" w:rsidP="00C861DF">
            <w:pPr>
              <w:jc w:val="left"/>
              <w:rPr>
                <w:sz w:val="20"/>
                <w:szCs w:val="20"/>
                <w:lang w:eastAsia="en-US"/>
              </w:rPr>
            </w:pPr>
          </w:p>
        </w:tc>
        <w:tc>
          <w:tcPr>
            <w:tcW w:w="1919" w:type="pct"/>
            <w:noWrap/>
            <w:hideMark/>
          </w:tcPr>
          <w:p w14:paraId="5CBF2262" w14:textId="1B9AB8C4" w:rsidR="00BC2B70" w:rsidRPr="00131EED" w:rsidRDefault="00C861DF" w:rsidP="00C861DF">
            <w:pPr>
              <w:jc w:val="left"/>
              <w:rPr>
                <w:rFonts w:cs="Calibri"/>
                <w:color w:val="000000"/>
                <w:sz w:val="20"/>
                <w:szCs w:val="20"/>
                <w:lang w:eastAsia="en-US"/>
              </w:rPr>
            </w:pPr>
            <w:r w:rsidRPr="00131EED">
              <w:rPr>
                <w:rFonts w:cs="Calibri"/>
                <w:color w:val="000000"/>
                <w:sz w:val="20"/>
                <w:szCs w:val="20"/>
                <w:lang w:eastAsia="en-US"/>
              </w:rPr>
              <w:t>Vegetació</w:t>
            </w:r>
            <w:r w:rsidR="00BC2B70" w:rsidRPr="00131EED">
              <w:rPr>
                <w:rFonts w:cs="Calibri"/>
                <w:color w:val="000000"/>
                <w:sz w:val="20"/>
                <w:szCs w:val="20"/>
                <w:lang w:eastAsia="en-US"/>
              </w:rPr>
              <w:t>n Secundaria</w:t>
            </w:r>
          </w:p>
        </w:tc>
        <w:tc>
          <w:tcPr>
            <w:tcW w:w="642" w:type="pct"/>
            <w:noWrap/>
            <w:hideMark/>
          </w:tcPr>
          <w:p w14:paraId="2B9703F6" w14:textId="7D313BCC"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3</w:t>
            </w:r>
            <w:r w:rsidR="00BD0972" w:rsidRPr="00131EED">
              <w:rPr>
                <w:rFonts w:cs="Calibri"/>
                <w:color w:val="000000"/>
                <w:sz w:val="20"/>
                <w:szCs w:val="20"/>
                <w:lang w:eastAsia="en-US"/>
              </w:rPr>
              <w:t>.</w:t>
            </w:r>
            <w:r w:rsidRPr="00131EED">
              <w:rPr>
                <w:rFonts w:cs="Calibri"/>
                <w:color w:val="000000"/>
                <w:sz w:val="20"/>
                <w:szCs w:val="20"/>
                <w:lang w:eastAsia="en-US"/>
              </w:rPr>
              <w:t>643</w:t>
            </w:r>
          </w:p>
        </w:tc>
        <w:tc>
          <w:tcPr>
            <w:tcW w:w="509" w:type="pct"/>
            <w:noWrap/>
            <w:hideMark/>
          </w:tcPr>
          <w:p w14:paraId="5B7FBF98"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0,85%</w:t>
            </w:r>
          </w:p>
        </w:tc>
      </w:tr>
      <w:tr w:rsidR="00BC2B70" w:rsidRPr="00131EED" w14:paraId="39EA0AF4" w14:textId="77777777" w:rsidTr="006C79E8">
        <w:trPr>
          <w:trHeight w:val="270"/>
        </w:trPr>
        <w:tc>
          <w:tcPr>
            <w:tcW w:w="1042" w:type="pct"/>
            <w:vMerge/>
            <w:noWrap/>
            <w:hideMark/>
          </w:tcPr>
          <w:p w14:paraId="6B52ECCE" w14:textId="77777777" w:rsidR="00BC2B70" w:rsidRPr="00131EED" w:rsidRDefault="00BC2B70" w:rsidP="00C861DF">
            <w:pPr>
              <w:jc w:val="left"/>
              <w:rPr>
                <w:rFonts w:cs="Calibri"/>
                <w:color w:val="000000"/>
                <w:sz w:val="20"/>
                <w:szCs w:val="20"/>
                <w:lang w:eastAsia="en-US"/>
              </w:rPr>
            </w:pPr>
          </w:p>
        </w:tc>
        <w:tc>
          <w:tcPr>
            <w:tcW w:w="2807" w:type="pct"/>
            <w:gridSpan w:val="2"/>
            <w:noWrap/>
            <w:hideMark/>
          </w:tcPr>
          <w:p w14:paraId="0C3EEE17" w14:textId="6B79EE90"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Total Orobioma Andino</w:t>
            </w:r>
          </w:p>
        </w:tc>
        <w:tc>
          <w:tcPr>
            <w:tcW w:w="642" w:type="pct"/>
            <w:noWrap/>
            <w:hideMark/>
          </w:tcPr>
          <w:p w14:paraId="6540B12F" w14:textId="0A78544E"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150</w:t>
            </w:r>
            <w:r w:rsidR="00BD0972" w:rsidRPr="00131EED">
              <w:rPr>
                <w:rFonts w:cs="Calibri"/>
                <w:b/>
                <w:color w:val="000000"/>
                <w:sz w:val="20"/>
                <w:szCs w:val="20"/>
                <w:lang w:eastAsia="en-US"/>
              </w:rPr>
              <w:t>.</w:t>
            </w:r>
            <w:r w:rsidRPr="00131EED">
              <w:rPr>
                <w:rFonts w:cs="Calibri"/>
                <w:b/>
                <w:color w:val="000000"/>
                <w:sz w:val="20"/>
                <w:szCs w:val="20"/>
                <w:lang w:eastAsia="en-US"/>
              </w:rPr>
              <w:t>197</w:t>
            </w:r>
          </w:p>
        </w:tc>
        <w:tc>
          <w:tcPr>
            <w:tcW w:w="509" w:type="pct"/>
            <w:noWrap/>
            <w:hideMark/>
          </w:tcPr>
          <w:p w14:paraId="7DDA4730"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35,09%</w:t>
            </w:r>
          </w:p>
        </w:tc>
      </w:tr>
      <w:tr w:rsidR="00BC2B70" w:rsidRPr="00131EED" w14:paraId="476DEE94" w14:textId="77777777" w:rsidTr="006C79E8">
        <w:trPr>
          <w:trHeight w:val="270"/>
        </w:trPr>
        <w:tc>
          <w:tcPr>
            <w:tcW w:w="1042" w:type="pct"/>
            <w:vMerge/>
            <w:noWrap/>
            <w:hideMark/>
          </w:tcPr>
          <w:p w14:paraId="62B2F8B2" w14:textId="77777777" w:rsidR="00BC2B70" w:rsidRPr="00131EED" w:rsidRDefault="00BC2B70" w:rsidP="00C861DF">
            <w:pPr>
              <w:jc w:val="left"/>
              <w:rPr>
                <w:rFonts w:cs="Calibri"/>
                <w:b/>
                <w:color w:val="000000"/>
                <w:sz w:val="20"/>
                <w:szCs w:val="20"/>
                <w:lang w:eastAsia="en-US"/>
              </w:rPr>
            </w:pPr>
          </w:p>
        </w:tc>
        <w:tc>
          <w:tcPr>
            <w:tcW w:w="888" w:type="pct"/>
            <w:vMerge w:val="restart"/>
            <w:noWrap/>
            <w:hideMark/>
          </w:tcPr>
          <w:p w14:paraId="06FBBE80"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Orobioma Azonal Andino</w:t>
            </w:r>
          </w:p>
        </w:tc>
        <w:tc>
          <w:tcPr>
            <w:tcW w:w="1919" w:type="pct"/>
            <w:noWrap/>
            <w:hideMark/>
          </w:tcPr>
          <w:p w14:paraId="02C7F551"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de Cultivos Permanentes</w:t>
            </w:r>
          </w:p>
        </w:tc>
        <w:tc>
          <w:tcPr>
            <w:tcW w:w="642" w:type="pct"/>
            <w:noWrap/>
            <w:hideMark/>
          </w:tcPr>
          <w:p w14:paraId="4C1ADC79" w14:textId="4931AD71"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4</w:t>
            </w:r>
            <w:r w:rsidR="00BD0972" w:rsidRPr="00131EED">
              <w:rPr>
                <w:rFonts w:cs="Calibri"/>
                <w:color w:val="000000"/>
                <w:sz w:val="20"/>
                <w:szCs w:val="20"/>
                <w:lang w:eastAsia="en-US"/>
              </w:rPr>
              <w:t>.</w:t>
            </w:r>
            <w:r w:rsidRPr="00131EED">
              <w:rPr>
                <w:rFonts w:cs="Calibri"/>
                <w:color w:val="000000"/>
                <w:sz w:val="20"/>
                <w:szCs w:val="20"/>
                <w:lang w:eastAsia="en-US"/>
              </w:rPr>
              <w:t>151</w:t>
            </w:r>
          </w:p>
        </w:tc>
        <w:tc>
          <w:tcPr>
            <w:tcW w:w="509" w:type="pct"/>
            <w:noWrap/>
            <w:hideMark/>
          </w:tcPr>
          <w:p w14:paraId="3D88E2B4"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0,97%</w:t>
            </w:r>
          </w:p>
        </w:tc>
      </w:tr>
      <w:tr w:rsidR="00BC2B70" w:rsidRPr="00131EED" w14:paraId="3DF879B8" w14:textId="77777777" w:rsidTr="006C79E8">
        <w:trPr>
          <w:trHeight w:val="270"/>
        </w:trPr>
        <w:tc>
          <w:tcPr>
            <w:tcW w:w="1042" w:type="pct"/>
            <w:vMerge/>
            <w:noWrap/>
            <w:hideMark/>
          </w:tcPr>
          <w:p w14:paraId="5F667FC7"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7A40D13A" w14:textId="77777777" w:rsidR="00BC2B70" w:rsidRPr="00131EED" w:rsidRDefault="00BC2B70" w:rsidP="00C861DF">
            <w:pPr>
              <w:jc w:val="left"/>
              <w:rPr>
                <w:sz w:val="20"/>
                <w:szCs w:val="20"/>
                <w:lang w:eastAsia="en-US"/>
              </w:rPr>
            </w:pPr>
          </w:p>
        </w:tc>
        <w:tc>
          <w:tcPr>
            <w:tcW w:w="1919" w:type="pct"/>
            <w:noWrap/>
            <w:hideMark/>
          </w:tcPr>
          <w:p w14:paraId="23A79968"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de Cultivos Transitorios</w:t>
            </w:r>
          </w:p>
        </w:tc>
        <w:tc>
          <w:tcPr>
            <w:tcW w:w="642" w:type="pct"/>
            <w:noWrap/>
            <w:hideMark/>
          </w:tcPr>
          <w:p w14:paraId="6FB4DDA8"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37</w:t>
            </w:r>
          </w:p>
        </w:tc>
        <w:tc>
          <w:tcPr>
            <w:tcW w:w="509" w:type="pct"/>
            <w:noWrap/>
            <w:hideMark/>
          </w:tcPr>
          <w:p w14:paraId="08A85CB0"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0,01%</w:t>
            </w:r>
          </w:p>
        </w:tc>
      </w:tr>
      <w:tr w:rsidR="00BC2B70" w:rsidRPr="00131EED" w14:paraId="7555F8DD" w14:textId="77777777" w:rsidTr="006C79E8">
        <w:trPr>
          <w:trHeight w:val="270"/>
        </w:trPr>
        <w:tc>
          <w:tcPr>
            <w:tcW w:w="1042" w:type="pct"/>
            <w:vMerge/>
            <w:noWrap/>
            <w:hideMark/>
          </w:tcPr>
          <w:p w14:paraId="00626103"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59306969" w14:textId="77777777" w:rsidR="00BC2B70" w:rsidRPr="00131EED" w:rsidRDefault="00BC2B70" w:rsidP="00C861DF">
            <w:pPr>
              <w:jc w:val="left"/>
              <w:rPr>
                <w:sz w:val="20"/>
                <w:szCs w:val="20"/>
                <w:lang w:eastAsia="en-US"/>
              </w:rPr>
            </w:pPr>
          </w:p>
        </w:tc>
        <w:tc>
          <w:tcPr>
            <w:tcW w:w="1919" w:type="pct"/>
            <w:noWrap/>
            <w:hideMark/>
          </w:tcPr>
          <w:p w14:paraId="3148B943"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de Mosaico de Cultivos y Pastos</w:t>
            </w:r>
          </w:p>
        </w:tc>
        <w:tc>
          <w:tcPr>
            <w:tcW w:w="642" w:type="pct"/>
            <w:noWrap/>
            <w:hideMark/>
          </w:tcPr>
          <w:p w14:paraId="4DF81894" w14:textId="7E01DC16"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28</w:t>
            </w:r>
            <w:r w:rsidR="00BD0972" w:rsidRPr="00131EED">
              <w:rPr>
                <w:rFonts w:cs="Calibri"/>
                <w:color w:val="000000"/>
                <w:sz w:val="20"/>
                <w:szCs w:val="20"/>
                <w:lang w:eastAsia="en-US"/>
              </w:rPr>
              <w:t>.</w:t>
            </w:r>
            <w:r w:rsidRPr="00131EED">
              <w:rPr>
                <w:rFonts w:cs="Calibri"/>
                <w:color w:val="000000"/>
                <w:sz w:val="20"/>
                <w:szCs w:val="20"/>
                <w:lang w:eastAsia="en-US"/>
              </w:rPr>
              <w:t>290</w:t>
            </w:r>
          </w:p>
        </w:tc>
        <w:tc>
          <w:tcPr>
            <w:tcW w:w="509" w:type="pct"/>
            <w:noWrap/>
            <w:hideMark/>
          </w:tcPr>
          <w:p w14:paraId="41D3CC6B"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6,61%</w:t>
            </w:r>
          </w:p>
        </w:tc>
      </w:tr>
      <w:tr w:rsidR="00BC2B70" w:rsidRPr="00131EED" w14:paraId="4DFAF610" w14:textId="77777777" w:rsidTr="006C79E8">
        <w:trPr>
          <w:trHeight w:val="270"/>
        </w:trPr>
        <w:tc>
          <w:tcPr>
            <w:tcW w:w="1042" w:type="pct"/>
            <w:vMerge/>
            <w:noWrap/>
            <w:hideMark/>
          </w:tcPr>
          <w:p w14:paraId="7E3927DF"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71BBA44C" w14:textId="77777777" w:rsidR="00BC2B70" w:rsidRPr="00131EED" w:rsidRDefault="00BC2B70" w:rsidP="00C861DF">
            <w:pPr>
              <w:jc w:val="left"/>
              <w:rPr>
                <w:sz w:val="20"/>
                <w:szCs w:val="20"/>
                <w:lang w:eastAsia="en-US"/>
              </w:rPr>
            </w:pPr>
          </w:p>
        </w:tc>
        <w:tc>
          <w:tcPr>
            <w:tcW w:w="1919" w:type="pct"/>
            <w:noWrap/>
            <w:hideMark/>
          </w:tcPr>
          <w:p w14:paraId="469AF56A"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de Mosaico de Cultivos, Pastos y Espacios Naturales</w:t>
            </w:r>
          </w:p>
        </w:tc>
        <w:tc>
          <w:tcPr>
            <w:tcW w:w="642" w:type="pct"/>
            <w:noWrap/>
            <w:hideMark/>
          </w:tcPr>
          <w:p w14:paraId="41C5BC73" w14:textId="60078A30"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1</w:t>
            </w:r>
            <w:r w:rsidR="00BD0972" w:rsidRPr="00131EED">
              <w:rPr>
                <w:rFonts w:cs="Calibri"/>
                <w:color w:val="000000"/>
                <w:sz w:val="20"/>
                <w:szCs w:val="20"/>
                <w:lang w:eastAsia="en-US"/>
              </w:rPr>
              <w:t>.</w:t>
            </w:r>
            <w:r w:rsidRPr="00131EED">
              <w:rPr>
                <w:rFonts w:cs="Calibri"/>
                <w:color w:val="000000"/>
                <w:sz w:val="20"/>
                <w:szCs w:val="20"/>
                <w:lang w:eastAsia="en-US"/>
              </w:rPr>
              <w:t>238</w:t>
            </w:r>
          </w:p>
        </w:tc>
        <w:tc>
          <w:tcPr>
            <w:tcW w:w="509" w:type="pct"/>
            <w:noWrap/>
            <w:hideMark/>
          </w:tcPr>
          <w:p w14:paraId="59DB528E"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0,29%</w:t>
            </w:r>
          </w:p>
        </w:tc>
      </w:tr>
      <w:tr w:rsidR="00BC2B70" w:rsidRPr="00131EED" w14:paraId="19C02BD3" w14:textId="77777777" w:rsidTr="006C79E8">
        <w:trPr>
          <w:trHeight w:val="270"/>
        </w:trPr>
        <w:tc>
          <w:tcPr>
            <w:tcW w:w="1042" w:type="pct"/>
            <w:vMerge/>
            <w:noWrap/>
            <w:hideMark/>
          </w:tcPr>
          <w:p w14:paraId="2FBEB3E8"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42089AEE" w14:textId="77777777" w:rsidR="00BC2B70" w:rsidRPr="00131EED" w:rsidRDefault="00BC2B70" w:rsidP="00C861DF">
            <w:pPr>
              <w:jc w:val="left"/>
              <w:rPr>
                <w:sz w:val="20"/>
                <w:szCs w:val="20"/>
                <w:lang w:eastAsia="en-US"/>
              </w:rPr>
            </w:pPr>
          </w:p>
        </w:tc>
        <w:tc>
          <w:tcPr>
            <w:tcW w:w="1919" w:type="pct"/>
            <w:noWrap/>
            <w:hideMark/>
          </w:tcPr>
          <w:p w14:paraId="5F2C7985"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de Mosaico de Pastos y Espacios Naturales</w:t>
            </w:r>
          </w:p>
        </w:tc>
        <w:tc>
          <w:tcPr>
            <w:tcW w:w="642" w:type="pct"/>
            <w:noWrap/>
            <w:hideMark/>
          </w:tcPr>
          <w:p w14:paraId="483ED415" w14:textId="50175580"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4</w:t>
            </w:r>
            <w:r w:rsidR="00BD0972" w:rsidRPr="00131EED">
              <w:rPr>
                <w:rFonts w:cs="Calibri"/>
                <w:color w:val="000000"/>
                <w:sz w:val="20"/>
                <w:szCs w:val="20"/>
                <w:lang w:eastAsia="en-US"/>
              </w:rPr>
              <w:t>.</w:t>
            </w:r>
            <w:r w:rsidRPr="00131EED">
              <w:rPr>
                <w:rFonts w:cs="Calibri"/>
                <w:color w:val="000000"/>
                <w:sz w:val="20"/>
                <w:szCs w:val="20"/>
                <w:lang w:eastAsia="en-US"/>
              </w:rPr>
              <w:t>655</w:t>
            </w:r>
          </w:p>
        </w:tc>
        <w:tc>
          <w:tcPr>
            <w:tcW w:w="509" w:type="pct"/>
            <w:noWrap/>
            <w:hideMark/>
          </w:tcPr>
          <w:p w14:paraId="2D5B11A1"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1,09%</w:t>
            </w:r>
          </w:p>
        </w:tc>
      </w:tr>
      <w:tr w:rsidR="00BC2B70" w:rsidRPr="00131EED" w14:paraId="0A5878FF" w14:textId="77777777" w:rsidTr="006C79E8">
        <w:trPr>
          <w:trHeight w:val="270"/>
        </w:trPr>
        <w:tc>
          <w:tcPr>
            <w:tcW w:w="1042" w:type="pct"/>
            <w:vMerge/>
            <w:noWrap/>
            <w:hideMark/>
          </w:tcPr>
          <w:p w14:paraId="7C5E0B6D"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3EE94344" w14:textId="77777777" w:rsidR="00BC2B70" w:rsidRPr="00131EED" w:rsidRDefault="00BC2B70" w:rsidP="00C861DF">
            <w:pPr>
              <w:jc w:val="left"/>
              <w:rPr>
                <w:sz w:val="20"/>
                <w:szCs w:val="20"/>
                <w:lang w:eastAsia="en-US"/>
              </w:rPr>
            </w:pPr>
          </w:p>
        </w:tc>
        <w:tc>
          <w:tcPr>
            <w:tcW w:w="1919" w:type="pct"/>
            <w:noWrap/>
            <w:hideMark/>
          </w:tcPr>
          <w:p w14:paraId="15C66C7C"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Forestal</w:t>
            </w:r>
          </w:p>
        </w:tc>
        <w:tc>
          <w:tcPr>
            <w:tcW w:w="642" w:type="pct"/>
            <w:noWrap/>
            <w:hideMark/>
          </w:tcPr>
          <w:p w14:paraId="783C9049" w14:textId="1FFA915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3</w:t>
            </w:r>
            <w:r w:rsidR="00BD0972" w:rsidRPr="00131EED">
              <w:rPr>
                <w:rFonts w:cs="Calibri"/>
                <w:color w:val="000000"/>
                <w:sz w:val="20"/>
                <w:szCs w:val="20"/>
                <w:lang w:eastAsia="en-US"/>
              </w:rPr>
              <w:t>.</w:t>
            </w:r>
            <w:r w:rsidRPr="00131EED">
              <w:rPr>
                <w:rFonts w:cs="Calibri"/>
                <w:color w:val="000000"/>
                <w:sz w:val="20"/>
                <w:szCs w:val="20"/>
                <w:lang w:eastAsia="en-US"/>
              </w:rPr>
              <w:t>860</w:t>
            </w:r>
          </w:p>
        </w:tc>
        <w:tc>
          <w:tcPr>
            <w:tcW w:w="509" w:type="pct"/>
            <w:noWrap/>
            <w:hideMark/>
          </w:tcPr>
          <w:p w14:paraId="4678260C"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0,90%</w:t>
            </w:r>
          </w:p>
        </w:tc>
      </w:tr>
      <w:tr w:rsidR="00BC2B70" w:rsidRPr="00131EED" w14:paraId="57DB2B50" w14:textId="77777777" w:rsidTr="006C79E8">
        <w:trPr>
          <w:trHeight w:val="270"/>
        </w:trPr>
        <w:tc>
          <w:tcPr>
            <w:tcW w:w="1042" w:type="pct"/>
            <w:vMerge/>
            <w:noWrap/>
            <w:hideMark/>
          </w:tcPr>
          <w:p w14:paraId="7F2691EB"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05B8E8EC" w14:textId="77777777" w:rsidR="00BC2B70" w:rsidRPr="00131EED" w:rsidRDefault="00BC2B70" w:rsidP="00C861DF">
            <w:pPr>
              <w:jc w:val="left"/>
              <w:rPr>
                <w:sz w:val="20"/>
                <w:szCs w:val="20"/>
                <w:lang w:eastAsia="en-US"/>
              </w:rPr>
            </w:pPr>
          </w:p>
        </w:tc>
        <w:tc>
          <w:tcPr>
            <w:tcW w:w="1919" w:type="pct"/>
            <w:noWrap/>
            <w:hideMark/>
          </w:tcPr>
          <w:p w14:paraId="21CC65A6"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Ganadero</w:t>
            </w:r>
          </w:p>
        </w:tc>
        <w:tc>
          <w:tcPr>
            <w:tcW w:w="642" w:type="pct"/>
            <w:noWrap/>
            <w:hideMark/>
          </w:tcPr>
          <w:p w14:paraId="396468D2" w14:textId="6958764E"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61</w:t>
            </w:r>
            <w:r w:rsidR="00BD0972" w:rsidRPr="00131EED">
              <w:rPr>
                <w:rFonts w:cs="Calibri"/>
                <w:color w:val="000000"/>
                <w:sz w:val="20"/>
                <w:szCs w:val="20"/>
                <w:lang w:eastAsia="en-US"/>
              </w:rPr>
              <w:t>.</w:t>
            </w:r>
            <w:r w:rsidRPr="00131EED">
              <w:rPr>
                <w:rFonts w:cs="Calibri"/>
                <w:color w:val="000000"/>
                <w:sz w:val="20"/>
                <w:szCs w:val="20"/>
                <w:lang w:eastAsia="en-US"/>
              </w:rPr>
              <w:t>128</w:t>
            </w:r>
          </w:p>
        </w:tc>
        <w:tc>
          <w:tcPr>
            <w:tcW w:w="509" w:type="pct"/>
            <w:noWrap/>
            <w:hideMark/>
          </w:tcPr>
          <w:p w14:paraId="5C16201F"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14,28%</w:t>
            </w:r>
          </w:p>
        </w:tc>
      </w:tr>
      <w:tr w:rsidR="00BC2B70" w:rsidRPr="00131EED" w14:paraId="08368AF7" w14:textId="77777777" w:rsidTr="006C79E8">
        <w:trPr>
          <w:trHeight w:val="270"/>
        </w:trPr>
        <w:tc>
          <w:tcPr>
            <w:tcW w:w="1042" w:type="pct"/>
            <w:vMerge/>
            <w:noWrap/>
            <w:hideMark/>
          </w:tcPr>
          <w:p w14:paraId="0E19850A"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04119678" w14:textId="77777777" w:rsidR="00BC2B70" w:rsidRPr="00131EED" w:rsidRDefault="00BC2B70" w:rsidP="00C861DF">
            <w:pPr>
              <w:jc w:val="left"/>
              <w:rPr>
                <w:sz w:val="20"/>
                <w:szCs w:val="20"/>
                <w:lang w:eastAsia="en-US"/>
              </w:rPr>
            </w:pPr>
          </w:p>
        </w:tc>
        <w:tc>
          <w:tcPr>
            <w:tcW w:w="1919" w:type="pct"/>
            <w:noWrap/>
            <w:hideMark/>
          </w:tcPr>
          <w:p w14:paraId="31C63829"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Papero</w:t>
            </w:r>
          </w:p>
        </w:tc>
        <w:tc>
          <w:tcPr>
            <w:tcW w:w="642" w:type="pct"/>
            <w:noWrap/>
            <w:hideMark/>
          </w:tcPr>
          <w:p w14:paraId="1C654A13" w14:textId="05BB4AC5"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3</w:t>
            </w:r>
            <w:r w:rsidR="00BD0972" w:rsidRPr="00131EED">
              <w:rPr>
                <w:rFonts w:cs="Calibri"/>
                <w:color w:val="000000"/>
                <w:sz w:val="20"/>
                <w:szCs w:val="20"/>
                <w:lang w:eastAsia="en-US"/>
              </w:rPr>
              <w:t>.</w:t>
            </w:r>
            <w:r w:rsidRPr="00131EED">
              <w:rPr>
                <w:rFonts w:cs="Calibri"/>
                <w:color w:val="000000"/>
                <w:sz w:val="20"/>
                <w:szCs w:val="20"/>
                <w:lang w:eastAsia="en-US"/>
              </w:rPr>
              <w:t>111</w:t>
            </w:r>
          </w:p>
        </w:tc>
        <w:tc>
          <w:tcPr>
            <w:tcW w:w="509" w:type="pct"/>
            <w:noWrap/>
            <w:hideMark/>
          </w:tcPr>
          <w:p w14:paraId="74D771D2"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0,73%</w:t>
            </w:r>
          </w:p>
        </w:tc>
      </w:tr>
      <w:tr w:rsidR="00BC2B70" w:rsidRPr="00131EED" w14:paraId="20FD3CD4" w14:textId="77777777" w:rsidTr="006C79E8">
        <w:trPr>
          <w:trHeight w:val="270"/>
        </w:trPr>
        <w:tc>
          <w:tcPr>
            <w:tcW w:w="1042" w:type="pct"/>
            <w:vMerge/>
            <w:noWrap/>
            <w:hideMark/>
          </w:tcPr>
          <w:p w14:paraId="2F7DDB01"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0A4794D3" w14:textId="77777777" w:rsidR="00BC2B70" w:rsidRPr="00131EED" w:rsidRDefault="00BC2B70" w:rsidP="00C861DF">
            <w:pPr>
              <w:jc w:val="left"/>
              <w:rPr>
                <w:sz w:val="20"/>
                <w:szCs w:val="20"/>
                <w:lang w:eastAsia="en-US"/>
              </w:rPr>
            </w:pPr>
          </w:p>
        </w:tc>
        <w:tc>
          <w:tcPr>
            <w:tcW w:w="1919" w:type="pct"/>
            <w:noWrap/>
            <w:hideMark/>
          </w:tcPr>
          <w:p w14:paraId="772525DC"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Territorio Artificializado</w:t>
            </w:r>
          </w:p>
        </w:tc>
        <w:tc>
          <w:tcPr>
            <w:tcW w:w="642" w:type="pct"/>
            <w:noWrap/>
            <w:hideMark/>
          </w:tcPr>
          <w:p w14:paraId="672A6680" w14:textId="6B2348EF"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21</w:t>
            </w:r>
            <w:r w:rsidR="00BD0972" w:rsidRPr="00131EED">
              <w:rPr>
                <w:rFonts w:cs="Calibri"/>
                <w:color w:val="000000"/>
                <w:sz w:val="20"/>
                <w:szCs w:val="20"/>
                <w:lang w:eastAsia="en-US"/>
              </w:rPr>
              <w:t>.</w:t>
            </w:r>
            <w:r w:rsidRPr="00131EED">
              <w:rPr>
                <w:rFonts w:cs="Calibri"/>
                <w:color w:val="000000"/>
                <w:sz w:val="20"/>
                <w:szCs w:val="20"/>
                <w:lang w:eastAsia="en-US"/>
              </w:rPr>
              <w:t>251</w:t>
            </w:r>
          </w:p>
        </w:tc>
        <w:tc>
          <w:tcPr>
            <w:tcW w:w="509" w:type="pct"/>
            <w:noWrap/>
            <w:hideMark/>
          </w:tcPr>
          <w:p w14:paraId="60AB26D2"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4,96%</w:t>
            </w:r>
          </w:p>
        </w:tc>
      </w:tr>
      <w:tr w:rsidR="00BC2B70" w:rsidRPr="00131EED" w14:paraId="2FD676B4" w14:textId="77777777" w:rsidTr="006C79E8">
        <w:trPr>
          <w:trHeight w:val="270"/>
        </w:trPr>
        <w:tc>
          <w:tcPr>
            <w:tcW w:w="1042" w:type="pct"/>
            <w:vMerge/>
            <w:noWrap/>
            <w:hideMark/>
          </w:tcPr>
          <w:p w14:paraId="2E135221"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36428FE9" w14:textId="77777777" w:rsidR="00BC2B70" w:rsidRPr="00131EED" w:rsidRDefault="00BC2B70" w:rsidP="00C861DF">
            <w:pPr>
              <w:jc w:val="left"/>
              <w:rPr>
                <w:sz w:val="20"/>
                <w:szCs w:val="20"/>
                <w:lang w:eastAsia="en-US"/>
              </w:rPr>
            </w:pPr>
          </w:p>
        </w:tc>
        <w:tc>
          <w:tcPr>
            <w:tcW w:w="1919" w:type="pct"/>
            <w:noWrap/>
            <w:hideMark/>
          </w:tcPr>
          <w:p w14:paraId="3297A1E8" w14:textId="5133ABEC"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Vegetaci</w:t>
            </w:r>
            <w:r w:rsidR="00C861DF" w:rsidRPr="00131EED">
              <w:rPr>
                <w:color w:val="000000"/>
                <w:sz w:val="20"/>
                <w:szCs w:val="20"/>
                <w:lang w:eastAsia="en-US"/>
              </w:rPr>
              <w:t>ó</w:t>
            </w:r>
            <w:r w:rsidRPr="00131EED">
              <w:rPr>
                <w:rFonts w:cs="Calibri"/>
                <w:color w:val="000000"/>
                <w:sz w:val="20"/>
                <w:szCs w:val="20"/>
                <w:lang w:eastAsia="en-US"/>
              </w:rPr>
              <w:t>n Secundaria</w:t>
            </w:r>
          </w:p>
        </w:tc>
        <w:tc>
          <w:tcPr>
            <w:tcW w:w="642" w:type="pct"/>
            <w:noWrap/>
            <w:hideMark/>
          </w:tcPr>
          <w:p w14:paraId="7E2B06F6" w14:textId="39C0875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1</w:t>
            </w:r>
            <w:r w:rsidR="00BD0972" w:rsidRPr="00131EED">
              <w:rPr>
                <w:rFonts w:cs="Calibri"/>
                <w:color w:val="000000"/>
                <w:sz w:val="20"/>
                <w:szCs w:val="20"/>
                <w:lang w:eastAsia="en-US"/>
              </w:rPr>
              <w:t>.</w:t>
            </w:r>
            <w:r w:rsidRPr="00131EED">
              <w:rPr>
                <w:rFonts w:cs="Calibri"/>
                <w:color w:val="000000"/>
                <w:sz w:val="20"/>
                <w:szCs w:val="20"/>
                <w:lang w:eastAsia="en-US"/>
              </w:rPr>
              <w:t>189</w:t>
            </w:r>
          </w:p>
        </w:tc>
        <w:tc>
          <w:tcPr>
            <w:tcW w:w="509" w:type="pct"/>
            <w:noWrap/>
            <w:hideMark/>
          </w:tcPr>
          <w:p w14:paraId="53B708B9"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0,28%</w:t>
            </w:r>
          </w:p>
        </w:tc>
      </w:tr>
      <w:tr w:rsidR="00BC2B70" w:rsidRPr="00131EED" w14:paraId="36474376" w14:textId="77777777" w:rsidTr="006C79E8">
        <w:trPr>
          <w:trHeight w:val="270"/>
        </w:trPr>
        <w:tc>
          <w:tcPr>
            <w:tcW w:w="1042" w:type="pct"/>
            <w:vMerge/>
            <w:noWrap/>
            <w:hideMark/>
          </w:tcPr>
          <w:p w14:paraId="51949488" w14:textId="77777777" w:rsidR="00BC2B70" w:rsidRPr="00131EED" w:rsidRDefault="00BC2B70" w:rsidP="00C861DF">
            <w:pPr>
              <w:jc w:val="left"/>
              <w:rPr>
                <w:rFonts w:cs="Calibri"/>
                <w:color w:val="000000"/>
                <w:sz w:val="20"/>
                <w:szCs w:val="20"/>
                <w:lang w:eastAsia="en-US"/>
              </w:rPr>
            </w:pPr>
          </w:p>
        </w:tc>
        <w:tc>
          <w:tcPr>
            <w:tcW w:w="2807" w:type="pct"/>
            <w:gridSpan w:val="2"/>
            <w:noWrap/>
            <w:hideMark/>
          </w:tcPr>
          <w:p w14:paraId="1118D714" w14:textId="6E0F04FA"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Total Orobioma Azonal Andino</w:t>
            </w:r>
          </w:p>
        </w:tc>
        <w:tc>
          <w:tcPr>
            <w:tcW w:w="642" w:type="pct"/>
            <w:noWrap/>
            <w:hideMark/>
          </w:tcPr>
          <w:p w14:paraId="00FFCC19" w14:textId="640CF441"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128</w:t>
            </w:r>
            <w:r w:rsidR="00BD0972" w:rsidRPr="00131EED">
              <w:rPr>
                <w:rFonts w:cs="Calibri"/>
                <w:b/>
                <w:color w:val="000000"/>
                <w:sz w:val="20"/>
                <w:szCs w:val="20"/>
                <w:lang w:eastAsia="en-US"/>
              </w:rPr>
              <w:t>.</w:t>
            </w:r>
            <w:r w:rsidRPr="00131EED">
              <w:rPr>
                <w:rFonts w:cs="Calibri"/>
                <w:b/>
                <w:color w:val="000000"/>
                <w:sz w:val="20"/>
                <w:szCs w:val="20"/>
                <w:lang w:eastAsia="en-US"/>
              </w:rPr>
              <w:t>910</w:t>
            </w:r>
          </w:p>
        </w:tc>
        <w:tc>
          <w:tcPr>
            <w:tcW w:w="509" w:type="pct"/>
            <w:noWrap/>
            <w:hideMark/>
          </w:tcPr>
          <w:p w14:paraId="7045868A"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30,11%</w:t>
            </w:r>
          </w:p>
        </w:tc>
      </w:tr>
      <w:tr w:rsidR="00BC2B70" w:rsidRPr="00131EED" w14:paraId="2B803BDD" w14:textId="77777777" w:rsidTr="006C79E8">
        <w:trPr>
          <w:trHeight w:val="270"/>
        </w:trPr>
        <w:tc>
          <w:tcPr>
            <w:tcW w:w="1042" w:type="pct"/>
            <w:vMerge/>
            <w:noWrap/>
            <w:hideMark/>
          </w:tcPr>
          <w:p w14:paraId="66F3D776" w14:textId="77777777" w:rsidR="00BC2B70" w:rsidRPr="00131EED" w:rsidRDefault="00BC2B70" w:rsidP="00C861DF">
            <w:pPr>
              <w:jc w:val="left"/>
              <w:rPr>
                <w:rFonts w:cs="Calibri"/>
                <w:b/>
                <w:color w:val="000000"/>
                <w:sz w:val="20"/>
                <w:szCs w:val="20"/>
                <w:lang w:eastAsia="en-US"/>
              </w:rPr>
            </w:pPr>
          </w:p>
        </w:tc>
        <w:tc>
          <w:tcPr>
            <w:tcW w:w="888" w:type="pct"/>
            <w:vMerge w:val="restart"/>
            <w:noWrap/>
            <w:hideMark/>
          </w:tcPr>
          <w:p w14:paraId="339DC2A7"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Orobioma de Paramo</w:t>
            </w:r>
          </w:p>
        </w:tc>
        <w:tc>
          <w:tcPr>
            <w:tcW w:w="1919" w:type="pct"/>
            <w:noWrap/>
            <w:hideMark/>
          </w:tcPr>
          <w:p w14:paraId="46415304"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de Cultivos Transitorios</w:t>
            </w:r>
          </w:p>
        </w:tc>
        <w:tc>
          <w:tcPr>
            <w:tcW w:w="642" w:type="pct"/>
            <w:noWrap/>
            <w:hideMark/>
          </w:tcPr>
          <w:p w14:paraId="531A8BD5"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71</w:t>
            </w:r>
          </w:p>
        </w:tc>
        <w:tc>
          <w:tcPr>
            <w:tcW w:w="509" w:type="pct"/>
            <w:noWrap/>
            <w:hideMark/>
          </w:tcPr>
          <w:p w14:paraId="3C7339E1"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0,02%</w:t>
            </w:r>
          </w:p>
        </w:tc>
      </w:tr>
      <w:tr w:rsidR="00BC2B70" w:rsidRPr="00131EED" w14:paraId="05977705" w14:textId="77777777" w:rsidTr="006C79E8">
        <w:trPr>
          <w:trHeight w:val="270"/>
        </w:trPr>
        <w:tc>
          <w:tcPr>
            <w:tcW w:w="1042" w:type="pct"/>
            <w:vMerge/>
            <w:noWrap/>
            <w:hideMark/>
          </w:tcPr>
          <w:p w14:paraId="71855FEE"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24BE14B7" w14:textId="77777777" w:rsidR="00BC2B70" w:rsidRPr="00131EED" w:rsidRDefault="00BC2B70" w:rsidP="00C861DF">
            <w:pPr>
              <w:jc w:val="left"/>
              <w:rPr>
                <w:sz w:val="20"/>
                <w:szCs w:val="20"/>
                <w:lang w:eastAsia="en-US"/>
              </w:rPr>
            </w:pPr>
          </w:p>
        </w:tc>
        <w:tc>
          <w:tcPr>
            <w:tcW w:w="1919" w:type="pct"/>
            <w:noWrap/>
            <w:hideMark/>
          </w:tcPr>
          <w:p w14:paraId="2B2D6FA6"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de Mosaico de Cultivos y Pastos</w:t>
            </w:r>
          </w:p>
        </w:tc>
        <w:tc>
          <w:tcPr>
            <w:tcW w:w="642" w:type="pct"/>
            <w:noWrap/>
            <w:hideMark/>
          </w:tcPr>
          <w:p w14:paraId="0920EB81" w14:textId="2BEAAC5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15</w:t>
            </w:r>
            <w:r w:rsidR="00BD0972" w:rsidRPr="00131EED">
              <w:rPr>
                <w:rFonts w:cs="Calibri"/>
                <w:color w:val="000000"/>
                <w:sz w:val="20"/>
                <w:szCs w:val="20"/>
                <w:lang w:eastAsia="en-US"/>
              </w:rPr>
              <w:t>.</w:t>
            </w:r>
            <w:r w:rsidRPr="00131EED">
              <w:rPr>
                <w:rFonts w:cs="Calibri"/>
                <w:color w:val="000000"/>
                <w:sz w:val="20"/>
                <w:szCs w:val="20"/>
                <w:lang w:eastAsia="en-US"/>
              </w:rPr>
              <w:t>304</w:t>
            </w:r>
          </w:p>
        </w:tc>
        <w:tc>
          <w:tcPr>
            <w:tcW w:w="509" w:type="pct"/>
            <w:noWrap/>
            <w:hideMark/>
          </w:tcPr>
          <w:p w14:paraId="4EF7702E"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3,57%</w:t>
            </w:r>
          </w:p>
        </w:tc>
      </w:tr>
      <w:tr w:rsidR="00BC2B70" w:rsidRPr="00131EED" w14:paraId="4F227F3B" w14:textId="77777777" w:rsidTr="006C79E8">
        <w:trPr>
          <w:trHeight w:val="270"/>
        </w:trPr>
        <w:tc>
          <w:tcPr>
            <w:tcW w:w="1042" w:type="pct"/>
            <w:vMerge/>
            <w:noWrap/>
            <w:hideMark/>
          </w:tcPr>
          <w:p w14:paraId="1EBDBA48"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6FA03039" w14:textId="77777777" w:rsidR="00BC2B70" w:rsidRPr="00131EED" w:rsidRDefault="00BC2B70" w:rsidP="00C861DF">
            <w:pPr>
              <w:jc w:val="left"/>
              <w:rPr>
                <w:sz w:val="20"/>
                <w:szCs w:val="20"/>
                <w:lang w:eastAsia="en-US"/>
              </w:rPr>
            </w:pPr>
          </w:p>
        </w:tc>
        <w:tc>
          <w:tcPr>
            <w:tcW w:w="1919" w:type="pct"/>
            <w:noWrap/>
            <w:hideMark/>
          </w:tcPr>
          <w:p w14:paraId="6F66F344"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de Mosaico de Cultivos, Pastos y Espacios Naturales</w:t>
            </w:r>
          </w:p>
        </w:tc>
        <w:tc>
          <w:tcPr>
            <w:tcW w:w="642" w:type="pct"/>
            <w:noWrap/>
            <w:hideMark/>
          </w:tcPr>
          <w:p w14:paraId="5B8F5B95" w14:textId="41A3A34F"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1</w:t>
            </w:r>
            <w:r w:rsidR="00BD0972" w:rsidRPr="00131EED">
              <w:rPr>
                <w:rFonts w:cs="Calibri"/>
                <w:color w:val="000000"/>
                <w:sz w:val="20"/>
                <w:szCs w:val="20"/>
                <w:lang w:eastAsia="en-US"/>
              </w:rPr>
              <w:t>.</w:t>
            </w:r>
            <w:r w:rsidRPr="00131EED">
              <w:rPr>
                <w:rFonts w:cs="Calibri"/>
                <w:color w:val="000000"/>
                <w:sz w:val="20"/>
                <w:szCs w:val="20"/>
                <w:lang w:eastAsia="en-US"/>
              </w:rPr>
              <w:t>748</w:t>
            </w:r>
          </w:p>
        </w:tc>
        <w:tc>
          <w:tcPr>
            <w:tcW w:w="509" w:type="pct"/>
            <w:noWrap/>
            <w:hideMark/>
          </w:tcPr>
          <w:p w14:paraId="25B941EA"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0,41%</w:t>
            </w:r>
          </w:p>
        </w:tc>
      </w:tr>
      <w:tr w:rsidR="00BC2B70" w:rsidRPr="00131EED" w14:paraId="3095EB15" w14:textId="77777777" w:rsidTr="006C79E8">
        <w:trPr>
          <w:trHeight w:val="270"/>
        </w:trPr>
        <w:tc>
          <w:tcPr>
            <w:tcW w:w="1042" w:type="pct"/>
            <w:vMerge/>
            <w:noWrap/>
            <w:hideMark/>
          </w:tcPr>
          <w:p w14:paraId="7977D060"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0481D9D5" w14:textId="77777777" w:rsidR="00BC2B70" w:rsidRPr="00131EED" w:rsidRDefault="00BC2B70" w:rsidP="00C861DF">
            <w:pPr>
              <w:jc w:val="left"/>
              <w:rPr>
                <w:sz w:val="20"/>
                <w:szCs w:val="20"/>
                <w:lang w:eastAsia="en-US"/>
              </w:rPr>
            </w:pPr>
          </w:p>
        </w:tc>
        <w:tc>
          <w:tcPr>
            <w:tcW w:w="1919" w:type="pct"/>
            <w:noWrap/>
            <w:hideMark/>
          </w:tcPr>
          <w:p w14:paraId="048E63AD"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de Mosaico de Pastos y Espacios Naturales</w:t>
            </w:r>
          </w:p>
        </w:tc>
        <w:tc>
          <w:tcPr>
            <w:tcW w:w="642" w:type="pct"/>
            <w:noWrap/>
            <w:hideMark/>
          </w:tcPr>
          <w:p w14:paraId="6592862A" w14:textId="6151BFE3"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1</w:t>
            </w:r>
            <w:r w:rsidR="00BD0972" w:rsidRPr="00131EED">
              <w:rPr>
                <w:rFonts w:cs="Calibri"/>
                <w:color w:val="000000"/>
                <w:sz w:val="20"/>
                <w:szCs w:val="20"/>
                <w:lang w:eastAsia="en-US"/>
              </w:rPr>
              <w:t>.</w:t>
            </w:r>
            <w:r w:rsidRPr="00131EED">
              <w:rPr>
                <w:rFonts w:cs="Calibri"/>
                <w:color w:val="000000"/>
                <w:sz w:val="20"/>
                <w:szCs w:val="20"/>
                <w:lang w:eastAsia="en-US"/>
              </w:rPr>
              <w:t>655</w:t>
            </w:r>
          </w:p>
        </w:tc>
        <w:tc>
          <w:tcPr>
            <w:tcW w:w="509" w:type="pct"/>
            <w:noWrap/>
            <w:hideMark/>
          </w:tcPr>
          <w:p w14:paraId="4131DA71"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0,39%</w:t>
            </w:r>
          </w:p>
        </w:tc>
      </w:tr>
      <w:tr w:rsidR="00BC2B70" w:rsidRPr="00131EED" w14:paraId="1B1C645B" w14:textId="77777777" w:rsidTr="006C79E8">
        <w:trPr>
          <w:trHeight w:val="270"/>
        </w:trPr>
        <w:tc>
          <w:tcPr>
            <w:tcW w:w="1042" w:type="pct"/>
            <w:vMerge/>
            <w:noWrap/>
            <w:hideMark/>
          </w:tcPr>
          <w:p w14:paraId="026849CB"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75E396F5" w14:textId="77777777" w:rsidR="00BC2B70" w:rsidRPr="00131EED" w:rsidRDefault="00BC2B70" w:rsidP="00C861DF">
            <w:pPr>
              <w:jc w:val="left"/>
              <w:rPr>
                <w:sz w:val="20"/>
                <w:szCs w:val="20"/>
                <w:lang w:eastAsia="en-US"/>
              </w:rPr>
            </w:pPr>
          </w:p>
        </w:tc>
        <w:tc>
          <w:tcPr>
            <w:tcW w:w="1919" w:type="pct"/>
            <w:noWrap/>
            <w:hideMark/>
          </w:tcPr>
          <w:p w14:paraId="37232746"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Forestal</w:t>
            </w:r>
          </w:p>
        </w:tc>
        <w:tc>
          <w:tcPr>
            <w:tcW w:w="642" w:type="pct"/>
            <w:noWrap/>
            <w:hideMark/>
          </w:tcPr>
          <w:p w14:paraId="5AA672FB" w14:textId="5995C349"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1</w:t>
            </w:r>
            <w:r w:rsidR="00BD0972" w:rsidRPr="00131EED">
              <w:rPr>
                <w:rFonts w:cs="Calibri"/>
                <w:color w:val="000000"/>
                <w:sz w:val="20"/>
                <w:szCs w:val="20"/>
                <w:lang w:eastAsia="en-US"/>
              </w:rPr>
              <w:t>.</w:t>
            </w:r>
            <w:r w:rsidRPr="00131EED">
              <w:rPr>
                <w:rFonts w:cs="Calibri"/>
                <w:color w:val="000000"/>
                <w:sz w:val="20"/>
                <w:szCs w:val="20"/>
                <w:lang w:eastAsia="en-US"/>
              </w:rPr>
              <w:t>371</w:t>
            </w:r>
          </w:p>
        </w:tc>
        <w:tc>
          <w:tcPr>
            <w:tcW w:w="509" w:type="pct"/>
            <w:noWrap/>
            <w:hideMark/>
          </w:tcPr>
          <w:p w14:paraId="3E95FD1F"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0,32%</w:t>
            </w:r>
          </w:p>
        </w:tc>
      </w:tr>
      <w:tr w:rsidR="00BC2B70" w:rsidRPr="00131EED" w14:paraId="29A5AAEF" w14:textId="77777777" w:rsidTr="006C79E8">
        <w:trPr>
          <w:trHeight w:val="270"/>
        </w:trPr>
        <w:tc>
          <w:tcPr>
            <w:tcW w:w="1042" w:type="pct"/>
            <w:vMerge/>
            <w:noWrap/>
            <w:hideMark/>
          </w:tcPr>
          <w:p w14:paraId="2B42C596"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3BA2CCC1" w14:textId="77777777" w:rsidR="00BC2B70" w:rsidRPr="00131EED" w:rsidRDefault="00BC2B70" w:rsidP="00C861DF">
            <w:pPr>
              <w:jc w:val="left"/>
              <w:rPr>
                <w:sz w:val="20"/>
                <w:szCs w:val="20"/>
                <w:lang w:eastAsia="en-US"/>
              </w:rPr>
            </w:pPr>
          </w:p>
        </w:tc>
        <w:tc>
          <w:tcPr>
            <w:tcW w:w="1919" w:type="pct"/>
            <w:noWrap/>
            <w:hideMark/>
          </w:tcPr>
          <w:p w14:paraId="6F95E9F8"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Ganadero</w:t>
            </w:r>
          </w:p>
        </w:tc>
        <w:tc>
          <w:tcPr>
            <w:tcW w:w="642" w:type="pct"/>
            <w:noWrap/>
            <w:hideMark/>
          </w:tcPr>
          <w:p w14:paraId="653DB179" w14:textId="01D37165"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3</w:t>
            </w:r>
            <w:r w:rsidR="00BD0972" w:rsidRPr="00131EED">
              <w:rPr>
                <w:rFonts w:cs="Calibri"/>
                <w:color w:val="000000"/>
                <w:sz w:val="20"/>
                <w:szCs w:val="20"/>
                <w:lang w:eastAsia="en-US"/>
              </w:rPr>
              <w:t>.</w:t>
            </w:r>
            <w:r w:rsidRPr="00131EED">
              <w:rPr>
                <w:rFonts w:cs="Calibri"/>
                <w:color w:val="000000"/>
                <w:sz w:val="20"/>
                <w:szCs w:val="20"/>
                <w:lang w:eastAsia="en-US"/>
              </w:rPr>
              <w:t>294</w:t>
            </w:r>
          </w:p>
        </w:tc>
        <w:tc>
          <w:tcPr>
            <w:tcW w:w="509" w:type="pct"/>
            <w:noWrap/>
            <w:hideMark/>
          </w:tcPr>
          <w:p w14:paraId="0ACE5BD5"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0,77%</w:t>
            </w:r>
          </w:p>
        </w:tc>
      </w:tr>
      <w:tr w:rsidR="00BC2B70" w:rsidRPr="00131EED" w14:paraId="70E0ACAE" w14:textId="77777777" w:rsidTr="006C79E8">
        <w:trPr>
          <w:trHeight w:val="270"/>
        </w:trPr>
        <w:tc>
          <w:tcPr>
            <w:tcW w:w="1042" w:type="pct"/>
            <w:vMerge/>
            <w:noWrap/>
            <w:hideMark/>
          </w:tcPr>
          <w:p w14:paraId="539B6146"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0AEF9B17" w14:textId="77777777" w:rsidR="00BC2B70" w:rsidRPr="00131EED" w:rsidRDefault="00BC2B70" w:rsidP="00C861DF">
            <w:pPr>
              <w:jc w:val="left"/>
              <w:rPr>
                <w:sz w:val="20"/>
                <w:szCs w:val="20"/>
                <w:lang w:eastAsia="en-US"/>
              </w:rPr>
            </w:pPr>
          </w:p>
        </w:tc>
        <w:tc>
          <w:tcPr>
            <w:tcW w:w="1919" w:type="pct"/>
            <w:noWrap/>
            <w:hideMark/>
          </w:tcPr>
          <w:p w14:paraId="251D80F9"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Agroecosistema Papero</w:t>
            </w:r>
          </w:p>
        </w:tc>
        <w:tc>
          <w:tcPr>
            <w:tcW w:w="642" w:type="pct"/>
            <w:noWrap/>
            <w:hideMark/>
          </w:tcPr>
          <w:p w14:paraId="77E98C19"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812</w:t>
            </w:r>
          </w:p>
        </w:tc>
        <w:tc>
          <w:tcPr>
            <w:tcW w:w="509" w:type="pct"/>
            <w:noWrap/>
            <w:hideMark/>
          </w:tcPr>
          <w:p w14:paraId="55B08B66"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0,19%</w:t>
            </w:r>
          </w:p>
        </w:tc>
      </w:tr>
      <w:tr w:rsidR="00BC2B70" w:rsidRPr="00131EED" w14:paraId="197FFCCB" w14:textId="77777777" w:rsidTr="006C79E8">
        <w:trPr>
          <w:trHeight w:val="270"/>
        </w:trPr>
        <w:tc>
          <w:tcPr>
            <w:tcW w:w="1042" w:type="pct"/>
            <w:vMerge/>
            <w:noWrap/>
            <w:hideMark/>
          </w:tcPr>
          <w:p w14:paraId="764D8D3D"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18304B15" w14:textId="77777777" w:rsidR="00BC2B70" w:rsidRPr="00131EED" w:rsidRDefault="00BC2B70" w:rsidP="00C861DF">
            <w:pPr>
              <w:jc w:val="left"/>
              <w:rPr>
                <w:sz w:val="20"/>
                <w:szCs w:val="20"/>
                <w:lang w:eastAsia="en-US"/>
              </w:rPr>
            </w:pPr>
          </w:p>
        </w:tc>
        <w:tc>
          <w:tcPr>
            <w:tcW w:w="1919" w:type="pct"/>
            <w:noWrap/>
            <w:hideMark/>
          </w:tcPr>
          <w:p w14:paraId="0FBD2A17"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Bosque Fragmentado con Vegetacion Secundaria</w:t>
            </w:r>
          </w:p>
        </w:tc>
        <w:tc>
          <w:tcPr>
            <w:tcW w:w="642" w:type="pct"/>
            <w:noWrap/>
            <w:hideMark/>
          </w:tcPr>
          <w:p w14:paraId="67047671"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160</w:t>
            </w:r>
          </w:p>
        </w:tc>
        <w:tc>
          <w:tcPr>
            <w:tcW w:w="509" w:type="pct"/>
            <w:noWrap/>
            <w:hideMark/>
          </w:tcPr>
          <w:p w14:paraId="3140AED5"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0,04%</w:t>
            </w:r>
          </w:p>
        </w:tc>
      </w:tr>
      <w:tr w:rsidR="00BC2B70" w:rsidRPr="00131EED" w14:paraId="623BD3F5" w14:textId="77777777" w:rsidTr="006C79E8">
        <w:trPr>
          <w:trHeight w:val="270"/>
        </w:trPr>
        <w:tc>
          <w:tcPr>
            <w:tcW w:w="1042" w:type="pct"/>
            <w:vMerge/>
            <w:noWrap/>
            <w:hideMark/>
          </w:tcPr>
          <w:p w14:paraId="5E11C24C" w14:textId="77777777" w:rsidR="00BC2B70" w:rsidRPr="00131EED" w:rsidRDefault="00BC2B70" w:rsidP="00C861DF">
            <w:pPr>
              <w:jc w:val="left"/>
              <w:rPr>
                <w:rFonts w:cs="Calibri"/>
                <w:color w:val="000000"/>
                <w:sz w:val="20"/>
                <w:szCs w:val="20"/>
                <w:lang w:eastAsia="en-US"/>
              </w:rPr>
            </w:pPr>
          </w:p>
        </w:tc>
        <w:tc>
          <w:tcPr>
            <w:tcW w:w="888" w:type="pct"/>
            <w:vMerge/>
            <w:noWrap/>
            <w:hideMark/>
          </w:tcPr>
          <w:p w14:paraId="6A57D38B" w14:textId="77777777" w:rsidR="00BC2B70" w:rsidRPr="00131EED" w:rsidRDefault="00BC2B70" w:rsidP="00C861DF">
            <w:pPr>
              <w:jc w:val="left"/>
              <w:rPr>
                <w:sz w:val="20"/>
                <w:szCs w:val="20"/>
                <w:lang w:eastAsia="en-US"/>
              </w:rPr>
            </w:pPr>
          </w:p>
        </w:tc>
        <w:tc>
          <w:tcPr>
            <w:tcW w:w="1919" w:type="pct"/>
            <w:noWrap/>
            <w:hideMark/>
          </w:tcPr>
          <w:p w14:paraId="465B77F4" w14:textId="3D325051"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Vegetaci</w:t>
            </w:r>
            <w:r w:rsidR="00C861DF" w:rsidRPr="00131EED">
              <w:rPr>
                <w:color w:val="000000"/>
                <w:sz w:val="20"/>
                <w:szCs w:val="20"/>
                <w:lang w:eastAsia="en-US"/>
              </w:rPr>
              <w:t>ó</w:t>
            </w:r>
            <w:r w:rsidRPr="00131EED">
              <w:rPr>
                <w:rFonts w:cs="Calibri"/>
                <w:color w:val="000000"/>
                <w:sz w:val="20"/>
                <w:szCs w:val="20"/>
                <w:lang w:eastAsia="en-US"/>
              </w:rPr>
              <w:t>n Secundaria</w:t>
            </w:r>
          </w:p>
        </w:tc>
        <w:tc>
          <w:tcPr>
            <w:tcW w:w="642" w:type="pct"/>
            <w:noWrap/>
            <w:hideMark/>
          </w:tcPr>
          <w:p w14:paraId="3E159A2A"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448</w:t>
            </w:r>
          </w:p>
        </w:tc>
        <w:tc>
          <w:tcPr>
            <w:tcW w:w="509" w:type="pct"/>
            <w:noWrap/>
            <w:hideMark/>
          </w:tcPr>
          <w:p w14:paraId="5DC824E2" w14:textId="77777777" w:rsidR="00BC2B70" w:rsidRPr="00131EED" w:rsidRDefault="00BC2B70" w:rsidP="00C861DF">
            <w:pPr>
              <w:jc w:val="left"/>
              <w:rPr>
                <w:rFonts w:cs="Calibri"/>
                <w:color w:val="000000"/>
                <w:sz w:val="20"/>
                <w:szCs w:val="20"/>
                <w:lang w:eastAsia="en-US"/>
              </w:rPr>
            </w:pPr>
            <w:r w:rsidRPr="00131EED">
              <w:rPr>
                <w:rFonts w:cs="Calibri"/>
                <w:color w:val="000000"/>
                <w:sz w:val="20"/>
                <w:szCs w:val="20"/>
                <w:lang w:eastAsia="en-US"/>
              </w:rPr>
              <w:t>0,10%</w:t>
            </w:r>
          </w:p>
        </w:tc>
      </w:tr>
      <w:tr w:rsidR="00BC2B70" w:rsidRPr="00131EED" w14:paraId="4B3F134F" w14:textId="77777777" w:rsidTr="006C79E8">
        <w:trPr>
          <w:trHeight w:val="270"/>
        </w:trPr>
        <w:tc>
          <w:tcPr>
            <w:tcW w:w="1042" w:type="pct"/>
            <w:noWrap/>
            <w:hideMark/>
          </w:tcPr>
          <w:p w14:paraId="2C3F4063" w14:textId="77777777" w:rsidR="00BC2B70" w:rsidRPr="00131EED" w:rsidRDefault="00BC2B70" w:rsidP="00C861DF">
            <w:pPr>
              <w:jc w:val="left"/>
              <w:rPr>
                <w:rFonts w:cs="Calibri"/>
                <w:color w:val="000000"/>
                <w:sz w:val="20"/>
                <w:szCs w:val="20"/>
                <w:lang w:eastAsia="en-US"/>
              </w:rPr>
            </w:pPr>
          </w:p>
        </w:tc>
        <w:tc>
          <w:tcPr>
            <w:tcW w:w="2807" w:type="pct"/>
            <w:gridSpan w:val="2"/>
            <w:noWrap/>
            <w:hideMark/>
          </w:tcPr>
          <w:p w14:paraId="3D350501" w14:textId="4DF27901"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Total Orobioma de Paramo</w:t>
            </w:r>
          </w:p>
        </w:tc>
        <w:tc>
          <w:tcPr>
            <w:tcW w:w="642" w:type="pct"/>
            <w:noWrap/>
            <w:hideMark/>
          </w:tcPr>
          <w:p w14:paraId="360DC9EF" w14:textId="47561DD5"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24</w:t>
            </w:r>
            <w:r w:rsidR="00BD0972" w:rsidRPr="00131EED">
              <w:rPr>
                <w:rFonts w:cs="Calibri"/>
                <w:b/>
                <w:color w:val="000000"/>
                <w:sz w:val="20"/>
                <w:szCs w:val="20"/>
                <w:lang w:eastAsia="en-US"/>
              </w:rPr>
              <w:t>.</w:t>
            </w:r>
            <w:r w:rsidRPr="00131EED">
              <w:rPr>
                <w:rFonts w:cs="Calibri"/>
                <w:b/>
                <w:color w:val="000000"/>
                <w:sz w:val="20"/>
                <w:szCs w:val="20"/>
                <w:lang w:eastAsia="en-US"/>
              </w:rPr>
              <w:t>863</w:t>
            </w:r>
          </w:p>
        </w:tc>
        <w:tc>
          <w:tcPr>
            <w:tcW w:w="509" w:type="pct"/>
            <w:noWrap/>
            <w:hideMark/>
          </w:tcPr>
          <w:p w14:paraId="4A08B61B"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5,81%</w:t>
            </w:r>
          </w:p>
        </w:tc>
      </w:tr>
      <w:tr w:rsidR="00BC2B70" w:rsidRPr="00131EED" w14:paraId="4F668DA1" w14:textId="77777777" w:rsidTr="006C79E8">
        <w:trPr>
          <w:trHeight w:val="270"/>
        </w:trPr>
        <w:tc>
          <w:tcPr>
            <w:tcW w:w="3850" w:type="pct"/>
            <w:gridSpan w:val="3"/>
            <w:noWrap/>
            <w:hideMark/>
          </w:tcPr>
          <w:p w14:paraId="04617839" w14:textId="4A7DE751" w:rsidR="00BC2B70" w:rsidRPr="00131EED" w:rsidRDefault="00BC2B70" w:rsidP="00C861DF">
            <w:pPr>
              <w:jc w:val="left"/>
              <w:rPr>
                <w:sz w:val="20"/>
                <w:szCs w:val="20"/>
                <w:lang w:eastAsia="en-US"/>
              </w:rPr>
            </w:pPr>
            <w:r w:rsidRPr="00131EED">
              <w:rPr>
                <w:rFonts w:cs="Calibri"/>
                <w:b/>
                <w:color w:val="000000"/>
                <w:sz w:val="20"/>
                <w:szCs w:val="20"/>
                <w:lang w:eastAsia="en-US"/>
              </w:rPr>
              <w:t>Total Transformado</w:t>
            </w:r>
          </w:p>
        </w:tc>
        <w:tc>
          <w:tcPr>
            <w:tcW w:w="642" w:type="pct"/>
            <w:noWrap/>
            <w:hideMark/>
          </w:tcPr>
          <w:p w14:paraId="2A4DE76B" w14:textId="5C04ADEC"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336</w:t>
            </w:r>
            <w:r w:rsidR="00BD0972" w:rsidRPr="00131EED">
              <w:rPr>
                <w:rFonts w:cs="Calibri"/>
                <w:b/>
                <w:color w:val="000000"/>
                <w:sz w:val="20"/>
                <w:szCs w:val="20"/>
                <w:lang w:eastAsia="en-US"/>
              </w:rPr>
              <w:t>.</w:t>
            </w:r>
            <w:r w:rsidRPr="00131EED">
              <w:rPr>
                <w:rFonts w:cs="Calibri"/>
                <w:b/>
                <w:color w:val="000000"/>
                <w:sz w:val="20"/>
                <w:szCs w:val="20"/>
                <w:lang w:eastAsia="en-US"/>
              </w:rPr>
              <w:t>611</w:t>
            </w:r>
          </w:p>
        </w:tc>
        <w:tc>
          <w:tcPr>
            <w:tcW w:w="509" w:type="pct"/>
            <w:noWrap/>
            <w:hideMark/>
          </w:tcPr>
          <w:p w14:paraId="09B3BD01"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78,63%</w:t>
            </w:r>
          </w:p>
        </w:tc>
      </w:tr>
      <w:tr w:rsidR="00BC2B70" w:rsidRPr="00131EED" w14:paraId="4083957C" w14:textId="77777777" w:rsidTr="006C79E8">
        <w:trPr>
          <w:trHeight w:val="270"/>
        </w:trPr>
        <w:tc>
          <w:tcPr>
            <w:tcW w:w="3850" w:type="pct"/>
            <w:gridSpan w:val="3"/>
            <w:noWrap/>
            <w:hideMark/>
          </w:tcPr>
          <w:p w14:paraId="3F87DF00" w14:textId="2EE20CFC" w:rsidR="00BC2B70" w:rsidRPr="00131EED" w:rsidRDefault="00BC2B70" w:rsidP="00C861DF">
            <w:pPr>
              <w:jc w:val="left"/>
              <w:rPr>
                <w:sz w:val="20"/>
                <w:szCs w:val="20"/>
                <w:lang w:eastAsia="en-US"/>
              </w:rPr>
            </w:pPr>
            <w:r w:rsidRPr="00131EED">
              <w:rPr>
                <w:rFonts w:cs="Calibri"/>
                <w:b/>
                <w:color w:val="000000"/>
                <w:sz w:val="20"/>
                <w:szCs w:val="20"/>
                <w:lang w:eastAsia="en-US"/>
              </w:rPr>
              <w:t>Total general</w:t>
            </w:r>
          </w:p>
        </w:tc>
        <w:tc>
          <w:tcPr>
            <w:tcW w:w="642" w:type="pct"/>
            <w:noWrap/>
            <w:hideMark/>
          </w:tcPr>
          <w:p w14:paraId="5A82C65C" w14:textId="38182D99"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428</w:t>
            </w:r>
            <w:r w:rsidR="00BD0972" w:rsidRPr="00131EED">
              <w:rPr>
                <w:rFonts w:cs="Calibri"/>
                <w:b/>
                <w:color w:val="000000"/>
                <w:sz w:val="20"/>
                <w:szCs w:val="20"/>
                <w:lang w:eastAsia="en-US"/>
              </w:rPr>
              <w:t>.</w:t>
            </w:r>
            <w:r w:rsidRPr="00131EED">
              <w:rPr>
                <w:rFonts w:cs="Calibri"/>
                <w:b/>
                <w:color w:val="000000"/>
                <w:sz w:val="20"/>
                <w:szCs w:val="20"/>
                <w:lang w:eastAsia="en-US"/>
              </w:rPr>
              <w:t>091</w:t>
            </w:r>
          </w:p>
        </w:tc>
        <w:tc>
          <w:tcPr>
            <w:tcW w:w="509" w:type="pct"/>
            <w:noWrap/>
            <w:hideMark/>
          </w:tcPr>
          <w:p w14:paraId="66009C93" w14:textId="77777777" w:rsidR="00BC2B70" w:rsidRPr="00131EED" w:rsidRDefault="00BC2B70" w:rsidP="00C861DF">
            <w:pPr>
              <w:jc w:val="left"/>
              <w:rPr>
                <w:rFonts w:cs="Calibri"/>
                <w:b/>
                <w:color w:val="000000"/>
                <w:sz w:val="20"/>
                <w:szCs w:val="20"/>
                <w:lang w:eastAsia="en-US"/>
              </w:rPr>
            </w:pPr>
            <w:r w:rsidRPr="00131EED">
              <w:rPr>
                <w:rFonts w:cs="Calibri"/>
                <w:b/>
                <w:color w:val="000000"/>
                <w:sz w:val="20"/>
                <w:szCs w:val="20"/>
                <w:lang w:eastAsia="en-US"/>
              </w:rPr>
              <w:t>100,00%</w:t>
            </w:r>
          </w:p>
        </w:tc>
      </w:tr>
    </w:tbl>
    <w:p w14:paraId="59028CB8" w14:textId="77777777" w:rsidR="00793F91" w:rsidRPr="00131EED" w:rsidRDefault="00793F91" w:rsidP="00793F91">
      <w:pPr>
        <w:pStyle w:val="FootnoteText"/>
        <w:spacing w:after="0" w:line="240" w:lineRule="auto"/>
        <w:jc w:val="center"/>
        <w:rPr>
          <w:rStyle w:val="FootnoteReference"/>
          <w:rFonts w:ascii="Baskerville Old Face" w:hAnsi="Baskerville Old Face" w:cs="Arial"/>
        </w:rPr>
      </w:pPr>
      <w:r w:rsidRPr="00131EED">
        <w:rPr>
          <w:rFonts w:ascii="Baskerville Old Face" w:hAnsi="Baskerville Old Face" w:cs="Arial"/>
        </w:rPr>
        <w:t>Fuente: Elaboración propia a partir de IDEAM, 2024</w:t>
      </w:r>
    </w:p>
    <w:p w14:paraId="457CF86C" w14:textId="77777777" w:rsidR="00793F91" w:rsidRPr="00131EED" w:rsidRDefault="00793F91" w:rsidP="00793F91">
      <w:pPr>
        <w:rPr>
          <w:lang w:eastAsia="en-US"/>
        </w:rPr>
      </w:pPr>
    </w:p>
    <w:p w14:paraId="1C8B4621" w14:textId="77777777" w:rsidR="00793F91" w:rsidRPr="00131EED" w:rsidRDefault="00793F91" w:rsidP="00793F91">
      <w:pPr>
        <w:rPr>
          <w:lang w:eastAsia="en-US"/>
        </w:rPr>
      </w:pPr>
    </w:p>
    <w:p w14:paraId="60C54BCD" w14:textId="654B109F" w:rsidR="003D3FEA" w:rsidRPr="00131EED" w:rsidRDefault="003D3FEA" w:rsidP="00793F91">
      <w:pPr>
        <w:rPr>
          <w:lang w:eastAsia="en-US"/>
        </w:rPr>
      </w:pPr>
    </w:p>
    <w:p w14:paraId="1E900E57" w14:textId="77777777" w:rsidR="008E0F1B" w:rsidRPr="00131EED" w:rsidRDefault="008E0F1B" w:rsidP="00793F91">
      <w:pPr>
        <w:rPr>
          <w:lang w:eastAsia="en-US"/>
        </w:rPr>
      </w:pPr>
    </w:p>
    <w:p w14:paraId="0BC98ADE" w14:textId="4DE117BA" w:rsidR="003D3FEA" w:rsidRPr="00131EED" w:rsidRDefault="003D3FEA" w:rsidP="00793F91">
      <w:pPr>
        <w:rPr>
          <w:lang w:eastAsia="en-US"/>
        </w:rPr>
      </w:pPr>
    </w:p>
    <w:p w14:paraId="5EE7AC2C" w14:textId="5D3B1287" w:rsidR="008A326C" w:rsidRPr="00131EED" w:rsidRDefault="00D2001C" w:rsidP="002F5A01">
      <w:pPr>
        <w:pStyle w:val="Caption"/>
        <w:jc w:val="center"/>
        <w:rPr>
          <w:rFonts w:ascii="Baskerville" w:hAnsi="Baskerville"/>
        </w:rPr>
      </w:pPr>
      <w:bookmarkStart w:id="56" w:name="_Ref210655294"/>
      <w:bookmarkStart w:id="57" w:name="_Toc216468778"/>
      <w:r w:rsidRPr="00131EED">
        <w:rPr>
          <w:rFonts w:ascii="Baskerville" w:hAnsi="Baskerville"/>
        </w:rPr>
        <w:t xml:space="preserve">Ilustración </w:t>
      </w:r>
      <w:r w:rsidRPr="00131EED">
        <w:rPr>
          <w:rFonts w:ascii="Baskerville" w:hAnsi="Baskerville"/>
        </w:rPr>
        <w:fldChar w:fldCharType="begin"/>
      </w:r>
      <w:r w:rsidRPr="00131EED">
        <w:rPr>
          <w:rFonts w:ascii="Baskerville" w:hAnsi="Baskerville"/>
        </w:rPr>
        <w:instrText>SEQ Ilustración \* ARABIC</w:instrText>
      </w:r>
      <w:r w:rsidRPr="00131EED">
        <w:rPr>
          <w:rFonts w:ascii="Baskerville" w:hAnsi="Baskerville"/>
        </w:rPr>
        <w:fldChar w:fldCharType="separate"/>
      </w:r>
      <w:r w:rsidR="00CE096F">
        <w:rPr>
          <w:rFonts w:ascii="Baskerville" w:hAnsi="Baskerville"/>
          <w:noProof/>
        </w:rPr>
        <w:t>13</w:t>
      </w:r>
      <w:r w:rsidRPr="00131EED">
        <w:rPr>
          <w:rFonts w:ascii="Baskerville" w:hAnsi="Baskerville"/>
        </w:rPr>
        <w:fldChar w:fldCharType="end"/>
      </w:r>
      <w:bookmarkEnd w:id="56"/>
      <w:r w:rsidRPr="00131EED">
        <w:rPr>
          <w:rFonts w:ascii="Baskerville" w:hAnsi="Baskerville"/>
        </w:rPr>
        <w:t xml:space="preserve"> </w:t>
      </w:r>
      <w:r w:rsidR="008A326C" w:rsidRPr="00131EED">
        <w:rPr>
          <w:rFonts w:ascii="Baskerville" w:hAnsi="Baskerville"/>
        </w:rPr>
        <w:t xml:space="preserve"> Ecosistemas presentes en la Sabana de Bogotá, de acuerdo con la clasificación realizada por el IAVH.</w:t>
      </w:r>
      <w:bookmarkEnd w:id="57"/>
    </w:p>
    <w:p w14:paraId="75C17F2B" w14:textId="38A5F4A2" w:rsidR="00A70767" w:rsidRPr="00131EED" w:rsidRDefault="00A70767" w:rsidP="007D7E67">
      <w:pPr>
        <w:tabs>
          <w:tab w:val="left" w:pos="1320"/>
          <w:tab w:val="right" w:pos="8828"/>
        </w:tabs>
        <w:jc w:val="center"/>
        <w:rPr>
          <w:rFonts w:ascii="Baskerville" w:eastAsia="Century Gothic" w:hAnsi="Baskerville" w:cs="Arial"/>
        </w:rPr>
      </w:pPr>
      <w:r w:rsidRPr="00131EED">
        <w:rPr>
          <w:rFonts w:ascii="Baskerville" w:eastAsia="Century Gothic" w:hAnsi="Baskerville" w:cs="Arial"/>
          <w:noProof/>
          <w:lang w:eastAsia="en-US"/>
        </w:rPr>
        <w:drawing>
          <wp:inline distT="0" distB="0" distL="0" distR="0" wp14:anchorId="2EEBEDDA" wp14:editId="61C64466">
            <wp:extent cx="5041864" cy="6521569"/>
            <wp:effectExtent l="0" t="0" r="6985" b="0"/>
            <wp:docPr id="26" name="Imagen 26" descr="C:\Users\Dalila\Downloads\Mapa de Ecosiste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lila\Downloads\Mapa de Ecosistemas.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045522" cy="6526301"/>
                    </a:xfrm>
                    <a:prstGeom prst="rect">
                      <a:avLst/>
                    </a:prstGeom>
                    <a:noFill/>
                    <a:ln>
                      <a:noFill/>
                    </a:ln>
                  </pic:spPr>
                </pic:pic>
              </a:graphicData>
            </a:graphic>
          </wp:inline>
        </w:drawing>
      </w:r>
    </w:p>
    <w:p w14:paraId="37CD3357" w14:textId="3AC57765" w:rsidR="008A326C" w:rsidRPr="00131EED" w:rsidRDefault="008A326C" w:rsidP="008A326C">
      <w:pPr>
        <w:pStyle w:val="FootnoteText"/>
        <w:spacing w:after="0" w:line="240" w:lineRule="auto"/>
        <w:jc w:val="center"/>
        <w:rPr>
          <w:rStyle w:val="FootnoteReference"/>
          <w:rFonts w:ascii="Baskerville Old Face" w:hAnsi="Baskerville Old Face" w:cs="Arial"/>
        </w:rPr>
      </w:pPr>
      <w:r w:rsidRPr="00131EED">
        <w:rPr>
          <w:rFonts w:ascii="Baskerville Old Face" w:hAnsi="Baskerville Old Face" w:cs="Arial"/>
        </w:rPr>
        <w:t>Fuente: Elaboració</w:t>
      </w:r>
      <w:r w:rsidR="00793F91" w:rsidRPr="00131EED">
        <w:rPr>
          <w:rFonts w:ascii="Baskerville Old Face" w:hAnsi="Baskerville Old Face" w:cs="Arial"/>
        </w:rPr>
        <w:t>n propia a partir de IDEAM, 2024</w:t>
      </w:r>
    </w:p>
    <w:p w14:paraId="2568FB32" w14:textId="1C2AA94B" w:rsidR="008A326C" w:rsidRPr="00131EED" w:rsidRDefault="008A326C" w:rsidP="00FE3236">
      <w:pPr>
        <w:tabs>
          <w:tab w:val="left" w:pos="1320"/>
          <w:tab w:val="right" w:pos="8828"/>
        </w:tabs>
        <w:rPr>
          <w:rFonts w:eastAsia="Century Gothic" w:cs="Arial"/>
        </w:rPr>
      </w:pPr>
      <w:r w:rsidRPr="00131EED">
        <w:rPr>
          <w:rFonts w:eastAsia="Century Gothic" w:cs="Arial"/>
        </w:rPr>
        <w:t xml:space="preserve">Derivado de la importancia de los ecosistemas presentes al interior del territorio de la Sabana de Bogotá, es importante mencionar que el </w:t>
      </w:r>
      <w:r w:rsidR="005E12D5" w:rsidRPr="00131EED">
        <w:rPr>
          <w:rFonts w:eastAsia="Century Gothic" w:cs="Arial"/>
        </w:rPr>
        <w:t xml:space="preserve">35 </w:t>
      </w:r>
      <w:r w:rsidRPr="00131EED">
        <w:rPr>
          <w:rFonts w:eastAsia="Century Gothic" w:cs="Arial"/>
        </w:rPr>
        <w:t xml:space="preserve">% del área total de la Ecorregión ha sido incluida en figuras de importancia ambiental, las cuales abarcan </w:t>
      </w:r>
      <w:r w:rsidR="00FE3236" w:rsidRPr="00131EED">
        <w:rPr>
          <w:rFonts w:eastAsia="Century Gothic" w:cs="Arial"/>
        </w:rPr>
        <w:t xml:space="preserve">150.480 </w:t>
      </w:r>
      <w:r w:rsidRPr="00131EED">
        <w:rPr>
          <w:rFonts w:eastAsia="Century Gothic" w:cs="Arial"/>
        </w:rPr>
        <w:t>hectáreas.</w:t>
      </w:r>
    </w:p>
    <w:p w14:paraId="46585095" w14:textId="77777777" w:rsidR="00FE3236" w:rsidRPr="00131EED" w:rsidRDefault="00FE3236" w:rsidP="00FE3236">
      <w:pPr>
        <w:tabs>
          <w:tab w:val="left" w:pos="1320"/>
          <w:tab w:val="right" w:pos="8828"/>
        </w:tabs>
        <w:rPr>
          <w:rFonts w:eastAsia="Century Gothic" w:cs="Arial"/>
        </w:rPr>
      </w:pPr>
    </w:p>
    <w:p w14:paraId="16A58371" w14:textId="18A05CCF" w:rsidR="008A326C" w:rsidRPr="00131EED" w:rsidRDefault="008A326C" w:rsidP="00FA7A9B">
      <w:pPr>
        <w:tabs>
          <w:tab w:val="left" w:pos="1320"/>
          <w:tab w:val="right" w:pos="8828"/>
        </w:tabs>
        <w:rPr>
          <w:rFonts w:eastAsia="Century Gothic" w:cs="Arial"/>
        </w:rPr>
      </w:pPr>
      <w:r w:rsidRPr="00131EED">
        <w:rPr>
          <w:rFonts w:eastAsia="Century Gothic" w:cs="Arial"/>
        </w:rPr>
        <w:t xml:space="preserve">Dentro del </w:t>
      </w:r>
      <w:r w:rsidR="00EF1624" w:rsidRPr="00131EED">
        <w:rPr>
          <w:rFonts w:eastAsia="Century Gothic" w:cs="Arial"/>
        </w:rPr>
        <w:t>35</w:t>
      </w:r>
      <w:r w:rsidRPr="00131EED">
        <w:rPr>
          <w:rFonts w:eastAsia="Century Gothic" w:cs="Arial"/>
        </w:rPr>
        <w:t xml:space="preserve">% del área ocupada por figuras de importancia ambiental en la Ecorregión Sabana, un </w:t>
      </w:r>
      <w:r w:rsidR="003E1399" w:rsidRPr="00131EED">
        <w:rPr>
          <w:rFonts w:eastAsia="Century Gothic" w:cs="Arial"/>
        </w:rPr>
        <w:t>13%</w:t>
      </w:r>
      <w:r w:rsidRPr="00131EED">
        <w:rPr>
          <w:rFonts w:eastAsia="Century Gothic" w:cs="Arial"/>
        </w:rPr>
        <w:t xml:space="preserve"> corresponde a áreas protegidas del RUNAP, el </w:t>
      </w:r>
      <w:r w:rsidR="009921D6" w:rsidRPr="00131EED">
        <w:rPr>
          <w:rFonts w:eastAsia="Century Gothic" w:cs="Arial"/>
        </w:rPr>
        <w:t>22</w:t>
      </w:r>
      <w:r w:rsidRPr="00131EED">
        <w:rPr>
          <w:rFonts w:eastAsia="Century Gothic" w:cs="Arial"/>
        </w:rPr>
        <w:t xml:space="preserve">% está ocupado por </w:t>
      </w:r>
      <w:r w:rsidR="009921D6" w:rsidRPr="00131EED">
        <w:rPr>
          <w:rFonts w:eastAsia="Century Gothic" w:cs="Arial"/>
        </w:rPr>
        <w:t>Otras Medidas Efectivas para la Conservación (OMEC)</w:t>
      </w:r>
      <w:r w:rsidRPr="00131EED">
        <w:rPr>
          <w:rFonts w:eastAsia="Century Gothic" w:cs="Arial"/>
        </w:rPr>
        <w:t xml:space="preserve">, el ecosistema de páramo abarca el </w:t>
      </w:r>
      <w:r w:rsidR="00460668" w:rsidRPr="00131EED">
        <w:rPr>
          <w:rFonts w:eastAsia="Century Gothic" w:cs="Arial"/>
        </w:rPr>
        <w:t>12,43</w:t>
      </w:r>
      <w:r w:rsidRPr="00131EED">
        <w:rPr>
          <w:rFonts w:eastAsia="Century Gothic" w:cs="Arial"/>
        </w:rPr>
        <w:t>%, mientras que el 7.32% corresponde a áreas de humedales, sin dejar de lado los humedales RAMSAR con un 0.81%</w:t>
      </w:r>
      <w:r w:rsidR="00FA7A9B" w:rsidRPr="00131EED">
        <w:rPr>
          <w:rFonts w:eastAsia="Century Gothic" w:cs="Arial"/>
        </w:rPr>
        <w:t xml:space="preserve"> (ver </w:t>
      </w:r>
      <w:r w:rsidR="00FA7A9B" w:rsidRPr="00131EED">
        <w:rPr>
          <w:rFonts w:eastAsia="Century Gothic" w:cs="Arial"/>
        </w:rPr>
        <w:fldChar w:fldCharType="begin"/>
      </w:r>
      <w:r w:rsidR="00FA7A9B" w:rsidRPr="00131EED">
        <w:rPr>
          <w:rFonts w:eastAsia="Century Gothic" w:cs="Arial"/>
        </w:rPr>
        <w:instrText xml:space="preserve"> REF _Ref210964657 \h </w:instrText>
      </w:r>
      <w:r w:rsidR="00FA7A9B" w:rsidRPr="00131EED">
        <w:rPr>
          <w:rFonts w:eastAsia="Century Gothic" w:cs="Arial"/>
        </w:rPr>
      </w:r>
      <w:r w:rsidR="00FA7A9B" w:rsidRPr="00131EED">
        <w:rPr>
          <w:rFonts w:eastAsia="Century Gothic" w:cs="Arial"/>
        </w:rPr>
        <w:fldChar w:fldCharType="separate"/>
      </w:r>
      <w:r w:rsidR="00CE096F" w:rsidRPr="00131EED">
        <w:t xml:space="preserve">Ilustración </w:t>
      </w:r>
      <w:r w:rsidR="00CE096F">
        <w:rPr>
          <w:noProof/>
        </w:rPr>
        <w:t>17</w:t>
      </w:r>
      <w:r w:rsidR="00FA7A9B" w:rsidRPr="00131EED">
        <w:rPr>
          <w:rFonts w:eastAsia="Century Gothic" w:cs="Arial"/>
        </w:rPr>
        <w:fldChar w:fldCharType="end"/>
      </w:r>
      <w:r w:rsidR="00FA7A9B" w:rsidRPr="00131EED">
        <w:rPr>
          <w:rFonts w:eastAsia="Century Gothic" w:cs="Arial"/>
        </w:rPr>
        <w:t>)</w:t>
      </w:r>
    </w:p>
    <w:p w14:paraId="66B04C1B" w14:textId="77777777" w:rsidR="008A326C" w:rsidRPr="00131EED" w:rsidRDefault="008A326C" w:rsidP="008A326C">
      <w:pPr>
        <w:tabs>
          <w:tab w:val="left" w:pos="1320"/>
          <w:tab w:val="right" w:pos="8828"/>
        </w:tabs>
        <w:rPr>
          <w:rFonts w:ascii="Century Gothic" w:eastAsia="Century Gothic" w:hAnsi="Century Gothic" w:cs="Arial"/>
        </w:rPr>
      </w:pPr>
    </w:p>
    <w:p w14:paraId="29A2C865" w14:textId="77777777" w:rsidR="008A326C" w:rsidRPr="00131EED" w:rsidRDefault="008A326C" w:rsidP="00410194">
      <w:pPr>
        <w:pStyle w:val="Heading3"/>
        <w:numPr>
          <w:ilvl w:val="2"/>
          <w:numId w:val="31"/>
        </w:numPr>
      </w:pPr>
      <w:bookmarkStart w:id="58" w:name="_Toc216468688"/>
      <w:r w:rsidRPr="00131EED">
        <w:t>Áreas con bajos niveles de integridad ecológica</w:t>
      </w:r>
      <w:bookmarkEnd w:id="58"/>
    </w:p>
    <w:p w14:paraId="2CD284A4" w14:textId="358A959A" w:rsidR="008A326C" w:rsidRPr="00131EED" w:rsidRDefault="008A326C" w:rsidP="008A326C">
      <w:pPr>
        <w:tabs>
          <w:tab w:val="left" w:pos="1320"/>
          <w:tab w:val="right" w:pos="8828"/>
        </w:tabs>
        <w:spacing w:before="240" w:after="240"/>
        <w:rPr>
          <w:rFonts w:eastAsia="Century Gothic" w:cs="Arial"/>
        </w:rPr>
      </w:pPr>
      <w:r w:rsidRPr="00131EED">
        <w:rPr>
          <w:rFonts w:eastAsia="Century Gothic" w:cs="Arial"/>
        </w:rPr>
        <w:t>La integridad ecológica es una herramienta para el manejo de las áreas protegidas que permite evaluar el estado de conservación y generar distintas acciones de manejo. Para analizar la integridad ecológica de filtro grueso se utiliza información de referencia a escala de paisaje, sobre la cual se analizan diferentes métricas del paisaje.</w:t>
      </w:r>
      <w:sdt>
        <w:sdtPr>
          <w:rPr>
            <w:rFonts w:eastAsia="Century Gothic" w:cs="Arial"/>
          </w:rPr>
          <w:id w:val="-1054537461"/>
          <w:citation/>
        </w:sdtPr>
        <w:sdtEndPr/>
        <w:sdtContent>
          <w:r w:rsidRPr="00131EED">
            <w:rPr>
              <w:rFonts w:eastAsia="Century Gothic" w:cs="Arial"/>
            </w:rPr>
            <w:fldChar w:fldCharType="begin"/>
          </w:r>
          <w:r w:rsidRPr="00131EED">
            <w:rPr>
              <w:rFonts w:eastAsia="Century Gothic" w:cs="Arial"/>
            </w:rPr>
            <w:instrText xml:space="preserve"> CITATION Col22 \l 2058 </w:instrText>
          </w:r>
          <w:r w:rsidRPr="00131EED">
            <w:rPr>
              <w:rFonts w:eastAsia="Century Gothic" w:cs="Arial"/>
            </w:rPr>
            <w:fldChar w:fldCharType="separate"/>
          </w:r>
          <w:r w:rsidRPr="00131EED">
            <w:rPr>
              <w:rFonts w:eastAsia="Century Gothic" w:cs="Arial"/>
            </w:rPr>
            <w:t xml:space="preserve"> (Colombia, 2022)</w:t>
          </w:r>
          <w:r w:rsidRPr="00131EED">
            <w:rPr>
              <w:rFonts w:eastAsia="Century Gothic" w:cs="Arial"/>
            </w:rPr>
            <w:fldChar w:fldCharType="end"/>
          </w:r>
        </w:sdtContent>
      </w:sdt>
    </w:p>
    <w:p w14:paraId="74B97C9C" w14:textId="190E316A" w:rsidR="00F03F65" w:rsidRPr="00131EED" w:rsidRDefault="00DA5D93" w:rsidP="00F03F65">
      <w:pPr>
        <w:tabs>
          <w:tab w:val="left" w:pos="1320"/>
          <w:tab w:val="right" w:pos="8828"/>
        </w:tabs>
        <w:rPr>
          <w:rFonts w:eastAsia="Century Gothic" w:cs="Arial"/>
        </w:rPr>
      </w:pPr>
      <w:r w:rsidRPr="00131EED">
        <w:rPr>
          <w:rFonts w:eastAsia="Century Gothic" w:cs="Arial"/>
        </w:rPr>
        <w:t xml:space="preserve">En el concepto de </w:t>
      </w:r>
      <w:r w:rsidR="00F03F65" w:rsidRPr="00131EED">
        <w:rPr>
          <w:rFonts w:eastAsia="Century Gothic" w:cs="Arial"/>
        </w:rPr>
        <w:t xml:space="preserve">integridad ecológica, </w:t>
      </w:r>
      <w:r w:rsidRPr="00131EED">
        <w:rPr>
          <w:rFonts w:eastAsia="Century Gothic" w:cs="Arial"/>
        </w:rPr>
        <w:t>se considera que</w:t>
      </w:r>
      <w:r w:rsidR="00F03F65" w:rsidRPr="00131EED">
        <w:rPr>
          <w:rFonts w:eastAsia="Century Gothic" w:cs="Arial"/>
        </w:rPr>
        <w:t xml:space="preserve"> un ecosistema es saludable cuando es estable, sostenible y activo, manteniendo su organización y autonomía a través del tiempo, y cuando mantiene su capacidad de retomar a las condiciones anteriores a una perturbación y los flujos de intercambio de materia, energía y componentes bióticos con otros ecosistemas (Constanza et al., 1992; Rapport et al., 1998, citado por Zambrano et al., 2007).</w:t>
      </w:r>
    </w:p>
    <w:p w14:paraId="14CF6750" w14:textId="77777777" w:rsidR="00F03F65" w:rsidRPr="00131EED" w:rsidRDefault="00F03F65" w:rsidP="008A326C">
      <w:pPr>
        <w:tabs>
          <w:tab w:val="left" w:pos="1320"/>
          <w:tab w:val="right" w:pos="8828"/>
        </w:tabs>
        <w:rPr>
          <w:rFonts w:eastAsia="Century Gothic" w:cs="Arial"/>
        </w:rPr>
      </w:pPr>
    </w:p>
    <w:p w14:paraId="199391BE" w14:textId="24A2CE41" w:rsidR="008A326C" w:rsidRPr="00131EED" w:rsidRDefault="008A326C" w:rsidP="008A326C">
      <w:pPr>
        <w:tabs>
          <w:tab w:val="left" w:pos="1320"/>
          <w:tab w:val="right" w:pos="8828"/>
        </w:tabs>
        <w:rPr>
          <w:rFonts w:eastAsia="Century Gothic" w:cs="Arial"/>
        </w:rPr>
      </w:pPr>
      <w:r w:rsidRPr="00131EED">
        <w:rPr>
          <w:rFonts w:eastAsia="Century Gothic" w:cs="Arial"/>
        </w:rPr>
        <w:t>La integridad ecológica, además de obedecer a patrones de composición y relacionamiento funcionales al interior de los ecosistemas y entre ellos, también responde a los factores socioeconómicos políticos y administrativos que los modelan, esos factores son determinados por el ser humano, quien altera los ecosistemas y se ve alterado por las dinámicas naturales del entorno. Por tanto, la evaluación ecológica de áreas aborda la combinación de criterios en escalas temporales, espaciales y jerárquicas, que permite analizar el grado de conservación, el valor y las posibilidades de manejo de áreas de interés para la conservación (De Leo &amp; Levin, 1997; Fandiño-Lozano, 1996; Kay, 1993, citado por Parques Nacionales Naturales de Colombia, 2005).</w:t>
      </w:r>
    </w:p>
    <w:p w14:paraId="4D4AE616" w14:textId="77777777" w:rsidR="008A326C" w:rsidRPr="00131EED" w:rsidRDefault="008A326C" w:rsidP="008A326C">
      <w:pPr>
        <w:tabs>
          <w:tab w:val="left" w:pos="1320"/>
          <w:tab w:val="right" w:pos="8828"/>
        </w:tabs>
        <w:rPr>
          <w:rFonts w:eastAsia="Century Gothic" w:cs="Arial"/>
        </w:rPr>
      </w:pPr>
    </w:p>
    <w:p w14:paraId="4D69BF72" w14:textId="77777777" w:rsidR="008A326C" w:rsidRPr="00131EED" w:rsidRDefault="008A326C" w:rsidP="008A326C">
      <w:pPr>
        <w:tabs>
          <w:tab w:val="left" w:pos="1320"/>
          <w:tab w:val="right" w:pos="8828"/>
        </w:tabs>
        <w:rPr>
          <w:rFonts w:eastAsia="Century Gothic" w:cs="Arial"/>
        </w:rPr>
      </w:pPr>
      <w:r w:rsidRPr="00131EED">
        <w:rPr>
          <w:rFonts w:eastAsia="Century Gothic" w:cs="Arial"/>
        </w:rPr>
        <w:t>Los ecosistemas con mayor integridad contribuyen a reducir el riesgo de catástrofes naturales, a mejorar la protección del agua, a mantener la biodiversidad a pesar de los cambios climáticos y a aumentar los beneficios para la salud humana. Por estas razones, la integridad puede utilizarse como una medida importante para evaluar la resistencia de un ecosistema a los efectos del cambio climático.</w:t>
      </w:r>
    </w:p>
    <w:p w14:paraId="6CE25001" w14:textId="77777777" w:rsidR="008A326C" w:rsidRPr="00131EED" w:rsidRDefault="008A326C" w:rsidP="008A326C">
      <w:pPr>
        <w:tabs>
          <w:tab w:val="left" w:pos="1320"/>
          <w:tab w:val="right" w:pos="8828"/>
        </w:tabs>
        <w:rPr>
          <w:rFonts w:eastAsia="Century Gothic" w:cs="Arial"/>
        </w:rPr>
      </w:pPr>
    </w:p>
    <w:p w14:paraId="41241D2A" w14:textId="77777777" w:rsidR="008A326C" w:rsidRPr="00131EED" w:rsidRDefault="008A326C" w:rsidP="008A326C">
      <w:pPr>
        <w:shd w:val="clear" w:color="auto" w:fill="FFFFFF" w:themeFill="background1"/>
        <w:tabs>
          <w:tab w:val="left" w:pos="1320"/>
          <w:tab w:val="right" w:pos="8828"/>
        </w:tabs>
        <w:spacing w:after="100"/>
        <w:rPr>
          <w:rFonts w:eastAsia="Century Gothic" w:cs="Arial"/>
        </w:rPr>
      </w:pPr>
      <w:r w:rsidRPr="00131EED">
        <w:rPr>
          <w:rFonts w:eastAsia="Century Gothic" w:cs="Arial"/>
        </w:rPr>
        <w:t>El presente documento tomó como insumo el análisis de integridad ecológica realizado por el Instituto Alexander von Humboldt para Colombia, realizado en el año 2022 a escala 1: 100.000, el cual utiliza variables espaciales para realizar un modelo que permite clasificar la integridad ecológica en cinco categorías: Muy alto, alto, medio, bajo y muy bajo, siendo las categorías Muy alto y alto las de mejor estado de conservación y las categorías bajo y muy bajo las más transformadas.</w:t>
      </w:r>
    </w:p>
    <w:p w14:paraId="7834D55F" w14:textId="77777777" w:rsidR="00A45F77" w:rsidRPr="00131EED" w:rsidRDefault="00A45F77" w:rsidP="00DA5D93">
      <w:pPr>
        <w:tabs>
          <w:tab w:val="left" w:pos="1320"/>
          <w:tab w:val="right" w:pos="8828"/>
        </w:tabs>
        <w:rPr>
          <w:rFonts w:eastAsia="Century Gothic" w:cs="Arial"/>
        </w:rPr>
      </w:pPr>
    </w:p>
    <w:p w14:paraId="3B7D38CA" w14:textId="4C456C04" w:rsidR="008A326C" w:rsidRPr="00131EED" w:rsidRDefault="002107FA" w:rsidP="00DA5D93">
      <w:pPr>
        <w:tabs>
          <w:tab w:val="left" w:pos="1320"/>
          <w:tab w:val="right" w:pos="8828"/>
        </w:tabs>
        <w:rPr>
          <w:rFonts w:eastAsia="Century Gothic" w:cs="Arial"/>
        </w:rPr>
      </w:pPr>
      <w:r w:rsidRPr="00131EED">
        <w:rPr>
          <w:rFonts w:eastAsia="Century Gothic" w:cs="Arial"/>
        </w:rPr>
        <w:t xml:space="preserve">Derivado de las actividades antrópicas en la Sabana de Bogotá, se ha observado el deterioro de los ecosistemas naturales y sus servicios ecosistémicos, </w:t>
      </w:r>
      <w:r w:rsidR="00DA5D93" w:rsidRPr="00131EED">
        <w:rPr>
          <w:rFonts w:eastAsia="Century Gothic" w:cs="Arial"/>
        </w:rPr>
        <w:t>donde</w:t>
      </w:r>
      <w:r w:rsidR="008A326C" w:rsidRPr="00131EED">
        <w:rPr>
          <w:rFonts w:eastAsia="Century Gothic" w:cs="Arial"/>
        </w:rPr>
        <w:t xml:space="preserve"> se observa que </w:t>
      </w:r>
      <w:r w:rsidR="00C67F53" w:rsidRPr="00131EED">
        <w:rPr>
          <w:rFonts w:eastAsia="Century Gothic" w:cs="Arial"/>
        </w:rPr>
        <w:t xml:space="preserve">el </w:t>
      </w:r>
      <w:r w:rsidR="00C67F53" w:rsidRPr="00131EED">
        <w:rPr>
          <w:rFonts w:eastAsia="Century Gothic" w:cs="Arial"/>
          <w:b/>
        </w:rPr>
        <w:t>84%</w:t>
      </w:r>
      <w:r w:rsidR="008A326C" w:rsidRPr="00131EED">
        <w:rPr>
          <w:rFonts w:eastAsia="Century Gothic" w:cs="Arial"/>
          <w:b/>
        </w:rPr>
        <w:t xml:space="preserve"> de los ecosistemas se encuentran en condiciones de integridad ecológica bajo y muy bajo</w:t>
      </w:r>
      <w:r w:rsidR="008A326C" w:rsidRPr="00131EED">
        <w:rPr>
          <w:rFonts w:eastAsia="Century Gothic" w:cs="Arial"/>
        </w:rPr>
        <w:t>, lo cual es una manifestación de la transformación histórica que ha sufrido la Sabana, pero además que pone en condiciones de vulnerabilidad a más del 25% de la población colombiana que se encuentra asentada en este territorio.  Las áreas en mejor estado de conservación</w:t>
      </w:r>
      <w:r w:rsidR="006860F8" w:rsidRPr="00131EED">
        <w:rPr>
          <w:rFonts w:eastAsia="Century Gothic" w:cs="Arial"/>
        </w:rPr>
        <w:t>, que están en categoría media de integridad ecológica</w:t>
      </w:r>
      <w:r w:rsidR="008A326C" w:rsidRPr="00131EED">
        <w:rPr>
          <w:rFonts w:eastAsia="Century Gothic" w:cs="Arial"/>
        </w:rPr>
        <w:t xml:space="preserve"> se encuentran </w:t>
      </w:r>
      <w:r w:rsidR="006860F8" w:rsidRPr="00131EED">
        <w:rPr>
          <w:rFonts w:eastAsia="Century Gothic" w:cs="Arial"/>
        </w:rPr>
        <w:t>en las partes altas de las cadenas montañosas presentes en la Sabana</w:t>
      </w:r>
      <w:r w:rsidR="006860F8" w:rsidRPr="00131EED">
        <w:rPr>
          <w:rFonts w:eastAsia="Century Gothic"/>
          <w:i/>
        </w:rPr>
        <w:t xml:space="preserve"> (ver</w:t>
      </w:r>
      <w:r w:rsidR="001B6F1C" w:rsidRPr="00131EED">
        <w:rPr>
          <w:rFonts w:eastAsia="Century Gothic"/>
          <w:i/>
        </w:rPr>
        <w:t xml:space="preserve"> </w:t>
      </w:r>
      <w:r w:rsidR="001B6F1C" w:rsidRPr="00131EED">
        <w:rPr>
          <w:rFonts w:eastAsia="Century Gothic"/>
          <w:i/>
        </w:rPr>
        <w:fldChar w:fldCharType="begin"/>
      </w:r>
      <w:r w:rsidR="001B6F1C" w:rsidRPr="00131EED">
        <w:rPr>
          <w:rFonts w:ascii="Baskerville" w:eastAsia="Century Gothic" w:hAnsi="Baskerville"/>
          <w:i/>
          <w:iCs/>
        </w:rPr>
        <w:instrText xml:space="preserve"> REF _Ref210655686 \h </w:instrText>
      </w:r>
      <w:r w:rsidR="009C26A2" w:rsidRPr="00131EED">
        <w:rPr>
          <w:rFonts w:ascii="Baskerville" w:eastAsia="Century Gothic" w:hAnsi="Baskerville"/>
          <w:i/>
          <w:iCs/>
        </w:rPr>
        <w:instrText xml:space="preserve"> \* MERGEFORMAT </w:instrText>
      </w:r>
      <w:r w:rsidR="001B6F1C" w:rsidRPr="00131EED">
        <w:rPr>
          <w:rFonts w:eastAsia="Century Gothic"/>
          <w:i/>
        </w:rPr>
      </w:r>
      <w:r w:rsidR="001B6F1C" w:rsidRPr="00131EED">
        <w:rPr>
          <w:rFonts w:eastAsia="Century Gothic"/>
          <w:i/>
        </w:rPr>
        <w:fldChar w:fldCharType="separate"/>
      </w:r>
      <w:r w:rsidR="00CE096F" w:rsidRPr="00CE096F">
        <w:rPr>
          <w:rFonts w:eastAsia="Century Gothic"/>
        </w:rPr>
        <w:t>Ilustración</w:t>
      </w:r>
      <w:r w:rsidR="00CE096F" w:rsidRPr="00131EED">
        <w:t xml:space="preserve"> </w:t>
      </w:r>
      <w:r w:rsidR="00CE096F">
        <w:t>14</w:t>
      </w:r>
      <w:r w:rsidR="001B6F1C" w:rsidRPr="00131EED">
        <w:rPr>
          <w:rFonts w:eastAsia="Century Gothic" w:cs="Arial"/>
        </w:rPr>
        <w:fldChar w:fldCharType="end"/>
      </w:r>
      <w:r w:rsidR="001B6F1C" w:rsidRPr="00131EED">
        <w:rPr>
          <w:rFonts w:eastAsia="Century Gothic" w:cs="Arial"/>
        </w:rPr>
        <w:t>)</w:t>
      </w:r>
      <w:r w:rsidR="008A326C" w:rsidRPr="00131EED">
        <w:rPr>
          <w:rFonts w:eastAsia="Century Gothic" w:cs="Arial"/>
        </w:rPr>
        <w:t>.</w:t>
      </w:r>
    </w:p>
    <w:p w14:paraId="4DF85FB2" w14:textId="77777777" w:rsidR="008A326C" w:rsidRPr="00131EED" w:rsidRDefault="008A326C" w:rsidP="008A326C">
      <w:pPr>
        <w:shd w:val="clear" w:color="auto" w:fill="FFFFFF" w:themeFill="background1"/>
        <w:tabs>
          <w:tab w:val="left" w:pos="1320"/>
          <w:tab w:val="right" w:pos="8828"/>
        </w:tabs>
        <w:rPr>
          <w:rFonts w:eastAsia="Century Gothic" w:cs="Arial"/>
        </w:rPr>
      </w:pPr>
    </w:p>
    <w:p w14:paraId="7BC50C07" w14:textId="783A683C" w:rsidR="00C237C4" w:rsidRPr="00131EED" w:rsidRDefault="00C237C4" w:rsidP="00C237C4">
      <w:pPr>
        <w:rPr>
          <w:rFonts w:cs="Arial"/>
        </w:rPr>
      </w:pPr>
      <w:r w:rsidRPr="00131EED">
        <w:rPr>
          <w:rFonts w:cs="Arial"/>
        </w:rPr>
        <w:t>De acuerdo con (IAvH, 2024) las áreas urbanas incluyendo a Bogotá como ecosistemas transformados, cuentan con muy baja integridad por procesos de sellamiento del suelo y reemplazamiento de vegetación por edificaciones e infraestructuras; estas áreas están asociados con muy baja riqueza de especies, muy baja presencia de especies endémicas, muchas especies amenazadas, muchos ecosistemas críticos o en peligro, muchos ecosistemas completamente transformados - muy transformados, tamaño de fragmentos pequeños, formas con pocos vértices - no coberturas naturales, coberturas productivas no sostenibles, distancias muy largas entre fragmentos - poca conectividad estructural, la estructura de la vegetación no está consolidada, bajos valores de almacenamiento de carbono, oferta y regulación muy baja por ausencia de coberturas, muy bajo control de erosión, y muy bajo control de inundaciones.</w:t>
      </w:r>
    </w:p>
    <w:p w14:paraId="25584E5E" w14:textId="77777777" w:rsidR="00EA76C1" w:rsidRPr="00131EED" w:rsidRDefault="00EA76C1" w:rsidP="00C237C4">
      <w:pPr>
        <w:rPr>
          <w:rFonts w:cs="Arial"/>
        </w:rPr>
      </w:pPr>
    </w:p>
    <w:p w14:paraId="2D84345A" w14:textId="77777777" w:rsidR="0000734D" w:rsidRPr="00131EED" w:rsidRDefault="0000734D" w:rsidP="0000734D">
      <w:pPr>
        <w:rPr>
          <w:rFonts w:cs="Arial"/>
        </w:rPr>
      </w:pPr>
      <w:r w:rsidRPr="00131EED">
        <w:rPr>
          <w:rFonts w:cs="Arial"/>
        </w:rPr>
        <w:t>Los escenarios con nivel de integridad baja están asociados con: baja riqueza de especies, baja presencia de especies endémicas, presencia de especies amenazadas, ecosistemas en Peligro, ecosistemas muy transformados, tamaño de parche pequeño, formas con pocos vértices - no coberturas naturales, coberturas productivas sostenibles y no sostenibles, distancias largas entre parches - poca conectividad estructural, la estructura de la vegetación no consolidada, bajos valores de almacenamiento de carbono, oferta y regulación baja por ausencia de coberturas, bajo control de erosión, bajo control de inundaciones.</w:t>
      </w:r>
    </w:p>
    <w:p w14:paraId="516178AA" w14:textId="77777777" w:rsidR="00EA76C1" w:rsidRPr="00131EED" w:rsidRDefault="00EA76C1" w:rsidP="00C237C4">
      <w:pPr>
        <w:rPr>
          <w:rFonts w:cs="Arial"/>
        </w:rPr>
      </w:pPr>
    </w:p>
    <w:p w14:paraId="18DBC0F7" w14:textId="77777777" w:rsidR="00D46B81" w:rsidRPr="00131EED" w:rsidRDefault="00D46B81" w:rsidP="00D46B81">
      <w:pPr>
        <w:rPr>
          <w:rFonts w:cs="Arial"/>
        </w:rPr>
      </w:pPr>
      <w:r w:rsidRPr="00131EED">
        <w:rPr>
          <w:rFonts w:cs="Arial"/>
        </w:rPr>
        <w:t>Los escenarios con nivel de integridad media están asociados con: riqueza de especies media, presencia de especies endémicas, presencia de especies amenazadas media, ecosistemas vulnerables, ecosistemas transformados, tamaño de parche pequeño a mediano, formas con pocos vértices - no coberturas naturales, coberturas productivas sostenibles, distancias entre parches dificulta la conectividad estructural, la estructura de la vegetación diversa, valores de almacenamiento de carbono medio, oferto y regulación media por ausencia de coberturas, control de erosión medio, control de inundaciones medio.</w:t>
      </w:r>
    </w:p>
    <w:p w14:paraId="37668566" w14:textId="389F621C" w:rsidR="00EA76C1" w:rsidRPr="00131EED" w:rsidRDefault="00EA76C1" w:rsidP="00C237C4">
      <w:pPr>
        <w:rPr>
          <w:rFonts w:cs="Arial"/>
        </w:rPr>
      </w:pPr>
    </w:p>
    <w:p w14:paraId="5583AFE7" w14:textId="77777777" w:rsidR="00CB4978" w:rsidRPr="00131EED" w:rsidRDefault="00CB4978" w:rsidP="00C237C4">
      <w:pPr>
        <w:rPr>
          <w:rFonts w:cs="Arial"/>
        </w:rPr>
      </w:pPr>
    </w:p>
    <w:p w14:paraId="48D1BF94" w14:textId="77777777" w:rsidR="00EA76C1" w:rsidRPr="00131EED" w:rsidRDefault="00EA76C1" w:rsidP="00C237C4">
      <w:pPr>
        <w:rPr>
          <w:rFonts w:cs="Arial"/>
        </w:rPr>
      </w:pPr>
    </w:p>
    <w:p w14:paraId="0F1E4C51" w14:textId="59BAA0AC" w:rsidR="008A326C" w:rsidRPr="00131EED" w:rsidRDefault="001B6F1C" w:rsidP="0000734D">
      <w:pPr>
        <w:pStyle w:val="Caption"/>
        <w:jc w:val="center"/>
      </w:pPr>
      <w:bookmarkStart w:id="59" w:name="_Ref210655686"/>
      <w:bookmarkStart w:id="60" w:name="_Toc216468779"/>
      <w:r w:rsidRPr="00131EED">
        <w:t xml:space="preserve">Ilustración </w:t>
      </w:r>
      <w:r w:rsidRPr="00131EED">
        <w:fldChar w:fldCharType="begin"/>
      </w:r>
      <w:r w:rsidRPr="00131EED">
        <w:instrText>SEQ Ilustración \* ARABIC</w:instrText>
      </w:r>
      <w:r w:rsidRPr="00131EED">
        <w:fldChar w:fldCharType="separate"/>
      </w:r>
      <w:r w:rsidR="00CE096F">
        <w:rPr>
          <w:noProof/>
        </w:rPr>
        <w:t>14</w:t>
      </w:r>
      <w:r w:rsidRPr="00131EED">
        <w:fldChar w:fldCharType="end"/>
      </w:r>
      <w:bookmarkEnd w:id="59"/>
      <w:r w:rsidRPr="00131EED">
        <w:t xml:space="preserve"> </w:t>
      </w:r>
      <w:r w:rsidR="008A326C" w:rsidRPr="00131EED">
        <w:t>Análisis de integridad ecológica para la Sabana de Bogotá.</w:t>
      </w:r>
      <w:bookmarkEnd w:id="60"/>
    </w:p>
    <w:p w14:paraId="1C66D39E" w14:textId="14DAB6AF" w:rsidR="4E74A989" w:rsidRPr="00131EED" w:rsidRDefault="5AC0863D" w:rsidP="4E74A989">
      <w:pPr>
        <w:tabs>
          <w:tab w:val="left" w:pos="1320"/>
          <w:tab w:val="right" w:pos="8828"/>
        </w:tabs>
        <w:jc w:val="center"/>
      </w:pPr>
      <w:r w:rsidRPr="00131EED">
        <w:rPr>
          <w:noProof/>
          <w:lang w:eastAsia="en-US"/>
        </w:rPr>
        <w:drawing>
          <wp:inline distT="0" distB="0" distL="0" distR="0" wp14:anchorId="609AB13A" wp14:editId="4EA91950">
            <wp:extent cx="3816610" cy="5400000"/>
            <wp:effectExtent l="0" t="0" r="0" b="0"/>
            <wp:docPr id="5118053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8053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816610" cy="5400000"/>
                    </a:xfrm>
                    <a:prstGeom prst="rect">
                      <a:avLst/>
                    </a:prstGeom>
                  </pic:spPr>
                </pic:pic>
              </a:graphicData>
            </a:graphic>
          </wp:inline>
        </w:drawing>
      </w:r>
    </w:p>
    <w:p w14:paraId="13C4FAC2" w14:textId="000B165A" w:rsidR="008A326C" w:rsidRPr="00131EED" w:rsidRDefault="008A326C" w:rsidP="008A326C">
      <w:pPr>
        <w:tabs>
          <w:tab w:val="left" w:pos="1320"/>
          <w:tab w:val="right" w:pos="8828"/>
        </w:tabs>
        <w:jc w:val="center"/>
        <w:rPr>
          <w:rStyle w:val="FootnoteReference"/>
          <w:rFonts w:cs="Arial"/>
          <w:sz w:val="20"/>
          <w:szCs w:val="20"/>
        </w:rPr>
      </w:pPr>
      <w:r w:rsidRPr="00131EED">
        <w:rPr>
          <w:rFonts w:cs="Arial"/>
          <w:sz w:val="20"/>
          <w:szCs w:val="20"/>
        </w:rPr>
        <w:t>Fuente: elaboración propia a partir de IAVH, 2023.</w:t>
      </w:r>
    </w:p>
    <w:p w14:paraId="448AD712" w14:textId="77777777" w:rsidR="00A45F77" w:rsidRPr="00131EED" w:rsidRDefault="00A45F77" w:rsidP="008A326C">
      <w:pPr>
        <w:rPr>
          <w:rFonts w:cs="Arial"/>
        </w:rPr>
      </w:pPr>
    </w:p>
    <w:p w14:paraId="64F2DB98" w14:textId="77777777" w:rsidR="008A326C" w:rsidRPr="00131EED" w:rsidRDefault="008A326C" w:rsidP="008A326C">
      <w:pPr>
        <w:rPr>
          <w:rFonts w:cs="Arial"/>
        </w:rPr>
      </w:pPr>
      <w:r w:rsidRPr="00131EED">
        <w:rPr>
          <w:rFonts w:cs="Arial"/>
        </w:rPr>
        <w:t>Este análisis de integridad ecológica permite identificar de manera preliminar las áreas que cuentan con la necesidad de asistir a los ecosistemas más transformados a través de procesos de restauración ecológica, la cual ha sido definida como una actividad deliberada que inicia o acelera la recuperación de un ecosistema con respecto a su salud, integridad y sostenibilidad (SER, 2004) y que el plan nacional de restauración define como: define el proceso mediante el cual se busca recuperar las condiciones de los ecosistemas, incluyendo su estructura, composición y funciones, con el objetivo de garantizar la prestación de servicios ecosistémicos en áreas degradadas de especial importancia ecológica para el país.</w:t>
      </w:r>
    </w:p>
    <w:p w14:paraId="53DF470F" w14:textId="77777777" w:rsidR="008A326C" w:rsidRPr="00131EED" w:rsidRDefault="008A326C" w:rsidP="008A326C">
      <w:pPr>
        <w:rPr>
          <w:rFonts w:cs="Arial"/>
        </w:rPr>
      </w:pPr>
    </w:p>
    <w:p w14:paraId="37B5F96B" w14:textId="77777777" w:rsidR="008A326C" w:rsidRPr="00131EED" w:rsidRDefault="008A326C" w:rsidP="008A326C">
      <w:pPr>
        <w:rPr>
          <w:rFonts w:cs="Arial"/>
        </w:rPr>
      </w:pPr>
      <w:r w:rsidRPr="00131EED">
        <w:rPr>
          <w:rFonts w:cs="Arial"/>
        </w:rPr>
        <w:t>La restauración ecológica en el caso de la Sabana de Bogotá, además de mejorar la salud de los ecosistemas transformados, también debe contribuir a la permanencia o mejoramiento de los servicios ecosistémicos ofertados tanto a escala local como regional.</w:t>
      </w:r>
    </w:p>
    <w:p w14:paraId="1BF61225" w14:textId="77777777" w:rsidR="008A326C" w:rsidRPr="00131EED" w:rsidRDefault="008A326C" w:rsidP="00410194">
      <w:pPr>
        <w:pStyle w:val="Heading3"/>
        <w:numPr>
          <w:ilvl w:val="2"/>
          <w:numId w:val="31"/>
        </w:numPr>
      </w:pPr>
      <w:bookmarkStart w:id="61" w:name="_Toc216468689"/>
      <w:r w:rsidRPr="00131EED">
        <w:t>Pérdida de conectividad ecológica entre los ecosistemas</w:t>
      </w:r>
      <w:bookmarkEnd w:id="61"/>
      <w:r w:rsidRPr="00131EED">
        <w:t xml:space="preserve"> </w:t>
      </w:r>
    </w:p>
    <w:p w14:paraId="4A22DA3A" w14:textId="77777777" w:rsidR="008A326C" w:rsidRPr="00131EED" w:rsidRDefault="008A326C" w:rsidP="008A326C">
      <w:pPr>
        <w:rPr>
          <w:rFonts w:cs="Arial"/>
        </w:rPr>
      </w:pPr>
    </w:p>
    <w:p w14:paraId="361AB32B" w14:textId="77777777" w:rsidR="008A326C" w:rsidRPr="00131EED" w:rsidRDefault="008A326C" w:rsidP="008A326C">
      <w:pPr>
        <w:rPr>
          <w:rFonts w:cs="Arial"/>
        </w:rPr>
      </w:pPr>
      <w:r w:rsidRPr="00131EED">
        <w:rPr>
          <w:rFonts w:cs="Arial"/>
        </w:rPr>
        <w:t xml:space="preserve">A partir de los análisis realizados previamente con integridad ecológica, a la luz del mapa de conectividad entre las áreas protegidas del SINAP y los ecosistemas sin figura de protección, se ha identificado una pérdida de conectividad entre estas figuras, lo que ha llevado a la disminución de corredores de importancia para la biodiversidad.  </w:t>
      </w:r>
    </w:p>
    <w:p w14:paraId="39585921" w14:textId="77777777" w:rsidR="008A326C" w:rsidRPr="00131EED" w:rsidRDefault="008A326C" w:rsidP="008A326C">
      <w:pPr>
        <w:rPr>
          <w:rFonts w:cs="Arial"/>
        </w:rPr>
      </w:pPr>
    </w:p>
    <w:p w14:paraId="0D601F08" w14:textId="051429A5" w:rsidR="008A326C" w:rsidRPr="00131EED" w:rsidRDefault="006F339A" w:rsidP="008A326C">
      <w:pPr>
        <w:rPr>
          <w:rFonts w:cs="Arial"/>
        </w:rPr>
      </w:pPr>
      <w:r w:rsidRPr="00131EED">
        <w:rPr>
          <w:rFonts w:cs="Arial"/>
        </w:rPr>
        <w:t xml:space="preserve">La </w:t>
      </w:r>
      <w:r w:rsidRPr="00131EED">
        <w:rPr>
          <w:rFonts w:cs="Arial"/>
        </w:rPr>
        <w:fldChar w:fldCharType="begin"/>
      </w:r>
      <w:r w:rsidRPr="00131EED">
        <w:rPr>
          <w:rFonts w:cs="Arial"/>
        </w:rPr>
        <w:instrText xml:space="preserve"> REF _Ref210655908 \h </w:instrText>
      </w:r>
      <w:r w:rsidR="0000734D" w:rsidRPr="00131EED">
        <w:rPr>
          <w:rFonts w:cs="Arial"/>
        </w:rPr>
        <w:instrText xml:space="preserve"> \* MERGEFORMAT </w:instrText>
      </w:r>
      <w:r w:rsidRPr="00131EED">
        <w:rPr>
          <w:rFonts w:cs="Arial"/>
        </w:rPr>
      </w:r>
      <w:r w:rsidRPr="00131EED">
        <w:rPr>
          <w:rFonts w:cs="Arial"/>
        </w:rPr>
        <w:fldChar w:fldCharType="separate"/>
      </w:r>
      <w:r w:rsidR="00CE096F" w:rsidRPr="00131EED">
        <w:t xml:space="preserve">Ilustración </w:t>
      </w:r>
      <w:r w:rsidR="00CE096F">
        <w:t>15</w:t>
      </w:r>
      <w:r w:rsidRPr="00131EED">
        <w:rPr>
          <w:rFonts w:cs="Arial"/>
        </w:rPr>
        <w:fldChar w:fldCharType="end"/>
      </w:r>
      <w:r w:rsidRPr="00131EED">
        <w:rPr>
          <w:rFonts w:cs="Arial"/>
        </w:rPr>
        <w:t xml:space="preserve"> presenta el análisis de conectividad realizado para las áreas protegidas presentes en la Sabana de Bogotá, donde </w:t>
      </w:r>
      <w:r w:rsidR="008A326C" w:rsidRPr="00131EED">
        <w:rPr>
          <w:rFonts w:cs="Arial"/>
        </w:rPr>
        <w:t>los colores rojo y naranja representan baja conectividad y son los corredores de importancia donde es necesario realizar estrategias de conservación bajo alguna categoría de área protegida o de Otras Medidas Efectivas de Conservación Basadas en Áreas OMEC (incluidas en las estrategias de conservación in situ de acuerdo al Decreto 1076 de 2015); mientras que los tonos azules  evidencias mejores condiciones para el reconocimiento de corredores ecológicos y en su mayoría están asociados con OMEC y áreas protegidas.</w:t>
      </w:r>
    </w:p>
    <w:p w14:paraId="5F807883" w14:textId="77777777" w:rsidR="0026614F" w:rsidRPr="00131EED" w:rsidRDefault="0026614F" w:rsidP="008A326C">
      <w:pPr>
        <w:rPr>
          <w:rFonts w:cs="Arial"/>
        </w:rPr>
      </w:pPr>
    </w:p>
    <w:p w14:paraId="2BE64A07" w14:textId="77777777" w:rsidR="0026614F" w:rsidRPr="00131EED" w:rsidRDefault="0026614F" w:rsidP="0026614F">
      <w:pPr>
        <w:rPr>
          <w:rFonts w:cs="Arial"/>
          <w:color w:val="000000"/>
        </w:rPr>
      </w:pPr>
      <w:r w:rsidRPr="00131EED">
        <w:rPr>
          <w:rFonts w:cs="Arial"/>
          <w:color w:val="000000" w:themeColor="text1"/>
        </w:rPr>
        <w:t xml:space="preserve">La sabana de Bogotá enfrenta la grave amenaza de la pérdida de conectividad ecológica. Este fenómeno, resultado de la expansión urbana, la infraestructura vial y la fragmentación del hábitat, está poniendo en peligro la supervivencia de las aves altoandinas, muchas de ellas endémicas de la región. Las aves dependen de la conectividad entre diferentes áreas naturales para encontrar alimento, reproducirse y dispersarse. Al fragmentarse su hábitat, estas especies se ven aisladas, lo que limita su acceso a recursos esenciales y las hace más vulnerables a la extinción. </w:t>
      </w:r>
    </w:p>
    <w:p w14:paraId="457C48C6" w14:textId="77777777" w:rsidR="0026614F" w:rsidRPr="00131EED" w:rsidRDefault="0026614F" w:rsidP="0026614F">
      <w:pPr>
        <w:rPr>
          <w:rFonts w:cs="Arial"/>
          <w:color w:val="000000"/>
        </w:rPr>
      </w:pPr>
    </w:p>
    <w:p w14:paraId="16F91228" w14:textId="77777777" w:rsidR="0026614F" w:rsidRPr="00131EED" w:rsidRDefault="0026614F" w:rsidP="0026614F">
      <w:pPr>
        <w:rPr>
          <w:rFonts w:cs="Arial"/>
          <w:color w:val="000000"/>
        </w:rPr>
      </w:pPr>
      <w:r w:rsidRPr="00131EED">
        <w:rPr>
          <w:rFonts w:cs="Arial"/>
          <w:color w:val="000000" w:themeColor="text1"/>
        </w:rPr>
        <w:t xml:space="preserve">Al respecto, (Stiles, G et al. 2017) evidencian el efecto de la urbanización, principalmente con la construcción de establecimientos comerciales, invernaderos para la producción de flores y proyectos de vivienda sobre áreas anteriormente cubiertas por pastos y cultivos, eliminando el hábitat de varias especies incluyendo </w:t>
      </w:r>
      <w:r w:rsidRPr="00131EED">
        <w:rPr>
          <w:rFonts w:cs="Arial"/>
          <w:i/>
          <w:color w:val="000000" w:themeColor="text1"/>
        </w:rPr>
        <w:t>Bubulcus ibis, Tyto alba, Sturnella magna, Sicalis luteola y Catamenia analis</w:t>
      </w:r>
      <w:r w:rsidRPr="00131EED">
        <w:rPr>
          <w:rFonts w:cs="Arial"/>
          <w:color w:val="000000" w:themeColor="text1"/>
        </w:rPr>
        <w:t xml:space="preserve">, y por lo tanto la disminución de sus poblaciones. Otro efecto de la urbanización y la fragmentación generada en la zona norte de la Bogotá, fue el reemplazo de casas unifamiliares con jardines y árboles por bloques de apartamentos con pocas zonas verdes, lo que posiblemente afectó a algunas aves urbanas como </w:t>
      </w:r>
      <w:r w:rsidRPr="00131EED">
        <w:rPr>
          <w:rFonts w:cs="Arial"/>
          <w:i/>
          <w:color w:val="000000" w:themeColor="text1"/>
        </w:rPr>
        <w:t>Diglossa humeralis, Zonotrichia capensis</w:t>
      </w:r>
      <w:r w:rsidRPr="00131EED">
        <w:rPr>
          <w:rFonts w:cs="Arial"/>
          <w:color w:val="000000" w:themeColor="text1"/>
        </w:rPr>
        <w:t xml:space="preserve"> y posiblemente a la población urbana de </w:t>
      </w:r>
      <w:r w:rsidRPr="00131EED">
        <w:rPr>
          <w:rFonts w:cs="Arial"/>
          <w:i/>
          <w:color w:val="000000" w:themeColor="text1"/>
        </w:rPr>
        <w:t>Turdus fuscater</w:t>
      </w:r>
      <w:r w:rsidRPr="00131EED">
        <w:rPr>
          <w:rFonts w:eastAsia="Baskerville Old Face" w:cs="Baskerville Old Face"/>
          <w:color w:val="000000" w:themeColor="text1"/>
        </w:rPr>
        <w:t>.</w:t>
      </w:r>
    </w:p>
    <w:p w14:paraId="7BF4D439" w14:textId="7BCA429B" w:rsidR="0026614F" w:rsidRPr="00131EED" w:rsidRDefault="0026614F" w:rsidP="0026614F">
      <w:pPr>
        <w:rPr>
          <w:rFonts w:cs="Arial"/>
          <w:color w:val="000000"/>
        </w:rPr>
      </w:pPr>
    </w:p>
    <w:p w14:paraId="196A27B3" w14:textId="77777777" w:rsidR="00844327" w:rsidRPr="00131EED" w:rsidRDefault="00844327" w:rsidP="0026614F">
      <w:pPr>
        <w:rPr>
          <w:rFonts w:cs="Arial"/>
          <w:color w:val="000000"/>
        </w:rPr>
      </w:pPr>
    </w:p>
    <w:p w14:paraId="78F9891F" w14:textId="77777777" w:rsidR="009449B0" w:rsidRPr="00131EED" w:rsidRDefault="009449B0" w:rsidP="0026614F">
      <w:pPr>
        <w:rPr>
          <w:rFonts w:cs="Arial"/>
          <w:color w:val="000000"/>
        </w:rPr>
      </w:pPr>
    </w:p>
    <w:p w14:paraId="795F8845" w14:textId="77777777" w:rsidR="009449B0" w:rsidRPr="00131EED" w:rsidRDefault="009449B0" w:rsidP="0026614F">
      <w:pPr>
        <w:rPr>
          <w:rFonts w:cs="Arial"/>
          <w:color w:val="000000"/>
        </w:rPr>
      </w:pPr>
    </w:p>
    <w:p w14:paraId="7E7036EB" w14:textId="14054EB4" w:rsidR="008A326C" w:rsidRPr="00131EED" w:rsidRDefault="00CA69F1" w:rsidP="009449B0">
      <w:pPr>
        <w:pStyle w:val="Caption"/>
        <w:jc w:val="center"/>
      </w:pPr>
      <w:bookmarkStart w:id="62" w:name="_Ref210655908"/>
      <w:bookmarkStart w:id="63" w:name="_Toc216468780"/>
      <w:r w:rsidRPr="00131EED">
        <w:t xml:space="preserve">Ilustración </w:t>
      </w:r>
      <w:r w:rsidRPr="00131EED">
        <w:fldChar w:fldCharType="begin"/>
      </w:r>
      <w:r w:rsidRPr="00131EED">
        <w:instrText>SEQ Ilustración \* ARABIC</w:instrText>
      </w:r>
      <w:r w:rsidRPr="00131EED">
        <w:fldChar w:fldCharType="separate"/>
      </w:r>
      <w:r w:rsidR="00CE096F">
        <w:rPr>
          <w:noProof/>
        </w:rPr>
        <w:t>15</w:t>
      </w:r>
      <w:r w:rsidRPr="00131EED">
        <w:fldChar w:fldCharType="end"/>
      </w:r>
      <w:bookmarkEnd w:id="62"/>
      <w:r w:rsidRPr="00131EED">
        <w:t xml:space="preserve"> </w:t>
      </w:r>
      <w:r w:rsidR="008A326C" w:rsidRPr="00131EED">
        <w:t>Análisis de conectividad entre áreas protegidas</w:t>
      </w:r>
      <w:r w:rsidR="004A7A4F" w:rsidRPr="00131EED">
        <w:t xml:space="preserve"> presentes en la Sabana</w:t>
      </w:r>
      <w:r w:rsidR="00AA49E1" w:rsidRPr="00131EED">
        <w:t xml:space="preserve"> e inmediaciones</w:t>
      </w:r>
      <w:r w:rsidR="004A7A4F" w:rsidRPr="00131EED">
        <w:t xml:space="preserve"> </w:t>
      </w:r>
      <w:r w:rsidR="008A326C" w:rsidRPr="00131EED">
        <w:t>y</w:t>
      </w:r>
      <w:r w:rsidR="004A7A4F" w:rsidRPr="00131EED">
        <w:t xml:space="preserve"> la</w:t>
      </w:r>
      <w:r w:rsidR="008A326C" w:rsidRPr="00131EED">
        <w:t xml:space="preserve"> consolidación de corredores en la Sabana de Bogotá.</w:t>
      </w:r>
      <w:bookmarkEnd w:id="63"/>
    </w:p>
    <w:p w14:paraId="31F7C384" w14:textId="07D15576" w:rsidR="008A326C" w:rsidRPr="00131EED" w:rsidRDefault="008A326C" w:rsidP="008A326C">
      <w:pPr>
        <w:ind w:left="360"/>
        <w:jc w:val="center"/>
        <w:rPr>
          <w:rFonts w:ascii="Baskerville" w:hAnsi="Baskerville" w:cs="Arial"/>
        </w:rPr>
      </w:pPr>
      <w:r w:rsidRPr="00131EED">
        <w:rPr>
          <w:rFonts w:ascii="Baskerville" w:hAnsi="Baskerville" w:cs="Arial"/>
          <w:noProof/>
          <w:lang w:eastAsia="en-US"/>
        </w:rPr>
        <w:drawing>
          <wp:inline distT="0" distB="0" distL="0" distR="0" wp14:anchorId="185F7631" wp14:editId="37804CA1">
            <wp:extent cx="2882265" cy="3464554"/>
            <wp:effectExtent l="0" t="0" r="635" b="3175"/>
            <wp:docPr id="16" name="image8.png" descr="A map of different colors&#10;&#10;AI-generated content may be incorrect."/>
            <wp:cNvGraphicFramePr/>
            <a:graphic xmlns:a="http://schemas.openxmlformats.org/drawingml/2006/main">
              <a:graphicData uri="http://schemas.openxmlformats.org/drawingml/2006/picture">
                <pic:pic xmlns:pic="http://schemas.openxmlformats.org/drawingml/2006/picture">
                  <pic:nvPicPr>
                    <pic:cNvPr id="16" name="image8.png" descr="A map of different colors&#10;&#10;AI-generated content may be incorrect."/>
                    <pic:cNvPicPr preferRelativeResize="0"/>
                  </pic:nvPicPr>
                  <pic:blipFill>
                    <a:blip r:embed="rId47" cstate="print">
                      <a:extLst>
                        <a:ext uri="{28A0092B-C50C-407E-A947-70E740481C1C}">
                          <a14:useLocalDpi xmlns:a14="http://schemas.microsoft.com/office/drawing/2010/main" val="0"/>
                        </a:ext>
                      </a:extLst>
                    </a:blip>
                    <a:srcRect/>
                    <a:stretch>
                      <a:fillRect/>
                    </a:stretch>
                  </pic:blipFill>
                  <pic:spPr>
                    <a:xfrm>
                      <a:off x="0" y="0"/>
                      <a:ext cx="2889249" cy="3472949"/>
                    </a:xfrm>
                    <a:prstGeom prst="rect">
                      <a:avLst/>
                    </a:prstGeom>
                    <a:ln/>
                  </pic:spPr>
                </pic:pic>
              </a:graphicData>
            </a:graphic>
          </wp:inline>
        </w:drawing>
      </w:r>
    </w:p>
    <w:p w14:paraId="09147965" w14:textId="77777777" w:rsidR="008A326C" w:rsidRPr="00131EED" w:rsidRDefault="008A326C" w:rsidP="008A326C">
      <w:pPr>
        <w:ind w:left="360"/>
        <w:jc w:val="center"/>
        <w:rPr>
          <w:rFonts w:cs="Arial"/>
          <w:sz w:val="20"/>
          <w:szCs w:val="20"/>
        </w:rPr>
      </w:pPr>
      <w:r w:rsidRPr="00131EED">
        <w:rPr>
          <w:rFonts w:cs="Arial"/>
          <w:sz w:val="20"/>
          <w:szCs w:val="20"/>
        </w:rPr>
        <w:t>Fuente: MinAmbiente a partir de información IAvH, 2022.</w:t>
      </w:r>
    </w:p>
    <w:p w14:paraId="7181D461" w14:textId="77777777" w:rsidR="008A326C" w:rsidRPr="00131EED" w:rsidRDefault="008A326C" w:rsidP="008A326C">
      <w:pPr>
        <w:rPr>
          <w:rFonts w:cs="Arial"/>
          <w:color w:val="000000"/>
          <w:sz w:val="20"/>
          <w:szCs w:val="20"/>
        </w:rPr>
      </w:pPr>
    </w:p>
    <w:p w14:paraId="12611583" w14:textId="77777777" w:rsidR="008A326C" w:rsidRPr="00131EED" w:rsidRDefault="008A326C" w:rsidP="008A326C">
      <w:pPr>
        <w:rPr>
          <w:rFonts w:ascii="Century Gothic" w:hAnsi="Century Gothic" w:cs="Arial"/>
          <w:color w:val="000000"/>
        </w:rPr>
      </w:pPr>
      <w:r w:rsidRPr="00131EED">
        <w:rPr>
          <w:rFonts w:cs="Arial"/>
          <w:color w:val="000000" w:themeColor="text1"/>
        </w:rPr>
        <w:t xml:space="preserve">El movimiento de las aves entre áreas protegidas es vital para garantizar su persistencia a largo plazo y garantizar la prestación de los servicios ecosistémicos que ofrecen. Dados los impactos históricos y previstos de la pérdida y fragmentación de los bosques, es imperativo garantizar la protección y restauración de áreas críticas para la conectividad. Al identificar corredores entre áreas protegidas y los sitios críticos para mejorar y preservar los movimientos de especies, se proporciona orientación espacial para guiar eficazmente los esfuerzos de conservación, restauración y gestión sostenible para asegurar un sistema interconectado de las áreas protegidas en Colombia (Linero et al. 2023). </w:t>
      </w:r>
    </w:p>
    <w:p w14:paraId="0C28EDAF" w14:textId="522EB62D" w:rsidR="008A326C" w:rsidRPr="00131EED" w:rsidRDefault="000210B6" w:rsidP="00410194">
      <w:pPr>
        <w:pStyle w:val="Heading3"/>
        <w:numPr>
          <w:ilvl w:val="2"/>
          <w:numId w:val="31"/>
        </w:numPr>
      </w:pPr>
      <w:bookmarkStart w:id="64" w:name="_Toc216468690"/>
      <w:r w:rsidRPr="00131EED">
        <w:t>Baja eficiencia</w:t>
      </w:r>
      <w:r w:rsidR="008A326C" w:rsidRPr="00131EED">
        <w:t xml:space="preserve"> en el manejo de áreas de</w:t>
      </w:r>
      <w:r w:rsidR="00336A78" w:rsidRPr="00131EED">
        <w:t>l SINAP y OMEC</w:t>
      </w:r>
      <w:bookmarkEnd w:id="64"/>
      <w:r w:rsidR="008A326C" w:rsidRPr="00131EED">
        <w:t xml:space="preserve"> </w:t>
      </w:r>
    </w:p>
    <w:p w14:paraId="1932F831" w14:textId="77777777" w:rsidR="008A326C" w:rsidRPr="00131EED" w:rsidRDefault="008A326C" w:rsidP="008A326C">
      <w:pPr>
        <w:rPr>
          <w:rFonts w:cs="Arial"/>
        </w:rPr>
      </w:pPr>
    </w:p>
    <w:p w14:paraId="53682A52" w14:textId="3D5DC294" w:rsidR="008A326C" w:rsidRPr="00131EED" w:rsidRDefault="008A326C" w:rsidP="008A326C">
      <w:pPr>
        <w:rPr>
          <w:rFonts w:cs="Arial"/>
        </w:rPr>
      </w:pPr>
      <w:r w:rsidRPr="00131EED">
        <w:rPr>
          <w:rFonts w:cs="Arial"/>
        </w:rPr>
        <w:t xml:space="preserve">Dentro del territorio de la Sabana de Bogotá, actualmente se encuentran </w:t>
      </w:r>
      <w:r w:rsidR="007837AB" w:rsidRPr="00131EED">
        <w:rPr>
          <w:rFonts w:cs="Arial"/>
        </w:rPr>
        <w:t>92</w:t>
      </w:r>
      <w:r w:rsidRPr="00131EED">
        <w:rPr>
          <w:rFonts w:cs="Arial"/>
        </w:rPr>
        <w:t xml:space="preserve"> áreas protegidas que hacen parte del Sistema Nacional de Áreas Protegidas – SINAP - e inscritas en el Registro Único Nacional de Áreas Protegidas – RUNAP, declaradas tanto por las Corporaciones Autónomas Regionales y/o el Ministerio de Ambiente y Desarrollo Sostenible, siendo las de mayor extensión </w:t>
      </w:r>
      <w:r w:rsidR="00B45C68" w:rsidRPr="00131EED">
        <w:rPr>
          <w:rFonts w:cs="Arial"/>
        </w:rPr>
        <w:t xml:space="preserve">Los distritos Regionales de </w:t>
      </w:r>
      <w:r w:rsidR="000A6354" w:rsidRPr="00131EED">
        <w:rPr>
          <w:rFonts w:cs="Arial"/>
        </w:rPr>
        <w:t xml:space="preserve">Manejo Integrado </w:t>
      </w:r>
      <w:r w:rsidRPr="00131EED">
        <w:rPr>
          <w:rFonts w:cs="Arial"/>
        </w:rPr>
        <w:t xml:space="preserve"> (</w:t>
      </w:r>
      <w:r w:rsidR="000A6354" w:rsidRPr="00131EED">
        <w:rPr>
          <w:rFonts w:cs="Arial"/>
        </w:rPr>
        <w:t>24.435</w:t>
      </w:r>
      <w:r w:rsidRPr="00131EED">
        <w:rPr>
          <w:rFonts w:cs="Arial"/>
        </w:rPr>
        <w:t xml:space="preserve"> ha) y el mayor número de áreas se encuentran en la categoría de Reservas Naturales de la Sociedad Civil </w:t>
      </w:r>
      <w:r w:rsidR="005902DD" w:rsidRPr="00131EED">
        <w:rPr>
          <w:rFonts w:cs="Arial"/>
        </w:rPr>
        <w:t>(65</w:t>
      </w:r>
      <w:r w:rsidRPr="00131EED">
        <w:rPr>
          <w:rFonts w:cs="Arial"/>
        </w:rPr>
        <w:t xml:space="preserve"> áreas) con una extensión de 1.</w:t>
      </w:r>
      <w:r w:rsidR="002F7830" w:rsidRPr="00131EED">
        <w:rPr>
          <w:rFonts w:cs="Arial"/>
        </w:rPr>
        <w:t>349</w:t>
      </w:r>
      <w:r w:rsidRPr="00131EED">
        <w:rPr>
          <w:rFonts w:cs="Arial"/>
        </w:rPr>
        <w:t xml:space="preserve"> hectáreas. </w:t>
      </w:r>
    </w:p>
    <w:p w14:paraId="5E2C604F" w14:textId="77777777" w:rsidR="00C237C4" w:rsidRPr="00131EED" w:rsidRDefault="00C237C4" w:rsidP="008A326C">
      <w:pPr>
        <w:rPr>
          <w:rFonts w:ascii="Baskerville" w:hAnsi="Baskerville" w:cs="Arial"/>
        </w:rPr>
      </w:pPr>
    </w:p>
    <w:p w14:paraId="2AFD43A0" w14:textId="52CAC159" w:rsidR="00C237C4" w:rsidRPr="00131EED" w:rsidRDefault="00C237C4" w:rsidP="000210B6">
      <w:pPr>
        <w:pStyle w:val="Caption"/>
        <w:jc w:val="center"/>
      </w:pPr>
      <w:bookmarkStart w:id="65" w:name="_Toc216468781"/>
      <w:r w:rsidRPr="00131EED">
        <w:t xml:space="preserve">Ilustración </w:t>
      </w:r>
      <w:r w:rsidRPr="00131EED">
        <w:fldChar w:fldCharType="begin"/>
      </w:r>
      <w:r w:rsidRPr="00131EED">
        <w:instrText>SEQ Ilustración \* ARABIC</w:instrText>
      </w:r>
      <w:r w:rsidRPr="00131EED">
        <w:fldChar w:fldCharType="separate"/>
      </w:r>
      <w:r w:rsidR="00CE096F">
        <w:rPr>
          <w:noProof/>
        </w:rPr>
        <w:t>16</w:t>
      </w:r>
      <w:r w:rsidRPr="00131EED">
        <w:fldChar w:fldCharType="end"/>
      </w:r>
      <w:r w:rsidRPr="00131EED">
        <w:t xml:space="preserve"> Áreas protegidas Declaradas en la Sabana de Bogotá.</w:t>
      </w:r>
      <w:bookmarkEnd w:id="65"/>
    </w:p>
    <w:p w14:paraId="51182B7D" w14:textId="3F4888EF" w:rsidR="00C237C4" w:rsidRPr="00131EED" w:rsidRDefault="00C237C4" w:rsidP="00C237C4">
      <w:pPr>
        <w:tabs>
          <w:tab w:val="left" w:pos="1320"/>
          <w:tab w:val="right" w:pos="8828"/>
        </w:tabs>
        <w:jc w:val="center"/>
        <w:rPr>
          <w:rFonts w:ascii="Baskerville" w:eastAsia="Century Gothic" w:hAnsi="Baskerville" w:cs="Arial"/>
        </w:rPr>
      </w:pPr>
      <w:r w:rsidRPr="00131EED">
        <w:rPr>
          <w:rFonts w:ascii="Baskerville" w:eastAsia="Century Gothic" w:hAnsi="Baskerville" w:cs="Arial"/>
          <w:noProof/>
          <w:lang w:eastAsia="en-US"/>
        </w:rPr>
        <w:drawing>
          <wp:inline distT="0" distB="0" distL="0" distR="0" wp14:anchorId="3EBC890B" wp14:editId="153DABA5">
            <wp:extent cx="3826206" cy="4951562"/>
            <wp:effectExtent l="0" t="0" r="3175" b="1905"/>
            <wp:docPr id="33" name="Imagen 33" descr="C:\Users\Dalila\Downloads\Run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lila\Downloads\Runap.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835926" cy="4964141"/>
                    </a:xfrm>
                    <a:prstGeom prst="rect">
                      <a:avLst/>
                    </a:prstGeom>
                    <a:noFill/>
                    <a:ln>
                      <a:noFill/>
                    </a:ln>
                  </pic:spPr>
                </pic:pic>
              </a:graphicData>
            </a:graphic>
          </wp:inline>
        </w:drawing>
      </w:r>
    </w:p>
    <w:p w14:paraId="27493680" w14:textId="77777777" w:rsidR="00C237C4" w:rsidRPr="00131EED" w:rsidRDefault="00C237C4" w:rsidP="00C237C4">
      <w:pPr>
        <w:tabs>
          <w:tab w:val="left" w:pos="1320"/>
          <w:tab w:val="right" w:pos="8828"/>
        </w:tabs>
        <w:jc w:val="center"/>
        <w:rPr>
          <w:rFonts w:cs="Arial"/>
          <w:sz w:val="20"/>
          <w:szCs w:val="20"/>
        </w:rPr>
      </w:pPr>
      <w:r w:rsidRPr="00131EED">
        <w:rPr>
          <w:rFonts w:cs="Arial"/>
          <w:sz w:val="20"/>
          <w:szCs w:val="20"/>
        </w:rPr>
        <w:t>Fuente: RUNAP, 2025.</w:t>
      </w:r>
    </w:p>
    <w:p w14:paraId="68AD462F" w14:textId="5A6A54EF" w:rsidR="003D3FEA" w:rsidRPr="00131EED" w:rsidRDefault="003D3FEA" w:rsidP="00C237C4">
      <w:pPr>
        <w:tabs>
          <w:tab w:val="left" w:pos="1320"/>
          <w:tab w:val="right" w:pos="8828"/>
        </w:tabs>
        <w:jc w:val="center"/>
        <w:rPr>
          <w:rFonts w:ascii="Baskerville" w:hAnsi="Baskerville" w:cs="Arial"/>
        </w:rPr>
      </w:pPr>
    </w:p>
    <w:p w14:paraId="67778C57" w14:textId="535CC399" w:rsidR="008A326C" w:rsidRPr="00131EED" w:rsidRDefault="008A326C" w:rsidP="000210B6">
      <w:pPr>
        <w:pStyle w:val="Caption"/>
      </w:pPr>
      <w:bookmarkStart w:id="66" w:name="_Toc216468919"/>
      <w:r w:rsidRPr="00131EED">
        <w:t xml:space="preserve">Tabla </w:t>
      </w:r>
      <w:r w:rsidRPr="00131EED">
        <w:fldChar w:fldCharType="begin"/>
      </w:r>
      <w:r w:rsidRPr="00131EED">
        <w:instrText>SEQ Tabla \* ARABIC</w:instrText>
      </w:r>
      <w:r w:rsidRPr="00131EED">
        <w:fldChar w:fldCharType="separate"/>
      </w:r>
      <w:r w:rsidR="00CE096F">
        <w:rPr>
          <w:noProof/>
        </w:rPr>
        <w:t>9</w:t>
      </w:r>
      <w:r w:rsidRPr="00131EED">
        <w:fldChar w:fldCharType="end"/>
      </w:r>
      <w:r w:rsidRPr="00131EED">
        <w:t>.Relación de categorías de manejo pertenecientes al SINAP identificadas en la Sabana de Bogotá</w:t>
      </w:r>
      <w:bookmarkEnd w:id="66"/>
    </w:p>
    <w:tbl>
      <w:tblPr>
        <w:tblStyle w:val="TableGrid"/>
        <w:tblW w:w="5053" w:type="pct"/>
        <w:tblLayout w:type="fixed"/>
        <w:tblLook w:val="04A0" w:firstRow="1" w:lastRow="0" w:firstColumn="1" w:lastColumn="0" w:noHBand="0" w:noVBand="1"/>
      </w:tblPr>
      <w:tblGrid>
        <w:gridCol w:w="1841"/>
        <w:gridCol w:w="2266"/>
        <w:gridCol w:w="2834"/>
        <w:gridCol w:w="1981"/>
      </w:tblGrid>
      <w:tr w:rsidR="00AA0CED" w:rsidRPr="00131EED" w14:paraId="261BF47B" w14:textId="77777777" w:rsidTr="00454C02">
        <w:trPr>
          <w:trHeight w:val="300"/>
          <w:tblHeader/>
        </w:trPr>
        <w:tc>
          <w:tcPr>
            <w:tcW w:w="1032" w:type="pct"/>
            <w:noWrap/>
            <w:hideMark/>
          </w:tcPr>
          <w:p w14:paraId="4E6807C1" w14:textId="0E634A59" w:rsidR="00AA0CED" w:rsidRPr="00131EED" w:rsidRDefault="00AA0CED" w:rsidP="00EA1334">
            <w:pPr>
              <w:jc w:val="left"/>
              <w:rPr>
                <w:rFonts w:cs="Calibri"/>
                <w:b/>
                <w:color w:val="000000"/>
                <w:sz w:val="20"/>
                <w:szCs w:val="20"/>
                <w:lang w:eastAsia="en-US"/>
              </w:rPr>
            </w:pPr>
            <w:r w:rsidRPr="00131EED">
              <w:rPr>
                <w:rFonts w:cs="Calibri"/>
                <w:b/>
                <w:color w:val="000000"/>
                <w:sz w:val="20"/>
                <w:szCs w:val="20"/>
                <w:lang w:eastAsia="en-US"/>
              </w:rPr>
              <w:t>Categoría Area Protegida</w:t>
            </w:r>
          </w:p>
        </w:tc>
        <w:tc>
          <w:tcPr>
            <w:tcW w:w="1270" w:type="pct"/>
            <w:noWrap/>
            <w:hideMark/>
          </w:tcPr>
          <w:p w14:paraId="07FE6436" w14:textId="70FCF5F5" w:rsidR="00AA0CED" w:rsidRPr="00131EED" w:rsidRDefault="00803823" w:rsidP="00EA1334">
            <w:pPr>
              <w:jc w:val="left"/>
              <w:rPr>
                <w:rFonts w:cs="Calibri"/>
                <w:b/>
                <w:color w:val="000000"/>
                <w:sz w:val="20"/>
                <w:szCs w:val="20"/>
                <w:lang w:eastAsia="en-US"/>
              </w:rPr>
            </w:pPr>
            <w:r w:rsidRPr="00131EED">
              <w:rPr>
                <w:rFonts w:cs="Calibri"/>
                <w:b/>
                <w:color w:val="000000"/>
                <w:sz w:val="20"/>
                <w:szCs w:val="20"/>
                <w:lang w:eastAsia="en-US"/>
              </w:rPr>
              <w:t xml:space="preserve">Autoridad </w:t>
            </w:r>
            <w:r w:rsidRPr="00131EED">
              <w:rPr>
                <w:rFonts w:cs="Calibri"/>
                <w:b/>
                <w:bCs/>
                <w:color w:val="000000"/>
                <w:sz w:val="20"/>
                <w:szCs w:val="20"/>
                <w:lang w:eastAsia="en-US"/>
              </w:rPr>
              <w:t>amb</w:t>
            </w:r>
            <w:r w:rsidR="00AA0CED" w:rsidRPr="00131EED">
              <w:rPr>
                <w:rFonts w:cs="Calibri"/>
                <w:b/>
                <w:bCs/>
                <w:color w:val="000000"/>
                <w:sz w:val="20"/>
                <w:szCs w:val="20"/>
                <w:lang w:eastAsia="en-US"/>
              </w:rPr>
              <w:t>i</w:t>
            </w:r>
            <w:r w:rsidRPr="00131EED">
              <w:rPr>
                <w:rFonts w:cs="Calibri"/>
                <w:b/>
                <w:bCs/>
                <w:color w:val="000000"/>
                <w:sz w:val="20"/>
                <w:szCs w:val="20"/>
                <w:lang w:eastAsia="en-US"/>
              </w:rPr>
              <w:t>e</w:t>
            </w:r>
            <w:r w:rsidR="00AA0CED" w:rsidRPr="00131EED">
              <w:rPr>
                <w:rFonts w:cs="Calibri"/>
                <w:b/>
                <w:bCs/>
                <w:color w:val="000000"/>
                <w:sz w:val="20"/>
                <w:szCs w:val="20"/>
                <w:lang w:eastAsia="en-US"/>
              </w:rPr>
              <w:t>ntal</w:t>
            </w:r>
          </w:p>
        </w:tc>
        <w:tc>
          <w:tcPr>
            <w:tcW w:w="1588" w:type="pct"/>
            <w:noWrap/>
            <w:hideMark/>
          </w:tcPr>
          <w:p w14:paraId="45573113" w14:textId="7E136032" w:rsidR="00AA0CED" w:rsidRPr="00131EED" w:rsidRDefault="00AA0CED" w:rsidP="00EA1334">
            <w:pPr>
              <w:jc w:val="left"/>
              <w:rPr>
                <w:rFonts w:cs="Calibri"/>
                <w:b/>
                <w:color w:val="000000"/>
                <w:sz w:val="20"/>
                <w:szCs w:val="20"/>
                <w:lang w:eastAsia="en-US"/>
              </w:rPr>
            </w:pPr>
            <w:r w:rsidRPr="00131EED">
              <w:rPr>
                <w:rFonts w:cs="Calibri"/>
                <w:b/>
                <w:color w:val="000000"/>
                <w:sz w:val="20"/>
                <w:szCs w:val="20"/>
                <w:lang w:eastAsia="en-US"/>
              </w:rPr>
              <w:t>Nombre área</w:t>
            </w:r>
          </w:p>
        </w:tc>
        <w:tc>
          <w:tcPr>
            <w:tcW w:w="1110" w:type="pct"/>
            <w:noWrap/>
            <w:hideMark/>
          </w:tcPr>
          <w:p w14:paraId="3D028E5A" w14:textId="63283944" w:rsidR="00AA0CED" w:rsidRPr="00131EED" w:rsidRDefault="00AA0CED" w:rsidP="00EA1334">
            <w:pPr>
              <w:jc w:val="left"/>
              <w:rPr>
                <w:rFonts w:cs="Calibri"/>
                <w:b/>
                <w:color w:val="000000"/>
                <w:sz w:val="20"/>
                <w:szCs w:val="20"/>
                <w:lang w:eastAsia="en-US"/>
              </w:rPr>
            </w:pPr>
            <w:r w:rsidRPr="00131EED">
              <w:rPr>
                <w:rFonts w:cs="Calibri"/>
                <w:b/>
                <w:color w:val="000000"/>
                <w:sz w:val="20"/>
                <w:szCs w:val="20"/>
                <w:lang w:eastAsia="en-US"/>
              </w:rPr>
              <w:t>Extensión (ha)</w:t>
            </w:r>
            <w:r w:rsidR="000A6354" w:rsidRPr="00131EED">
              <w:rPr>
                <w:rFonts w:cs="Calibri"/>
                <w:b/>
                <w:color w:val="000000"/>
                <w:sz w:val="20"/>
                <w:szCs w:val="20"/>
                <w:lang w:eastAsia="en-US"/>
              </w:rPr>
              <w:t xml:space="preserve"> dentro del ámbito Sabana</w:t>
            </w:r>
          </w:p>
        </w:tc>
      </w:tr>
      <w:tr w:rsidR="00C7285B" w:rsidRPr="00131EED" w14:paraId="2F603FEC" w14:textId="77777777" w:rsidTr="00454C02">
        <w:trPr>
          <w:trHeight w:val="300"/>
        </w:trPr>
        <w:tc>
          <w:tcPr>
            <w:tcW w:w="1032" w:type="pct"/>
            <w:vMerge w:val="restart"/>
            <w:noWrap/>
            <w:hideMark/>
          </w:tcPr>
          <w:p w14:paraId="197EC7BC"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Distritos de Conservación de Suelos</w:t>
            </w:r>
          </w:p>
        </w:tc>
        <w:tc>
          <w:tcPr>
            <w:tcW w:w="1270" w:type="pct"/>
            <w:vMerge w:val="restart"/>
            <w:noWrap/>
            <w:hideMark/>
          </w:tcPr>
          <w:p w14:paraId="2FC141DA"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Corporación Autónoma Regional de Cundinamarca</w:t>
            </w:r>
          </w:p>
        </w:tc>
        <w:tc>
          <w:tcPr>
            <w:tcW w:w="1588" w:type="pct"/>
            <w:noWrap/>
            <w:hideMark/>
          </w:tcPr>
          <w:p w14:paraId="240817C5"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Laguna de Suesca</w:t>
            </w:r>
          </w:p>
        </w:tc>
        <w:tc>
          <w:tcPr>
            <w:tcW w:w="1110" w:type="pct"/>
            <w:noWrap/>
            <w:hideMark/>
          </w:tcPr>
          <w:p w14:paraId="6584B6A8"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18,00</w:t>
            </w:r>
          </w:p>
        </w:tc>
      </w:tr>
      <w:tr w:rsidR="00C7285B" w:rsidRPr="00131EED" w14:paraId="1B3834AE" w14:textId="77777777" w:rsidTr="00454C02">
        <w:trPr>
          <w:trHeight w:val="300"/>
        </w:trPr>
        <w:tc>
          <w:tcPr>
            <w:tcW w:w="1032" w:type="pct"/>
            <w:vMerge/>
            <w:noWrap/>
            <w:hideMark/>
          </w:tcPr>
          <w:p w14:paraId="1A810200"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6236757E" w14:textId="77777777" w:rsidR="00C7285B" w:rsidRPr="00131EED" w:rsidRDefault="00C7285B" w:rsidP="00EA1334">
            <w:pPr>
              <w:jc w:val="left"/>
              <w:rPr>
                <w:sz w:val="20"/>
                <w:szCs w:val="20"/>
                <w:lang w:eastAsia="en-US"/>
              </w:rPr>
            </w:pPr>
          </w:p>
        </w:tc>
        <w:tc>
          <w:tcPr>
            <w:tcW w:w="1588" w:type="pct"/>
            <w:noWrap/>
            <w:hideMark/>
          </w:tcPr>
          <w:p w14:paraId="5E464527" w14:textId="42454AAB"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Tibaitat</w:t>
            </w:r>
            <w:r w:rsidRPr="00131EED">
              <w:rPr>
                <w:rFonts w:cs="Arial"/>
                <w:color w:val="000000"/>
                <w:sz w:val="20"/>
                <w:szCs w:val="20"/>
                <w:lang w:eastAsia="en-US"/>
              </w:rPr>
              <w:t>á</w:t>
            </w:r>
          </w:p>
        </w:tc>
        <w:tc>
          <w:tcPr>
            <w:tcW w:w="1110" w:type="pct"/>
            <w:noWrap/>
            <w:hideMark/>
          </w:tcPr>
          <w:p w14:paraId="48D7D5F7"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579,00</w:t>
            </w:r>
          </w:p>
        </w:tc>
      </w:tr>
      <w:tr w:rsidR="00C7285B" w:rsidRPr="00131EED" w14:paraId="5ABD152F" w14:textId="77777777" w:rsidTr="00454C02">
        <w:trPr>
          <w:trHeight w:val="300"/>
        </w:trPr>
        <w:tc>
          <w:tcPr>
            <w:tcW w:w="1032" w:type="pct"/>
            <w:vMerge/>
            <w:noWrap/>
            <w:hideMark/>
          </w:tcPr>
          <w:p w14:paraId="5649C9C8" w14:textId="77777777" w:rsidR="00C7285B" w:rsidRPr="00131EED" w:rsidRDefault="00C7285B" w:rsidP="00EA1334">
            <w:pPr>
              <w:jc w:val="left"/>
              <w:rPr>
                <w:rFonts w:cs="Calibri"/>
                <w:color w:val="000000"/>
                <w:sz w:val="20"/>
                <w:szCs w:val="20"/>
                <w:lang w:eastAsia="en-US"/>
              </w:rPr>
            </w:pPr>
          </w:p>
        </w:tc>
        <w:tc>
          <w:tcPr>
            <w:tcW w:w="2858" w:type="pct"/>
            <w:gridSpan w:val="2"/>
            <w:noWrap/>
            <w:hideMark/>
          </w:tcPr>
          <w:p w14:paraId="67CEDDF0" w14:textId="77777777" w:rsidR="00C7285B" w:rsidRPr="00131EED" w:rsidRDefault="00C7285B" w:rsidP="00EA1334">
            <w:pPr>
              <w:jc w:val="left"/>
              <w:rPr>
                <w:rFonts w:cs="Calibri"/>
                <w:b/>
                <w:color w:val="000000"/>
                <w:sz w:val="20"/>
                <w:szCs w:val="20"/>
                <w:lang w:eastAsia="en-US"/>
              </w:rPr>
            </w:pPr>
            <w:r w:rsidRPr="00131EED">
              <w:rPr>
                <w:rFonts w:cs="Calibri"/>
                <w:b/>
                <w:color w:val="000000"/>
                <w:sz w:val="20"/>
                <w:szCs w:val="20"/>
                <w:lang w:eastAsia="en-US"/>
              </w:rPr>
              <w:t>Total Corporación Autónoma Regional de Cundinamarca</w:t>
            </w:r>
          </w:p>
        </w:tc>
        <w:tc>
          <w:tcPr>
            <w:tcW w:w="1110" w:type="pct"/>
            <w:noWrap/>
            <w:hideMark/>
          </w:tcPr>
          <w:p w14:paraId="062529B1" w14:textId="77777777" w:rsidR="00C7285B" w:rsidRPr="00131EED" w:rsidRDefault="00C7285B" w:rsidP="00951A0A">
            <w:pPr>
              <w:jc w:val="right"/>
              <w:rPr>
                <w:rFonts w:cs="Calibri"/>
                <w:b/>
                <w:color w:val="000000"/>
                <w:sz w:val="20"/>
                <w:szCs w:val="20"/>
                <w:lang w:eastAsia="en-US"/>
              </w:rPr>
            </w:pPr>
            <w:r w:rsidRPr="00131EED">
              <w:rPr>
                <w:rFonts w:cs="Calibri"/>
                <w:b/>
                <w:color w:val="000000"/>
                <w:sz w:val="20"/>
                <w:szCs w:val="20"/>
                <w:lang w:eastAsia="en-US"/>
              </w:rPr>
              <w:t>597,00</w:t>
            </w:r>
          </w:p>
        </w:tc>
      </w:tr>
      <w:tr w:rsidR="00C7285B" w:rsidRPr="00131EED" w14:paraId="002C2337" w14:textId="77777777" w:rsidTr="00454C02">
        <w:trPr>
          <w:trHeight w:val="300"/>
        </w:trPr>
        <w:tc>
          <w:tcPr>
            <w:tcW w:w="3890" w:type="pct"/>
            <w:gridSpan w:val="3"/>
            <w:noWrap/>
            <w:hideMark/>
          </w:tcPr>
          <w:p w14:paraId="67C73388" w14:textId="5DB9CAC8" w:rsidR="00C7285B" w:rsidRPr="00131EED" w:rsidRDefault="00C7285B" w:rsidP="00EA1334">
            <w:pPr>
              <w:jc w:val="left"/>
              <w:rPr>
                <w:sz w:val="20"/>
                <w:szCs w:val="20"/>
                <w:lang w:eastAsia="en-US"/>
              </w:rPr>
            </w:pPr>
            <w:r w:rsidRPr="00131EED">
              <w:rPr>
                <w:rFonts w:cs="Calibri"/>
                <w:b/>
                <w:color w:val="000000"/>
                <w:sz w:val="20"/>
                <w:szCs w:val="20"/>
                <w:lang w:eastAsia="en-US"/>
              </w:rPr>
              <w:t>Total Distritos de Conservación de Suelos</w:t>
            </w:r>
          </w:p>
        </w:tc>
        <w:tc>
          <w:tcPr>
            <w:tcW w:w="1110" w:type="pct"/>
            <w:noWrap/>
            <w:hideMark/>
          </w:tcPr>
          <w:p w14:paraId="6010D0EE" w14:textId="77777777" w:rsidR="00C7285B" w:rsidRPr="00131EED" w:rsidRDefault="00C7285B" w:rsidP="00951A0A">
            <w:pPr>
              <w:jc w:val="right"/>
              <w:rPr>
                <w:rFonts w:cs="Calibri"/>
                <w:b/>
                <w:color w:val="000000"/>
                <w:sz w:val="20"/>
                <w:szCs w:val="20"/>
                <w:lang w:eastAsia="en-US"/>
              </w:rPr>
            </w:pPr>
            <w:r w:rsidRPr="00131EED">
              <w:rPr>
                <w:rFonts w:cs="Calibri"/>
                <w:b/>
                <w:color w:val="000000"/>
                <w:sz w:val="20"/>
                <w:szCs w:val="20"/>
                <w:lang w:eastAsia="en-US"/>
              </w:rPr>
              <w:t>597,00</w:t>
            </w:r>
          </w:p>
        </w:tc>
      </w:tr>
      <w:tr w:rsidR="00C7285B" w:rsidRPr="00131EED" w14:paraId="3AB6B9AE" w14:textId="77777777" w:rsidTr="00454C02">
        <w:trPr>
          <w:trHeight w:val="300"/>
        </w:trPr>
        <w:tc>
          <w:tcPr>
            <w:tcW w:w="1032" w:type="pct"/>
            <w:vMerge w:val="restart"/>
            <w:noWrap/>
            <w:hideMark/>
          </w:tcPr>
          <w:p w14:paraId="384FA5E9"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Distritos Regionales de Manejo Integrado</w:t>
            </w:r>
          </w:p>
        </w:tc>
        <w:tc>
          <w:tcPr>
            <w:tcW w:w="1270" w:type="pct"/>
            <w:vMerge w:val="restart"/>
            <w:noWrap/>
            <w:hideMark/>
          </w:tcPr>
          <w:p w14:paraId="629CA693"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Corporación Autónoma Regional de Cundinamarca</w:t>
            </w:r>
          </w:p>
        </w:tc>
        <w:tc>
          <w:tcPr>
            <w:tcW w:w="1588" w:type="pct"/>
            <w:noWrap/>
            <w:hideMark/>
          </w:tcPr>
          <w:p w14:paraId="2EAF2FD8"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Cerro de Juaica</w:t>
            </w:r>
          </w:p>
        </w:tc>
        <w:tc>
          <w:tcPr>
            <w:tcW w:w="1110" w:type="pct"/>
            <w:noWrap/>
            <w:hideMark/>
          </w:tcPr>
          <w:p w14:paraId="11CB2E2A"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883,00</w:t>
            </w:r>
          </w:p>
        </w:tc>
      </w:tr>
      <w:tr w:rsidR="00C7285B" w:rsidRPr="00131EED" w14:paraId="236096E1" w14:textId="77777777" w:rsidTr="00454C02">
        <w:trPr>
          <w:trHeight w:val="300"/>
        </w:trPr>
        <w:tc>
          <w:tcPr>
            <w:tcW w:w="1032" w:type="pct"/>
            <w:vMerge/>
            <w:noWrap/>
            <w:hideMark/>
          </w:tcPr>
          <w:p w14:paraId="0EFE1970"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45228D44" w14:textId="77777777" w:rsidR="00C7285B" w:rsidRPr="00131EED" w:rsidRDefault="00C7285B" w:rsidP="00EA1334">
            <w:pPr>
              <w:jc w:val="left"/>
              <w:rPr>
                <w:sz w:val="20"/>
                <w:szCs w:val="20"/>
                <w:lang w:eastAsia="en-US"/>
              </w:rPr>
            </w:pPr>
          </w:p>
        </w:tc>
        <w:tc>
          <w:tcPr>
            <w:tcW w:w="1588" w:type="pct"/>
            <w:noWrap/>
            <w:hideMark/>
          </w:tcPr>
          <w:p w14:paraId="599250A7"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Humedales de Gualí Tres Esquinas y Lagunas del Funzhé</w:t>
            </w:r>
          </w:p>
        </w:tc>
        <w:tc>
          <w:tcPr>
            <w:tcW w:w="1110" w:type="pct"/>
            <w:noWrap/>
            <w:hideMark/>
          </w:tcPr>
          <w:p w14:paraId="5D2D0689"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1.190,00</w:t>
            </w:r>
          </w:p>
        </w:tc>
      </w:tr>
      <w:tr w:rsidR="00C7285B" w:rsidRPr="00131EED" w14:paraId="2DFED25A" w14:textId="77777777" w:rsidTr="00454C02">
        <w:trPr>
          <w:trHeight w:val="300"/>
        </w:trPr>
        <w:tc>
          <w:tcPr>
            <w:tcW w:w="1032" w:type="pct"/>
            <w:vMerge/>
            <w:noWrap/>
            <w:hideMark/>
          </w:tcPr>
          <w:p w14:paraId="4B88F8CC"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60BD99C0" w14:textId="77777777" w:rsidR="00C7285B" w:rsidRPr="00131EED" w:rsidRDefault="00C7285B" w:rsidP="00EA1334">
            <w:pPr>
              <w:jc w:val="left"/>
              <w:rPr>
                <w:sz w:val="20"/>
                <w:szCs w:val="20"/>
                <w:lang w:eastAsia="en-US"/>
              </w:rPr>
            </w:pPr>
          </w:p>
        </w:tc>
        <w:tc>
          <w:tcPr>
            <w:tcW w:w="1588" w:type="pct"/>
            <w:noWrap/>
            <w:hideMark/>
          </w:tcPr>
          <w:p w14:paraId="64C04D50"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Macizo El Tablazo</w:t>
            </w:r>
          </w:p>
        </w:tc>
        <w:tc>
          <w:tcPr>
            <w:tcW w:w="1110" w:type="pct"/>
            <w:noWrap/>
            <w:hideMark/>
          </w:tcPr>
          <w:p w14:paraId="4062EBDA"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24,00</w:t>
            </w:r>
          </w:p>
        </w:tc>
      </w:tr>
      <w:tr w:rsidR="00C7285B" w:rsidRPr="00131EED" w14:paraId="2AA3FF6B" w14:textId="77777777" w:rsidTr="00454C02">
        <w:trPr>
          <w:trHeight w:val="300"/>
        </w:trPr>
        <w:tc>
          <w:tcPr>
            <w:tcW w:w="1032" w:type="pct"/>
            <w:vMerge/>
            <w:noWrap/>
            <w:hideMark/>
          </w:tcPr>
          <w:p w14:paraId="23D89D77"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481D9EBE" w14:textId="77777777" w:rsidR="00C7285B" w:rsidRPr="00131EED" w:rsidRDefault="00C7285B" w:rsidP="00EA1334">
            <w:pPr>
              <w:jc w:val="left"/>
              <w:rPr>
                <w:sz w:val="20"/>
                <w:szCs w:val="20"/>
                <w:lang w:eastAsia="en-US"/>
              </w:rPr>
            </w:pPr>
          </w:p>
        </w:tc>
        <w:tc>
          <w:tcPr>
            <w:tcW w:w="1588" w:type="pct"/>
            <w:noWrap/>
            <w:hideMark/>
          </w:tcPr>
          <w:p w14:paraId="335FC7ED"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Páramo de Guargua y Laguna Verde</w:t>
            </w:r>
          </w:p>
        </w:tc>
        <w:tc>
          <w:tcPr>
            <w:tcW w:w="1110" w:type="pct"/>
            <w:noWrap/>
            <w:hideMark/>
          </w:tcPr>
          <w:p w14:paraId="7C858DF6"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14.094,00</w:t>
            </w:r>
          </w:p>
        </w:tc>
      </w:tr>
      <w:tr w:rsidR="00C7285B" w:rsidRPr="00131EED" w14:paraId="4773D299" w14:textId="77777777" w:rsidTr="00454C02">
        <w:trPr>
          <w:trHeight w:val="300"/>
        </w:trPr>
        <w:tc>
          <w:tcPr>
            <w:tcW w:w="1032" w:type="pct"/>
            <w:vMerge/>
            <w:noWrap/>
            <w:hideMark/>
          </w:tcPr>
          <w:p w14:paraId="708A78D2"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0B49FF09" w14:textId="77777777" w:rsidR="00C7285B" w:rsidRPr="00131EED" w:rsidRDefault="00C7285B" w:rsidP="00EA1334">
            <w:pPr>
              <w:jc w:val="left"/>
              <w:rPr>
                <w:sz w:val="20"/>
                <w:szCs w:val="20"/>
                <w:lang w:eastAsia="en-US"/>
              </w:rPr>
            </w:pPr>
          </w:p>
        </w:tc>
        <w:tc>
          <w:tcPr>
            <w:tcW w:w="1588" w:type="pct"/>
            <w:noWrap/>
            <w:hideMark/>
          </w:tcPr>
          <w:p w14:paraId="30C9C1BB"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Páramo de Guerrero</w:t>
            </w:r>
          </w:p>
        </w:tc>
        <w:tc>
          <w:tcPr>
            <w:tcW w:w="1110" w:type="pct"/>
            <w:noWrap/>
            <w:hideMark/>
          </w:tcPr>
          <w:p w14:paraId="4719E505"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1.918,00</w:t>
            </w:r>
          </w:p>
        </w:tc>
      </w:tr>
      <w:tr w:rsidR="00C7285B" w:rsidRPr="00131EED" w14:paraId="6CE9A6B1" w14:textId="77777777" w:rsidTr="00454C02">
        <w:trPr>
          <w:trHeight w:val="300"/>
        </w:trPr>
        <w:tc>
          <w:tcPr>
            <w:tcW w:w="1032" w:type="pct"/>
            <w:vMerge/>
            <w:noWrap/>
            <w:hideMark/>
          </w:tcPr>
          <w:p w14:paraId="416312FF"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10DC8B32" w14:textId="77777777" w:rsidR="00C7285B" w:rsidRPr="00131EED" w:rsidRDefault="00C7285B" w:rsidP="00EA1334">
            <w:pPr>
              <w:jc w:val="left"/>
              <w:rPr>
                <w:sz w:val="20"/>
                <w:szCs w:val="20"/>
                <w:lang w:eastAsia="en-US"/>
              </w:rPr>
            </w:pPr>
          </w:p>
        </w:tc>
        <w:tc>
          <w:tcPr>
            <w:tcW w:w="1588" w:type="pct"/>
            <w:noWrap/>
            <w:hideMark/>
          </w:tcPr>
          <w:p w14:paraId="77D4A65F"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Rio Subachoque y Pantano de Arce</w:t>
            </w:r>
          </w:p>
        </w:tc>
        <w:tc>
          <w:tcPr>
            <w:tcW w:w="1110" w:type="pct"/>
            <w:noWrap/>
            <w:hideMark/>
          </w:tcPr>
          <w:p w14:paraId="33FF86F8"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3.003,00</w:t>
            </w:r>
          </w:p>
        </w:tc>
      </w:tr>
      <w:tr w:rsidR="00C7285B" w:rsidRPr="00131EED" w14:paraId="03E7FF61" w14:textId="77777777" w:rsidTr="00454C02">
        <w:trPr>
          <w:trHeight w:val="300"/>
        </w:trPr>
        <w:tc>
          <w:tcPr>
            <w:tcW w:w="1032" w:type="pct"/>
            <w:vMerge/>
            <w:noWrap/>
            <w:hideMark/>
          </w:tcPr>
          <w:p w14:paraId="5AACC2E5"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30BDA8EE" w14:textId="77777777" w:rsidR="00C7285B" w:rsidRPr="00131EED" w:rsidRDefault="00C7285B" w:rsidP="00EA1334">
            <w:pPr>
              <w:jc w:val="left"/>
              <w:rPr>
                <w:sz w:val="20"/>
                <w:szCs w:val="20"/>
                <w:lang w:eastAsia="en-US"/>
              </w:rPr>
            </w:pPr>
          </w:p>
        </w:tc>
        <w:tc>
          <w:tcPr>
            <w:tcW w:w="1588" w:type="pct"/>
            <w:noWrap/>
            <w:hideMark/>
          </w:tcPr>
          <w:p w14:paraId="77066EDA"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Sector Salto del Tequendama y Cerro Manjuí</w:t>
            </w:r>
          </w:p>
        </w:tc>
        <w:tc>
          <w:tcPr>
            <w:tcW w:w="1110" w:type="pct"/>
            <w:noWrap/>
            <w:hideMark/>
          </w:tcPr>
          <w:p w14:paraId="4CD78A78"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3.423,00</w:t>
            </w:r>
          </w:p>
        </w:tc>
      </w:tr>
      <w:tr w:rsidR="00C7285B" w:rsidRPr="00131EED" w14:paraId="713F064D" w14:textId="77777777" w:rsidTr="00454C02">
        <w:trPr>
          <w:trHeight w:val="300"/>
        </w:trPr>
        <w:tc>
          <w:tcPr>
            <w:tcW w:w="1032" w:type="pct"/>
            <w:vMerge/>
            <w:noWrap/>
            <w:hideMark/>
          </w:tcPr>
          <w:p w14:paraId="763CE149" w14:textId="77777777" w:rsidR="00C7285B" w:rsidRPr="00131EED" w:rsidRDefault="00C7285B" w:rsidP="00EA1334">
            <w:pPr>
              <w:jc w:val="left"/>
              <w:rPr>
                <w:rFonts w:cs="Calibri"/>
                <w:color w:val="000000"/>
                <w:sz w:val="20"/>
                <w:szCs w:val="20"/>
                <w:lang w:eastAsia="en-US"/>
              </w:rPr>
            </w:pPr>
          </w:p>
        </w:tc>
        <w:tc>
          <w:tcPr>
            <w:tcW w:w="2858" w:type="pct"/>
            <w:gridSpan w:val="2"/>
            <w:noWrap/>
            <w:hideMark/>
          </w:tcPr>
          <w:p w14:paraId="189B9E70" w14:textId="77777777" w:rsidR="00C7285B" w:rsidRPr="00131EED" w:rsidRDefault="00C7285B" w:rsidP="00EA1334">
            <w:pPr>
              <w:jc w:val="left"/>
              <w:rPr>
                <w:rFonts w:cs="Calibri"/>
                <w:b/>
                <w:color w:val="000000"/>
                <w:sz w:val="20"/>
                <w:szCs w:val="20"/>
                <w:lang w:eastAsia="en-US"/>
              </w:rPr>
            </w:pPr>
            <w:r w:rsidRPr="00131EED">
              <w:rPr>
                <w:rFonts w:cs="Calibri"/>
                <w:b/>
                <w:color w:val="000000"/>
                <w:sz w:val="20"/>
                <w:szCs w:val="20"/>
                <w:lang w:eastAsia="en-US"/>
              </w:rPr>
              <w:t>Total Corporación Autónoma Regional de Cundinamarca</w:t>
            </w:r>
          </w:p>
        </w:tc>
        <w:tc>
          <w:tcPr>
            <w:tcW w:w="1110" w:type="pct"/>
            <w:noWrap/>
            <w:hideMark/>
          </w:tcPr>
          <w:p w14:paraId="2519FE57" w14:textId="77777777" w:rsidR="00C7285B" w:rsidRPr="00131EED" w:rsidRDefault="00C7285B" w:rsidP="00951A0A">
            <w:pPr>
              <w:jc w:val="right"/>
              <w:rPr>
                <w:rFonts w:cs="Calibri"/>
                <w:b/>
                <w:color w:val="000000"/>
                <w:sz w:val="20"/>
                <w:szCs w:val="20"/>
                <w:lang w:eastAsia="en-US"/>
              </w:rPr>
            </w:pPr>
            <w:r w:rsidRPr="00131EED">
              <w:rPr>
                <w:rFonts w:cs="Calibri"/>
                <w:b/>
                <w:color w:val="000000"/>
                <w:sz w:val="20"/>
                <w:szCs w:val="20"/>
                <w:lang w:eastAsia="en-US"/>
              </w:rPr>
              <w:t>24.535,00</w:t>
            </w:r>
          </w:p>
        </w:tc>
      </w:tr>
      <w:tr w:rsidR="00C7285B" w:rsidRPr="00131EED" w14:paraId="14B4D418" w14:textId="77777777" w:rsidTr="00454C02">
        <w:trPr>
          <w:trHeight w:val="300"/>
        </w:trPr>
        <w:tc>
          <w:tcPr>
            <w:tcW w:w="3890" w:type="pct"/>
            <w:gridSpan w:val="3"/>
            <w:noWrap/>
            <w:hideMark/>
          </w:tcPr>
          <w:p w14:paraId="5AF40B99" w14:textId="3C13467E" w:rsidR="00C7285B" w:rsidRPr="00131EED" w:rsidRDefault="00C7285B" w:rsidP="00EA1334">
            <w:pPr>
              <w:jc w:val="left"/>
              <w:rPr>
                <w:sz w:val="20"/>
                <w:szCs w:val="20"/>
                <w:lang w:eastAsia="en-US"/>
              </w:rPr>
            </w:pPr>
            <w:r w:rsidRPr="00131EED">
              <w:rPr>
                <w:rFonts w:cs="Calibri"/>
                <w:b/>
                <w:color w:val="000000"/>
                <w:sz w:val="20"/>
                <w:szCs w:val="20"/>
                <w:lang w:eastAsia="en-US"/>
              </w:rPr>
              <w:t>Total Distritos Regionales de Manejo Integrado</w:t>
            </w:r>
          </w:p>
        </w:tc>
        <w:tc>
          <w:tcPr>
            <w:tcW w:w="1110" w:type="pct"/>
            <w:noWrap/>
            <w:hideMark/>
          </w:tcPr>
          <w:p w14:paraId="5F6DDC99" w14:textId="77777777" w:rsidR="00C7285B" w:rsidRPr="00131EED" w:rsidRDefault="00C7285B" w:rsidP="00951A0A">
            <w:pPr>
              <w:jc w:val="right"/>
              <w:rPr>
                <w:rFonts w:cs="Calibri"/>
                <w:b/>
                <w:color w:val="000000"/>
                <w:sz w:val="20"/>
                <w:szCs w:val="20"/>
                <w:lang w:eastAsia="en-US"/>
              </w:rPr>
            </w:pPr>
            <w:r w:rsidRPr="00131EED">
              <w:rPr>
                <w:rFonts w:cs="Calibri"/>
                <w:b/>
                <w:color w:val="000000"/>
                <w:sz w:val="20"/>
                <w:szCs w:val="20"/>
                <w:lang w:eastAsia="en-US"/>
              </w:rPr>
              <w:t>24.535,00</w:t>
            </w:r>
          </w:p>
        </w:tc>
      </w:tr>
      <w:tr w:rsidR="00C7285B" w:rsidRPr="00131EED" w14:paraId="5841BD16" w14:textId="77777777" w:rsidTr="00454C02">
        <w:trPr>
          <w:trHeight w:val="300"/>
        </w:trPr>
        <w:tc>
          <w:tcPr>
            <w:tcW w:w="1032" w:type="pct"/>
            <w:vMerge w:val="restart"/>
            <w:noWrap/>
            <w:hideMark/>
          </w:tcPr>
          <w:p w14:paraId="78394F84"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Parque Nacional Natural</w:t>
            </w:r>
          </w:p>
        </w:tc>
        <w:tc>
          <w:tcPr>
            <w:tcW w:w="1270" w:type="pct"/>
            <w:vMerge w:val="restart"/>
            <w:noWrap/>
            <w:hideMark/>
          </w:tcPr>
          <w:p w14:paraId="49AC8100"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Parques Nacionales Naturales de Colombia</w:t>
            </w:r>
          </w:p>
        </w:tc>
        <w:tc>
          <w:tcPr>
            <w:tcW w:w="1588" w:type="pct"/>
            <w:noWrap/>
            <w:hideMark/>
          </w:tcPr>
          <w:p w14:paraId="79DDB530"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Chingaza</w:t>
            </w:r>
          </w:p>
        </w:tc>
        <w:tc>
          <w:tcPr>
            <w:tcW w:w="1110" w:type="pct"/>
            <w:noWrap/>
            <w:hideMark/>
          </w:tcPr>
          <w:p w14:paraId="497CEA9F"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755,00</w:t>
            </w:r>
          </w:p>
        </w:tc>
      </w:tr>
      <w:tr w:rsidR="00C7285B" w:rsidRPr="00131EED" w14:paraId="19FA13A1" w14:textId="77777777" w:rsidTr="00454C02">
        <w:trPr>
          <w:trHeight w:val="300"/>
        </w:trPr>
        <w:tc>
          <w:tcPr>
            <w:tcW w:w="1032" w:type="pct"/>
            <w:vMerge/>
            <w:noWrap/>
            <w:hideMark/>
          </w:tcPr>
          <w:p w14:paraId="6CFFE156"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2F74931C" w14:textId="77777777" w:rsidR="00C7285B" w:rsidRPr="00131EED" w:rsidRDefault="00C7285B" w:rsidP="00EA1334">
            <w:pPr>
              <w:jc w:val="left"/>
              <w:rPr>
                <w:sz w:val="20"/>
                <w:szCs w:val="20"/>
                <w:lang w:eastAsia="en-US"/>
              </w:rPr>
            </w:pPr>
          </w:p>
        </w:tc>
        <w:tc>
          <w:tcPr>
            <w:tcW w:w="1588" w:type="pct"/>
            <w:noWrap/>
            <w:hideMark/>
          </w:tcPr>
          <w:p w14:paraId="263C5E2F"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Sumapaz</w:t>
            </w:r>
          </w:p>
        </w:tc>
        <w:tc>
          <w:tcPr>
            <w:tcW w:w="1110" w:type="pct"/>
            <w:noWrap/>
            <w:hideMark/>
          </w:tcPr>
          <w:p w14:paraId="74F5EFB6"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201,00</w:t>
            </w:r>
          </w:p>
        </w:tc>
      </w:tr>
      <w:tr w:rsidR="00C7285B" w:rsidRPr="00131EED" w14:paraId="047F58CE" w14:textId="77777777" w:rsidTr="00454C02">
        <w:trPr>
          <w:trHeight w:val="300"/>
        </w:trPr>
        <w:tc>
          <w:tcPr>
            <w:tcW w:w="1032" w:type="pct"/>
            <w:vMerge/>
            <w:noWrap/>
            <w:hideMark/>
          </w:tcPr>
          <w:p w14:paraId="29CFBA5E" w14:textId="77777777" w:rsidR="00C7285B" w:rsidRPr="00131EED" w:rsidRDefault="00C7285B" w:rsidP="00EA1334">
            <w:pPr>
              <w:jc w:val="left"/>
              <w:rPr>
                <w:rFonts w:cs="Calibri"/>
                <w:color w:val="000000"/>
                <w:sz w:val="20"/>
                <w:szCs w:val="20"/>
                <w:lang w:eastAsia="en-US"/>
              </w:rPr>
            </w:pPr>
          </w:p>
        </w:tc>
        <w:tc>
          <w:tcPr>
            <w:tcW w:w="2858" w:type="pct"/>
            <w:gridSpan w:val="2"/>
            <w:noWrap/>
            <w:hideMark/>
          </w:tcPr>
          <w:p w14:paraId="212D6870" w14:textId="77777777" w:rsidR="00C7285B" w:rsidRPr="00131EED" w:rsidRDefault="00C7285B" w:rsidP="00EA1334">
            <w:pPr>
              <w:jc w:val="left"/>
              <w:rPr>
                <w:rFonts w:cs="Calibri"/>
                <w:b/>
                <w:color w:val="000000"/>
                <w:sz w:val="20"/>
                <w:szCs w:val="20"/>
                <w:lang w:eastAsia="en-US"/>
              </w:rPr>
            </w:pPr>
            <w:r w:rsidRPr="00131EED">
              <w:rPr>
                <w:rFonts w:cs="Calibri"/>
                <w:b/>
                <w:color w:val="000000"/>
                <w:sz w:val="20"/>
                <w:szCs w:val="20"/>
                <w:lang w:eastAsia="en-US"/>
              </w:rPr>
              <w:t>Total Parques Nacionales Naturales de Colombia</w:t>
            </w:r>
          </w:p>
        </w:tc>
        <w:tc>
          <w:tcPr>
            <w:tcW w:w="1110" w:type="pct"/>
            <w:noWrap/>
            <w:hideMark/>
          </w:tcPr>
          <w:p w14:paraId="660C64AE" w14:textId="77777777" w:rsidR="00C7285B" w:rsidRPr="00131EED" w:rsidRDefault="00C7285B" w:rsidP="00951A0A">
            <w:pPr>
              <w:jc w:val="right"/>
              <w:rPr>
                <w:rFonts w:cs="Calibri"/>
                <w:b/>
                <w:color w:val="000000"/>
                <w:sz w:val="20"/>
                <w:szCs w:val="20"/>
                <w:lang w:eastAsia="en-US"/>
              </w:rPr>
            </w:pPr>
            <w:r w:rsidRPr="00131EED">
              <w:rPr>
                <w:rFonts w:cs="Calibri"/>
                <w:b/>
                <w:color w:val="000000"/>
                <w:sz w:val="20"/>
                <w:szCs w:val="20"/>
                <w:lang w:eastAsia="en-US"/>
              </w:rPr>
              <w:t>956,00</w:t>
            </w:r>
          </w:p>
        </w:tc>
      </w:tr>
      <w:tr w:rsidR="00C7285B" w:rsidRPr="00131EED" w14:paraId="25679362" w14:textId="77777777" w:rsidTr="00454C02">
        <w:trPr>
          <w:trHeight w:val="300"/>
        </w:trPr>
        <w:tc>
          <w:tcPr>
            <w:tcW w:w="3890" w:type="pct"/>
            <w:gridSpan w:val="3"/>
            <w:noWrap/>
            <w:hideMark/>
          </w:tcPr>
          <w:p w14:paraId="26B1F922" w14:textId="5CDAC417" w:rsidR="00C7285B" w:rsidRPr="00131EED" w:rsidRDefault="00C7285B" w:rsidP="00EA1334">
            <w:pPr>
              <w:jc w:val="left"/>
              <w:rPr>
                <w:sz w:val="20"/>
                <w:szCs w:val="20"/>
                <w:lang w:eastAsia="en-US"/>
              </w:rPr>
            </w:pPr>
            <w:r w:rsidRPr="00131EED">
              <w:rPr>
                <w:rFonts w:cs="Calibri"/>
                <w:b/>
                <w:color w:val="000000"/>
                <w:sz w:val="20"/>
                <w:szCs w:val="20"/>
                <w:lang w:eastAsia="en-US"/>
              </w:rPr>
              <w:t>Total Parque Nacional Natural</w:t>
            </w:r>
          </w:p>
        </w:tc>
        <w:tc>
          <w:tcPr>
            <w:tcW w:w="1110" w:type="pct"/>
            <w:noWrap/>
            <w:hideMark/>
          </w:tcPr>
          <w:p w14:paraId="14AF5549" w14:textId="77777777" w:rsidR="00C7285B" w:rsidRPr="00131EED" w:rsidRDefault="00C7285B" w:rsidP="00951A0A">
            <w:pPr>
              <w:jc w:val="right"/>
              <w:rPr>
                <w:rFonts w:cs="Calibri"/>
                <w:b/>
                <w:color w:val="000000"/>
                <w:sz w:val="20"/>
                <w:szCs w:val="20"/>
                <w:lang w:eastAsia="en-US"/>
              </w:rPr>
            </w:pPr>
            <w:r w:rsidRPr="00131EED">
              <w:rPr>
                <w:rFonts w:cs="Calibri"/>
                <w:b/>
                <w:color w:val="000000"/>
                <w:sz w:val="20"/>
                <w:szCs w:val="20"/>
                <w:lang w:eastAsia="en-US"/>
              </w:rPr>
              <w:t>956,00</w:t>
            </w:r>
          </w:p>
        </w:tc>
      </w:tr>
      <w:tr w:rsidR="00C7285B" w:rsidRPr="00131EED" w14:paraId="74E18730" w14:textId="77777777" w:rsidTr="00454C02">
        <w:trPr>
          <w:trHeight w:val="300"/>
        </w:trPr>
        <w:tc>
          <w:tcPr>
            <w:tcW w:w="1032" w:type="pct"/>
            <w:vMerge w:val="restart"/>
            <w:noWrap/>
            <w:hideMark/>
          </w:tcPr>
          <w:p w14:paraId="118DE37B"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Parques Naturales Regionales</w:t>
            </w:r>
          </w:p>
        </w:tc>
        <w:tc>
          <w:tcPr>
            <w:tcW w:w="1270" w:type="pct"/>
            <w:noWrap/>
            <w:hideMark/>
          </w:tcPr>
          <w:p w14:paraId="0B5CA719"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Corporación Autónoma Regional de Cundinamarca</w:t>
            </w:r>
          </w:p>
        </w:tc>
        <w:tc>
          <w:tcPr>
            <w:tcW w:w="1588" w:type="pct"/>
            <w:noWrap/>
            <w:hideMark/>
          </w:tcPr>
          <w:p w14:paraId="7C833382"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Vista Hermosa de Monquentiva</w:t>
            </w:r>
          </w:p>
        </w:tc>
        <w:tc>
          <w:tcPr>
            <w:tcW w:w="1110" w:type="pct"/>
            <w:noWrap/>
            <w:hideMark/>
          </w:tcPr>
          <w:p w14:paraId="505C02BA"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59,00</w:t>
            </w:r>
          </w:p>
        </w:tc>
      </w:tr>
      <w:tr w:rsidR="00C7285B" w:rsidRPr="00131EED" w14:paraId="6DDDB3C4" w14:textId="77777777" w:rsidTr="00454C02">
        <w:trPr>
          <w:trHeight w:val="300"/>
        </w:trPr>
        <w:tc>
          <w:tcPr>
            <w:tcW w:w="1032" w:type="pct"/>
            <w:vMerge/>
            <w:noWrap/>
            <w:hideMark/>
          </w:tcPr>
          <w:p w14:paraId="0B0C32AE" w14:textId="77777777" w:rsidR="00C7285B" w:rsidRPr="00131EED" w:rsidRDefault="00C7285B" w:rsidP="00EA1334">
            <w:pPr>
              <w:jc w:val="left"/>
              <w:rPr>
                <w:rFonts w:cs="Calibri"/>
                <w:color w:val="000000"/>
                <w:sz w:val="20"/>
                <w:szCs w:val="20"/>
                <w:lang w:eastAsia="en-US"/>
              </w:rPr>
            </w:pPr>
          </w:p>
        </w:tc>
        <w:tc>
          <w:tcPr>
            <w:tcW w:w="2858" w:type="pct"/>
            <w:gridSpan w:val="2"/>
            <w:noWrap/>
            <w:hideMark/>
          </w:tcPr>
          <w:p w14:paraId="6E00E299" w14:textId="77777777" w:rsidR="00C7285B" w:rsidRPr="00131EED" w:rsidRDefault="00C7285B" w:rsidP="00EA1334">
            <w:pPr>
              <w:jc w:val="left"/>
              <w:rPr>
                <w:rFonts w:cs="Calibri"/>
                <w:b/>
                <w:color w:val="000000"/>
                <w:sz w:val="20"/>
                <w:szCs w:val="20"/>
                <w:lang w:eastAsia="en-US"/>
              </w:rPr>
            </w:pPr>
            <w:r w:rsidRPr="00131EED">
              <w:rPr>
                <w:rFonts w:cs="Calibri"/>
                <w:b/>
                <w:color w:val="000000"/>
                <w:sz w:val="20"/>
                <w:szCs w:val="20"/>
                <w:lang w:eastAsia="en-US"/>
              </w:rPr>
              <w:t>Total Corporación Autónoma Regional de Cundinamarca</w:t>
            </w:r>
          </w:p>
        </w:tc>
        <w:tc>
          <w:tcPr>
            <w:tcW w:w="1110" w:type="pct"/>
            <w:noWrap/>
            <w:hideMark/>
          </w:tcPr>
          <w:p w14:paraId="3301F9EC" w14:textId="77777777" w:rsidR="00C7285B" w:rsidRPr="00131EED" w:rsidRDefault="00C7285B" w:rsidP="00951A0A">
            <w:pPr>
              <w:jc w:val="right"/>
              <w:rPr>
                <w:rFonts w:cs="Calibri"/>
                <w:b/>
                <w:color w:val="000000"/>
                <w:sz w:val="20"/>
                <w:szCs w:val="20"/>
                <w:lang w:eastAsia="en-US"/>
              </w:rPr>
            </w:pPr>
            <w:r w:rsidRPr="00131EED">
              <w:rPr>
                <w:rFonts w:cs="Calibri"/>
                <w:b/>
                <w:color w:val="000000"/>
                <w:sz w:val="20"/>
                <w:szCs w:val="20"/>
                <w:lang w:eastAsia="en-US"/>
              </w:rPr>
              <w:t>59,00</w:t>
            </w:r>
          </w:p>
        </w:tc>
      </w:tr>
      <w:tr w:rsidR="00C7285B" w:rsidRPr="00131EED" w14:paraId="1872CE69" w14:textId="77777777" w:rsidTr="00454C02">
        <w:trPr>
          <w:trHeight w:val="300"/>
        </w:trPr>
        <w:tc>
          <w:tcPr>
            <w:tcW w:w="3890" w:type="pct"/>
            <w:gridSpan w:val="3"/>
            <w:noWrap/>
            <w:hideMark/>
          </w:tcPr>
          <w:p w14:paraId="082145C2" w14:textId="641CD340" w:rsidR="00C7285B" w:rsidRPr="00131EED" w:rsidRDefault="00C7285B" w:rsidP="00EA1334">
            <w:pPr>
              <w:jc w:val="left"/>
              <w:rPr>
                <w:sz w:val="20"/>
                <w:szCs w:val="20"/>
                <w:lang w:eastAsia="en-US"/>
              </w:rPr>
            </w:pPr>
            <w:r w:rsidRPr="00131EED">
              <w:rPr>
                <w:rFonts w:cs="Calibri"/>
                <w:b/>
                <w:color w:val="000000"/>
                <w:sz w:val="20"/>
                <w:szCs w:val="20"/>
                <w:lang w:eastAsia="en-US"/>
              </w:rPr>
              <w:t>Total Parques Naturales Regionales</w:t>
            </w:r>
          </w:p>
        </w:tc>
        <w:tc>
          <w:tcPr>
            <w:tcW w:w="1110" w:type="pct"/>
            <w:noWrap/>
            <w:hideMark/>
          </w:tcPr>
          <w:p w14:paraId="7F7DCEC8" w14:textId="77777777" w:rsidR="00C7285B" w:rsidRPr="00131EED" w:rsidRDefault="00C7285B" w:rsidP="00951A0A">
            <w:pPr>
              <w:jc w:val="right"/>
              <w:rPr>
                <w:rFonts w:cs="Calibri"/>
                <w:b/>
                <w:color w:val="000000"/>
                <w:sz w:val="20"/>
                <w:szCs w:val="20"/>
                <w:lang w:eastAsia="en-US"/>
              </w:rPr>
            </w:pPr>
            <w:r w:rsidRPr="00131EED">
              <w:rPr>
                <w:rFonts w:cs="Calibri"/>
                <w:b/>
                <w:color w:val="000000"/>
                <w:sz w:val="20"/>
                <w:szCs w:val="20"/>
                <w:lang w:eastAsia="en-US"/>
              </w:rPr>
              <w:t>59,00</w:t>
            </w:r>
          </w:p>
        </w:tc>
      </w:tr>
      <w:tr w:rsidR="00C7285B" w:rsidRPr="00131EED" w14:paraId="19524C9C" w14:textId="77777777" w:rsidTr="00454C02">
        <w:trPr>
          <w:trHeight w:val="300"/>
        </w:trPr>
        <w:tc>
          <w:tcPr>
            <w:tcW w:w="1032" w:type="pct"/>
            <w:vMerge w:val="restart"/>
            <w:noWrap/>
            <w:hideMark/>
          </w:tcPr>
          <w:p w14:paraId="07656073"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Reserva Natural de la Sociedad Civil</w:t>
            </w:r>
          </w:p>
        </w:tc>
        <w:tc>
          <w:tcPr>
            <w:tcW w:w="1270" w:type="pct"/>
            <w:vMerge w:val="restart"/>
            <w:noWrap/>
            <w:hideMark/>
          </w:tcPr>
          <w:p w14:paraId="5731C822"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Parques Nacionales Naturales de Colombia</w:t>
            </w:r>
          </w:p>
        </w:tc>
        <w:tc>
          <w:tcPr>
            <w:tcW w:w="1588" w:type="pct"/>
            <w:noWrap/>
            <w:hideMark/>
          </w:tcPr>
          <w:p w14:paraId="2BD7AE93"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Altos De Pedro Palo</w:t>
            </w:r>
          </w:p>
        </w:tc>
        <w:tc>
          <w:tcPr>
            <w:tcW w:w="1110" w:type="pct"/>
            <w:noWrap/>
            <w:hideMark/>
          </w:tcPr>
          <w:p w14:paraId="0C50F84D"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0,00</w:t>
            </w:r>
          </w:p>
        </w:tc>
      </w:tr>
      <w:tr w:rsidR="00C7285B" w:rsidRPr="00131EED" w14:paraId="2D5CAD96" w14:textId="77777777" w:rsidTr="00454C02">
        <w:trPr>
          <w:trHeight w:val="300"/>
        </w:trPr>
        <w:tc>
          <w:tcPr>
            <w:tcW w:w="1032" w:type="pct"/>
            <w:vMerge/>
            <w:noWrap/>
            <w:hideMark/>
          </w:tcPr>
          <w:p w14:paraId="0551BDB7"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2BE7BC12" w14:textId="77777777" w:rsidR="00C7285B" w:rsidRPr="00131EED" w:rsidRDefault="00C7285B" w:rsidP="00EA1334">
            <w:pPr>
              <w:jc w:val="left"/>
              <w:rPr>
                <w:sz w:val="20"/>
                <w:szCs w:val="20"/>
                <w:lang w:eastAsia="en-US"/>
              </w:rPr>
            </w:pPr>
          </w:p>
        </w:tc>
        <w:tc>
          <w:tcPr>
            <w:tcW w:w="1588" w:type="pct"/>
            <w:noWrap/>
            <w:hideMark/>
          </w:tcPr>
          <w:p w14:paraId="7426C6EB"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Ariel Campestre Juisingueka</w:t>
            </w:r>
          </w:p>
        </w:tc>
        <w:tc>
          <w:tcPr>
            <w:tcW w:w="1110" w:type="pct"/>
            <w:noWrap/>
            <w:hideMark/>
          </w:tcPr>
          <w:p w14:paraId="0EAA110C"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2,00</w:t>
            </w:r>
          </w:p>
        </w:tc>
      </w:tr>
      <w:tr w:rsidR="00C7285B" w:rsidRPr="00131EED" w14:paraId="0E87BC31" w14:textId="77777777" w:rsidTr="00454C02">
        <w:trPr>
          <w:trHeight w:val="300"/>
        </w:trPr>
        <w:tc>
          <w:tcPr>
            <w:tcW w:w="1032" w:type="pct"/>
            <w:vMerge/>
            <w:noWrap/>
            <w:hideMark/>
          </w:tcPr>
          <w:p w14:paraId="577C1E1F"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4F9C61CE" w14:textId="77777777" w:rsidR="00C7285B" w:rsidRPr="00131EED" w:rsidRDefault="00C7285B" w:rsidP="00EA1334">
            <w:pPr>
              <w:jc w:val="left"/>
              <w:rPr>
                <w:sz w:val="20"/>
                <w:szCs w:val="20"/>
                <w:lang w:eastAsia="en-US"/>
              </w:rPr>
            </w:pPr>
          </w:p>
        </w:tc>
        <w:tc>
          <w:tcPr>
            <w:tcW w:w="1588" w:type="pct"/>
            <w:noWrap/>
            <w:hideMark/>
          </w:tcPr>
          <w:p w14:paraId="3D60EDCF"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Ayllu Del Río</w:t>
            </w:r>
          </w:p>
        </w:tc>
        <w:tc>
          <w:tcPr>
            <w:tcW w:w="1110" w:type="pct"/>
            <w:noWrap/>
            <w:hideMark/>
          </w:tcPr>
          <w:p w14:paraId="4A8FED19"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3,00</w:t>
            </w:r>
          </w:p>
        </w:tc>
      </w:tr>
      <w:tr w:rsidR="00C7285B" w:rsidRPr="00131EED" w14:paraId="10C6CAAD" w14:textId="77777777" w:rsidTr="00454C02">
        <w:trPr>
          <w:trHeight w:val="300"/>
        </w:trPr>
        <w:tc>
          <w:tcPr>
            <w:tcW w:w="1032" w:type="pct"/>
            <w:vMerge/>
            <w:noWrap/>
            <w:hideMark/>
          </w:tcPr>
          <w:p w14:paraId="084B4AB1"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4B7D2631" w14:textId="77777777" w:rsidR="00C7285B" w:rsidRPr="00131EED" w:rsidRDefault="00C7285B" w:rsidP="00EA1334">
            <w:pPr>
              <w:jc w:val="left"/>
              <w:rPr>
                <w:sz w:val="20"/>
                <w:szCs w:val="20"/>
                <w:lang w:eastAsia="en-US"/>
              </w:rPr>
            </w:pPr>
          </w:p>
        </w:tc>
        <w:tc>
          <w:tcPr>
            <w:tcW w:w="1588" w:type="pct"/>
            <w:noWrap/>
            <w:hideMark/>
          </w:tcPr>
          <w:p w14:paraId="1B2F00FE"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Betania</w:t>
            </w:r>
          </w:p>
        </w:tc>
        <w:tc>
          <w:tcPr>
            <w:tcW w:w="1110" w:type="pct"/>
            <w:noWrap/>
            <w:hideMark/>
          </w:tcPr>
          <w:p w14:paraId="7545C5EB"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15,00</w:t>
            </w:r>
          </w:p>
        </w:tc>
      </w:tr>
      <w:tr w:rsidR="00C7285B" w:rsidRPr="00131EED" w14:paraId="7969C1D7" w14:textId="77777777" w:rsidTr="00454C02">
        <w:trPr>
          <w:trHeight w:val="300"/>
        </w:trPr>
        <w:tc>
          <w:tcPr>
            <w:tcW w:w="1032" w:type="pct"/>
            <w:vMerge/>
            <w:noWrap/>
            <w:hideMark/>
          </w:tcPr>
          <w:p w14:paraId="3559FD87"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5860041A" w14:textId="77777777" w:rsidR="00C7285B" w:rsidRPr="00131EED" w:rsidRDefault="00C7285B" w:rsidP="00EA1334">
            <w:pPr>
              <w:jc w:val="left"/>
              <w:rPr>
                <w:sz w:val="20"/>
                <w:szCs w:val="20"/>
                <w:lang w:eastAsia="en-US"/>
              </w:rPr>
            </w:pPr>
          </w:p>
        </w:tc>
        <w:tc>
          <w:tcPr>
            <w:tcW w:w="1588" w:type="pct"/>
            <w:noWrap/>
            <w:hideMark/>
          </w:tcPr>
          <w:p w14:paraId="768A2E09"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Bioparque Wakatá</w:t>
            </w:r>
          </w:p>
        </w:tc>
        <w:tc>
          <w:tcPr>
            <w:tcW w:w="1110" w:type="pct"/>
            <w:noWrap/>
            <w:hideMark/>
          </w:tcPr>
          <w:p w14:paraId="2E15123F"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64,00</w:t>
            </w:r>
          </w:p>
        </w:tc>
      </w:tr>
      <w:tr w:rsidR="00C7285B" w:rsidRPr="00131EED" w14:paraId="0EE94130" w14:textId="77777777" w:rsidTr="00454C02">
        <w:trPr>
          <w:trHeight w:val="300"/>
        </w:trPr>
        <w:tc>
          <w:tcPr>
            <w:tcW w:w="1032" w:type="pct"/>
            <w:vMerge/>
            <w:noWrap/>
            <w:hideMark/>
          </w:tcPr>
          <w:p w14:paraId="693E55D5"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176FA89E" w14:textId="77777777" w:rsidR="00C7285B" w:rsidRPr="00131EED" w:rsidRDefault="00C7285B" w:rsidP="00EA1334">
            <w:pPr>
              <w:jc w:val="left"/>
              <w:rPr>
                <w:sz w:val="20"/>
                <w:szCs w:val="20"/>
                <w:lang w:eastAsia="en-US"/>
              </w:rPr>
            </w:pPr>
          </w:p>
        </w:tc>
        <w:tc>
          <w:tcPr>
            <w:tcW w:w="1588" w:type="pct"/>
            <w:noWrap/>
            <w:hideMark/>
          </w:tcPr>
          <w:p w14:paraId="31A47FE1"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Bosque de Niebla</w:t>
            </w:r>
          </w:p>
        </w:tc>
        <w:tc>
          <w:tcPr>
            <w:tcW w:w="1110" w:type="pct"/>
            <w:noWrap/>
            <w:hideMark/>
          </w:tcPr>
          <w:p w14:paraId="0ECAA359"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4,00</w:t>
            </w:r>
          </w:p>
        </w:tc>
      </w:tr>
      <w:tr w:rsidR="00C7285B" w:rsidRPr="00131EED" w14:paraId="7C96472C" w14:textId="77777777" w:rsidTr="00454C02">
        <w:trPr>
          <w:trHeight w:val="300"/>
        </w:trPr>
        <w:tc>
          <w:tcPr>
            <w:tcW w:w="1032" w:type="pct"/>
            <w:vMerge/>
            <w:noWrap/>
            <w:hideMark/>
          </w:tcPr>
          <w:p w14:paraId="2576763A"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4CA253DB" w14:textId="77777777" w:rsidR="00C7285B" w:rsidRPr="00131EED" w:rsidRDefault="00C7285B" w:rsidP="00EA1334">
            <w:pPr>
              <w:jc w:val="left"/>
              <w:rPr>
                <w:sz w:val="20"/>
                <w:szCs w:val="20"/>
                <w:lang w:eastAsia="en-US"/>
              </w:rPr>
            </w:pPr>
          </w:p>
        </w:tc>
        <w:tc>
          <w:tcPr>
            <w:tcW w:w="1588" w:type="pct"/>
            <w:noWrap/>
            <w:hideMark/>
          </w:tcPr>
          <w:p w14:paraId="0A77C8A9"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Buenos Aires</w:t>
            </w:r>
          </w:p>
        </w:tc>
        <w:tc>
          <w:tcPr>
            <w:tcW w:w="1110" w:type="pct"/>
            <w:noWrap/>
            <w:hideMark/>
          </w:tcPr>
          <w:p w14:paraId="3059B58A"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6,00</w:t>
            </w:r>
          </w:p>
        </w:tc>
      </w:tr>
      <w:tr w:rsidR="00C7285B" w:rsidRPr="00131EED" w14:paraId="2154BA2D" w14:textId="77777777" w:rsidTr="00454C02">
        <w:trPr>
          <w:trHeight w:val="300"/>
        </w:trPr>
        <w:tc>
          <w:tcPr>
            <w:tcW w:w="1032" w:type="pct"/>
            <w:vMerge/>
            <w:noWrap/>
            <w:hideMark/>
          </w:tcPr>
          <w:p w14:paraId="2C354D3C"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13E0C028" w14:textId="77777777" w:rsidR="00C7285B" w:rsidRPr="00131EED" w:rsidRDefault="00C7285B" w:rsidP="00EA1334">
            <w:pPr>
              <w:jc w:val="left"/>
              <w:rPr>
                <w:sz w:val="20"/>
                <w:szCs w:val="20"/>
                <w:lang w:eastAsia="en-US"/>
              </w:rPr>
            </w:pPr>
          </w:p>
        </w:tc>
        <w:tc>
          <w:tcPr>
            <w:tcW w:w="1588" w:type="pct"/>
            <w:noWrap/>
            <w:hideMark/>
          </w:tcPr>
          <w:p w14:paraId="30386B57"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Célula Verde</w:t>
            </w:r>
          </w:p>
        </w:tc>
        <w:tc>
          <w:tcPr>
            <w:tcW w:w="1110" w:type="pct"/>
            <w:noWrap/>
            <w:hideMark/>
          </w:tcPr>
          <w:p w14:paraId="7F7AB3E8"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9,00</w:t>
            </w:r>
          </w:p>
        </w:tc>
      </w:tr>
      <w:tr w:rsidR="00C7285B" w:rsidRPr="00131EED" w14:paraId="744D0769" w14:textId="77777777" w:rsidTr="00454C02">
        <w:trPr>
          <w:trHeight w:val="300"/>
        </w:trPr>
        <w:tc>
          <w:tcPr>
            <w:tcW w:w="1032" w:type="pct"/>
            <w:vMerge/>
            <w:noWrap/>
            <w:hideMark/>
          </w:tcPr>
          <w:p w14:paraId="4A772398"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579D507D" w14:textId="77777777" w:rsidR="00C7285B" w:rsidRPr="00131EED" w:rsidRDefault="00C7285B" w:rsidP="00EA1334">
            <w:pPr>
              <w:jc w:val="left"/>
              <w:rPr>
                <w:sz w:val="20"/>
                <w:szCs w:val="20"/>
                <w:lang w:eastAsia="en-US"/>
              </w:rPr>
            </w:pPr>
          </w:p>
        </w:tc>
        <w:tc>
          <w:tcPr>
            <w:tcW w:w="1588" w:type="pct"/>
            <w:noWrap/>
            <w:hideMark/>
          </w:tcPr>
          <w:p w14:paraId="4925B62F"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Carrisal</w:t>
            </w:r>
          </w:p>
        </w:tc>
        <w:tc>
          <w:tcPr>
            <w:tcW w:w="1110" w:type="pct"/>
            <w:noWrap/>
            <w:hideMark/>
          </w:tcPr>
          <w:p w14:paraId="46CAFCB2"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27,00</w:t>
            </w:r>
          </w:p>
        </w:tc>
      </w:tr>
      <w:tr w:rsidR="00C7285B" w:rsidRPr="00131EED" w14:paraId="2274C4AF" w14:textId="77777777" w:rsidTr="00454C02">
        <w:trPr>
          <w:trHeight w:val="300"/>
        </w:trPr>
        <w:tc>
          <w:tcPr>
            <w:tcW w:w="1032" w:type="pct"/>
            <w:vMerge/>
            <w:noWrap/>
            <w:hideMark/>
          </w:tcPr>
          <w:p w14:paraId="4A2243AD"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1F8B197E" w14:textId="77777777" w:rsidR="00C7285B" w:rsidRPr="00131EED" w:rsidRDefault="00C7285B" w:rsidP="00EA1334">
            <w:pPr>
              <w:jc w:val="left"/>
              <w:rPr>
                <w:sz w:val="20"/>
                <w:szCs w:val="20"/>
                <w:lang w:eastAsia="en-US"/>
              </w:rPr>
            </w:pPr>
          </w:p>
        </w:tc>
        <w:tc>
          <w:tcPr>
            <w:tcW w:w="1588" w:type="pct"/>
            <w:noWrap/>
            <w:hideMark/>
          </w:tcPr>
          <w:p w14:paraId="365DC1DA"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Chicaque</w:t>
            </w:r>
          </w:p>
        </w:tc>
        <w:tc>
          <w:tcPr>
            <w:tcW w:w="1110" w:type="pct"/>
            <w:noWrap/>
            <w:hideMark/>
          </w:tcPr>
          <w:p w14:paraId="45E2A22F"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16,00</w:t>
            </w:r>
          </w:p>
        </w:tc>
      </w:tr>
      <w:tr w:rsidR="00C7285B" w:rsidRPr="00131EED" w14:paraId="4FFF7F37" w14:textId="77777777" w:rsidTr="00454C02">
        <w:trPr>
          <w:trHeight w:val="300"/>
        </w:trPr>
        <w:tc>
          <w:tcPr>
            <w:tcW w:w="1032" w:type="pct"/>
            <w:vMerge/>
            <w:noWrap/>
            <w:hideMark/>
          </w:tcPr>
          <w:p w14:paraId="74AA3EB8"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42350E2F" w14:textId="77777777" w:rsidR="00C7285B" w:rsidRPr="00131EED" w:rsidRDefault="00C7285B" w:rsidP="00EA1334">
            <w:pPr>
              <w:jc w:val="left"/>
              <w:rPr>
                <w:sz w:val="20"/>
                <w:szCs w:val="20"/>
                <w:lang w:eastAsia="en-US"/>
              </w:rPr>
            </w:pPr>
          </w:p>
        </w:tc>
        <w:tc>
          <w:tcPr>
            <w:tcW w:w="1588" w:type="pct"/>
            <w:noWrap/>
            <w:hideMark/>
          </w:tcPr>
          <w:p w14:paraId="086DE5F0"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Conjunto de Reservas Naturales de Sumicol S.A.S. Predio La Pintada</w:t>
            </w:r>
          </w:p>
        </w:tc>
        <w:tc>
          <w:tcPr>
            <w:tcW w:w="1110" w:type="pct"/>
            <w:noWrap/>
            <w:hideMark/>
          </w:tcPr>
          <w:p w14:paraId="7B1AD8E3"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7,00</w:t>
            </w:r>
          </w:p>
        </w:tc>
      </w:tr>
      <w:tr w:rsidR="00C7285B" w:rsidRPr="00131EED" w14:paraId="57DFAD80" w14:textId="77777777" w:rsidTr="00454C02">
        <w:trPr>
          <w:trHeight w:val="300"/>
        </w:trPr>
        <w:tc>
          <w:tcPr>
            <w:tcW w:w="1032" w:type="pct"/>
            <w:vMerge/>
            <w:noWrap/>
            <w:hideMark/>
          </w:tcPr>
          <w:p w14:paraId="17C03979"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44699E4A" w14:textId="77777777" w:rsidR="00C7285B" w:rsidRPr="00131EED" w:rsidRDefault="00C7285B" w:rsidP="00EA1334">
            <w:pPr>
              <w:jc w:val="left"/>
              <w:rPr>
                <w:sz w:val="20"/>
                <w:szCs w:val="20"/>
                <w:lang w:eastAsia="en-US"/>
              </w:rPr>
            </w:pPr>
          </w:p>
        </w:tc>
        <w:tc>
          <w:tcPr>
            <w:tcW w:w="1588" w:type="pct"/>
            <w:noWrap/>
            <w:hideMark/>
          </w:tcPr>
          <w:p w14:paraId="22EA53BA"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Conjunto De Reservas Naturales De Sumicol Sas</w:t>
            </w:r>
          </w:p>
        </w:tc>
        <w:tc>
          <w:tcPr>
            <w:tcW w:w="1110" w:type="pct"/>
            <w:noWrap/>
            <w:hideMark/>
          </w:tcPr>
          <w:p w14:paraId="129ACE0E"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17,00</w:t>
            </w:r>
          </w:p>
        </w:tc>
      </w:tr>
      <w:tr w:rsidR="00C7285B" w:rsidRPr="00131EED" w14:paraId="4AFF1C66" w14:textId="77777777" w:rsidTr="00454C02">
        <w:trPr>
          <w:trHeight w:val="300"/>
        </w:trPr>
        <w:tc>
          <w:tcPr>
            <w:tcW w:w="1032" w:type="pct"/>
            <w:vMerge/>
            <w:noWrap/>
            <w:hideMark/>
          </w:tcPr>
          <w:p w14:paraId="3B0FED1A"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6D07E3F9" w14:textId="77777777" w:rsidR="00C7285B" w:rsidRPr="00131EED" w:rsidRDefault="00C7285B" w:rsidP="00EA1334">
            <w:pPr>
              <w:jc w:val="left"/>
              <w:rPr>
                <w:sz w:val="20"/>
                <w:szCs w:val="20"/>
                <w:lang w:eastAsia="en-US"/>
              </w:rPr>
            </w:pPr>
          </w:p>
        </w:tc>
        <w:tc>
          <w:tcPr>
            <w:tcW w:w="1588" w:type="pct"/>
            <w:noWrap/>
            <w:hideMark/>
          </w:tcPr>
          <w:p w14:paraId="62C1A604"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Ecoparque Sabana</w:t>
            </w:r>
          </w:p>
        </w:tc>
        <w:tc>
          <w:tcPr>
            <w:tcW w:w="1110" w:type="pct"/>
            <w:noWrap/>
            <w:hideMark/>
          </w:tcPr>
          <w:p w14:paraId="3A0ACA49"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41,00</w:t>
            </w:r>
          </w:p>
        </w:tc>
      </w:tr>
      <w:tr w:rsidR="00C7285B" w:rsidRPr="00131EED" w14:paraId="759DEB1A" w14:textId="77777777" w:rsidTr="00454C02">
        <w:trPr>
          <w:trHeight w:val="300"/>
        </w:trPr>
        <w:tc>
          <w:tcPr>
            <w:tcW w:w="1032" w:type="pct"/>
            <w:vMerge/>
            <w:noWrap/>
            <w:hideMark/>
          </w:tcPr>
          <w:p w14:paraId="37F152A4"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3FFC3266" w14:textId="77777777" w:rsidR="00C7285B" w:rsidRPr="00131EED" w:rsidRDefault="00C7285B" w:rsidP="00EA1334">
            <w:pPr>
              <w:jc w:val="left"/>
              <w:rPr>
                <w:sz w:val="20"/>
                <w:szCs w:val="20"/>
                <w:lang w:eastAsia="en-US"/>
              </w:rPr>
            </w:pPr>
          </w:p>
        </w:tc>
        <w:tc>
          <w:tcPr>
            <w:tcW w:w="1588" w:type="pct"/>
            <w:noWrap/>
            <w:hideMark/>
          </w:tcPr>
          <w:p w14:paraId="49263E35"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Ecoshezuá</w:t>
            </w:r>
          </w:p>
        </w:tc>
        <w:tc>
          <w:tcPr>
            <w:tcW w:w="1110" w:type="pct"/>
            <w:noWrap/>
            <w:hideMark/>
          </w:tcPr>
          <w:p w14:paraId="5B2D5836"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2,00</w:t>
            </w:r>
          </w:p>
        </w:tc>
      </w:tr>
      <w:tr w:rsidR="00C7285B" w:rsidRPr="00131EED" w14:paraId="534EC243" w14:textId="77777777" w:rsidTr="00454C02">
        <w:trPr>
          <w:trHeight w:val="300"/>
        </w:trPr>
        <w:tc>
          <w:tcPr>
            <w:tcW w:w="1032" w:type="pct"/>
            <w:vMerge/>
            <w:noWrap/>
            <w:hideMark/>
          </w:tcPr>
          <w:p w14:paraId="46513C55"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35845455" w14:textId="77777777" w:rsidR="00C7285B" w:rsidRPr="00131EED" w:rsidRDefault="00C7285B" w:rsidP="00EA1334">
            <w:pPr>
              <w:jc w:val="left"/>
              <w:rPr>
                <w:sz w:val="20"/>
                <w:szCs w:val="20"/>
                <w:lang w:eastAsia="en-US"/>
              </w:rPr>
            </w:pPr>
          </w:p>
        </w:tc>
        <w:tc>
          <w:tcPr>
            <w:tcW w:w="1588" w:type="pct"/>
            <w:noWrap/>
            <w:hideMark/>
          </w:tcPr>
          <w:p w14:paraId="30A41759"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El Avenadal</w:t>
            </w:r>
          </w:p>
        </w:tc>
        <w:tc>
          <w:tcPr>
            <w:tcW w:w="1110" w:type="pct"/>
            <w:noWrap/>
            <w:hideMark/>
          </w:tcPr>
          <w:p w14:paraId="22207C56"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2,00</w:t>
            </w:r>
          </w:p>
        </w:tc>
      </w:tr>
      <w:tr w:rsidR="00C7285B" w:rsidRPr="00131EED" w14:paraId="1DE3C0F6" w14:textId="77777777" w:rsidTr="00454C02">
        <w:trPr>
          <w:trHeight w:val="300"/>
        </w:trPr>
        <w:tc>
          <w:tcPr>
            <w:tcW w:w="1032" w:type="pct"/>
            <w:vMerge/>
            <w:noWrap/>
            <w:hideMark/>
          </w:tcPr>
          <w:p w14:paraId="0F7F6813"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25C84B50" w14:textId="77777777" w:rsidR="00C7285B" w:rsidRPr="00131EED" w:rsidRDefault="00C7285B" w:rsidP="00EA1334">
            <w:pPr>
              <w:jc w:val="left"/>
              <w:rPr>
                <w:sz w:val="20"/>
                <w:szCs w:val="20"/>
                <w:lang w:eastAsia="en-US"/>
              </w:rPr>
            </w:pPr>
          </w:p>
        </w:tc>
        <w:tc>
          <w:tcPr>
            <w:tcW w:w="1588" w:type="pct"/>
            <w:noWrap/>
            <w:hideMark/>
          </w:tcPr>
          <w:p w14:paraId="0FFE0E90"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El Chochal de Siecha</w:t>
            </w:r>
          </w:p>
        </w:tc>
        <w:tc>
          <w:tcPr>
            <w:tcW w:w="1110" w:type="pct"/>
            <w:noWrap/>
            <w:hideMark/>
          </w:tcPr>
          <w:p w14:paraId="20815D44"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6,00</w:t>
            </w:r>
          </w:p>
        </w:tc>
      </w:tr>
      <w:tr w:rsidR="00C7285B" w:rsidRPr="00131EED" w14:paraId="490A0FE4" w14:textId="77777777" w:rsidTr="00454C02">
        <w:trPr>
          <w:trHeight w:val="300"/>
        </w:trPr>
        <w:tc>
          <w:tcPr>
            <w:tcW w:w="1032" w:type="pct"/>
            <w:vMerge/>
            <w:noWrap/>
            <w:hideMark/>
          </w:tcPr>
          <w:p w14:paraId="456E6D3E"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3861AF20" w14:textId="77777777" w:rsidR="00C7285B" w:rsidRPr="00131EED" w:rsidRDefault="00C7285B" w:rsidP="00EA1334">
            <w:pPr>
              <w:jc w:val="left"/>
              <w:rPr>
                <w:sz w:val="20"/>
                <w:szCs w:val="20"/>
                <w:lang w:eastAsia="en-US"/>
              </w:rPr>
            </w:pPr>
          </w:p>
        </w:tc>
        <w:tc>
          <w:tcPr>
            <w:tcW w:w="1588" w:type="pct"/>
            <w:noWrap/>
            <w:hideMark/>
          </w:tcPr>
          <w:p w14:paraId="16884308"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El Diluvio</w:t>
            </w:r>
          </w:p>
        </w:tc>
        <w:tc>
          <w:tcPr>
            <w:tcW w:w="1110" w:type="pct"/>
            <w:noWrap/>
            <w:hideMark/>
          </w:tcPr>
          <w:p w14:paraId="04804CAC"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97,00</w:t>
            </w:r>
          </w:p>
        </w:tc>
      </w:tr>
      <w:tr w:rsidR="00C7285B" w:rsidRPr="00131EED" w14:paraId="5EAEA632" w14:textId="77777777" w:rsidTr="00454C02">
        <w:trPr>
          <w:trHeight w:val="300"/>
        </w:trPr>
        <w:tc>
          <w:tcPr>
            <w:tcW w:w="1032" w:type="pct"/>
            <w:vMerge/>
            <w:noWrap/>
            <w:hideMark/>
          </w:tcPr>
          <w:p w14:paraId="22107A84"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6D38E7E0" w14:textId="77777777" w:rsidR="00C7285B" w:rsidRPr="00131EED" w:rsidRDefault="00C7285B" w:rsidP="00EA1334">
            <w:pPr>
              <w:jc w:val="left"/>
              <w:rPr>
                <w:sz w:val="20"/>
                <w:szCs w:val="20"/>
                <w:lang w:eastAsia="en-US"/>
              </w:rPr>
            </w:pPr>
          </w:p>
        </w:tc>
        <w:tc>
          <w:tcPr>
            <w:tcW w:w="1588" w:type="pct"/>
            <w:noWrap/>
            <w:hideMark/>
          </w:tcPr>
          <w:p w14:paraId="3B2478FB"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El Encanto</w:t>
            </w:r>
          </w:p>
        </w:tc>
        <w:tc>
          <w:tcPr>
            <w:tcW w:w="1110" w:type="pct"/>
            <w:noWrap/>
            <w:hideMark/>
          </w:tcPr>
          <w:p w14:paraId="014211B9"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7,00</w:t>
            </w:r>
          </w:p>
        </w:tc>
      </w:tr>
      <w:tr w:rsidR="00C7285B" w:rsidRPr="00131EED" w14:paraId="4366BE4E" w14:textId="77777777" w:rsidTr="00454C02">
        <w:trPr>
          <w:trHeight w:val="300"/>
        </w:trPr>
        <w:tc>
          <w:tcPr>
            <w:tcW w:w="1032" w:type="pct"/>
            <w:vMerge/>
            <w:noWrap/>
            <w:hideMark/>
          </w:tcPr>
          <w:p w14:paraId="6D2AAAA6"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18E1897C" w14:textId="77777777" w:rsidR="00C7285B" w:rsidRPr="00131EED" w:rsidRDefault="00C7285B" w:rsidP="00EA1334">
            <w:pPr>
              <w:jc w:val="left"/>
              <w:rPr>
                <w:sz w:val="20"/>
                <w:szCs w:val="20"/>
                <w:lang w:eastAsia="en-US"/>
              </w:rPr>
            </w:pPr>
          </w:p>
        </w:tc>
        <w:tc>
          <w:tcPr>
            <w:tcW w:w="1588" w:type="pct"/>
            <w:noWrap/>
            <w:hideMark/>
          </w:tcPr>
          <w:p w14:paraId="1F64122C"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EL Encenillo</w:t>
            </w:r>
          </w:p>
        </w:tc>
        <w:tc>
          <w:tcPr>
            <w:tcW w:w="1110" w:type="pct"/>
            <w:noWrap/>
            <w:hideMark/>
          </w:tcPr>
          <w:p w14:paraId="5D19D755"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185,00</w:t>
            </w:r>
          </w:p>
        </w:tc>
      </w:tr>
      <w:tr w:rsidR="00C7285B" w:rsidRPr="00131EED" w14:paraId="341D84A2" w14:textId="77777777" w:rsidTr="00454C02">
        <w:trPr>
          <w:trHeight w:val="300"/>
        </w:trPr>
        <w:tc>
          <w:tcPr>
            <w:tcW w:w="1032" w:type="pct"/>
            <w:vMerge/>
            <w:noWrap/>
            <w:hideMark/>
          </w:tcPr>
          <w:p w14:paraId="579F9BCA"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21286BFA" w14:textId="77777777" w:rsidR="00C7285B" w:rsidRPr="00131EED" w:rsidRDefault="00C7285B" w:rsidP="00EA1334">
            <w:pPr>
              <w:jc w:val="left"/>
              <w:rPr>
                <w:sz w:val="20"/>
                <w:szCs w:val="20"/>
                <w:lang w:eastAsia="en-US"/>
              </w:rPr>
            </w:pPr>
          </w:p>
        </w:tc>
        <w:tc>
          <w:tcPr>
            <w:tcW w:w="1588" w:type="pct"/>
            <w:noWrap/>
            <w:hideMark/>
          </w:tcPr>
          <w:p w14:paraId="26C31643"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El Encuentro</w:t>
            </w:r>
          </w:p>
        </w:tc>
        <w:tc>
          <w:tcPr>
            <w:tcW w:w="1110" w:type="pct"/>
            <w:noWrap/>
            <w:hideMark/>
          </w:tcPr>
          <w:p w14:paraId="2539C3E9"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1,00</w:t>
            </w:r>
          </w:p>
        </w:tc>
      </w:tr>
      <w:tr w:rsidR="00C7285B" w:rsidRPr="00131EED" w14:paraId="43664056" w14:textId="77777777" w:rsidTr="00454C02">
        <w:trPr>
          <w:trHeight w:val="300"/>
        </w:trPr>
        <w:tc>
          <w:tcPr>
            <w:tcW w:w="1032" w:type="pct"/>
            <w:vMerge/>
            <w:noWrap/>
            <w:hideMark/>
          </w:tcPr>
          <w:p w14:paraId="6B75FD29"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287E0495" w14:textId="77777777" w:rsidR="00C7285B" w:rsidRPr="00131EED" w:rsidRDefault="00C7285B" w:rsidP="00EA1334">
            <w:pPr>
              <w:jc w:val="left"/>
              <w:rPr>
                <w:sz w:val="20"/>
                <w:szCs w:val="20"/>
                <w:lang w:eastAsia="en-US"/>
              </w:rPr>
            </w:pPr>
          </w:p>
        </w:tc>
        <w:tc>
          <w:tcPr>
            <w:tcW w:w="1588" w:type="pct"/>
            <w:noWrap/>
            <w:hideMark/>
          </w:tcPr>
          <w:p w14:paraId="0582972F"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El Frailejón</w:t>
            </w:r>
          </w:p>
        </w:tc>
        <w:tc>
          <w:tcPr>
            <w:tcW w:w="1110" w:type="pct"/>
            <w:noWrap/>
            <w:hideMark/>
          </w:tcPr>
          <w:p w14:paraId="7DEE8B63"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18,00</w:t>
            </w:r>
          </w:p>
        </w:tc>
      </w:tr>
      <w:tr w:rsidR="00C7285B" w:rsidRPr="00131EED" w14:paraId="1F757111" w14:textId="77777777" w:rsidTr="00454C02">
        <w:trPr>
          <w:trHeight w:val="300"/>
        </w:trPr>
        <w:tc>
          <w:tcPr>
            <w:tcW w:w="1032" w:type="pct"/>
            <w:vMerge/>
            <w:noWrap/>
            <w:hideMark/>
          </w:tcPr>
          <w:p w14:paraId="44BF0852"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6FAF0CE6" w14:textId="77777777" w:rsidR="00C7285B" w:rsidRPr="00131EED" w:rsidRDefault="00C7285B" w:rsidP="00EA1334">
            <w:pPr>
              <w:jc w:val="left"/>
              <w:rPr>
                <w:sz w:val="20"/>
                <w:szCs w:val="20"/>
                <w:lang w:eastAsia="en-US"/>
              </w:rPr>
            </w:pPr>
          </w:p>
        </w:tc>
        <w:tc>
          <w:tcPr>
            <w:tcW w:w="1588" w:type="pct"/>
            <w:noWrap/>
            <w:hideMark/>
          </w:tcPr>
          <w:p w14:paraId="298ECEF7"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El Horadado De San Alejo</w:t>
            </w:r>
          </w:p>
        </w:tc>
        <w:tc>
          <w:tcPr>
            <w:tcW w:w="1110" w:type="pct"/>
            <w:noWrap/>
            <w:hideMark/>
          </w:tcPr>
          <w:p w14:paraId="66A69380"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31,00</w:t>
            </w:r>
          </w:p>
        </w:tc>
      </w:tr>
      <w:tr w:rsidR="00C7285B" w:rsidRPr="00131EED" w14:paraId="0029EF66" w14:textId="77777777" w:rsidTr="00454C02">
        <w:trPr>
          <w:trHeight w:val="300"/>
        </w:trPr>
        <w:tc>
          <w:tcPr>
            <w:tcW w:w="1032" w:type="pct"/>
            <w:vMerge/>
            <w:noWrap/>
            <w:hideMark/>
          </w:tcPr>
          <w:p w14:paraId="777F4B4D"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6978B6AA" w14:textId="77777777" w:rsidR="00C7285B" w:rsidRPr="00131EED" w:rsidRDefault="00C7285B" w:rsidP="00EA1334">
            <w:pPr>
              <w:jc w:val="left"/>
              <w:rPr>
                <w:sz w:val="20"/>
                <w:szCs w:val="20"/>
                <w:lang w:eastAsia="en-US"/>
              </w:rPr>
            </w:pPr>
          </w:p>
        </w:tc>
        <w:tc>
          <w:tcPr>
            <w:tcW w:w="1588" w:type="pct"/>
            <w:noWrap/>
            <w:hideMark/>
          </w:tcPr>
          <w:p w14:paraId="570494F6"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El Monte</w:t>
            </w:r>
          </w:p>
        </w:tc>
        <w:tc>
          <w:tcPr>
            <w:tcW w:w="1110" w:type="pct"/>
            <w:noWrap/>
            <w:hideMark/>
          </w:tcPr>
          <w:p w14:paraId="65D38F36"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1,00</w:t>
            </w:r>
          </w:p>
        </w:tc>
      </w:tr>
      <w:tr w:rsidR="00C7285B" w:rsidRPr="00131EED" w14:paraId="4391F4AB" w14:textId="77777777" w:rsidTr="00454C02">
        <w:trPr>
          <w:trHeight w:val="300"/>
        </w:trPr>
        <w:tc>
          <w:tcPr>
            <w:tcW w:w="1032" w:type="pct"/>
            <w:vMerge/>
            <w:noWrap/>
            <w:hideMark/>
          </w:tcPr>
          <w:p w14:paraId="63D1DB4B"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04D6B1C8" w14:textId="77777777" w:rsidR="00C7285B" w:rsidRPr="00131EED" w:rsidRDefault="00C7285B" w:rsidP="00EA1334">
            <w:pPr>
              <w:jc w:val="left"/>
              <w:rPr>
                <w:sz w:val="20"/>
                <w:szCs w:val="20"/>
                <w:lang w:eastAsia="en-US"/>
              </w:rPr>
            </w:pPr>
          </w:p>
        </w:tc>
        <w:tc>
          <w:tcPr>
            <w:tcW w:w="1588" w:type="pct"/>
            <w:noWrap/>
            <w:hideMark/>
          </w:tcPr>
          <w:p w14:paraId="3B6EE5E0"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El Pajonal</w:t>
            </w:r>
          </w:p>
        </w:tc>
        <w:tc>
          <w:tcPr>
            <w:tcW w:w="1110" w:type="pct"/>
            <w:noWrap/>
            <w:hideMark/>
          </w:tcPr>
          <w:p w14:paraId="2875A043"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23,00</w:t>
            </w:r>
          </w:p>
        </w:tc>
      </w:tr>
      <w:tr w:rsidR="00C7285B" w:rsidRPr="00131EED" w14:paraId="212F81F6" w14:textId="77777777" w:rsidTr="00454C02">
        <w:trPr>
          <w:trHeight w:val="300"/>
        </w:trPr>
        <w:tc>
          <w:tcPr>
            <w:tcW w:w="1032" w:type="pct"/>
            <w:vMerge/>
            <w:noWrap/>
            <w:hideMark/>
          </w:tcPr>
          <w:p w14:paraId="51642527"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09F22BA1" w14:textId="77777777" w:rsidR="00C7285B" w:rsidRPr="00131EED" w:rsidRDefault="00C7285B" w:rsidP="00EA1334">
            <w:pPr>
              <w:jc w:val="left"/>
              <w:rPr>
                <w:sz w:val="20"/>
                <w:szCs w:val="20"/>
                <w:lang w:eastAsia="en-US"/>
              </w:rPr>
            </w:pPr>
          </w:p>
        </w:tc>
        <w:tc>
          <w:tcPr>
            <w:tcW w:w="1588" w:type="pct"/>
            <w:noWrap/>
            <w:hideMark/>
          </w:tcPr>
          <w:p w14:paraId="2A806687"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El Porvenir</w:t>
            </w:r>
          </w:p>
        </w:tc>
        <w:tc>
          <w:tcPr>
            <w:tcW w:w="1110" w:type="pct"/>
            <w:noWrap/>
            <w:hideMark/>
          </w:tcPr>
          <w:p w14:paraId="1AEA14DF"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0,00</w:t>
            </w:r>
          </w:p>
        </w:tc>
      </w:tr>
      <w:tr w:rsidR="00C7285B" w:rsidRPr="00131EED" w14:paraId="5849B382" w14:textId="77777777" w:rsidTr="00454C02">
        <w:trPr>
          <w:trHeight w:val="300"/>
        </w:trPr>
        <w:tc>
          <w:tcPr>
            <w:tcW w:w="1032" w:type="pct"/>
            <w:vMerge/>
            <w:noWrap/>
            <w:hideMark/>
          </w:tcPr>
          <w:p w14:paraId="369970C4"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3787E419" w14:textId="77777777" w:rsidR="00C7285B" w:rsidRPr="00131EED" w:rsidRDefault="00C7285B" w:rsidP="00EA1334">
            <w:pPr>
              <w:jc w:val="left"/>
              <w:rPr>
                <w:sz w:val="20"/>
                <w:szCs w:val="20"/>
                <w:lang w:eastAsia="en-US"/>
              </w:rPr>
            </w:pPr>
          </w:p>
        </w:tc>
        <w:tc>
          <w:tcPr>
            <w:tcW w:w="1588" w:type="pct"/>
            <w:noWrap/>
            <w:hideMark/>
          </w:tcPr>
          <w:p w14:paraId="73466533"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El Retiro</w:t>
            </w:r>
          </w:p>
        </w:tc>
        <w:tc>
          <w:tcPr>
            <w:tcW w:w="1110" w:type="pct"/>
            <w:noWrap/>
            <w:hideMark/>
          </w:tcPr>
          <w:p w14:paraId="6EA558B9"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1,00</w:t>
            </w:r>
          </w:p>
        </w:tc>
      </w:tr>
      <w:tr w:rsidR="00C7285B" w:rsidRPr="00131EED" w14:paraId="680C77F5" w14:textId="77777777" w:rsidTr="00454C02">
        <w:trPr>
          <w:trHeight w:val="300"/>
        </w:trPr>
        <w:tc>
          <w:tcPr>
            <w:tcW w:w="1032" w:type="pct"/>
            <w:vMerge/>
            <w:noWrap/>
            <w:hideMark/>
          </w:tcPr>
          <w:p w14:paraId="1E785746"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09B8D221" w14:textId="77777777" w:rsidR="00C7285B" w:rsidRPr="00131EED" w:rsidRDefault="00C7285B" w:rsidP="00EA1334">
            <w:pPr>
              <w:jc w:val="left"/>
              <w:rPr>
                <w:sz w:val="20"/>
                <w:szCs w:val="20"/>
                <w:lang w:eastAsia="en-US"/>
              </w:rPr>
            </w:pPr>
          </w:p>
        </w:tc>
        <w:tc>
          <w:tcPr>
            <w:tcW w:w="1588" w:type="pct"/>
            <w:noWrap/>
            <w:hideMark/>
          </w:tcPr>
          <w:p w14:paraId="1261EA39"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El Sauce</w:t>
            </w:r>
          </w:p>
        </w:tc>
        <w:tc>
          <w:tcPr>
            <w:tcW w:w="1110" w:type="pct"/>
            <w:noWrap/>
            <w:hideMark/>
          </w:tcPr>
          <w:p w14:paraId="516342F4"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1,00</w:t>
            </w:r>
          </w:p>
        </w:tc>
      </w:tr>
      <w:tr w:rsidR="00C7285B" w:rsidRPr="00131EED" w14:paraId="591542A0" w14:textId="77777777" w:rsidTr="00454C02">
        <w:trPr>
          <w:trHeight w:val="300"/>
        </w:trPr>
        <w:tc>
          <w:tcPr>
            <w:tcW w:w="1032" w:type="pct"/>
            <w:vMerge/>
            <w:noWrap/>
            <w:hideMark/>
          </w:tcPr>
          <w:p w14:paraId="4162F2BB"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0C06CC06" w14:textId="77777777" w:rsidR="00C7285B" w:rsidRPr="00131EED" w:rsidRDefault="00C7285B" w:rsidP="00EA1334">
            <w:pPr>
              <w:jc w:val="left"/>
              <w:rPr>
                <w:sz w:val="20"/>
                <w:szCs w:val="20"/>
                <w:lang w:eastAsia="en-US"/>
              </w:rPr>
            </w:pPr>
          </w:p>
        </w:tc>
        <w:tc>
          <w:tcPr>
            <w:tcW w:w="1588" w:type="pct"/>
            <w:noWrap/>
            <w:hideMark/>
          </w:tcPr>
          <w:p w14:paraId="7BCDBEB8"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El Turpial</w:t>
            </w:r>
          </w:p>
        </w:tc>
        <w:tc>
          <w:tcPr>
            <w:tcW w:w="1110" w:type="pct"/>
            <w:noWrap/>
            <w:hideMark/>
          </w:tcPr>
          <w:p w14:paraId="1F1A900F"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5,00</w:t>
            </w:r>
          </w:p>
        </w:tc>
      </w:tr>
      <w:tr w:rsidR="00C7285B" w:rsidRPr="00131EED" w14:paraId="7BADEAC9" w14:textId="77777777" w:rsidTr="00454C02">
        <w:trPr>
          <w:trHeight w:val="300"/>
        </w:trPr>
        <w:tc>
          <w:tcPr>
            <w:tcW w:w="1032" w:type="pct"/>
            <w:vMerge/>
            <w:noWrap/>
            <w:hideMark/>
          </w:tcPr>
          <w:p w14:paraId="1FA9D04A"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50A86A64" w14:textId="77777777" w:rsidR="00C7285B" w:rsidRPr="00131EED" w:rsidRDefault="00C7285B" w:rsidP="00EA1334">
            <w:pPr>
              <w:jc w:val="left"/>
              <w:rPr>
                <w:sz w:val="20"/>
                <w:szCs w:val="20"/>
                <w:lang w:eastAsia="en-US"/>
              </w:rPr>
            </w:pPr>
          </w:p>
        </w:tc>
        <w:tc>
          <w:tcPr>
            <w:tcW w:w="1588" w:type="pct"/>
            <w:noWrap/>
            <w:hideMark/>
          </w:tcPr>
          <w:p w14:paraId="6806716A"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El Zoque</w:t>
            </w:r>
          </w:p>
        </w:tc>
        <w:tc>
          <w:tcPr>
            <w:tcW w:w="1110" w:type="pct"/>
            <w:noWrap/>
            <w:hideMark/>
          </w:tcPr>
          <w:p w14:paraId="5A39EFB5"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1,00</w:t>
            </w:r>
          </w:p>
        </w:tc>
      </w:tr>
      <w:tr w:rsidR="00C7285B" w:rsidRPr="00131EED" w14:paraId="2319A14C" w14:textId="77777777" w:rsidTr="00454C02">
        <w:trPr>
          <w:trHeight w:val="300"/>
        </w:trPr>
        <w:tc>
          <w:tcPr>
            <w:tcW w:w="1032" w:type="pct"/>
            <w:vMerge/>
            <w:noWrap/>
            <w:hideMark/>
          </w:tcPr>
          <w:p w14:paraId="5A1520C5"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77971A3A" w14:textId="77777777" w:rsidR="00C7285B" w:rsidRPr="00131EED" w:rsidRDefault="00C7285B" w:rsidP="00EA1334">
            <w:pPr>
              <w:jc w:val="left"/>
              <w:rPr>
                <w:sz w:val="20"/>
                <w:szCs w:val="20"/>
                <w:lang w:eastAsia="en-US"/>
              </w:rPr>
            </w:pPr>
          </w:p>
        </w:tc>
        <w:tc>
          <w:tcPr>
            <w:tcW w:w="1588" w:type="pct"/>
            <w:noWrap/>
            <w:hideMark/>
          </w:tcPr>
          <w:p w14:paraId="7AD61C27"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Ganesh</w:t>
            </w:r>
          </w:p>
        </w:tc>
        <w:tc>
          <w:tcPr>
            <w:tcW w:w="1110" w:type="pct"/>
            <w:noWrap/>
            <w:hideMark/>
          </w:tcPr>
          <w:p w14:paraId="0302F264"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4,00</w:t>
            </w:r>
          </w:p>
        </w:tc>
      </w:tr>
      <w:tr w:rsidR="00C7285B" w:rsidRPr="00131EED" w14:paraId="3D7CF19C" w14:textId="77777777" w:rsidTr="00454C02">
        <w:trPr>
          <w:trHeight w:val="300"/>
        </w:trPr>
        <w:tc>
          <w:tcPr>
            <w:tcW w:w="1032" w:type="pct"/>
            <w:vMerge/>
            <w:noWrap/>
            <w:hideMark/>
          </w:tcPr>
          <w:p w14:paraId="294DB894"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25AED9B0" w14:textId="77777777" w:rsidR="00C7285B" w:rsidRPr="00131EED" w:rsidRDefault="00C7285B" w:rsidP="00EA1334">
            <w:pPr>
              <w:jc w:val="left"/>
              <w:rPr>
                <w:sz w:val="20"/>
                <w:szCs w:val="20"/>
                <w:lang w:eastAsia="en-US"/>
              </w:rPr>
            </w:pPr>
          </w:p>
        </w:tc>
        <w:tc>
          <w:tcPr>
            <w:tcW w:w="1588" w:type="pct"/>
            <w:noWrap/>
            <w:hideMark/>
          </w:tcPr>
          <w:p w14:paraId="3FE1F933"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Gualamana  y Gualamana II</w:t>
            </w:r>
          </w:p>
        </w:tc>
        <w:tc>
          <w:tcPr>
            <w:tcW w:w="1110" w:type="pct"/>
            <w:noWrap/>
            <w:hideMark/>
          </w:tcPr>
          <w:p w14:paraId="5B21DF36"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24,00</w:t>
            </w:r>
          </w:p>
        </w:tc>
      </w:tr>
      <w:tr w:rsidR="00C7285B" w:rsidRPr="00131EED" w14:paraId="192EACC5" w14:textId="77777777" w:rsidTr="00454C02">
        <w:trPr>
          <w:trHeight w:val="300"/>
        </w:trPr>
        <w:tc>
          <w:tcPr>
            <w:tcW w:w="1032" w:type="pct"/>
            <w:vMerge/>
            <w:noWrap/>
            <w:hideMark/>
          </w:tcPr>
          <w:p w14:paraId="7D4DC316"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2B4225E5" w14:textId="77777777" w:rsidR="00C7285B" w:rsidRPr="00131EED" w:rsidRDefault="00C7285B" w:rsidP="00EA1334">
            <w:pPr>
              <w:jc w:val="left"/>
              <w:rPr>
                <w:sz w:val="20"/>
                <w:szCs w:val="20"/>
                <w:lang w:eastAsia="en-US"/>
              </w:rPr>
            </w:pPr>
          </w:p>
        </w:tc>
        <w:tc>
          <w:tcPr>
            <w:tcW w:w="1588" w:type="pct"/>
            <w:noWrap/>
            <w:hideMark/>
          </w:tcPr>
          <w:p w14:paraId="23B48242"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Huisyzuca</w:t>
            </w:r>
          </w:p>
        </w:tc>
        <w:tc>
          <w:tcPr>
            <w:tcW w:w="1110" w:type="pct"/>
            <w:noWrap/>
            <w:hideMark/>
          </w:tcPr>
          <w:p w14:paraId="5EF5DD11"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11,00</w:t>
            </w:r>
          </w:p>
        </w:tc>
      </w:tr>
      <w:tr w:rsidR="00C7285B" w:rsidRPr="00131EED" w14:paraId="72D71483" w14:textId="77777777" w:rsidTr="00454C02">
        <w:trPr>
          <w:trHeight w:val="300"/>
        </w:trPr>
        <w:tc>
          <w:tcPr>
            <w:tcW w:w="1032" w:type="pct"/>
            <w:vMerge/>
            <w:noWrap/>
            <w:hideMark/>
          </w:tcPr>
          <w:p w14:paraId="2EA6C202"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4E6D824B" w14:textId="77777777" w:rsidR="00C7285B" w:rsidRPr="00131EED" w:rsidRDefault="00C7285B" w:rsidP="00EA1334">
            <w:pPr>
              <w:jc w:val="left"/>
              <w:rPr>
                <w:sz w:val="20"/>
                <w:szCs w:val="20"/>
                <w:lang w:eastAsia="en-US"/>
              </w:rPr>
            </w:pPr>
          </w:p>
        </w:tc>
        <w:tc>
          <w:tcPr>
            <w:tcW w:w="1588" w:type="pct"/>
            <w:noWrap/>
            <w:hideMark/>
          </w:tcPr>
          <w:p w14:paraId="5A2C6098"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Jardín Colibrí una Escuela de Vida</w:t>
            </w:r>
          </w:p>
        </w:tc>
        <w:tc>
          <w:tcPr>
            <w:tcW w:w="1110" w:type="pct"/>
            <w:noWrap/>
            <w:hideMark/>
          </w:tcPr>
          <w:p w14:paraId="73828FE4"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1,00</w:t>
            </w:r>
          </w:p>
        </w:tc>
      </w:tr>
      <w:tr w:rsidR="00C7285B" w:rsidRPr="00131EED" w14:paraId="3291C17F" w14:textId="77777777" w:rsidTr="00454C02">
        <w:trPr>
          <w:trHeight w:val="300"/>
        </w:trPr>
        <w:tc>
          <w:tcPr>
            <w:tcW w:w="1032" w:type="pct"/>
            <w:vMerge/>
            <w:noWrap/>
            <w:hideMark/>
          </w:tcPr>
          <w:p w14:paraId="403ADB01"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2CF0811E" w14:textId="77777777" w:rsidR="00C7285B" w:rsidRPr="00131EED" w:rsidRDefault="00C7285B" w:rsidP="00EA1334">
            <w:pPr>
              <w:jc w:val="left"/>
              <w:rPr>
                <w:sz w:val="20"/>
                <w:szCs w:val="20"/>
                <w:lang w:eastAsia="en-US"/>
              </w:rPr>
            </w:pPr>
          </w:p>
        </w:tc>
        <w:tc>
          <w:tcPr>
            <w:tcW w:w="1588" w:type="pct"/>
            <w:noWrap/>
            <w:hideMark/>
          </w:tcPr>
          <w:p w14:paraId="219627E1"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Jikuri</w:t>
            </w:r>
          </w:p>
        </w:tc>
        <w:tc>
          <w:tcPr>
            <w:tcW w:w="1110" w:type="pct"/>
            <w:noWrap/>
            <w:hideMark/>
          </w:tcPr>
          <w:p w14:paraId="18849D43"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124,00</w:t>
            </w:r>
          </w:p>
        </w:tc>
      </w:tr>
      <w:tr w:rsidR="00C7285B" w:rsidRPr="00131EED" w14:paraId="5B06D214" w14:textId="77777777" w:rsidTr="00454C02">
        <w:trPr>
          <w:trHeight w:val="300"/>
        </w:trPr>
        <w:tc>
          <w:tcPr>
            <w:tcW w:w="1032" w:type="pct"/>
            <w:vMerge/>
            <w:noWrap/>
            <w:hideMark/>
          </w:tcPr>
          <w:p w14:paraId="1CB8FAC8"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7F7995BB" w14:textId="77777777" w:rsidR="00C7285B" w:rsidRPr="00131EED" w:rsidRDefault="00C7285B" w:rsidP="00EA1334">
            <w:pPr>
              <w:jc w:val="left"/>
              <w:rPr>
                <w:sz w:val="20"/>
                <w:szCs w:val="20"/>
                <w:lang w:eastAsia="en-US"/>
              </w:rPr>
            </w:pPr>
          </w:p>
        </w:tc>
        <w:tc>
          <w:tcPr>
            <w:tcW w:w="1588" w:type="pct"/>
            <w:noWrap/>
            <w:hideMark/>
          </w:tcPr>
          <w:p w14:paraId="76722748"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La Aldea</w:t>
            </w:r>
          </w:p>
        </w:tc>
        <w:tc>
          <w:tcPr>
            <w:tcW w:w="1110" w:type="pct"/>
            <w:noWrap/>
            <w:hideMark/>
          </w:tcPr>
          <w:p w14:paraId="1459FB35"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52,00</w:t>
            </w:r>
          </w:p>
        </w:tc>
      </w:tr>
      <w:tr w:rsidR="00C7285B" w:rsidRPr="00131EED" w14:paraId="51814D00" w14:textId="77777777" w:rsidTr="00454C02">
        <w:trPr>
          <w:trHeight w:val="300"/>
        </w:trPr>
        <w:tc>
          <w:tcPr>
            <w:tcW w:w="1032" w:type="pct"/>
            <w:vMerge/>
            <w:noWrap/>
            <w:hideMark/>
          </w:tcPr>
          <w:p w14:paraId="2FB64174"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7DF9C01A" w14:textId="77777777" w:rsidR="00C7285B" w:rsidRPr="00131EED" w:rsidRDefault="00C7285B" w:rsidP="00EA1334">
            <w:pPr>
              <w:jc w:val="left"/>
              <w:rPr>
                <w:sz w:val="20"/>
                <w:szCs w:val="20"/>
                <w:lang w:eastAsia="en-US"/>
              </w:rPr>
            </w:pPr>
          </w:p>
        </w:tc>
        <w:tc>
          <w:tcPr>
            <w:tcW w:w="1588" w:type="pct"/>
            <w:noWrap/>
            <w:hideMark/>
          </w:tcPr>
          <w:p w14:paraId="714B91CA"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La Constancia</w:t>
            </w:r>
          </w:p>
        </w:tc>
        <w:tc>
          <w:tcPr>
            <w:tcW w:w="1110" w:type="pct"/>
            <w:noWrap/>
            <w:hideMark/>
          </w:tcPr>
          <w:p w14:paraId="7B24E565"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8,00</w:t>
            </w:r>
          </w:p>
        </w:tc>
      </w:tr>
      <w:tr w:rsidR="00C7285B" w:rsidRPr="00131EED" w14:paraId="783997FB" w14:textId="77777777" w:rsidTr="00454C02">
        <w:trPr>
          <w:trHeight w:val="300"/>
        </w:trPr>
        <w:tc>
          <w:tcPr>
            <w:tcW w:w="1032" w:type="pct"/>
            <w:vMerge/>
            <w:noWrap/>
            <w:hideMark/>
          </w:tcPr>
          <w:p w14:paraId="6873D5D6"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3EDF4E9B" w14:textId="77777777" w:rsidR="00C7285B" w:rsidRPr="00131EED" w:rsidRDefault="00C7285B" w:rsidP="00EA1334">
            <w:pPr>
              <w:jc w:val="left"/>
              <w:rPr>
                <w:sz w:val="20"/>
                <w:szCs w:val="20"/>
                <w:lang w:eastAsia="en-US"/>
              </w:rPr>
            </w:pPr>
          </w:p>
        </w:tc>
        <w:tc>
          <w:tcPr>
            <w:tcW w:w="1588" w:type="pct"/>
            <w:noWrap/>
            <w:hideMark/>
          </w:tcPr>
          <w:p w14:paraId="17D75E50"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La Cumbre Suesca</w:t>
            </w:r>
          </w:p>
        </w:tc>
        <w:tc>
          <w:tcPr>
            <w:tcW w:w="1110" w:type="pct"/>
            <w:noWrap/>
            <w:hideMark/>
          </w:tcPr>
          <w:p w14:paraId="3C49D9E9"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18,00</w:t>
            </w:r>
          </w:p>
        </w:tc>
      </w:tr>
      <w:tr w:rsidR="00C7285B" w:rsidRPr="00131EED" w14:paraId="24498315" w14:textId="77777777" w:rsidTr="00454C02">
        <w:trPr>
          <w:trHeight w:val="300"/>
        </w:trPr>
        <w:tc>
          <w:tcPr>
            <w:tcW w:w="1032" w:type="pct"/>
            <w:vMerge/>
            <w:noWrap/>
            <w:hideMark/>
          </w:tcPr>
          <w:p w14:paraId="54887E4E"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13625593" w14:textId="77777777" w:rsidR="00C7285B" w:rsidRPr="00131EED" w:rsidRDefault="00C7285B" w:rsidP="00EA1334">
            <w:pPr>
              <w:jc w:val="left"/>
              <w:rPr>
                <w:sz w:val="20"/>
                <w:szCs w:val="20"/>
                <w:lang w:eastAsia="en-US"/>
              </w:rPr>
            </w:pPr>
          </w:p>
        </w:tc>
        <w:tc>
          <w:tcPr>
            <w:tcW w:w="1588" w:type="pct"/>
            <w:noWrap/>
            <w:hideMark/>
          </w:tcPr>
          <w:p w14:paraId="3E7996B5"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La Esperanza</w:t>
            </w:r>
          </w:p>
        </w:tc>
        <w:tc>
          <w:tcPr>
            <w:tcW w:w="1110" w:type="pct"/>
            <w:noWrap/>
            <w:hideMark/>
          </w:tcPr>
          <w:p w14:paraId="59978155"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5,00</w:t>
            </w:r>
          </w:p>
        </w:tc>
      </w:tr>
      <w:tr w:rsidR="00C7285B" w:rsidRPr="00131EED" w14:paraId="3F4ACA2B" w14:textId="77777777" w:rsidTr="00454C02">
        <w:trPr>
          <w:trHeight w:val="300"/>
        </w:trPr>
        <w:tc>
          <w:tcPr>
            <w:tcW w:w="1032" w:type="pct"/>
            <w:vMerge/>
            <w:noWrap/>
            <w:hideMark/>
          </w:tcPr>
          <w:p w14:paraId="33367101"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4A9A0BEE" w14:textId="77777777" w:rsidR="00C7285B" w:rsidRPr="00131EED" w:rsidRDefault="00C7285B" w:rsidP="00EA1334">
            <w:pPr>
              <w:jc w:val="left"/>
              <w:rPr>
                <w:sz w:val="20"/>
                <w:szCs w:val="20"/>
                <w:lang w:eastAsia="en-US"/>
              </w:rPr>
            </w:pPr>
          </w:p>
        </w:tc>
        <w:tc>
          <w:tcPr>
            <w:tcW w:w="1588" w:type="pct"/>
            <w:noWrap/>
            <w:hideMark/>
          </w:tcPr>
          <w:p w14:paraId="12C877C4"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La Ramada</w:t>
            </w:r>
          </w:p>
        </w:tc>
        <w:tc>
          <w:tcPr>
            <w:tcW w:w="1110" w:type="pct"/>
            <w:noWrap/>
            <w:hideMark/>
          </w:tcPr>
          <w:p w14:paraId="2FA74690"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32,00</w:t>
            </w:r>
          </w:p>
        </w:tc>
      </w:tr>
      <w:tr w:rsidR="00C7285B" w:rsidRPr="00131EED" w14:paraId="18F9AF91" w14:textId="77777777" w:rsidTr="00454C02">
        <w:trPr>
          <w:trHeight w:val="300"/>
        </w:trPr>
        <w:tc>
          <w:tcPr>
            <w:tcW w:w="1032" w:type="pct"/>
            <w:vMerge/>
            <w:noWrap/>
            <w:hideMark/>
          </w:tcPr>
          <w:p w14:paraId="333AB4E1"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6E39ECBC" w14:textId="77777777" w:rsidR="00C7285B" w:rsidRPr="00131EED" w:rsidRDefault="00C7285B" w:rsidP="00EA1334">
            <w:pPr>
              <w:jc w:val="left"/>
              <w:rPr>
                <w:sz w:val="20"/>
                <w:szCs w:val="20"/>
                <w:lang w:eastAsia="en-US"/>
              </w:rPr>
            </w:pPr>
          </w:p>
        </w:tc>
        <w:tc>
          <w:tcPr>
            <w:tcW w:w="1588" w:type="pct"/>
            <w:noWrap/>
            <w:hideMark/>
          </w:tcPr>
          <w:p w14:paraId="3F3BCFB3"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Lan</w:t>
            </w:r>
          </w:p>
        </w:tc>
        <w:tc>
          <w:tcPr>
            <w:tcW w:w="1110" w:type="pct"/>
            <w:noWrap/>
            <w:hideMark/>
          </w:tcPr>
          <w:p w14:paraId="749BD2FA"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10,00</w:t>
            </w:r>
          </w:p>
        </w:tc>
      </w:tr>
      <w:tr w:rsidR="00C7285B" w:rsidRPr="00131EED" w14:paraId="4696D919" w14:textId="77777777" w:rsidTr="00454C02">
        <w:trPr>
          <w:trHeight w:val="300"/>
        </w:trPr>
        <w:tc>
          <w:tcPr>
            <w:tcW w:w="1032" w:type="pct"/>
            <w:vMerge/>
            <w:noWrap/>
            <w:hideMark/>
          </w:tcPr>
          <w:p w14:paraId="3DD11323"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18D7E7CE" w14:textId="77777777" w:rsidR="00C7285B" w:rsidRPr="00131EED" w:rsidRDefault="00C7285B" w:rsidP="00EA1334">
            <w:pPr>
              <w:jc w:val="left"/>
              <w:rPr>
                <w:sz w:val="20"/>
                <w:szCs w:val="20"/>
                <w:lang w:eastAsia="en-US"/>
              </w:rPr>
            </w:pPr>
          </w:p>
        </w:tc>
        <w:tc>
          <w:tcPr>
            <w:tcW w:w="1588" w:type="pct"/>
            <w:noWrap/>
            <w:hideMark/>
          </w:tcPr>
          <w:p w14:paraId="2DE48541"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Las Dos Lunas</w:t>
            </w:r>
          </w:p>
        </w:tc>
        <w:tc>
          <w:tcPr>
            <w:tcW w:w="1110" w:type="pct"/>
            <w:noWrap/>
            <w:hideMark/>
          </w:tcPr>
          <w:p w14:paraId="32D8EA07"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2,00</w:t>
            </w:r>
          </w:p>
        </w:tc>
      </w:tr>
      <w:tr w:rsidR="00C7285B" w:rsidRPr="00131EED" w14:paraId="2CD7BED2" w14:textId="77777777" w:rsidTr="00454C02">
        <w:trPr>
          <w:trHeight w:val="300"/>
        </w:trPr>
        <w:tc>
          <w:tcPr>
            <w:tcW w:w="1032" w:type="pct"/>
            <w:vMerge/>
            <w:noWrap/>
            <w:hideMark/>
          </w:tcPr>
          <w:p w14:paraId="241363A8"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16E2FA20" w14:textId="77777777" w:rsidR="00C7285B" w:rsidRPr="00131EED" w:rsidRDefault="00C7285B" w:rsidP="00EA1334">
            <w:pPr>
              <w:jc w:val="left"/>
              <w:rPr>
                <w:sz w:val="20"/>
                <w:szCs w:val="20"/>
                <w:lang w:eastAsia="en-US"/>
              </w:rPr>
            </w:pPr>
          </w:p>
        </w:tc>
        <w:tc>
          <w:tcPr>
            <w:tcW w:w="1588" w:type="pct"/>
            <w:noWrap/>
            <w:hideMark/>
          </w:tcPr>
          <w:p w14:paraId="1CA26C27"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Las Lomas</w:t>
            </w:r>
          </w:p>
        </w:tc>
        <w:tc>
          <w:tcPr>
            <w:tcW w:w="1110" w:type="pct"/>
            <w:noWrap/>
            <w:hideMark/>
          </w:tcPr>
          <w:p w14:paraId="1E1BD56F"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9,00</w:t>
            </w:r>
          </w:p>
        </w:tc>
      </w:tr>
      <w:tr w:rsidR="00C7285B" w:rsidRPr="00131EED" w14:paraId="5A62B3C7" w14:textId="77777777" w:rsidTr="00454C02">
        <w:trPr>
          <w:trHeight w:val="300"/>
        </w:trPr>
        <w:tc>
          <w:tcPr>
            <w:tcW w:w="1032" w:type="pct"/>
            <w:vMerge/>
            <w:noWrap/>
            <w:hideMark/>
          </w:tcPr>
          <w:p w14:paraId="6BC03A4E"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4889AF22" w14:textId="77777777" w:rsidR="00C7285B" w:rsidRPr="00131EED" w:rsidRDefault="00C7285B" w:rsidP="00EA1334">
            <w:pPr>
              <w:jc w:val="left"/>
              <w:rPr>
                <w:sz w:val="20"/>
                <w:szCs w:val="20"/>
                <w:lang w:eastAsia="en-US"/>
              </w:rPr>
            </w:pPr>
          </w:p>
        </w:tc>
        <w:tc>
          <w:tcPr>
            <w:tcW w:w="1588" w:type="pct"/>
            <w:noWrap/>
            <w:hideMark/>
          </w:tcPr>
          <w:p w14:paraId="65107B4C"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Los Alisos</w:t>
            </w:r>
          </w:p>
        </w:tc>
        <w:tc>
          <w:tcPr>
            <w:tcW w:w="1110" w:type="pct"/>
            <w:noWrap/>
            <w:hideMark/>
          </w:tcPr>
          <w:p w14:paraId="44570B8B"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4,00</w:t>
            </w:r>
          </w:p>
        </w:tc>
      </w:tr>
      <w:tr w:rsidR="00C7285B" w:rsidRPr="00131EED" w14:paraId="7AD00F93" w14:textId="77777777" w:rsidTr="00454C02">
        <w:trPr>
          <w:trHeight w:val="300"/>
        </w:trPr>
        <w:tc>
          <w:tcPr>
            <w:tcW w:w="1032" w:type="pct"/>
            <w:vMerge/>
            <w:noWrap/>
            <w:hideMark/>
          </w:tcPr>
          <w:p w14:paraId="1797C2CB"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3418B5FF" w14:textId="77777777" w:rsidR="00C7285B" w:rsidRPr="00131EED" w:rsidRDefault="00C7285B" w:rsidP="00EA1334">
            <w:pPr>
              <w:jc w:val="left"/>
              <w:rPr>
                <w:sz w:val="20"/>
                <w:szCs w:val="20"/>
                <w:lang w:eastAsia="en-US"/>
              </w:rPr>
            </w:pPr>
          </w:p>
        </w:tc>
        <w:tc>
          <w:tcPr>
            <w:tcW w:w="1588" w:type="pct"/>
            <w:noWrap/>
            <w:hideMark/>
          </w:tcPr>
          <w:p w14:paraId="330ABFB8"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Medialuna</w:t>
            </w:r>
          </w:p>
        </w:tc>
        <w:tc>
          <w:tcPr>
            <w:tcW w:w="1110" w:type="pct"/>
            <w:noWrap/>
            <w:hideMark/>
          </w:tcPr>
          <w:p w14:paraId="3E69C5A5"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9,00</w:t>
            </w:r>
          </w:p>
        </w:tc>
      </w:tr>
      <w:tr w:rsidR="00C7285B" w:rsidRPr="00131EED" w14:paraId="2D413BD8" w14:textId="77777777" w:rsidTr="00454C02">
        <w:trPr>
          <w:trHeight w:val="300"/>
        </w:trPr>
        <w:tc>
          <w:tcPr>
            <w:tcW w:w="1032" w:type="pct"/>
            <w:vMerge/>
            <w:noWrap/>
            <w:hideMark/>
          </w:tcPr>
          <w:p w14:paraId="1AF262EE"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5FCA06EC" w14:textId="77777777" w:rsidR="00C7285B" w:rsidRPr="00131EED" w:rsidRDefault="00C7285B" w:rsidP="00EA1334">
            <w:pPr>
              <w:jc w:val="left"/>
              <w:rPr>
                <w:sz w:val="20"/>
                <w:szCs w:val="20"/>
                <w:lang w:eastAsia="en-US"/>
              </w:rPr>
            </w:pPr>
          </w:p>
        </w:tc>
        <w:tc>
          <w:tcPr>
            <w:tcW w:w="1588" w:type="pct"/>
            <w:noWrap/>
            <w:hideMark/>
          </w:tcPr>
          <w:p w14:paraId="647869FE"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Monayano</w:t>
            </w:r>
          </w:p>
        </w:tc>
        <w:tc>
          <w:tcPr>
            <w:tcW w:w="1110" w:type="pct"/>
            <w:noWrap/>
            <w:hideMark/>
          </w:tcPr>
          <w:p w14:paraId="7A872271"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2,00</w:t>
            </w:r>
          </w:p>
        </w:tc>
      </w:tr>
      <w:tr w:rsidR="00C7285B" w:rsidRPr="00131EED" w14:paraId="6045B9ED" w14:textId="77777777" w:rsidTr="00454C02">
        <w:trPr>
          <w:trHeight w:val="300"/>
        </w:trPr>
        <w:tc>
          <w:tcPr>
            <w:tcW w:w="1032" w:type="pct"/>
            <w:vMerge/>
            <w:noWrap/>
            <w:hideMark/>
          </w:tcPr>
          <w:p w14:paraId="3AA18B6F"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626F037A" w14:textId="77777777" w:rsidR="00C7285B" w:rsidRPr="00131EED" w:rsidRDefault="00C7285B" w:rsidP="00EA1334">
            <w:pPr>
              <w:jc w:val="left"/>
              <w:rPr>
                <w:sz w:val="20"/>
                <w:szCs w:val="20"/>
                <w:lang w:eastAsia="en-US"/>
              </w:rPr>
            </w:pPr>
          </w:p>
        </w:tc>
        <w:tc>
          <w:tcPr>
            <w:tcW w:w="1588" w:type="pct"/>
            <w:noWrap/>
            <w:hideMark/>
          </w:tcPr>
          <w:p w14:paraId="57E55D93"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Naser</w:t>
            </w:r>
          </w:p>
        </w:tc>
        <w:tc>
          <w:tcPr>
            <w:tcW w:w="1110" w:type="pct"/>
            <w:noWrap/>
            <w:hideMark/>
          </w:tcPr>
          <w:p w14:paraId="1543ACB8"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1,00</w:t>
            </w:r>
          </w:p>
        </w:tc>
      </w:tr>
      <w:tr w:rsidR="00C7285B" w:rsidRPr="00131EED" w14:paraId="5FEA3749" w14:textId="77777777" w:rsidTr="00454C02">
        <w:trPr>
          <w:trHeight w:val="300"/>
        </w:trPr>
        <w:tc>
          <w:tcPr>
            <w:tcW w:w="1032" w:type="pct"/>
            <w:vMerge/>
            <w:noWrap/>
            <w:hideMark/>
          </w:tcPr>
          <w:p w14:paraId="6DFAA3F1"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43705581" w14:textId="77777777" w:rsidR="00C7285B" w:rsidRPr="00131EED" w:rsidRDefault="00C7285B" w:rsidP="00EA1334">
            <w:pPr>
              <w:jc w:val="left"/>
              <w:rPr>
                <w:sz w:val="20"/>
                <w:szCs w:val="20"/>
                <w:lang w:eastAsia="en-US"/>
              </w:rPr>
            </w:pPr>
          </w:p>
        </w:tc>
        <w:tc>
          <w:tcPr>
            <w:tcW w:w="1588" w:type="pct"/>
            <w:noWrap/>
            <w:hideMark/>
          </w:tcPr>
          <w:p w14:paraId="478D0091"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Naturaleza Real</w:t>
            </w:r>
          </w:p>
        </w:tc>
        <w:tc>
          <w:tcPr>
            <w:tcW w:w="1110" w:type="pct"/>
            <w:noWrap/>
            <w:hideMark/>
          </w:tcPr>
          <w:p w14:paraId="075B9831"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5,00</w:t>
            </w:r>
          </w:p>
        </w:tc>
      </w:tr>
      <w:tr w:rsidR="00C7285B" w:rsidRPr="00131EED" w14:paraId="33FC90C8" w14:textId="77777777" w:rsidTr="00454C02">
        <w:trPr>
          <w:trHeight w:val="300"/>
        </w:trPr>
        <w:tc>
          <w:tcPr>
            <w:tcW w:w="1032" w:type="pct"/>
            <w:vMerge/>
            <w:noWrap/>
            <w:hideMark/>
          </w:tcPr>
          <w:p w14:paraId="3757E128"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41659C1D" w14:textId="77777777" w:rsidR="00C7285B" w:rsidRPr="00131EED" w:rsidRDefault="00C7285B" w:rsidP="00EA1334">
            <w:pPr>
              <w:jc w:val="left"/>
              <w:rPr>
                <w:sz w:val="20"/>
                <w:szCs w:val="20"/>
                <w:lang w:eastAsia="en-US"/>
              </w:rPr>
            </w:pPr>
          </w:p>
        </w:tc>
        <w:tc>
          <w:tcPr>
            <w:tcW w:w="1588" w:type="pct"/>
            <w:noWrap/>
            <w:hideMark/>
          </w:tcPr>
          <w:p w14:paraId="7222E38B"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Nuestra Señora de Fátima</w:t>
            </w:r>
          </w:p>
        </w:tc>
        <w:tc>
          <w:tcPr>
            <w:tcW w:w="1110" w:type="pct"/>
            <w:noWrap/>
            <w:hideMark/>
          </w:tcPr>
          <w:p w14:paraId="3F8031A0"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1,00</w:t>
            </w:r>
          </w:p>
        </w:tc>
      </w:tr>
      <w:tr w:rsidR="00C7285B" w:rsidRPr="00131EED" w14:paraId="7B5253C5" w14:textId="77777777" w:rsidTr="00454C02">
        <w:trPr>
          <w:trHeight w:val="300"/>
        </w:trPr>
        <w:tc>
          <w:tcPr>
            <w:tcW w:w="1032" w:type="pct"/>
            <w:vMerge/>
            <w:noWrap/>
            <w:hideMark/>
          </w:tcPr>
          <w:p w14:paraId="7B4B1155"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09E4F16E" w14:textId="77777777" w:rsidR="00C7285B" w:rsidRPr="00131EED" w:rsidRDefault="00C7285B" w:rsidP="00EA1334">
            <w:pPr>
              <w:jc w:val="left"/>
              <w:rPr>
                <w:sz w:val="20"/>
                <w:szCs w:val="20"/>
                <w:lang w:eastAsia="en-US"/>
              </w:rPr>
            </w:pPr>
          </w:p>
        </w:tc>
        <w:tc>
          <w:tcPr>
            <w:tcW w:w="1588" w:type="pct"/>
            <w:noWrap/>
            <w:hideMark/>
          </w:tcPr>
          <w:p w14:paraId="2F0EACB4"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Nukuma</w:t>
            </w:r>
          </w:p>
        </w:tc>
        <w:tc>
          <w:tcPr>
            <w:tcW w:w="1110" w:type="pct"/>
            <w:noWrap/>
            <w:hideMark/>
          </w:tcPr>
          <w:p w14:paraId="61044184"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32,00</w:t>
            </w:r>
          </w:p>
        </w:tc>
      </w:tr>
      <w:tr w:rsidR="00C7285B" w:rsidRPr="00131EED" w14:paraId="5E08F925" w14:textId="77777777" w:rsidTr="00454C02">
        <w:trPr>
          <w:trHeight w:val="300"/>
        </w:trPr>
        <w:tc>
          <w:tcPr>
            <w:tcW w:w="1032" w:type="pct"/>
            <w:vMerge/>
            <w:noWrap/>
            <w:hideMark/>
          </w:tcPr>
          <w:p w14:paraId="20649F35"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4F3C8ACC" w14:textId="77777777" w:rsidR="00C7285B" w:rsidRPr="00131EED" w:rsidRDefault="00C7285B" w:rsidP="00EA1334">
            <w:pPr>
              <w:jc w:val="left"/>
              <w:rPr>
                <w:sz w:val="20"/>
                <w:szCs w:val="20"/>
                <w:lang w:eastAsia="en-US"/>
              </w:rPr>
            </w:pPr>
          </w:p>
        </w:tc>
        <w:tc>
          <w:tcPr>
            <w:tcW w:w="1588" w:type="pct"/>
            <w:noWrap/>
            <w:hideMark/>
          </w:tcPr>
          <w:p w14:paraId="60A58614"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Piedra Petaca</w:t>
            </w:r>
          </w:p>
        </w:tc>
        <w:tc>
          <w:tcPr>
            <w:tcW w:w="1110" w:type="pct"/>
            <w:noWrap/>
            <w:hideMark/>
          </w:tcPr>
          <w:p w14:paraId="4915A287"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53,00</w:t>
            </w:r>
          </w:p>
        </w:tc>
      </w:tr>
      <w:tr w:rsidR="00C7285B" w:rsidRPr="00131EED" w14:paraId="7967C248" w14:textId="77777777" w:rsidTr="00454C02">
        <w:trPr>
          <w:trHeight w:val="300"/>
        </w:trPr>
        <w:tc>
          <w:tcPr>
            <w:tcW w:w="1032" w:type="pct"/>
            <w:vMerge/>
            <w:noWrap/>
            <w:hideMark/>
          </w:tcPr>
          <w:p w14:paraId="194AF40F"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6B81A156" w14:textId="77777777" w:rsidR="00C7285B" w:rsidRPr="00131EED" w:rsidRDefault="00C7285B" w:rsidP="00EA1334">
            <w:pPr>
              <w:jc w:val="left"/>
              <w:rPr>
                <w:sz w:val="20"/>
                <w:szCs w:val="20"/>
                <w:lang w:eastAsia="en-US"/>
              </w:rPr>
            </w:pPr>
          </w:p>
        </w:tc>
        <w:tc>
          <w:tcPr>
            <w:tcW w:w="1588" w:type="pct"/>
            <w:noWrap/>
            <w:hideMark/>
          </w:tcPr>
          <w:p w14:paraId="671761CB"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Renasie</w:t>
            </w:r>
          </w:p>
        </w:tc>
        <w:tc>
          <w:tcPr>
            <w:tcW w:w="1110" w:type="pct"/>
            <w:noWrap/>
            <w:hideMark/>
          </w:tcPr>
          <w:p w14:paraId="070F84D6"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16,00</w:t>
            </w:r>
          </w:p>
        </w:tc>
      </w:tr>
      <w:tr w:rsidR="00C7285B" w:rsidRPr="00131EED" w14:paraId="46197DBB" w14:textId="77777777" w:rsidTr="00454C02">
        <w:trPr>
          <w:trHeight w:val="300"/>
        </w:trPr>
        <w:tc>
          <w:tcPr>
            <w:tcW w:w="1032" w:type="pct"/>
            <w:vMerge/>
            <w:noWrap/>
            <w:hideMark/>
          </w:tcPr>
          <w:p w14:paraId="1C953B5F"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24135EB1" w14:textId="77777777" w:rsidR="00C7285B" w:rsidRPr="00131EED" w:rsidRDefault="00C7285B" w:rsidP="00EA1334">
            <w:pPr>
              <w:jc w:val="left"/>
              <w:rPr>
                <w:sz w:val="20"/>
                <w:szCs w:val="20"/>
                <w:lang w:eastAsia="en-US"/>
              </w:rPr>
            </w:pPr>
          </w:p>
        </w:tc>
        <w:tc>
          <w:tcPr>
            <w:tcW w:w="1588" w:type="pct"/>
            <w:noWrap/>
            <w:hideMark/>
          </w:tcPr>
          <w:p w14:paraId="1624621A"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Reserva El Portete</w:t>
            </w:r>
          </w:p>
        </w:tc>
        <w:tc>
          <w:tcPr>
            <w:tcW w:w="1110" w:type="pct"/>
            <w:noWrap/>
            <w:hideMark/>
          </w:tcPr>
          <w:p w14:paraId="0CD442F6"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43,00</w:t>
            </w:r>
          </w:p>
        </w:tc>
      </w:tr>
      <w:tr w:rsidR="00C7285B" w:rsidRPr="00131EED" w14:paraId="3DE06259" w14:textId="77777777" w:rsidTr="00454C02">
        <w:trPr>
          <w:trHeight w:val="300"/>
        </w:trPr>
        <w:tc>
          <w:tcPr>
            <w:tcW w:w="1032" w:type="pct"/>
            <w:vMerge/>
            <w:noWrap/>
            <w:hideMark/>
          </w:tcPr>
          <w:p w14:paraId="5AF948C5"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2869A59A" w14:textId="77777777" w:rsidR="00C7285B" w:rsidRPr="00131EED" w:rsidRDefault="00C7285B" w:rsidP="00EA1334">
            <w:pPr>
              <w:jc w:val="left"/>
              <w:rPr>
                <w:sz w:val="20"/>
                <w:szCs w:val="20"/>
                <w:lang w:eastAsia="en-US"/>
              </w:rPr>
            </w:pPr>
          </w:p>
        </w:tc>
        <w:tc>
          <w:tcPr>
            <w:tcW w:w="1588" w:type="pct"/>
            <w:noWrap/>
            <w:hideMark/>
          </w:tcPr>
          <w:p w14:paraId="7802DE55"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Reserva Moravia</w:t>
            </w:r>
          </w:p>
        </w:tc>
        <w:tc>
          <w:tcPr>
            <w:tcW w:w="1110" w:type="pct"/>
            <w:noWrap/>
            <w:hideMark/>
          </w:tcPr>
          <w:p w14:paraId="21185778"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208,00</w:t>
            </w:r>
          </w:p>
        </w:tc>
      </w:tr>
      <w:tr w:rsidR="00C7285B" w:rsidRPr="00131EED" w14:paraId="680E6D5A" w14:textId="77777777" w:rsidTr="00454C02">
        <w:trPr>
          <w:trHeight w:val="300"/>
        </w:trPr>
        <w:tc>
          <w:tcPr>
            <w:tcW w:w="1032" w:type="pct"/>
            <w:vMerge/>
            <w:noWrap/>
            <w:hideMark/>
          </w:tcPr>
          <w:p w14:paraId="6429BC4F"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302A0395" w14:textId="77777777" w:rsidR="00C7285B" w:rsidRPr="00131EED" w:rsidRDefault="00C7285B" w:rsidP="00EA1334">
            <w:pPr>
              <w:jc w:val="left"/>
              <w:rPr>
                <w:sz w:val="20"/>
                <w:szCs w:val="20"/>
                <w:lang w:eastAsia="en-US"/>
              </w:rPr>
            </w:pPr>
          </w:p>
        </w:tc>
        <w:tc>
          <w:tcPr>
            <w:tcW w:w="1588" w:type="pct"/>
            <w:noWrap/>
            <w:hideMark/>
          </w:tcPr>
          <w:p w14:paraId="56D83FA6"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Reserva Natural Rodamonte</w:t>
            </w:r>
          </w:p>
        </w:tc>
        <w:tc>
          <w:tcPr>
            <w:tcW w:w="1110" w:type="pct"/>
            <w:noWrap/>
            <w:hideMark/>
          </w:tcPr>
          <w:p w14:paraId="410E98F3"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10,00</w:t>
            </w:r>
          </w:p>
        </w:tc>
      </w:tr>
      <w:tr w:rsidR="00C7285B" w:rsidRPr="00131EED" w14:paraId="199D6836" w14:textId="77777777" w:rsidTr="00454C02">
        <w:trPr>
          <w:trHeight w:val="300"/>
        </w:trPr>
        <w:tc>
          <w:tcPr>
            <w:tcW w:w="1032" w:type="pct"/>
            <w:vMerge/>
            <w:noWrap/>
            <w:hideMark/>
          </w:tcPr>
          <w:p w14:paraId="0C86160D"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0F08A9F9" w14:textId="77777777" w:rsidR="00C7285B" w:rsidRPr="00131EED" w:rsidRDefault="00C7285B" w:rsidP="00EA1334">
            <w:pPr>
              <w:jc w:val="left"/>
              <w:rPr>
                <w:sz w:val="20"/>
                <w:szCs w:val="20"/>
                <w:lang w:eastAsia="en-US"/>
              </w:rPr>
            </w:pPr>
          </w:p>
        </w:tc>
        <w:tc>
          <w:tcPr>
            <w:tcW w:w="1588" w:type="pct"/>
            <w:noWrap/>
            <w:hideMark/>
          </w:tcPr>
          <w:p w14:paraId="5A6D603D"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Romero B y Cia</w:t>
            </w:r>
          </w:p>
        </w:tc>
        <w:tc>
          <w:tcPr>
            <w:tcW w:w="1110" w:type="pct"/>
            <w:noWrap/>
            <w:hideMark/>
          </w:tcPr>
          <w:p w14:paraId="3111F980"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2,00</w:t>
            </w:r>
          </w:p>
        </w:tc>
      </w:tr>
      <w:tr w:rsidR="00C7285B" w:rsidRPr="00131EED" w14:paraId="43B6EEAC" w14:textId="77777777" w:rsidTr="00454C02">
        <w:trPr>
          <w:trHeight w:val="300"/>
        </w:trPr>
        <w:tc>
          <w:tcPr>
            <w:tcW w:w="1032" w:type="pct"/>
            <w:vMerge/>
            <w:noWrap/>
            <w:hideMark/>
          </w:tcPr>
          <w:p w14:paraId="46B3A8BF"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755D8C03" w14:textId="77777777" w:rsidR="00C7285B" w:rsidRPr="00131EED" w:rsidRDefault="00C7285B" w:rsidP="00EA1334">
            <w:pPr>
              <w:jc w:val="left"/>
              <w:rPr>
                <w:sz w:val="20"/>
                <w:szCs w:val="20"/>
                <w:lang w:eastAsia="en-US"/>
              </w:rPr>
            </w:pPr>
          </w:p>
        </w:tc>
        <w:tc>
          <w:tcPr>
            <w:tcW w:w="1588" w:type="pct"/>
            <w:noWrap/>
            <w:hideMark/>
          </w:tcPr>
          <w:p w14:paraId="20D14D1F"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Semilla de Agua, Fuente de Vida</w:t>
            </w:r>
          </w:p>
        </w:tc>
        <w:tc>
          <w:tcPr>
            <w:tcW w:w="1110" w:type="pct"/>
            <w:noWrap/>
            <w:hideMark/>
          </w:tcPr>
          <w:p w14:paraId="188865D2"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9,00</w:t>
            </w:r>
          </w:p>
        </w:tc>
      </w:tr>
      <w:tr w:rsidR="00C7285B" w:rsidRPr="00131EED" w14:paraId="40799CF8" w14:textId="77777777" w:rsidTr="00454C02">
        <w:trPr>
          <w:trHeight w:val="300"/>
        </w:trPr>
        <w:tc>
          <w:tcPr>
            <w:tcW w:w="1032" w:type="pct"/>
            <w:vMerge/>
            <w:noWrap/>
            <w:hideMark/>
          </w:tcPr>
          <w:p w14:paraId="5BEF1DF7"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7F5D72A1" w14:textId="77777777" w:rsidR="00C7285B" w:rsidRPr="00131EED" w:rsidRDefault="00C7285B" w:rsidP="00EA1334">
            <w:pPr>
              <w:jc w:val="left"/>
              <w:rPr>
                <w:sz w:val="20"/>
                <w:szCs w:val="20"/>
                <w:lang w:eastAsia="en-US"/>
              </w:rPr>
            </w:pPr>
          </w:p>
        </w:tc>
        <w:tc>
          <w:tcPr>
            <w:tcW w:w="1588" w:type="pct"/>
            <w:noWrap/>
            <w:hideMark/>
          </w:tcPr>
          <w:p w14:paraId="3F038BE4"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Serrezuela</w:t>
            </w:r>
          </w:p>
        </w:tc>
        <w:tc>
          <w:tcPr>
            <w:tcW w:w="1110" w:type="pct"/>
            <w:noWrap/>
            <w:hideMark/>
          </w:tcPr>
          <w:p w14:paraId="061A77FB"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18,00</w:t>
            </w:r>
          </w:p>
        </w:tc>
      </w:tr>
      <w:tr w:rsidR="00C7285B" w:rsidRPr="00131EED" w14:paraId="7A96BBD9" w14:textId="77777777" w:rsidTr="00454C02">
        <w:trPr>
          <w:trHeight w:val="300"/>
        </w:trPr>
        <w:tc>
          <w:tcPr>
            <w:tcW w:w="1032" w:type="pct"/>
            <w:vMerge/>
            <w:noWrap/>
            <w:hideMark/>
          </w:tcPr>
          <w:p w14:paraId="1487A632"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32FF864F" w14:textId="77777777" w:rsidR="00C7285B" w:rsidRPr="00131EED" w:rsidRDefault="00C7285B" w:rsidP="00EA1334">
            <w:pPr>
              <w:jc w:val="left"/>
              <w:rPr>
                <w:sz w:val="20"/>
                <w:szCs w:val="20"/>
                <w:lang w:eastAsia="en-US"/>
              </w:rPr>
            </w:pPr>
          </w:p>
        </w:tc>
        <w:tc>
          <w:tcPr>
            <w:tcW w:w="1588" w:type="pct"/>
            <w:noWrap/>
            <w:hideMark/>
          </w:tcPr>
          <w:p w14:paraId="0FD05CBE"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Sion</w:t>
            </w:r>
          </w:p>
        </w:tc>
        <w:tc>
          <w:tcPr>
            <w:tcW w:w="1110" w:type="pct"/>
            <w:noWrap/>
            <w:hideMark/>
          </w:tcPr>
          <w:p w14:paraId="4782A8E9"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3,00</w:t>
            </w:r>
          </w:p>
        </w:tc>
      </w:tr>
      <w:tr w:rsidR="00C7285B" w:rsidRPr="00131EED" w14:paraId="48BC4E92" w14:textId="77777777" w:rsidTr="00454C02">
        <w:trPr>
          <w:trHeight w:val="300"/>
        </w:trPr>
        <w:tc>
          <w:tcPr>
            <w:tcW w:w="1032" w:type="pct"/>
            <w:vMerge/>
            <w:noWrap/>
            <w:hideMark/>
          </w:tcPr>
          <w:p w14:paraId="03B15F6F"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46A6D282" w14:textId="77777777" w:rsidR="00C7285B" w:rsidRPr="00131EED" w:rsidRDefault="00C7285B" w:rsidP="00EA1334">
            <w:pPr>
              <w:jc w:val="left"/>
              <w:rPr>
                <w:sz w:val="20"/>
                <w:szCs w:val="20"/>
                <w:lang w:eastAsia="en-US"/>
              </w:rPr>
            </w:pPr>
          </w:p>
        </w:tc>
        <w:tc>
          <w:tcPr>
            <w:tcW w:w="1588" w:type="pct"/>
            <w:noWrap/>
            <w:hideMark/>
          </w:tcPr>
          <w:p w14:paraId="08E68D03"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Tenasucá De Pedro Palo</w:t>
            </w:r>
          </w:p>
        </w:tc>
        <w:tc>
          <w:tcPr>
            <w:tcW w:w="1110" w:type="pct"/>
            <w:noWrap/>
            <w:hideMark/>
          </w:tcPr>
          <w:p w14:paraId="0FBC6005"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0,00</w:t>
            </w:r>
          </w:p>
        </w:tc>
      </w:tr>
      <w:tr w:rsidR="00C7285B" w:rsidRPr="00131EED" w14:paraId="343F61FC" w14:textId="77777777" w:rsidTr="00454C02">
        <w:trPr>
          <w:trHeight w:val="300"/>
        </w:trPr>
        <w:tc>
          <w:tcPr>
            <w:tcW w:w="1032" w:type="pct"/>
            <w:vMerge/>
            <w:noWrap/>
            <w:hideMark/>
          </w:tcPr>
          <w:p w14:paraId="7B1F1E10"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73D142A5" w14:textId="77777777" w:rsidR="00C7285B" w:rsidRPr="00131EED" w:rsidRDefault="00C7285B" w:rsidP="00EA1334">
            <w:pPr>
              <w:jc w:val="left"/>
              <w:rPr>
                <w:sz w:val="20"/>
                <w:szCs w:val="20"/>
                <w:lang w:eastAsia="en-US"/>
              </w:rPr>
            </w:pPr>
          </w:p>
        </w:tc>
        <w:tc>
          <w:tcPr>
            <w:tcW w:w="1588" w:type="pct"/>
            <w:noWrap/>
            <w:hideMark/>
          </w:tcPr>
          <w:p w14:paraId="3DF6B771"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Travesías</w:t>
            </w:r>
          </w:p>
        </w:tc>
        <w:tc>
          <w:tcPr>
            <w:tcW w:w="1110" w:type="pct"/>
            <w:noWrap/>
            <w:hideMark/>
          </w:tcPr>
          <w:p w14:paraId="3CE83B80"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36,00</w:t>
            </w:r>
          </w:p>
        </w:tc>
      </w:tr>
      <w:tr w:rsidR="00C7285B" w:rsidRPr="00131EED" w14:paraId="720AD836" w14:textId="77777777" w:rsidTr="00454C02">
        <w:trPr>
          <w:trHeight w:val="300"/>
        </w:trPr>
        <w:tc>
          <w:tcPr>
            <w:tcW w:w="1032" w:type="pct"/>
            <w:vMerge/>
            <w:noWrap/>
            <w:hideMark/>
          </w:tcPr>
          <w:p w14:paraId="7E9EDB22"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2F499858" w14:textId="77777777" w:rsidR="00C7285B" w:rsidRPr="00131EED" w:rsidRDefault="00C7285B" w:rsidP="00EA1334">
            <w:pPr>
              <w:jc w:val="left"/>
              <w:rPr>
                <w:sz w:val="20"/>
                <w:szCs w:val="20"/>
                <w:lang w:eastAsia="en-US"/>
              </w:rPr>
            </w:pPr>
          </w:p>
        </w:tc>
        <w:tc>
          <w:tcPr>
            <w:tcW w:w="1588" w:type="pct"/>
            <w:noWrap/>
            <w:hideMark/>
          </w:tcPr>
          <w:p w14:paraId="35663E83"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Umbral Cultural Horizontes</w:t>
            </w:r>
          </w:p>
        </w:tc>
        <w:tc>
          <w:tcPr>
            <w:tcW w:w="1110" w:type="pct"/>
            <w:noWrap/>
            <w:hideMark/>
          </w:tcPr>
          <w:p w14:paraId="2E78F990"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3,00</w:t>
            </w:r>
          </w:p>
        </w:tc>
      </w:tr>
      <w:tr w:rsidR="00C7285B" w:rsidRPr="00131EED" w14:paraId="7170BBC4" w14:textId="77777777" w:rsidTr="00454C02">
        <w:trPr>
          <w:trHeight w:val="300"/>
        </w:trPr>
        <w:tc>
          <w:tcPr>
            <w:tcW w:w="1032" w:type="pct"/>
            <w:vMerge/>
            <w:noWrap/>
            <w:hideMark/>
          </w:tcPr>
          <w:p w14:paraId="251573B9"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43054D75" w14:textId="77777777" w:rsidR="00C7285B" w:rsidRPr="00131EED" w:rsidRDefault="00C7285B" w:rsidP="00EA1334">
            <w:pPr>
              <w:jc w:val="left"/>
              <w:rPr>
                <w:sz w:val="20"/>
                <w:szCs w:val="20"/>
                <w:lang w:eastAsia="en-US"/>
              </w:rPr>
            </w:pPr>
          </w:p>
        </w:tc>
        <w:tc>
          <w:tcPr>
            <w:tcW w:w="1588" w:type="pct"/>
            <w:noWrap/>
            <w:hideMark/>
          </w:tcPr>
          <w:p w14:paraId="3D7965C2"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Valladolid</w:t>
            </w:r>
          </w:p>
        </w:tc>
        <w:tc>
          <w:tcPr>
            <w:tcW w:w="1110" w:type="pct"/>
            <w:noWrap/>
            <w:hideMark/>
          </w:tcPr>
          <w:p w14:paraId="75419EA9"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2,00</w:t>
            </w:r>
          </w:p>
        </w:tc>
      </w:tr>
      <w:tr w:rsidR="00C7285B" w:rsidRPr="00131EED" w14:paraId="1E273334" w14:textId="77777777" w:rsidTr="00454C02">
        <w:trPr>
          <w:trHeight w:val="300"/>
        </w:trPr>
        <w:tc>
          <w:tcPr>
            <w:tcW w:w="1032" w:type="pct"/>
            <w:vMerge/>
            <w:noWrap/>
            <w:hideMark/>
          </w:tcPr>
          <w:p w14:paraId="0CE05082" w14:textId="77777777" w:rsidR="00C7285B" w:rsidRPr="00131EED" w:rsidRDefault="00C7285B" w:rsidP="00EA1334">
            <w:pPr>
              <w:jc w:val="left"/>
              <w:rPr>
                <w:rFonts w:cs="Calibri"/>
                <w:color w:val="000000"/>
                <w:sz w:val="20"/>
                <w:szCs w:val="20"/>
                <w:lang w:eastAsia="en-US"/>
              </w:rPr>
            </w:pPr>
          </w:p>
        </w:tc>
        <w:tc>
          <w:tcPr>
            <w:tcW w:w="2858" w:type="pct"/>
            <w:gridSpan w:val="2"/>
            <w:noWrap/>
            <w:hideMark/>
          </w:tcPr>
          <w:p w14:paraId="147D39E9" w14:textId="77777777" w:rsidR="00C7285B" w:rsidRPr="00131EED" w:rsidRDefault="00C7285B" w:rsidP="00EA1334">
            <w:pPr>
              <w:jc w:val="left"/>
              <w:rPr>
                <w:rFonts w:cs="Calibri"/>
                <w:b/>
                <w:color w:val="000000"/>
                <w:sz w:val="20"/>
                <w:szCs w:val="20"/>
                <w:lang w:eastAsia="en-US"/>
              </w:rPr>
            </w:pPr>
            <w:r w:rsidRPr="00131EED">
              <w:rPr>
                <w:rFonts w:cs="Calibri"/>
                <w:b/>
                <w:color w:val="000000"/>
                <w:sz w:val="20"/>
                <w:szCs w:val="20"/>
                <w:lang w:eastAsia="en-US"/>
              </w:rPr>
              <w:t>Total Parques Nacionales Naturales de Colombia</w:t>
            </w:r>
          </w:p>
        </w:tc>
        <w:tc>
          <w:tcPr>
            <w:tcW w:w="1110" w:type="pct"/>
            <w:noWrap/>
            <w:hideMark/>
          </w:tcPr>
          <w:p w14:paraId="23235957" w14:textId="77777777" w:rsidR="00C7285B" w:rsidRPr="00131EED" w:rsidRDefault="00C7285B" w:rsidP="00951A0A">
            <w:pPr>
              <w:jc w:val="right"/>
              <w:rPr>
                <w:rFonts w:cs="Calibri"/>
                <w:b/>
                <w:color w:val="000000"/>
                <w:sz w:val="20"/>
                <w:szCs w:val="20"/>
                <w:lang w:eastAsia="en-US"/>
              </w:rPr>
            </w:pPr>
            <w:r w:rsidRPr="00131EED">
              <w:rPr>
                <w:rFonts w:cs="Calibri"/>
                <w:b/>
                <w:color w:val="000000"/>
                <w:sz w:val="20"/>
                <w:szCs w:val="20"/>
                <w:lang w:eastAsia="en-US"/>
              </w:rPr>
              <w:t>1.349,00</w:t>
            </w:r>
          </w:p>
        </w:tc>
      </w:tr>
      <w:tr w:rsidR="00C7285B" w:rsidRPr="00131EED" w14:paraId="18A4A318" w14:textId="77777777" w:rsidTr="00454C02">
        <w:trPr>
          <w:trHeight w:val="300"/>
        </w:trPr>
        <w:tc>
          <w:tcPr>
            <w:tcW w:w="3890" w:type="pct"/>
            <w:gridSpan w:val="3"/>
            <w:noWrap/>
            <w:hideMark/>
          </w:tcPr>
          <w:p w14:paraId="082277A3" w14:textId="001B2770" w:rsidR="00C7285B" w:rsidRPr="00131EED" w:rsidRDefault="00C7285B" w:rsidP="00EA1334">
            <w:pPr>
              <w:jc w:val="left"/>
              <w:rPr>
                <w:sz w:val="20"/>
                <w:szCs w:val="20"/>
                <w:lang w:eastAsia="en-US"/>
              </w:rPr>
            </w:pPr>
            <w:r w:rsidRPr="00131EED">
              <w:rPr>
                <w:rFonts w:cs="Calibri"/>
                <w:b/>
                <w:color w:val="000000"/>
                <w:sz w:val="20"/>
                <w:szCs w:val="20"/>
                <w:lang w:eastAsia="en-US"/>
              </w:rPr>
              <w:t>Total Reserva Natural de la Sociedad Civil</w:t>
            </w:r>
          </w:p>
        </w:tc>
        <w:tc>
          <w:tcPr>
            <w:tcW w:w="1110" w:type="pct"/>
            <w:noWrap/>
            <w:hideMark/>
          </w:tcPr>
          <w:p w14:paraId="2D545DF1" w14:textId="77777777" w:rsidR="00C7285B" w:rsidRPr="00131EED" w:rsidRDefault="00C7285B" w:rsidP="00951A0A">
            <w:pPr>
              <w:jc w:val="right"/>
              <w:rPr>
                <w:rFonts w:cs="Calibri"/>
                <w:b/>
                <w:color w:val="000000"/>
                <w:sz w:val="20"/>
                <w:szCs w:val="20"/>
                <w:lang w:eastAsia="en-US"/>
              </w:rPr>
            </w:pPr>
            <w:r w:rsidRPr="00131EED">
              <w:rPr>
                <w:rFonts w:cs="Calibri"/>
                <w:b/>
                <w:color w:val="000000"/>
                <w:sz w:val="20"/>
                <w:szCs w:val="20"/>
                <w:lang w:eastAsia="en-US"/>
              </w:rPr>
              <w:t>1.349,00</w:t>
            </w:r>
          </w:p>
        </w:tc>
      </w:tr>
      <w:tr w:rsidR="00C7285B" w:rsidRPr="00131EED" w14:paraId="1B8024F3" w14:textId="77777777" w:rsidTr="00454C02">
        <w:trPr>
          <w:trHeight w:val="300"/>
        </w:trPr>
        <w:tc>
          <w:tcPr>
            <w:tcW w:w="1032" w:type="pct"/>
            <w:vMerge w:val="restart"/>
            <w:noWrap/>
            <w:hideMark/>
          </w:tcPr>
          <w:p w14:paraId="7F11A090"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Reservas Forestales Protectoras Nacionales</w:t>
            </w:r>
          </w:p>
        </w:tc>
        <w:tc>
          <w:tcPr>
            <w:tcW w:w="1270" w:type="pct"/>
            <w:vMerge w:val="restart"/>
            <w:noWrap/>
            <w:hideMark/>
          </w:tcPr>
          <w:p w14:paraId="6249B423"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Ministerio de Ambiente y Desarrollo Sostenible</w:t>
            </w:r>
          </w:p>
        </w:tc>
        <w:tc>
          <w:tcPr>
            <w:tcW w:w="1588" w:type="pct"/>
            <w:noWrap/>
            <w:hideMark/>
          </w:tcPr>
          <w:p w14:paraId="40909E6C"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Bosque Oriental de Bogotá</w:t>
            </w:r>
          </w:p>
        </w:tc>
        <w:tc>
          <w:tcPr>
            <w:tcW w:w="1110" w:type="pct"/>
            <w:noWrap/>
            <w:hideMark/>
          </w:tcPr>
          <w:p w14:paraId="071A6ACE"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13.057,00</w:t>
            </w:r>
          </w:p>
        </w:tc>
      </w:tr>
      <w:tr w:rsidR="00C7285B" w:rsidRPr="00131EED" w14:paraId="48E7884C" w14:textId="77777777" w:rsidTr="00454C02">
        <w:trPr>
          <w:trHeight w:val="300"/>
        </w:trPr>
        <w:tc>
          <w:tcPr>
            <w:tcW w:w="1032" w:type="pct"/>
            <w:vMerge/>
            <w:noWrap/>
            <w:hideMark/>
          </w:tcPr>
          <w:p w14:paraId="1E163607"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5523636A" w14:textId="77777777" w:rsidR="00C7285B" w:rsidRPr="00131EED" w:rsidRDefault="00C7285B" w:rsidP="00EA1334">
            <w:pPr>
              <w:jc w:val="left"/>
              <w:rPr>
                <w:sz w:val="20"/>
                <w:szCs w:val="20"/>
                <w:lang w:eastAsia="en-US"/>
              </w:rPr>
            </w:pPr>
          </w:p>
        </w:tc>
        <w:tc>
          <w:tcPr>
            <w:tcW w:w="1588" w:type="pct"/>
            <w:noWrap/>
            <w:hideMark/>
          </w:tcPr>
          <w:p w14:paraId="49A9AE2D"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Páramo Grande</w:t>
            </w:r>
          </w:p>
        </w:tc>
        <w:tc>
          <w:tcPr>
            <w:tcW w:w="1110" w:type="pct"/>
            <w:noWrap/>
            <w:hideMark/>
          </w:tcPr>
          <w:p w14:paraId="0D8BD7EE"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4.321,00</w:t>
            </w:r>
          </w:p>
        </w:tc>
      </w:tr>
      <w:tr w:rsidR="00C7285B" w:rsidRPr="00131EED" w14:paraId="520792CB" w14:textId="77777777" w:rsidTr="00454C02">
        <w:trPr>
          <w:trHeight w:val="300"/>
        </w:trPr>
        <w:tc>
          <w:tcPr>
            <w:tcW w:w="1032" w:type="pct"/>
            <w:vMerge/>
            <w:noWrap/>
            <w:hideMark/>
          </w:tcPr>
          <w:p w14:paraId="7564A658"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314E7CE6" w14:textId="77777777" w:rsidR="00C7285B" w:rsidRPr="00131EED" w:rsidRDefault="00C7285B" w:rsidP="00EA1334">
            <w:pPr>
              <w:jc w:val="left"/>
              <w:rPr>
                <w:sz w:val="20"/>
                <w:szCs w:val="20"/>
                <w:lang w:eastAsia="en-US"/>
              </w:rPr>
            </w:pPr>
          </w:p>
        </w:tc>
        <w:tc>
          <w:tcPr>
            <w:tcW w:w="1588" w:type="pct"/>
            <w:noWrap/>
            <w:hideMark/>
          </w:tcPr>
          <w:p w14:paraId="2B1A5202"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Ríos Blanco y Negro</w:t>
            </w:r>
          </w:p>
        </w:tc>
        <w:tc>
          <w:tcPr>
            <w:tcW w:w="1110" w:type="pct"/>
            <w:noWrap/>
            <w:hideMark/>
          </w:tcPr>
          <w:p w14:paraId="2BC8D106"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9,00</w:t>
            </w:r>
          </w:p>
        </w:tc>
      </w:tr>
      <w:tr w:rsidR="00C7285B" w:rsidRPr="00131EED" w14:paraId="3A6F1FA2" w14:textId="77777777" w:rsidTr="00454C02">
        <w:trPr>
          <w:trHeight w:val="300"/>
        </w:trPr>
        <w:tc>
          <w:tcPr>
            <w:tcW w:w="1032" w:type="pct"/>
            <w:vMerge/>
            <w:noWrap/>
            <w:hideMark/>
          </w:tcPr>
          <w:p w14:paraId="079757C2" w14:textId="77777777" w:rsidR="00C7285B" w:rsidRPr="00131EED" w:rsidRDefault="00C7285B" w:rsidP="00EA1334">
            <w:pPr>
              <w:jc w:val="left"/>
              <w:rPr>
                <w:rFonts w:cs="Calibri"/>
                <w:color w:val="000000"/>
                <w:sz w:val="20"/>
                <w:szCs w:val="20"/>
                <w:lang w:eastAsia="en-US"/>
              </w:rPr>
            </w:pPr>
          </w:p>
        </w:tc>
        <w:tc>
          <w:tcPr>
            <w:tcW w:w="2858" w:type="pct"/>
            <w:gridSpan w:val="2"/>
            <w:noWrap/>
            <w:hideMark/>
          </w:tcPr>
          <w:p w14:paraId="540E5111" w14:textId="77777777" w:rsidR="00C7285B" w:rsidRPr="00131EED" w:rsidRDefault="00C7285B" w:rsidP="00EA1334">
            <w:pPr>
              <w:jc w:val="left"/>
              <w:rPr>
                <w:rFonts w:cs="Calibri"/>
                <w:b/>
                <w:color w:val="000000"/>
                <w:sz w:val="20"/>
                <w:szCs w:val="20"/>
                <w:lang w:eastAsia="en-US"/>
              </w:rPr>
            </w:pPr>
            <w:r w:rsidRPr="00131EED">
              <w:rPr>
                <w:rFonts w:cs="Calibri"/>
                <w:b/>
                <w:color w:val="000000"/>
                <w:sz w:val="20"/>
                <w:szCs w:val="20"/>
                <w:lang w:eastAsia="en-US"/>
              </w:rPr>
              <w:t>Total Ministerio de Ambiente y Desarrollo Sostenible</w:t>
            </w:r>
          </w:p>
        </w:tc>
        <w:tc>
          <w:tcPr>
            <w:tcW w:w="1110" w:type="pct"/>
            <w:noWrap/>
            <w:hideMark/>
          </w:tcPr>
          <w:p w14:paraId="4448DDBB" w14:textId="77777777" w:rsidR="00C7285B" w:rsidRPr="00131EED" w:rsidRDefault="00C7285B" w:rsidP="00951A0A">
            <w:pPr>
              <w:jc w:val="right"/>
              <w:rPr>
                <w:rFonts w:cs="Calibri"/>
                <w:b/>
                <w:color w:val="000000"/>
                <w:sz w:val="20"/>
                <w:szCs w:val="20"/>
                <w:lang w:eastAsia="en-US"/>
              </w:rPr>
            </w:pPr>
            <w:r w:rsidRPr="00131EED">
              <w:rPr>
                <w:rFonts w:cs="Calibri"/>
                <w:b/>
                <w:color w:val="000000"/>
                <w:sz w:val="20"/>
                <w:szCs w:val="20"/>
                <w:lang w:eastAsia="en-US"/>
              </w:rPr>
              <w:t>17.387,00</w:t>
            </w:r>
          </w:p>
        </w:tc>
      </w:tr>
      <w:tr w:rsidR="00C7285B" w:rsidRPr="00131EED" w14:paraId="140E39BA" w14:textId="77777777" w:rsidTr="00454C02">
        <w:trPr>
          <w:trHeight w:val="300"/>
        </w:trPr>
        <w:tc>
          <w:tcPr>
            <w:tcW w:w="3890" w:type="pct"/>
            <w:gridSpan w:val="3"/>
            <w:noWrap/>
            <w:hideMark/>
          </w:tcPr>
          <w:p w14:paraId="23077EBB" w14:textId="2D8972A9" w:rsidR="00C7285B" w:rsidRPr="00131EED" w:rsidRDefault="00C7285B" w:rsidP="00EA1334">
            <w:pPr>
              <w:jc w:val="left"/>
              <w:rPr>
                <w:sz w:val="20"/>
                <w:szCs w:val="20"/>
                <w:lang w:eastAsia="en-US"/>
              </w:rPr>
            </w:pPr>
            <w:r w:rsidRPr="00131EED">
              <w:rPr>
                <w:rFonts w:cs="Calibri"/>
                <w:b/>
                <w:color w:val="000000"/>
                <w:sz w:val="20"/>
                <w:szCs w:val="20"/>
                <w:lang w:eastAsia="en-US"/>
              </w:rPr>
              <w:t>Total Reservas Forestales Protectoras Nacionales</w:t>
            </w:r>
          </w:p>
        </w:tc>
        <w:tc>
          <w:tcPr>
            <w:tcW w:w="1110" w:type="pct"/>
            <w:noWrap/>
            <w:hideMark/>
          </w:tcPr>
          <w:p w14:paraId="71959F53" w14:textId="77777777" w:rsidR="00C7285B" w:rsidRPr="00131EED" w:rsidRDefault="00C7285B" w:rsidP="00951A0A">
            <w:pPr>
              <w:jc w:val="right"/>
              <w:rPr>
                <w:rFonts w:cs="Calibri"/>
                <w:b/>
                <w:color w:val="000000"/>
                <w:sz w:val="20"/>
                <w:szCs w:val="20"/>
                <w:lang w:eastAsia="en-US"/>
              </w:rPr>
            </w:pPr>
            <w:r w:rsidRPr="00131EED">
              <w:rPr>
                <w:rFonts w:cs="Calibri"/>
                <w:b/>
                <w:color w:val="000000"/>
                <w:sz w:val="20"/>
                <w:szCs w:val="20"/>
                <w:lang w:eastAsia="en-US"/>
              </w:rPr>
              <w:t>17.387,00</w:t>
            </w:r>
          </w:p>
        </w:tc>
      </w:tr>
      <w:tr w:rsidR="00C7285B" w:rsidRPr="00131EED" w14:paraId="6ABE5783" w14:textId="77777777" w:rsidTr="00454C02">
        <w:trPr>
          <w:trHeight w:val="300"/>
        </w:trPr>
        <w:tc>
          <w:tcPr>
            <w:tcW w:w="1032" w:type="pct"/>
            <w:vMerge w:val="restart"/>
            <w:noWrap/>
            <w:hideMark/>
          </w:tcPr>
          <w:p w14:paraId="00C950BE"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Reservas Forestales Protectoras Regionales</w:t>
            </w:r>
          </w:p>
        </w:tc>
        <w:tc>
          <w:tcPr>
            <w:tcW w:w="1270" w:type="pct"/>
            <w:vMerge w:val="restart"/>
            <w:noWrap/>
            <w:hideMark/>
          </w:tcPr>
          <w:p w14:paraId="462B3708"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Corporación Autónoma Regional de Cundinamarca</w:t>
            </w:r>
          </w:p>
        </w:tc>
        <w:tc>
          <w:tcPr>
            <w:tcW w:w="1588" w:type="pct"/>
            <w:noWrap/>
            <w:hideMark/>
          </w:tcPr>
          <w:p w14:paraId="02EAF59E"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Cuchilla El Choque</w:t>
            </w:r>
          </w:p>
        </w:tc>
        <w:tc>
          <w:tcPr>
            <w:tcW w:w="1110" w:type="pct"/>
            <w:noWrap/>
            <w:hideMark/>
          </w:tcPr>
          <w:p w14:paraId="0ADD66D3"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1.262,00</w:t>
            </w:r>
          </w:p>
        </w:tc>
      </w:tr>
      <w:tr w:rsidR="00C7285B" w:rsidRPr="00131EED" w14:paraId="5082AE99" w14:textId="77777777" w:rsidTr="00454C02">
        <w:trPr>
          <w:trHeight w:val="300"/>
        </w:trPr>
        <w:tc>
          <w:tcPr>
            <w:tcW w:w="1032" w:type="pct"/>
            <w:vMerge/>
            <w:noWrap/>
            <w:hideMark/>
          </w:tcPr>
          <w:p w14:paraId="23302987"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09B5EEA5" w14:textId="77777777" w:rsidR="00C7285B" w:rsidRPr="00131EED" w:rsidRDefault="00C7285B" w:rsidP="00EA1334">
            <w:pPr>
              <w:jc w:val="left"/>
              <w:rPr>
                <w:sz w:val="20"/>
                <w:szCs w:val="20"/>
                <w:lang w:eastAsia="en-US"/>
              </w:rPr>
            </w:pPr>
          </w:p>
        </w:tc>
        <w:tc>
          <w:tcPr>
            <w:tcW w:w="1588" w:type="pct"/>
            <w:noWrap/>
            <w:hideMark/>
          </w:tcPr>
          <w:p w14:paraId="2390F82D"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Futuras Generaciones de Sibaté I y II</w:t>
            </w:r>
          </w:p>
        </w:tc>
        <w:tc>
          <w:tcPr>
            <w:tcW w:w="1110" w:type="pct"/>
            <w:noWrap/>
            <w:hideMark/>
          </w:tcPr>
          <w:p w14:paraId="0B8D8DB9"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19,00</w:t>
            </w:r>
          </w:p>
        </w:tc>
      </w:tr>
      <w:tr w:rsidR="00C7285B" w:rsidRPr="00131EED" w14:paraId="0B76F5E3" w14:textId="77777777" w:rsidTr="00454C02">
        <w:trPr>
          <w:trHeight w:val="300"/>
        </w:trPr>
        <w:tc>
          <w:tcPr>
            <w:tcW w:w="1032" w:type="pct"/>
            <w:vMerge/>
            <w:noWrap/>
            <w:hideMark/>
          </w:tcPr>
          <w:p w14:paraId="40710CDB"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4C070F44" w14:textId="77777777" w:rsidR="00C7285B" w:rsidRPr="00131EED" w:rsidRDefault="00C7285B" w:rsidP="00EA1334">
            <w:pPr>
              <w:jc w:val="left"/>
              <w:rPr>
                <w:sz w:val="20"/>
                <w:szCs w:val="20"/>
                <w:lang w:eastAsia="en-US"/>
              </w:rPr>
            </w:pPr>
          </w:p>
        </w:tc>
        <w:tc>
          <w:tcPr>
            <w:tcW w:w="1588" w:type="pct"/>
            <w:noWrap/>
            <w:hideMark/>
          </w:tcPr>
          <w:p w14:paraId="45E17826"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Laguna de Pantano Redondo y el Nacimiento Rio Susaguá</w:t>
            </w:r>
          </w:p>
        </w:tc>
        <w:tc>
          <w:tcPr>
            <w:tcW w:w="1110" w:type="pct"/>
            <w:noWrap/>
            <w:hideMark/>
          </w:tcPr>
          <w:p w14:paraId="75CB187A"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1.353,00</w:t>
            </w:r>
          </w:p>
        </w:tc>
      </w:tr>
      <w:tr w:rsidR="00C7285B" w:rsidRPr="00131EED" w14:paraId="1DE593B7" w14:textId="77777777" w:rsidTr="00454C02">
        <w:trPr>
          <w:trHeight w:val="300"/>
        </w:trPr>
        <w:tc>
          <w:tcPr>
            <w:tcW w:w="1032" w:type="pct"/>
            <w:vMerge/>
            <w:noWrap/>
            <w:hideMark/>
          </w:tcPr>
          <w:p w14:paraId="6DC3B8CA"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0895077C" w14:textId="77777777" w:rsidR="00C7285B" w:rsidRPr="00131EED" w:rsidRDefault="00C7285B" w:rsidP="00EA1334">
            <w:pPr>
              <w:jc w:val="left"/>
              <w:rPr>
                <w:sz w:val="20"/>
                <w:szCs w:val="20"/>
                <w:lang w:eastAsia="en-US"/>
              </w:rPr>
            </w:pPr>
          </w:p>
        </w:tc>
        <w:tc>
          <w:tcPr>
            <w:tcW w:w="1588" w:type="pct"/>
            <w:noWrap/>
            <w:hideMark/>
          </w:tcPr>
          <w:p w14:paraId="584CDB50"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Laguna del Cacique Guatavita y Cuchilla de Peña Blanca</w:t>
            </w:r>
          </w:p>
        </w:tc>
        <w:tc>
          <w:tcPr>
            <w:tcW w:w="1110" w:type="pct"/>
            <w:noWrap/>
            <w:hideMark/>
          </w:tcPr>
          <w:p w14:paraId="17867FE8"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662,00</w:t>
            </w:r>
          </w:p>
        </w:tc>
      </w:tr>
      <w:tr w:rsidR="00C7285B" w:rsidRPr="00131EED" w14:paraId="04E22168" w14:textId="77777777" w:rsidTr="00454C02">
        <w:trPr>
          <w:trHeight w:val="300"/>
        </w:trPr>
        <w:tc>
          <w:tcPr>
            <w:tcW w:w="1032" w:type="pct"/>
            <w:vMerge/>
            <w:noWrap/>
            <w:hideMark/>
          </w:tcPr>
          <w:p w14:paraId="0B60A24F"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153F677A" w14:textId="77777777" w:rsidR="00C7285B" w:rsidRPr="00131EED" w:rsidRDefault="00C7285B" w:rsidP="00EA1334">
            <w:pPr>
              <w:jc w:val="left"/>
              <w:rPr>
                <w:sz w:val="20"/>
                <w:szCs w:val="20"/>
                <w:lang w:eastAsia="en-US"/>
              </w:rPr>
            </w:pPr>
          </w:p>
        </w:tc>
        <w:tc>
          <w:tcPr>
            <w:tcW w:w="1588" w:type="pct"/>
            <w:noWrap/>
            <w:hideMark/>
          </w:tcPr>
          <w:p w14:paraId="3C715E54"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Nacimiento del Río Bogotá</w:t>
            </w:r>
          </w:p>
        </w:tc>
        <w:tc>
          <w:tcPr>
            <w:tcW w:w="1110" w:type="pct"/>
            <w:noWrap/>
            <w:hideMark/>
          </w:tcPr>
          <w:p w14:paraId="643CA065"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1.224,00</w:t>
            </w:r>
          </w:p>
        </w:tc>
      </w:tr>
      <w:tr w:rsidR="00C7285B" w:rsidRPr="00131EED" w14:paraId="1A980F9D" w14:textId="77777777" w:rsidTr="00454C02">
        <w:trPr>
          <w:trHeight w:val="300"/>
        </w:trPr>
        <w:tc>
          <w:tcPr>
            <w:tcW w:w="1032" w:type="pct"/>
            <w:vMerge/>
            <w:noWrap/>
            <w:hideMark/>
          </w:tcPr>
          <w:p w14:paraId="722836AB"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0BC63E8D" w14:textId="77777777" w:rsidR="00C7285B" w:rsidRPr="00131EED" w:rsidRDefault="00C7285B" w:rsidP="00EA1334">
            <w:pPr>
              <w:jc w:val="left"/>
              <w:rPr>
                <w:sz w:val="20"/>
                <w:szCs w:val="20"/>
                <w:lang w:eastAsia="en-US"/>
              </w:rPr>
            </w:pPr>
          </w:p>
        </w:tc>
        <w:tc>
          <w:tcPr>
            <w:tcW w:w="1588" w:type="pct"/>
            <w:noWrap/>
            <w:hideMark/>
          </w:tcPr>
          <w:p w14:paraId="4F5A6796"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Nacimiento Quebradas Honda y Calderitas</w:t>
            </w:r>
          </w:p>
        </w:tc>
        <w:tc>
          <w:tcPr>
            <w:tcW w:w="1110" w:type="pct"/>
            <w:noWrap/>
            <w:hideMark/>
          </w:tcPr>
          <w:p w14:paraId="5A44C074"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487,00</w:t>
            </w:r>
          </w:p>
        </w:tc>
      </w:tr>
      <w:tr w:rsidR="00C7285B" w:rsidRPr="00131EED" w14:paraId="315F09F0" w14:textId="77777777" w:rsidTr="00454C02">
        <w:trPr>
          <w:trHeight w:val="300"/>
        </w:trPr>
        <w:tc>
          <w:tcPr>
            <w:tcW w:w="1032" w:type="pct"/>
            <w:vMerge/>
            <w:noWrap/>
            <w:hideMark/>
          </w:tcPr>
          <w:p w14:paraId="569BBBF9"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2F87134E" w14:textId="77777777" w:rsidR="00C7285B" w:rsidRPr="00131EED" w:rsidRDefault="00C7285B" w:rsidP="00EA1334">
            <w:pPr>
              <w:jc w:val="left"/>
              <w:rPr>
                <w:sz w:val="20"/>
                <w:szCs w:val="20"/>
                <w:lang w:eastAsia="en-US"/>
              </w:rPr>
            </w:pPr>
          </w:p>
        </w:tc>
        <w:tc>
          <w:tcPr>
            <w:tcW w:w="1588" w:type="pct"/>
            <w:noWrap/>
            <w:hideMark/>
          </w:tcPr>
          <w:p w14:paraId="6BFC54A0"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Páramo de El Frailejonal</w:t>
            </w:r>
          </w:p>
        </w:tc>
        <w:tc>
          <w:tcPr>
            <w:tcW w:w="1110" w:type="pct"/>
            <w:noWrap/>
            <w:hideMark/>
          </w:tcPr>
          <w:p w14:paraId="4A476E4B"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1,00</w:t>
            </w:r>
          </w:p>
        </w:tc>
      </w:tr>
      <w:tr w:rsidR="00C7285B" w:rsidRPr="00131EED" w14:paraId="7A24404C" w14:textId="77777777" w:rsidTr="00454C02">
        <w:trPr>
          <w:trHeight w:val="300"/>
        </w:trPr>
        <w:tc>
          <w:tcPr>
            <w:tcW w:w="1032" w:type="pct"/>
            <w:vMerge/>
            <w:noWrap/>
            <w:hideMark/>
          </w:tcPr>
          <w:p w14:paraId="260D1C19"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5FFBB1BD" w14:textId="77777777" w:rsidR="00C7285B" w:rsidRPr="00131EED" w:rsidRDefault="00C7285B" w:rsidP="00EA1334">
            <w:pPr>
              <w:jc w:val="left"/>
              <w:rPr>
                <w:sz w:val="20"/>
                <w:szCs w:val="20"/>
                <w:lang w:eastAsia="en-US"/>
              </w:rPr>
            </w:pPr>
          </w:p>
        </w:tc>
        <w:tc>
          <w:tcPr>
            <w:tcW w:w="1588" w:type="pct"/>
            <w:noWrap/>
            <w:hideMark/>
          </w:tcPr>
          <w:p w14:paraId="55DE8483"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Páramo de Guargua y Laguna Verde</w:t>
            </w:r>
          </w:p>
        </w:tc>
        <w:tc>
          <w:tcPr>
            <w:tcW w:w="1110" w:type="pct"/>
            <w:noWrap/>
            <w:hideMark/>
          </w:tcPr>
          <w:p w14:paraId="548E8229"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5.510,00</w:t>
            </w:r>
          </w:p>
        </w:tc>
      </w:tr>
      <w:tr w:rsidR="00C7285B" w:rsidRPr="00131EED" w14:paraId="6A01008B" w14:textId="77777777" w:rsidTr="00454C02">
        <w:trPr>
          <w:trHeight w:val="300"/>
        </w:trPr>
        <w:tc>
          <w:tcPr>
            <w:tcW w:w="1032" w:type="pct"/>
            <w:vMerge/>
            <w:noWrap/>
            <w:hideMark/>
          </w:tcPr>
          <w:p w14:paraId="5BC3A8E8"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7C33AB83" w14:textId="77777777" w:rsidR="00C7285B" w:rsidRPr="00131EED" w:rsidRDefault="00C7285B" w:rsidP="00EA1334">
            <w:pPr>
              <w:jc w:val="left"/>
              <w:rPr>
                <w:sz w:val="20"/>
                <w:szCs w:val="20"/>
                <w:lang w:eastAsia="en-US"/>
              </w:rPr>
            </w:pPr>
          </w:p>
        </w:tc>
        <w:tc>
          <w:tcPr>
            <w:tcW w:w="1588" w:type="pct"/>
            <w:noWrap/>
            <w:hideMark/>
          </w:tcPr>
          <w:p w14:paraId="6547BB9F"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Pionono</w:t>
            </w:r>
          </w:p>
        </w:tc>
        <w:tc>
          <w:tcPr>
            <w:tcW w:w="1110" w:type="pct"/>
            <w:noWrap/>
            <w:hideMark/>
          </w:tcPr>
          <w:p w14:paraId="0BF5A67F"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721,00</w:t>
            </w:r>
          </w:p>
        </w:tc>
      </w:tr>
      <w:tr w:rsidR="00C7285B" w:rsidRPr="00131EED" w14:paraId="70C4679E" w14:textId="77777777" w:rsidTr="00454C02">
        <w:trPr>
          <w:trHeight w:val="300"/>
        </w:trPr>
        <w:tc>
          <w:tcPr>
            <w:tcW w:w="1032" w:type="pct"/>
            <w:vMerge/>
            <w:noWrap/>
            <w:hideMark/>
          </w:tcPr>
          <w:p w14:paraId="437ECD5B"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7298F55F" w14:textId="77777777" w:rsidR="00C7285B" w:rsidRPr="00131EED" w:rsidRDefault="00C7285B" w:rsidP="00EA1334">
            <w:pPr>
              <w:jc w:val="left"/>
              <w:rPr>
                <w:sz w:val="20"/>
                <w:szCs w:val="20"/>
                <w:lang w:eastAsia="en-US"/>
              </w:rPr>
            </w:pPr>
          </w:p>
        </w:tc>
        <w:tc>
          <w:tcPr>
            <w:tcW w:w="1588" w:type="pct"/>
            <w:noWrap/>
            <w:hideMark/>
          </w:tcPr>
          <w:p w14:paraId="710A2B21"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Quebrada Paramillo y Queceros</w:t>
            </w:r>
          </w:p>
        </w:tc>
        <w:tc>
          <w:tcPr>
            <w:tcW w:w="1110" w:type="pct"/>
            <w:noWrap/>
            <w:hideMark/>
          </w:tcPr>
          <w:p w14:paraId="2E25874D"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250,00</w:t>
            </w:r>
          </w:p>
        </w:tc>
      </w:tr>
      <w:tr w:rsidR="00C7285B" w:rsidRPr="00131EED" w14:paraId="5B8486DE" w14:textId="77777777" w:rsidTr="00454C02">
        <w:trPr>
          <w:trHeight w:val="300"/>
        </w:trPr>
        <w:tc>
          <w:tcPr>
            <w:tcW w:w="1032" w:type="pct"/>
            <w:vMerge/>
            <w:noWrap/>
            <w:hideMark/>
          </w:tcPr>
          <w:p w14:paraId="39C7FFA6" w14:textId="77777777" w:rsidR="00C7285B" w:rsidRPr="00131EED" w:rsidRDefault="00C7285B" w:rsidP="00EA1334">
            <w:pPr>
              <w:jc w:val="left"/>
              <w:rPr>
                <w:rFonts w:cs="Calibri"/>
                <w:color w:val="000000"/>
                <w:sz w:val="20"/>
                <w:szCs w:val="20"/>
                <w:lang w:eastAsia="en-US"/>
              </w:rPr>
            </w:pPr>
          </w:p>
        </w:tc>
        <w:tc>
          <w:tcPr>
            <w:tcW w:w="2858" w:type="pct"/>
            <w:gridSpan w:val="2"/>
            <w:noWrap/>
            <w:hideMark/>
          </w:tcPr>
          <w:p w14:paraId="48A768D5" w14:textId="77777777" w:rsidR="00C7285B" w:rsidRPr="00131EED" w:rsidRDefault="00C7285B" w:rsidP="00EA1334">
            <w:pPr>
              <w:jc w:val="left"/>
              <w:rPr>
                <w:rFonts w:cs="Calibri"/>
                <w:b/>
                <w:color w:val="000000"/>
                <w:sz w:val="20"/>
                <w:szCs w:val="20"/>
                <w:lang w:eastAsia="en-US"/>
              </w:rPr>
            </w:pPr>
            <w:r w:rsidRPr="00131EED">
              <w:rPr>
                <w:rFonts w:cs="Calibri"/>
                <w:b/>
                <w:color w:val="000000"/>
                <w:sz w:val="20"/>
                <w:szCs w:val="20"/>
                <w:lang w:eastAsia="en-US"/>
              </w:rPr>
              <w:t>Total Corporación Autónoma Regional de Cundinamarca</w:t>
            </w:r>
          </w:p>
        </w:tc>
        <w:tc>
          <w:tcPr>
            <w:tcW w:w="1110" w:type="pct"/>
            <w:noWrap/>
            <w:hideMark/>
          </w:tcPr>
          <w:p w14:paraId="596D91F0" w14:textId="77777777" w:rsidR="00C7285B" w:rsidRPr="00131EED" w:rsidRDefault="00C7285B" w:rsidP="00951A0A">
            <w:pPr>
              <w:jc w:val="right"/>
              <w:rPr>
                <w:rFonts w:cs="Calibri"/>
                <w:b/>
                <w:color w:val="000000"/>
                <w:sz w:val="20"/>
                <w:szCs w:val="20"/>
                <w:lang w:eastAsia="en-US"/>
              </w:rPr>
            </w:pPr>
            <w:r w:rsidRPr="00131EED">
              <w:rPr>
                <w:rFonts w:cs="Calibri"/>
                <w:b/>
                <w:color w:val="000000"/>
                <w:sz w:val="20"/>
                <w:szCs w:val="20"/>
                <w:lang w:eastAsia="en-US"/>
              </w:rPr>
              <w:t>11.489,00</w:t>
            </w:r>
          </w:p>
        </w:tc>
      </w:tr>
      <w:tr w:rsidR="00C7285B" w:rsidRPr="00131EED" w14:paraId="3276A7E9" w14:textId="77777777" w:rsidTr="00454C02">
        <w:trPr>
          <w:trHeight w:val="300"/>
        </w:trPr>
        <w:tc>
          <w:tcPr>
            <w:tcW w:w="1032" w:type="pct"/>
            <w:vMerge/>
            <w:noWrap/>
            <w:hideMark/>
          </w:tcPr>
          <w:p w14:paraId="0636D4F5" w14:textId="77777777" w:rsidR="00C7285B" w:rsidRPr="00131EED" w:rsidRDefault="00C7285B" w:rsidP="00EA1334">
            <w:pPr>
              <w:jc w:val="left"/>
              <w:rPr>
                <w:rFonts w:cs="Calibri"/>
                <w:b/>
                <w:color w:val="000000"/>
                <w:sz w:val="20"/>
                <w:szCs w:val="20"/>
                <w:lang w:eastAsia="en-US"/>
              </w:rPr>
            </w:pPr>
          </w:p>
        </w:tc>
        <w:tc>
          <w:tcPr>
            <w:tcW w:w="1270" w:type="pct"/>
            <w:vMerge w:val="restart"/>
            <w:noWrap/>
            <w:hideMark/>
          </w:tcPr>
          <w:p w14:paraId="00947A79"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Corporación Autónoma Regional del Guavio</w:t>
            </w:r>
          </w:p>
        </w:tc>
        <w:tc>
          <w:tcPr>
            <w:tcW w:w="1588" w:type="pct"/>
            <w:noWrap/>
            <w:hideMark/>
          </w:tcPr>
          <w:p w14:paraId="5B2B21A9"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 xml:space="preserve">Cerros Pionono y las </w:t>
            </w:r>
            <w:r w:rsidRPr="00131EED">
              <w:rPr>
                <w:rFonts w:ascii="Times New Roman" w:hAnsi="Times New Roman"/>
                <w:color w:val="000000"/>
                <w:sz w:val="20"/>
                <w:szCs w:val="20"/>
                <w:lang w:eastAsia="en-US"/>
              </w:rPr>
              <w:t>├</w:t>
            </w:r>
            <w:r w:rsidRPr="00131EED">
              <w:rPr>
                <w:rFonts w:cs="Calibri"/>
                <w:color w:val="000000"/>
                <w:sz w:val="20"/>
                <w:szCs w:val="20"/>
                <w:lang w:eastAsia="en-US"/>
              </w:rPr>
              <w:t>üguilas</w:t>
            </w:r>
          </w:p>
        </w:tc>
        <w:tc>
          <w:tcPr>
            <w:tcW w:w="1110" w:type="pct"/>
            <w:noWrap/>
            <w:hideMark/>
          </w:tcPr>
          <w:p w14:paraId="20B748F5"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612,00</w:t>
            </w:r>
          </w:p>
        </w:tc>
      </w:tr>
      <w:tr w:rsidR="00C7285B" w:rsidRPr="00131EED" w14:paraId="558CA41E" w14:textId="77777777" w:rsidTr="00454C02">
        <w:trPr>
          <w:trHeight w:val="300"/>
        </w:trPr>
        <w:tc>
          <w:tcPr>
            <w:tcW w:w="1032" w:type="pct"/>
            <w:vMerge/>
            <w:noWrap/>
            <w:hideMark/>
          </w:tcPr>
          <w:p w14:paraId="0D14655F" w14:textId="77777777" w:rsidR="00C7285B" w:rsidRPr="00131EED" w:rsidRDefault="00C7285B" w:rsidP="00EA1334">
            <w:pPr>
              <w:jc w:val="left"/>
              <w:rPr>
                <w:rFonts w:cs="Calibri"/>
                <w:color w:val="000000"/>
                <w:sz w:val="20"/>
                <w:szCs w:val="20"/>
                <w:lang w:eastAsia="en-US"/>
              </w:rPr>
            </w:pPr>
          </w:p>
        </w:tc>
        <w:tc>
          <w:tcPr>
            <w:tcW w:w="1270" w:type="pct"/>
            <w:vMerge/>
            <w:noWrap/>
            <w:hideMark/>
          </w:tcPr>
          <w:p w14:paraId="6281AB2D" w14:textId="77777777" w:rsidR="00C7285B" w:rsidRPr="00131EED" w:rsidRDefault="00C7285B" w:rsidP="00EA1334">
            <w:pPr>
              <w:jc w:val="left"/>
              <w:rPr>
                <w:sz w:val="20"/>
                <w:szCs w:val="20"/>
                <w:lang w:eastAsia="en-US"/>
              </w:rPr>
            </w:pPr>
          </w:p>
        </w:tc>
        <w:tc>
          <w:tcPr>
            <w:tcW w:w="1588" w:type="pct"/>
            <w:noWrap/>
            <w:hideMark/>
          </w:tcPr>
          <w:p w14:paraId="2390C9FF" w14:textId="77777777" w:rsidR="00C7285B" w:rsidRPr="00131EED" w:rsidRDefault="00C7285B" w:rsidP="00EA1334">
            <w:pPr>
              <w:jc w:val="left"/>
              <w:rPr>
                <w:rFonts w:cs="Calibri"/>
                <w:color w:val="000000"/>
                <w:sz w:val="20"/>
                <w:szCs w:val="20"/>
                <w:lang w:eastAsia="en-US"/>
              </w:rPr>
            </w:pPr>
            <w:r w:rsidRPr="00131EED">
              <w:rPr>
                <w:rFonts w:cs="Calibri"/>
                <w:color w:val="000000"/>
                <w:sz w:val="20"/>
                <w:szCs w:val="20"/>
                <w:lang w:eastAsia="en-US"/>
              </w:rPr>
              <w:t>Santa Maria de las Lagunas</w:t>
            </w:r>
          </w:p>
        </w:tc>
        <w:tc>
          <w:tcPr>
            <w:tcW w:w="1110" w:type="pct"/>
            <w:noWrap/>
            <w:hideMark/>
          </w:tcPr>
          <w:p w14:paraId="04A1FDA7" w14:textId="77777777" w:rsidR="00C7285B" w:rsidRPr="00131EED" w:rsidRDefault="00C7285B" w:rsidP="00951A0A">
            <w:pPr>
              <w:jc w:val="right"/>
              <w:rPr>
                <w:rFonts w:cs="Calibri"/>
                <w:color w:val="000000"/>
                <w:sz w:val="20"/>
                <w:szCs w:val="20"/>
                <w:lang w:eastAsia="en-US"/>
              </w:rPr>
            </w:pPr>
            <w:r w:rsidRPr="00131EED">
              <w:rPr>
                <w:rFonts w:cs="Calibri"/>
                <w:color w:val="000000"/>
                <w:sz w:val="20"/>
                <w:szCs w:val="20"/>
                <w:lang w:eastAsia="en-US"/>
              </w:rPr>
              <w:t>80,00</w:t>
            </w:r>
          </w:p>
        </w:tc>
      </w:tr>
      <w:tr w:rsidR="00C7285B" w:rsidRPr="00131EED" w14:paraId="531452B3" w14:textId="77777777" w:rsidTr="00454C02">
        <w:trPr>
          <w:trHeight w:val="300"/>
        </w:trPr>
        <w:tc>
          <w:tcPr>
            <w:tcW w:w="1032" w:type="pct"/>
            <w:vMerge/>
            <w:noWrap/>
            <w:hideMark/>
          </w:tcPr>
          <w:p w14:paraId="0F80F26F" w14:textId="77777777" w:rsidR="00C7285B" w:rsidRPr="00131EED" w:rsidRDefault="00C7285B" w:rsidP="00EA1334">
            <w:pPr>
              <w:jc w:val="left"/>
              <w:rPr>
                <w:rFonts w:cs="Calibri"/>
                <w:color w:val="000000"/>
                <w:sz w:val="20"/>
                <w:szCs w:val="20"/>
                <w:lang w:eastAsia="en-US"/>
              </w:rPr>
            </w:pPr>
          </w:p>
        </w:tc>
        <w:tc>
          <w:tcPr>
            <w:tcW w:w="2858" w:type="pct"/>
            <w:gridSpan w:val="2"/>
            <w:noWrap/>
            <w:hideMark/>
          </w:tcPr>
          <w:p w14:paraId="60E15680" w14:textId="77777777" w:rsidR="00C7285B" w:rsidRPr="00131EED" w:rsidRDefault="00C7285B" w:rsidP="00EA1334">
            <w:pPr>
              <w:jc w:val="left"/>
              <w:rPr>
                <w:rFonts w:cs="Calibri"/>
                <w:b/>
                <w:color w:val="000000"/>
                <w:sz w:val="20"/>
                <w:szCs w:val="20"/>
                <w:lang w:eastAsia="en-US"/>
              </w:rPr>
            </w:pPr>
            <w:r w:rsidRPr="00131EED">
              <w:rPr>
                <w:rFonts w:cs="Calibri"/>
                <w:b/>
                <w:color w:val="000000"/>
                <w:sz w:val="20"/>
                <w:szCs w:val="20"/>
                <w:lang w:eastAsia="en-US"/>
              </w:rPr>
              <w:t>Total Corporación Autónoma Regional del Guavio</w:t>
            </w:r>
          </w:p>
        </w:tc>
        <w:tc>
          <w:tcPr>
            <w:tcW w:w="1110" w:type="pct"/>
            <w:noWrap/>
            <w:hideMark/>
          </w:tcPr>
          <w:p w14:paraId="3FC065F6" w14:textId="77777777" w:rsidR="00C7285B" w:rsidRPr="00131EED" w:rsidRDefault="00C7285B" w:rsidP="00951A0A">
            <w:pPr>
              <w:jc w:val="right"/>
              <w:rPr>
                <w:rFonts w:cs="Calibri"/>
                <w:b/>
                <w:color w:val="000000"/>
                <w:sz w:val="20"/>
                <w:szCs w:val="20"/>
                <w:lang w:eastAsia="en-US"/>
              </w:rPr>
            </w:pPr>
            <w:r w:rsidRPr="00131EED">
              <w:rPr>
                <w:rFonts w:cs="Calibri"/>
                <w:b/>
                <w:color w:val="000000"/>
                <w:sz w:val="20"/>
                <w:szCs w:val="20"/>
                <w:lang w:eastAsia="en-US"/>
              </w:rPr>
              <w:t>692,00</w:t>
            </w:r>
          </w:p>
        </w:tc>
      </w:tr>
      <w:tr w:rsidR="00C7285B" w:rsidRPr="00131EED" w14:paraId="622857EC" w14:textId="77777777" w:rsidTr="00454C02">
        <w:trPr>
          <w:trHeight w:val="300"/>
        </w:trPr>
        <w:tc>
          <w:tcPr>
            <w:tcW w:w="3890" w:type="pct"/>
            <w:gridSpan w:val="3"/>
            <w:noWrap/>
            <w:hideMark/>
          </w:tcPr>
          <w:p w14:paraId="141DC272" w14:textId="2A825FFD" w:rsidR="00C7285B" w:rsidRPr="00131EED" w:rsidRDefault="00C7285B" w:rsidP="00EA1334">
            <w:pPr>
              <w:jc w:val="left"/>
              <w:rPr>
                <w:sz w:val="20"/>
                <w:szCs w:val="20"/>
                <w:lang w:eastAsia="en-US"/>
              </w:rPr>
            </w:pPr>
            <w:r w:rsidRPr="00131EED">
              <w:rPr>
                <w:rFonts w:cs="Calibri"/>
                <w:b/>
                <w:color w:val="000000"/>
                <w:sz w:val="20"/>
                <w:szCs w:val="20"/>
                <w:lang w:eastAsia="en-US"/>
              </w:rPr>
              <w:t>Total Reservas Forestales Protectoras Regionales</w:t>
            </w:r>
          </w:p>
        </w:tc>
        <w:tc>
          <w:tcPr>
            <w:tcW w:w="1110" w:type="pct"/>
            <w:noWrap/>
            <w:hideMark/>
          </w:tcPr>
          <w:p w14:paraId="54B94211" w14:textId="77777777" w:rsidR="00C7285B" w:rsidRPr="00131EED" w:rsidRDefault="00C7285B" w:rsidP="00951A0A">
            <w:pPr>
              <w:jc w:val="right"/>
              <w:rPr>
                <w:rFonts w:cs="Calibri"/>
                <w:b/>
                <w:color w:val="000000"/>
                <w:sz w:val="20"/>
                <w:szCs w:val="20"/>
                <w:lang w:eastAsia="en-US"/>
              </w:rPr>
            </w:pPr>
            <w:r w:rsidRPr="00131EED">
              <w:rPr>
                <w:rFonts w:cs="Calibri"/>
                <w:b/>
                <w:color w:val="000000"/>
                <w:sz w:val="20"/>
                <w:szCs w:val="20"/>
                <w:lang w:eastAsia="en-US"/>
              </w:rPr>
              <w:t>12.181,00</w:t>
            </w:r>
          </w:p>
        </w:tc>
      </w:tr>
      <w:tr w:rsidR="00C7285B" w:rsidRPr="00131EED" w14:paraId="1ED38ED1" w14:textId="77777777" w:rsidTr="00454C02">
        <w:trPr>
          <w:trHeight w:val="300"/>
        </w:trPr>
        <w:tc>
          <w:tcPr>
            <w:tcW w:w="1032" w:type="pct"/>
            <w:noWrap/>
            <w:hideMark/>
          </w:tcPr>
          <w:p w14:paraId="40C1D918" w14:textId="77777777" w:rsidR="00AA0CED" w:rsidRPr="00131EED" w:rsidRDefault="00AA0CED" w:rsidP="00EA1334">
            <w:pPr>
              <w:jc w:val="left"/>
              <w:rPr>
                <w:rFonts w:cs="Calibri"/>
                <w:b/>
                <w:color w:val="000000"/>
                <w:sz w:val="20"/>
                <w:szCs w:val="20"/>
                <w:lang w:eastAsia="en-US"/>
              </w:rPr>
            </w:pPr>
            <w:r w:rsidRPr="00131EED">
              <w:rPr>
                <w:rFonts w:cs="Calibri"/>
                <w:b/>
                <w:color w:val="000000"/>
                <w:sz w:val="20"/>
                <w:szCs w:val="20"/>
                <w:lang w:eastAsia="en-US"/>
              </w:rPr>
              <w:t>Total general</w:t>
            </w:r>
          </w:p>
        </w:tc>
        <w:tc>
          <w:tcPr>
            <w:tcW w:w="1270" w:type="pct"/>
            <w:noWrap/>
            <w:hideMark/>
          </w:tcPr>
          <w:p w14:paraId="67B237D2" w14:textId="77777777" w:rsidR="00AA0CED" w:rsidRPr="00131EED" w:rsidRDefault="00AA0CED" w:rsidP="00EA1334">
            <w:pPr>
              <w:jc w:val="left"/>
              <w:rPr>
                <w:rFonts w:cs="Calibri"/>
                <w:b/>
                <w:color w:val="000000"/>
                <w:sz w:val="20"/>
                <w:szCs w:val="20"/>
                <w:lang w:eastAsia="en-US"/>
              </w:rPr>
            </w:pPr>
          </w:p>
        </w:tc>
        <w:tc>
          <w:tcPr>
            <w:tcW w:w="1588" w:type="pct"/>
            <w:noWrap/>
            <w:hideMark/>
          </w:tcPr>
          <w:p w14:paraId="3B1465C8" w14:textId="77777777" w:rsidR="00AA0CED" w:rsidRPr="00131EED" w:rsidRDefault="00AA0CED" w:rsidP="00EA1334">
            <w:pPr>
              <w:jc w:val="left"/>
              <w:rPr>
                <w:sz w:val="20"/>
                <w:szCs w:val="20"/>
                <w:lang w:eastAsia="en-US"/>
              </w:rPr>
            </w:pPr>
          </w:p>
        </w:tc>
        <w:tc>
          <w:tcPr>
            <w:tcW w:w="1110" w:type="pct"/>
            <w:noWrap/>
            <w:hideMark/>
          </w:tcPr>
          <w:p w14:paraId="1891721D" w14:textId="77777777" w:rsidR="00AA0CED" w:rsidRPr="00131EED" w:rsidRDefault="00AA0CED" w:rsidP="00951A0A">
            <w:pPr>
              <w:jc w:val="right"/>
              <w:rPr>
                <w:rFonts w:cs="Calibri"/>
                <w:b/>
                <w:color w:val="000000"/>
                <w:sz w:val="20"/>
                <w:szCs w:val="20"/>
                <w:lang w:eastAsia="en-US"/>
              </w:rPr>
            </w:pPr>
            <w:r w:rsidRPr="00131EED">
              <w:rPr>
                <w:rFonts w:cs="Calibri"/>
                <w:b/>
                <w:color w:val="000000"/>
                <w:sz w:val="20"/>
                <w:szCs w:val="20"/>
                <w:lang w:eastAsia="en-US"/>
              </w:rPr>
              <w:t>57.064,00</w:t>
            </w:r>
          </w:p>
        </w:tc>
      </w:tr>
    </w:tbl>
    <w:p w14:paraId="1C0074C9" w14:textId="64EE93A3" w:rsidR="008A326C" w:rsidRPr="00131EED" w:rsidRDefault="002F7830" w:rsidP="002F7830">
      <w:pPr>
        <w:jc w:val="center"/>
        <w:rPr>
          <w:rFonts w:cs="Arial"/>
          <w:sz w:val="20"/>
          <w:szCs w:val="20"/>
        </w:rPr>
      </w:pPr>
      <w:r w:rsidRPr="00131EED">
        <w:rPr>
          <w:rFonts w:cs="Arial"/>
          <w:sz w:val="20"/>
          <w:szCs w:val="20"/>
        </w:rPr>
        <w:t>Fuente: RUNAP, 2025</w:t>
      </w:r>
    </w:p>
    <w:p w14:paraId="588D0FE5" w14:textId="77777777" w:rsidR="008A326C" w:rsidRPr="00131EED" w:rsidRDefault="008A326C" w:rsidP="008A326C">
      <w:pPr>
        <w:rPr>
          <w:rFonts w:cs="Arial"/>
        </w:rPr>
      </w:pPr>
    </w:p>
    <w:p w14:paraId="059E05DE" w14:textId="66089ED6" w:rsidR="008A326C" w:rsidRPr="00131EED" w:rsidRDefault="008A326C" w:rsidP="008A326C">
      <w:pPr>
        <w:rPr>
          <w:rFonts w:cs="Arial"/>
          <w:shd w:val="clear" w:color="auto" w:fill="FEFEFE"/>
        </w:rPr>
      </w:pPr>
      <w:r w:rsidRPr="00131EED">
        <w:rPr>
          <w:rFonts w:cs="Arial"/>
          <w:shd w:val="clear" w:color="auto" w:fill="FEFEFE"/>
        </w:rPr>
        <w:t xml:space="preserve">Actualmente de las </w:t>
      </w:r>
      <w:r w:rsidR="00E70904" w:rsidRPr="00131EED">
        <w:rPr>
          <w:rFonts w:cs="Arial"/>
          <w:shd w:val="clear" w:color="auto" w:fill="FEFEFE"/>
        </w:rPr>
        <w:t>9</w:t>
      </w:r>
      <w:r w:rsidR="00BF1FD6" w:rsidRPr="00131EED">
        <w:rPr>
          <w:rFonts w:cs="Arial"/>
          <w:shd w:val="clear" w:color="auto" w:fill="FEFEFE"/>
        </w:rPr>
        <w:t>9 áreas solo 15</w:t>
      </w:r>
      <w:r w:rsidRPr="00131EED">
        <w:rPr>
          <w:rFonts w:cs="Arial"/>
          <w:shd w:val="clear" w:color="auto" w:fill="FEFEFE"/>
        </w:rPr>
        <w:t xml:space="preserve"> cuentan con planes de manejo formulados y adoptados, siendo los parques Naturales Nacionales los que tienen en su totalidad los planes adoptados En la tabla 37 se relacionan las categorías de áreas protegidas con planes de manejo, que confluyen en el territorio definido para la ecorregión sabana de Bogotá.</w:t>
      </w:r>
    </w:p>
    <w:p w14:paraId="37049D7E" w14:textId="77777777" w:rsidR="00A45F77" w:rsidRPr="00131EED" w:rsidRDefault="00A45F77" w:rsidP="003228A4">
      <w:pPr>
        <w:jc w:val="center"/>
        <w:rPr>
          <w:rFonts w:ascii="Baskerville" w:hAnsi="Baskerville" w:cs="Arial"/>
          <w:shd w:val="clear" w:color="auto" w:fill="FEFEFE"/>
        </w:rPr>
      </w:pPr>
    </w:p>
    <w:p w14:paraId="68C6DF2E" w14:textId="50A8707C" w:rsidR="003228A4" w:rsidRPr="00131EED" w:rsidRDefault="008A326C" w:rsidP="009449B0">
      <w:pPr>
        <w:pStyle w:val="Caption"/>
        <w:jc w:val="center"/>
      </w:pPr>
      <w:bookmarkStart w:id="67" w:name="_Toc216468920"/>
      <w:r w:rsidRPr="00131EED">
        <w:t xml:space="preserve">Tabla </w:t>
      </w:r>
      <w:r w:rsidRPr="00131EED">
        <w:fldChar w:fldCharType="begin"/>
      </w:r>
      <w:r w:rsidRPr="00131EED">
        <w:instrText>SEQ Tabla \* ARABIC</w:instrText>
      </w:r>
      <w:r w:rsidRPr="00131EED">
        <w:fldChar w:fldCharType="separate"/>
      </w:r>
      <w:r w:rsidR="00CE096F">
        <w:rPr>
          <w:noProof/>
        </w:rPr>
        <w:t>10</w:t>
      </w:r>
      <w:r w:rsidRPr="00131EED">
        <w:fldChar w:fldCharType="end"/>
      </w:r>
      <w:r w:rsidRPr="00131EED">
        <w:t xml:space="preserve"> Áreas Protegidas del SINAP en la ecorregión Sabana de Bogotá con Planes de Manejo reportados en RUNAP</w:t>
      </w:r>
      <w:bookmarkEnd w:id="67"/>
    </w:p>
    <w:tbl>
      <w:tblPr>
        <w:tblStyle w:val="TableGrid"/>
        <w:tblW w:w="9417" w:type="dxa"/>
        <w:tblLayout w:type="fixed"/>
        <w:tblLook w:val="0620" w:firstRow="1" w:lastRow="0" w:firstColumn="0" w:lastColumn="0" w:noHBand="1" w:noVBand="1"/>
      </w:tblPr>
      <w:tblGrid>
        <w:gridCol w:w="1916"/>
        <w:gridCol w:w="815"/>
        <w:gridCol w:w="1535"/>
        <w:gridCol w:w="1591"/>
        <w:gridCol w:w="1856"/>
        <w:gridCol w:w="1704"/>
      </w:tblGrid>
      <w:tr w:rsidR="008A326C" w:rsidRPr="00131EED" w14:paraId="219212D8" w14:textId="77777777" w:rsidTr="00EB1D7C">
        <w:trPr>
          <w:trHeight w:val="165"/>
        </w:trPr>
        <w:tc>
          <w:tcPr>
            <w:tcW w:w="1916" w:type="dxa"/>
          </w:tcPr>
          <w:p w14:paraId="64D83FC2" w14:textId="77777777" w:rsidR="008A326C" w:rsidRPr="00131EED" w:rsidRDefault="008A326C" w:rsidP="002D7F18">
            <w:pPr>
              <w:rPr>
                <w:rFonts w:cs="Arial"/>
                <w:b/>
                <w:sz w:val="20"/>
                <w:szCs w:val="20"/>
                <w:shd w:val="clear" w:color="auto" w:fill="FEFEFE"/>
              </w:rPr>
            </w:pPr>
            <w:r w:rsidRPr="00131EED">
              <w:rPr>
                <w:rFonts w:cs="Arial"/>
                <w:b/>
                <w:sz w:val="20"/>
                <w:szCs w:val="20"/>
                <w:shd w:val="clear" w:color="auto" w:fill="FEFEFE"/>
              </w:rPr>
              <w:t>Categoría</w:t>
            </w:r>
          </w:p>
        </w:tc>
        <w:tc>
          <w:tcPr>
            <w:tcW w:w="815" w:type="dxa"/>
          </w:tcPr>
          <w:p w14:paraId="5712DDDA" w14:textId="77777777" w:rsidR="008A326C" w:rsidRPr="00131EED" w:rsidRDefault="008A326C" w:rsidP="002D7F18">
            <w:pPr>
              <w:rPr>
                <w:rFonts w:cs="Arial"/>
                <w:b/>
                <w:sz w:val="20"/>
                <w:szCs w:val="20"/>
                <w:shd w:val="clear" w:color="auto" w:fill="FEFEFE"/>
              </w:rPr>
            </w:pPr>
            <w:r w:rsidRPr="00131EED">
              <w:rPr>
                <w:rFonts w:cs="Arial"/>
                <w:b/>
                <w:sz w:val="20"/>
                <w:szCs w:val="20"/>
                <w:shd w:val="clear" w:color="auto" w:fill="FEFEFE"/>
              </w:rPr>
              <w:t xml:space="preserve">No. de áreas </w:t>
            </w:r>
          </w:p>
        </w:tc>
        <w:tc>
          <w:tcPr>
            <w:tcW w:w="1535" w:type="dxa"/>
          </w:tcPr>
          <w:p w14:paraId="09D5CF03" w14:textId="77777777" w:rsidR="008A326C" w:rsidRPr="00131EED" w:rsidRDefault="008A326C" w:rsidP="002D7F18">
            <w:pPr>
              <w:rPr>
                <w:rFonts w:cs="Arial"/>
                <w:b/>
                <w:sz w:val="20"/>
                <w:szCs w:val="20"/>
                <w:shd w:val="clear" w:color="auto" w:fill="FEFEFE"/>
              </w:rPr>
            </w:pPr>
            <w:r w:rsidRPr="00131EED">
              <w:rPr>
                <w:rFonts w:cs="Arial"/>
                <w:b/>
                <w:sz w:val="20"/>
                <w:szCs w:val="20"/>
                <w:shd w:val="clear" w:color="auto" w:fill="FEFEFE"/>
              </w:rPr>
              <w:t>Area Traslape hectáreas</w:t>
            </w:r>
          </w:p>
        </w:tc>
        <w:tc>
          <w:tcPr>
            <w:tcW w:w="1591" w:type="dxa"/>
          </w:tcPr>
          <w:p w14:paraId="6A735F42" w14:textId="77777777" w:rsidR="008A326C" w:rsidRPr="00131EED" w:rsidRDefault="008A326C" w:rsidP="002D7F18">
            <w:pPr>
              <w:rPr>
                <w:rFonts w:cs="Arial"/>
                <w:b/>
                <w:sz w:val="20"/>
                <w:szCs w:val="20"/>
                <w:shd w:val="clear" w:color="auto" w:fill="FEFEFE"/>
              </w:rPr>
            </w:pPr>
            <w:r w:rsidRPr="00131EED">
              <w:rPr>
                <w:rFonts w:cs="Arial"/>
                <w:b/>
                <w:sz w:val="20"/>
                <w:szCs w:val="20"/>
                <w:shd w:val="clear" w:color="auto" w:fill="FEFEFE"/>
              </w:rPr>
              <w:t>Porcentaje respecto a sabana</w:t>
            </w:r>
          </w:p>
        </w:tc>
        <w:tc>
          <w:tcPr>
            <w:tcW w:w="1856" w:type="dxa"/>
          </w:tcPr>
          <w:p w14:paraId="671A5784" w14:textId="77777777" w:rsidR="008A326C" w:rsidRPr="00131EED" w:rsidRDefault="008A326C" w:rsidP="002D7F18">
            <w:pPr>
              <w:rPr>
                <w:rFonts w:cs="Arial"/>
                <w:b/>
                <w:sz w:val="20"/>
                <w:szCs w:val="20"/>
                <w:shd w:val="clear" w:color="auto" w:fill="FEFEFE"/>
              </w:rPr>
            </w:pPr>
            <w:r w:rsidRPr="00131EED">
              <w:rPr>
                <w:rFonts w:cs="Arial"/>
                <w:b/>
                <w:sz w:val="20"/>
                <w:szCs w:val="20"/>
                <w:shd w:val="clear" w:color="auto" w:fill="FEFEFE"/>
              </w:rPr>
              <w:t>No de áreas con Planes de Manejo</w:t>
            </w:r>
          </w:p>
        </w:tc>
        <w:tc>
          <w:tcPr>
            <w:tcW w:w="1704" w:type="dxa"/>
          </w:tcPr>
          <w:p w14:paraId="789C5C69" w14:textId="77777777" w:rsidR="008A326C" w:rsidRPr="00131EED" w:rsidRDefault="008A326C" w:rsidP="002D7F18">
            <w:pPr>
              <w:rPr>
                <w:rFonts w:cs="Arial"/>
                <w:b/>
                <w:sz w:val="20"/>
                <w:szCs w:val="20"/>
                <w:shd w:val="clear" w:color="auto" w:fill="FEFEFE"/>
              </w:rPr>
            </w:pPr>
            <w:r w:rsidRPr="00131EED">
              <w:rPr>
                <w:rFonts w:cs="Arial"/>
                <w:b/>
                <w:sz w:val="20"/>
                <w:szCs w:val="20"/>
                <w:shd w:val="clear" w:color="auto" w:fill="FEFEFE"/>
              </w:rPr>
              <w:t>% por categoría con plan de manejo</w:t>
            </w:r>
          </w:p>
        </w:tc>
      </w:tr>
      <w:tr w:rsidR="008A326C" w:rsidRPr="00131EED" w14:paraId="0992A577" w14:textId="77777777" w:rsidTr="00EB1D7C">
        <w:trPr>
          <w:trHeight w:val="165"/>
        </w:trPr>
        <w:tc>
          <w:tcPr>
            <w:tcW w:w="1916" w:type="dxa"/>
          </w:tcPr>
          <w:p w14:paraId="7BE9B51E" w14:textId="77777777" w:rsidR="008A326C" w:rsidRPr="00131EED" w:rsidRDefault="008A326C" w:rsidP="002D7F18">
            <w:pPr>
              <w:rPr>
                <w:rFonts w:cs="Arial"/>
                <w:sz w:val="20"/>
                <w:szCs w:val="20"/>
                <w:shd w:val="clear" w:color="auto" w:fill="FEFEFE"/>
              </w:rPr>
            </w:pPr>
            <w:r w:rsidRPr="00131EED">
              <w:rPr>
                <w:rFonts w:cs="Arial"/>
                <w:sz w:val="20"/>
                <w:szCs w:val="20"/>
                <w:shd w:val="clear" w:color="auto" w:fill="FEFEFE"/>
              </w:rPr>
              <w:t>Distritos de Conservación de Suelos</w:t>
            </w:r>
          </w:p>
        </w:tc>
        <w:tc>
          <w:tcPr>
            <w:tcW w:w="815" w:type="dxa"/>
          </w:tcPr>
          <w:p w14:paraId="4FD63922" w14:textId="77777777" w:rsidR="008A326C" w:rsidRPr="00131EED" w:rsidRDefault="008A326C" w:rsidP="000448A3">
            <w:pPr>
              <w:jc w:val="center"/>
              <w:rPr>
                <w:rFonts w:cs="Arial"/>
                <w:sz w:val="20"/>
                <w:szCs w:val="20"/>
                <w:shd w:val="clear" w:color="auto" w:fill="FEFEFE"/>
              </w:rPr>
            </w:pPr>
            <w:r w:rsidRPr="00131EED">
              <w:rPr>
                <w:rFonts w:cs="Arial"/>
                <w:sz w:val="20"/>
                <w:szCs w:val="20"/>
                <w:shd w:val="clear" w:color="auto" w:fill="FEFEFE"/>
              </w:rPr>
              <w:t>2</w:t>
            </w:r>
          </w:p>
        </w:tc>
        <w:tc>
          <w:tcPr>
            <w:tcW w:w="1535" w:type="dxa"/>
          </w:tcPr>
          <w:p w14:paraId="685AA34B" w14:textId="44E5FC60" w:rsidR="008A326C" w:rsidRPr="00131EED" w:rsidRDefault="00BB0802" w:rsidP="000448A3">
            <w:pPr>
              <w:jc w:val="center"/>
              <w:rPr>
                <w:rFonts w:cs="Arial"/>
                <w:sz w:val="20"/>
                <w:szCs w:val="20"/>
                <w:shd w:val="clear" w:color="auto" w:fill="FEFEFE"/>
              </w:rPr>
            </w:pPr>
            <w:r w:rsidRPr="00131EED">
              <w:rPr>
                <w:rFonts w:cs="Arial"/>
                <w:sz w:val="20"/>
                <w:szCs w:val="20"/>
                <w:shd w:val="clear" w:color="auto" w:fill="FEFEFE"/>
              </w:rPr>
              <w:t>596</w:t>
            </w:r>
          </w:p>
        </w:tc>
        <w:tc>
          <w:tcPr>
            <w:tcW w:w="1591" w:type="dxa"/>
          </w:tcPr>
          <w:p w14:paraId="78375B32" w14:textId="2BC6BCD4" w:rsidR="008A326C" w:rsidRPr="00131EED" w:rsidRDefault="00BB0802" w:rsidP="000448A3">
            <w:pPr>
              <w:jc w:val="center"/>
              <w:rPr>
                <w:rFonts w:cs="Arial"/>
                <w:sz w:val="20"/>
                <w:szCs w:val="20"/>
                <w:shd w:val="clear" w:color="auto" w:fill="FEFEFE"/>
              </w:rPr>
            </w:pPr>
            <w:r w:rsidRPr="00131EED">
              <w:rPr>
                <w:rFonts w:cs="Arial"/>
                <w:sz w:val="20"/>
                <w:szCs w:val="20"/>
                <w:shd w:val="clear" w:color="auto" w:fill="FEFEFE"/>
              </w:rPr>
              <w:t>0,14</w:t>
            </w:r>
          </w:p>
        </w:tc>
        <w:tc>
          <w:tcPr>
            <w:tcW w:w="1856" w:type="dxa"/>
          </w:tcPr>
          <w:p w14:paraId="7EB27D07" w14:textId="77777777" w:rsidR="008A326C" w:rsidRPr="00131EED" w:rsidRDefault="008A326C" w:rsidP="000448A3">
            <w:pPr>
              <w:jc w:val="center"/>
              <w:rPr>
                <w:rFonts w:cs="Arial"/>
                <w:sz w:val="20"/>
                <w:szCs w:val="20"/>
                <w:shd w:val="clear" w:color="auto" w:fill="FEFEFE"/>
              </w:rPr>
            </w:pPr>
            <w:r w:rsidRPr="00131EED">
              <w:rPr>
                <w:rFonts w:cs="Arial"/>
                <w:sz w:val="20"/>
                <w:szCs w:val="20"/>
                <w:shd w:val="clear" w:color="auto" w:fill="FEFEFE"/>
              </w:rPr>
              <w:t>1</w:t>
            </w:r>
          </w:p>
        </w:tc>
        <w:tc>
          <w:tcPr>
            <w:tcW w:w="1704" w:type="dxa"/>
          </w:tcPr>
          <w:p w14:paraId="20737D17" w14:textId="77777777" w:rsidR="008A326C" w:rsidRPr="00131EED" w:rsidRDefault="008A326C" w:rsidP="000448A3">
            <w:pPr>
              <w:jc w:val="center"/>
              <w:rPr>
                <w:rFonts w:cs="Arial"/>
                <w:sz w:val="20"/>
                <w:szCs w:val="20"/>
                <w:shd w:val="clear" w:color="auto" w:fill="FEFEFE"/>
              </w:rPr>
            </w:pPr>
            <w:r w:rsidRPr="00131EED">
              <w:rPr>
                <w:rFonts w:cs="Arial"/>
                <w:sz w:val="20"/>
                <w:szCs w:val="20"/>
                <w:shd w:val="clear" w:color="auto" w:fill="FEFEFE"/>
              </w:rPr>
              <w:t>50%</w:t>
            </w:r>
          </w:p>
        </w:tc>
      </w:tr>
      <w:tr w:rsidR="008A326C" w:rsidRPr="00131EED" w14:paraId="71079EBA" w14:textId="77777777" w:rsidTr="00EB1D7C">
        <w:trPr>
          <w:trHeight w:val="165"/>
        </w:trPr>
        <w:tc>
          <w:tcPr>
            <w:tcW w:w="1916" w:type="dxa"/>
          </w:tcPr>
          <w:p w14:paraId="59E26BFE" w14:textId="77777777" w:rsidR="008A326C" w:rsidRPr="00131EED" w:rsidRDefault="008A326C" w:rsidP="002D7F18">
            <w:pPr>
              <w:rPr>
                <w:rFonts w:cs="Arial"/>
                <w:sz w:val="20"/>
                <w:szCs w:val="20"/>
                <w:shd w:val="clear" w:color="auto" w:fill="FEFEFE"/>
              </w:rPr>
            </w:pPr>
            <w:r w:rsidRPr="00131EED">
              <w:rPr>
                <w:rFonts w:cs="Arial"/>
                <w:sz w:val="20"/>
                <w:szCs w:val="20"/>
                <w:shd w:val="clear" w:color="auto" w:fill="FEFEFE"/>
              </w:rPr>
              <w:t>Distritos Regionales de Manejo Integrado</w:t>
            </w:r>
          </w:p>
        </w:tc>
        <w:tc>
          <w:tcPr>
            <w:tcW w:w="815" w:type="dxa"/>
          </w:tcPr>
          <w:p w14:paraId="5E55DE17" w14:textId="741F8330" w:rsidR="008A326C" w:rsidRPr="00131EED" w:rsidRDefault="005D4DAA" w:rsidP="000448A3">
            <w:pPr>
              <w:jc w:val="center"/>
              <w:rPr>
                <w:rFonts w:cs="Arial"/>
                <w:sz w:val="20"/>
                <w:szCs w:val="20"/>
                <w:shd w:val="clear" w:color="auto" w:fill="FEFEFE"/>
              </w:rPr>
            </w:pPr>
            <w:r w:rsidRPr="00131EED">
              <w:rPr>
                <w:rFonts w:cs="Arial"/>
                <w:sz w:val="20"/>
                <w:szCs w:val="20"/>
                <w:shd w:val="clear" w:color="auto" w:fill="FEFEFE"/>
              </w:rPr>
              <w:t>7</w:t>
            </w:r>
          </w:p>
        </w:tc>
        <w:tc>
          <w:tcPr>
            <w:tcW w:w="1535" w:type="dxa"/>
          </w:tcPr>
          <w:p w14:paraId="1F360B00" w14:textId="6A9DC251" w:rsidR="008A326C" w:rsidRPr="00131EED" w:rsidRDefault="005D4DAA" w:rsidP="000448A3">
            <w:pPr>
              <w:jc w:val="center"/>
              <w:rPr>
                <w:rFonts w:cs="Arial"/>
                <w:sz w:val="20"/>
                <w:szCs w:val="20"/>
                <w:shd w:val="clear" w:color="auto" w:fill="FEFEFE"/>
              </w:rPr>
            </w:pPr>
            <w:r w:rsidRPr="00131EED">
              <w:rPr>
                <w:rFonts w:cs="Arial"/>
                <w:sz w:val="20"/>
                <w:szCs w:val="20"/>
                <w:shd w:val="clear" w:color="auto" w:fill="FEFEFE"/>
              </w:rPr>
              <w:t>24.375</w:t>
            </w:r>
          </w:p>
        </w:tc>
        <w:tc>
          <w:tcPr>
            <w:tcW w:w="1591" w:type="dxa"/>
          </w:tcPr>
          <w:p w14:paraId="7750AF07" w14:textId="580BBDEA" w:rsidR="008A326C" w:rsidRPr="00131EED" w:rsidRDefault="00571AA4" w:rsidP="000448A3">
            <w:pPr>
              <w:jc w:val="center"/>
              <w:rPr>
                <w:rFonts w:cs="Arial"/>
                <w:sz w:val="20"/>
                <w:szCs w:val="20"/>
                <w:shd w:val="clear" w:color="auto" w:fill="FEFEFE"/>
              </w:rPr>
            </w:pPr>
            <w:r w:rsidRPr="00131EED">
              <w:rPr>
                <w:rFonts w:cs="Arial"/>
                <w:sz w:val="20"/>
                <w:szCs w:val="20"/>
                <w:shd w:val="clear" w:color="auto" w:fill="FEFEFE"/>
              </w:rPr>
              <w:t>5,69</w:t>
            </w:r>
          </w:p>
        </w:tc>
        <w:tc>
          <w:tcPr>
            <w:tcW w:w="1856" w:type="dxa"/>
          </w:tcPr>
          <w:p w14:paraId="6D5789F0" w14:textId="4CC632EE" w:rsidR="008A326C" w:rsidRPr="00131EED" w:rsidRDefault="00A36150" w:rsidP="000448A3">
            <w:pPr>
              <w:jc w:val="center"/>
              <w:rPr>
                <w:rFonts w:cs="Arial"/>
                <w:sz w:val="20"/>
                <w:szCs w:val="20"/>
                <w:shd w:val="clear" w:color="auto" w:fill="FEFEFE"/>
              </w:rPr>
            </w:pPr>
            <w:r w:rsidRPr="00131EED">
              <w:rPr>
                <w:rFonts w:cs="Arial"/>
                <w:sz w:val="20"/>
                <w:szCs w:val="20"/>
                <w:shd w:val="clear" w:color="auto" w:fill="FEFEFE"/>
              </w:rPr>
              <w:t>4</w:t>
            </w:r>
          </w:p>
        </w:tc>
        <w:tc>
          <w:tcPr>
            <w:tcW w:w="1704" w:type="dxa"/>
          </w:tcPr>
          <w:p w14:paraId="5253B9B1" w14:textId="77777777" w:rsidR="008A326C" w:rsidRPr="00131EED" w:rsidRDefault="008A326C" w:rsidP="000448A3">
            <w:pPr>
              <w:jc w:val="center"/>
              <w:rPr>
                <w:rFonts w:cs="Arial"/>
                <w:sz w:val="20"/>
                <w:szCs w:val="20"/>
                <w:shd w:val="clear" w:color="auto" w:fill="FEFEFE"/>
              </w:rPr>
            </w:pPr>
            <w:r w:rsidRPr="00131EED">
              <w:rPr>
                <w:rFonts w:cs="Arial"/>
                <w:sz w:val="20"/>
                <w:szCs w:val="20"/>
                <w:shd w:val="clear" w:color="auto" w:fill="FEFEFE"/>
              </w:rPr>
              <w:t>56%</w:t>
            </w:r>
          </w:p>
        </w:tc>
      </w:tr>
      <w:tr w:rsidR="008A326C" w:rsidRPr="00131EED" w14:paraId="65388154" w14:textId="77777777" w:rsidTr="00EB1D7C">
        <w:trPr>
          <w:trHeight w:val="165"/>
        </w:trPr>
        <w:tc>
          <w:tcPr>
            <w:tcW w:w="1916" w:type="dxa"/>
          </w:tcPr>
          <w:p w14:paraId="4C614732" w14:textId="77777777" w:rsidR="008A326C" w:rsidRPr="00131EED" w:rsidRDefault="008A326C" w:rsidP="002D7F18">
            <w:pPr>
              <w:rPr>
                <w:rFonts w:cs="Arial"/>
                <w:sz w:val="20"/>
                <w:szCs w:val="20"/>
                <w:shd w:val="clear" w:color="auto" w:fill="FEFEFE"/>
              </w:rPr>
            </w:pPr>
            <w:r w:rsidRPr="00131EED">
              <w:rPr>
                <w:rFonts w:cs="Arial"/>
                <w:sz w:val="20"/>
                <w:szCs w:val="20"/>
                <w:shd w:val="clear" w:color="auto" w:fill="FEFEFE"/>
              </w:rPr>
              <w:t>Parque Nacional Natural</w:t>
            </w:r>
          </w:p>
        </w:tc>
        <w:tc>
          <w:tcPr>
            <w:tcW w:w="815" w:type="dxa"/>
          </w:tcPr>
          <w:p w14:paraId="4AF52C4B" w14:textId="77777777" w:rsidR="008A326C" w:rsidRPr="00131EED" w:rsidRDefault="008A326C" w:rsidP="000448A3">
            <w:pPr>
              <w:jc w:val="center"/>
              <w:rPr>
                <w:rFonts w:cs="Arial"/>
                <w:sz w:val="20"/>
                <w:szCs w:val="20"/>
                <w:shd w:val="clear" w:color="auto" w:fill="FEFEFE"/>
              </w:rPr>
            </w:pPr>
            <w:r w:rsidRPr="00131EED">
              <w:rPr>
                <w:rFonts w:cs="Arial"/>
                <w:sz w:val="20"/>
                <w:szCs w:val="20"/>
                <w:shd w:val="clear" w:color="auto" w:fill="FEFEFE"/>
              </w:rPr>
              <w:t>2</w:t>
            </w:r>
          </w:p>
        </w:tc>
        <w:tc>
          <w:tcPr>
            <w:tcW w:w="1535" w:type="dxa"/>
          </w:tcPr>
          <w:p w14:paraId="3AB11F00" w14:textId="7599ABCD" w:rsidR="008A326C" w:rsidRPr="00131EED" w:rsidRDefault="00536674" w:rsidP="000448A3">
            <w:pPr>
              <w:jc w:val="center"/>
              <w:rPr>
                <w:rFonts w:cs="Arial"/>
                <w:sz w:val="20"/>
                <w:szCs w:val="20"/>
                <w:shd w:val="clear" w:color="auto" w:fill="FEFEFE"/>
              </w:rPr>
            </w:pPr>
            <w:r w:rsidRPr="00131EED">
              <w:rPr>
                <w:rFonts w:cs="Arial"/>
                <w:sz w:val="20"/>
                <w:szCs w:val="20"/>
                <w:shd w:val="clear" w:color="auto" w:fill="FEFEFE"/>
              </w:rPr>
              <w:t>957</w:t>
            </w:r>
          </w:p>
        </w:tc>
        <w:tc>
          <w:tcPr>
            <w:tcW w:w="1591" w:type="dxa"/>
          </w:tcPr>
          <w:p w14:paraId="37FF101A" w14:textId="3DBAE704" w:rsidR="008A326C" w:rsidRPr="00131EED" w:rsidRDefault="00536674" w:rsidP="000448A3">
            <w:pPr>
              <w:jc w:val="center"/>
              <w:rPr>
                <w:rFonts w:cs="Arial"/>
                <w:sz w:val="20"/>
                <w:szCs w:val="20"/>
                <w:shd w:val="clear" w:color="auto" w:fill="FEFEFE"/>
              </w:rPr>
            </w:pPr>
            <w:r w:rsidRPr="00131EED">
              <w:rPr>
                <w:rFonts w:cs="Arial"/>
                <w:sz w:val="20"/>
                <w:szCs w:val="20"/>
                <w:shd w:val="clear" w:color="auto" w:fill="FEFEFE"/>
              </w:rPr>
              <w:t>0,2</w:t>
            </w:r>
          </w:p>
        </w:tc>
        <w:tc>
          <w:tcPr>
            <w:tcW w:w="1856" w:type="dxa"/>
          </w:tcPr>
          <w:p w14:paraId="4F198BC3" w14:textId="77777777" w:rsidR="008A326C" w:rsidRPr="00131EED" w:rsidRDefault="008A326C" w:rsidP="000448A3">
            <w:pPr>
              <w:jc w:val="center"/>
              <w:rPr>
                <w:rFonts w:cs="Arial"/>
                <w:sz w:val="20"/>
                <w:szCs w:val="20"/>
                <w:shd w:val="clear" w:color="auto" w:fill="FEFEFE"/>
              </w:rPr>
            </w:pPr>
            <w:r w:rsidRPr="00131EED">
              <w:rPr>
                <w:rFonts w:cs="Arial"/>
                <w:sz w:val="20"/>
                <w:szCs w:val="20"/>
                <w:shd w:val="clear" w:color="auto" w:fill="FEFEFE"/>
              </w:rPr>
              <w:t>2</w:t>
            </w:r>
          </w:p>
        </w:tc>
        <w:tc>
          <w:tcPr>
            <w:tcW w:w="1704" w:type="dxa"/>
          </w:tcPr>
          <w:p w14:paraId="22139B46" w14:textId="77777777" w:rsidR="008A326C" w:rsidRPr="00131EED" w:rsidRDefault="008A326C" w:rsidP="000448A3">
            <w:pPr>
              <w:jc w:val="center"/>
              <w:rPr>
                <w:rFonts w:cs="Arial"/>
                <w:sz w:val="20"/>
                <w:szCs w:val="20"/>
                <w:shd w:val="clear" w:color="auto" w:fill="FEFEFE"/>
              </w:rPr>
            </w:pPr>
            <w:r w:rsidRPr="00131EED">
              <w:rPr>
                <w:rFonts w:cs="Arial"/>
                <w:sz w:val="20"/>
                <w:szCs w:val="20"/>
                <w:shd w:val="clear" w:color="auto" w:fill="FEFEFE"/>
              </w:rPr>
              <w:t>100%</w:t>
            </w:r>
          </w:p>
        </w:tc>
      </w:tr>
      <w:tr w:rsidR="008A326C" w:rsidRPr="00131EED" w14:paraId="21C1ECC2" w14:textId="77777777" w:rsidTr="00EB1D7C">
        <w:trPr>
          <w:trHeight w:val="165"/>
        </w:trPr>
        <w:tc>
          <w:tcPr>
            <w:tcW w:w="1916" w:type="dxa"/>
          </w:tcPr>
          <w:p w14:paraId="43C6567F" w14:textId="77777777" w:rsidR="008A326C" w:rsidRPr="00131EED" w:rsidRDefault="008A326C" w:rsidP="002D7F18">
            <w:pPr>
              <w:rPr>
                <w:rFonts w:cs="Arial"/>
                <w:sz w:val="20"/>
                <w:szCs w:val="20"/>
                <w:shd w:val="clear" w:color="auto" w:fill="FEFEFE"/>
              </w:rPr>
            </w:pPr>
            <w:r w:rsidRPr="00131EED">
              <w:rPr>
                <w:rFonts w:cs="Arial"/>
                <w:sz w:val="20"/>
                <w:szCs w:val="20"/>
                <w:shd w:val="clear" w:color="auto" w:fill="FEFEFE"/>
              </w:rPr>
              <w:t>Parques Naturales Regionales</w:t>
            </w:r>
          </w:p>
        </w:tc>
        <w:tc>
          <w:tcPr>
            <w:tcW w:w="815" w:type="dxa"/>
          </w:tcPr>
          <w:p w14:paraId="2AF11DF4" w14:textId="77777777" w:rsidR="008A326C" w:rsidRPr="00131EED" w:rsidRDefault="008A326C" w:rsidP="000448A3">
            <w:pPr>
              <w:jc w:val="center"/>
              <w:rPr>
                <w:rFonts w:cs="Arial"/>
                <w:sz w:val="20"/>
                <w:szCs w:val="20"/>
                <w:shd w:val="clear" w:color="auto" w:fill="FEFEFE"/>
              </w:rPr>
            </w:pPr>
            <w:r w:rsidRPr="00131EED">
              <w:rPr>
                <w:rFonts w:cs="Arial"/>
                <w:sz w:val="20"/>
                <w:szCs w:val="20"/>
                <w:shd w:val="clear" w:color="auto" w:fill="FEFEFE"/>
              </w:rPr>
              <w:t>1</w:t>
            </w:r>
          </w:p>
        </w:tc>
        <w:tc>
          <w:tcPr>
            <w:tcW w:w="1535" w:type="dxa"/>
          </w:tcPr>
          <w:p w14:paraId="7F16EEFB" w14:textId="7B971B1E" w:rsidR="008A326C" w:rsidRPr="00131EED" w:rsidRDefault="00536674" w:rsidP="000448A3">
            <w:pPr>
              <w:jc w:val="center"/>
              <w:rPr>
                <w:rFonts w:cs="Arial"/>
                <w:sz w:val="20"/>
                <w:szCs w:val="20"/>
                <w:shd w:val="clear" w:color="auto" w:fill="FEFEFE"/>
              </w:rPr>
            </w:pPr>
            <w:r w:rsidRPr="00131EED">
              <w:rPr>
                <w:rFonts w:cs="Arial"/>
                <w:sz w:val="20"/>
                <w:szCs w:val="20"/>
                <w:shd w:val="clear" w:color="auto" w:fill="FEFEFE"/>
              </w:rPr>
              <w:t>59</w:t>
            </w:r>
          </w:p>
        </w:tc>
        <w:tc>
          <w:tcPr>
            <w:tcW w:w="1591" w:type="dxa"/>
          </w:tcPr>
          <w:p w14:paraId="2DDB0F1E" w14:textId="7086133A" w:rsidR="008A326C" w:rsidRPr="00131EED" w:rsidRDefault="00644749" w:rsidP="000448A3">
            <w:pPr>
              <w:jc w:val="center"/>
              <w:rPr>
                <w:rFonts w:cs="Arial"/>
                <w:sz w:val="20"/>
                <w:szCs w:val="20"/>
                <w:shd w:val="clear" w:color="auto" w:fill="FEFEFE"/>
              </w:rPr>
            </w:pPr>
            <w:r w:rsidRPr="00131EED">
              <w:rPr>
                <w:rFonts w:cs="Arial"/>
                <w:sz w:val="20"/>
                <w:szCs w:val="20"/>
                <w:shd w:val="clear" w:color="auto" w:fill="FEFEFE"/>
              </w:rPr>
              <w:t>0,01</w:t>
            </w:r>
          </w:p>
        </w:tc>
        <w:tc>
          <w:tcPr>
            <w:tcW w:w="1856" w:type="dxa"/>
          </w:tcPr>
          <w:p w14:paraId="47DFB628" w14:textId="77777777" w:rsidR="008A326C" w:rsidRPr="00131EED" w:rsidRDefault="008A326C" w:rsidP="000448A3">
            <w:pPr>
              <w:jc w:val="center"/>
              <w:rPr>
                <w:rFonts w:cs="Arial"/>
                <w:sz w:val="20"/>
                <w:szCs w:val="20"/>
                <w:shd w:val="clear" w:color="auto" w:fill="FEFEFE"/>
              </w:rPr>
            </w:pPr>
            <w:r w:rsidRPr="00131EED">
              <w:rPr>
                <w:rFonts w:cs="Arial"/>
                <w:sz w:val="20"/>
                <w:szCs w:val="20"/>
                <w:shd w:val="clear" w:color="auto" w:fill="FEFEFE"/>
              </w:rPr>
              <w:t>0</w:t>
            </w:r>
          </w:p>
        </w:tc>
        <w:tc>
          <w:tcPr>
            <w:tcW w:w="1704" w:type="dxa"/>
          </w:tcPr>
          <w:p w14:paraId="6C5C0893" w14:textId="77777777" w:rsidR="008A326C" w:rsidRPr="00131EED" w:rsidRDefault="008A326C" w:rsidP="000448A3">
            <w:pPr>
              <w:jc w:val="center"/>
              <w:rPr>
                <w:rFonts w:cs="Arial"/>
                <w:sz w:val="20"/>
                <w:szCs w:val="20"/>
                <w:shd w:val="clear" w:color="auto" w:fill="FEFEFE"/>
              </w:rPr>
            </w:pPr>
            <w:r w:rsidRPr="00131EED">
              <w:rPr>
                <w:rFonts w:cs="Arial"/>
                <w:sz w:val="20"/>
                <w:szCs w:val="20"/>
                <w:shd w:val="clear" w:color="auto" w:fill="FEFEFE"/>
              </w:rPr>
              <w:t>0%</w:t>
            </w:r>
          </w:p>
        </w:tc>
      </w:tr>
      <w:tr w:rsidR="008A326C" w:rsidRPr="00131EED" w14:paraId="72570F66" w14:textId="77777777" w:rsidTr="00EB1D7C">
        <w:trPr>
          <w:trHeight w:val="165"/>
        </w:trPr>
        <w:tc>
          <w:tcPr>
            <w:tcW w:w="1916" w:type="dxa"/>
          </w:tcPr>
          <w:p w14:paraId="27A4A3F9" w14:textId="77777777" w:rsidR="008A326C" w:rsidRPr="00131EED" w:rsidRDefault="008A326C" w:rsidP="002D7F18">
            <w:pPr>
              <w:rPr>
                <w:rFonts w:cs="Arial"/>
                <w:sz w:val="20"/>
                <w:szCs w:val="20"/>
                <w:shd w:val="clear" w:color="auto" w:fill="FEFEFE"/>
              </w:rPr>
            </w:pPr>
            <w:r w:rsidRPr="00131EED">
              <w:rPr>
                <w:rFonts w:cs="Arial"/>
                <w:sz w:val="20"/>
                <w:szCs w:val="20"/>
                <w:shd w:val="clear" w:color="auto" w:fill="FEFEFE"/>
              </w:rPr>
              <w:t>Reserva Natural de la Sociedad Civil</w:t>
            </w:r>
          </w:p>
        </w:tc>
        <w:tc>
          <w:tcPr>
            <w:tcW w:w="815" w:type="dxa"/>
          </w:tcPr>
          <w:p w14:paraId="72334499" w14:textId="7B23F54F" w:rsidR="008A326C" w:rsidRPr="00131EED" w:rsidRDefault="00644749" w:rsidP="000448A3">
            <w:pPr>
              <w:jc w:val="center"/>
              <w:rPr>
                <w:rFonts w:cs="Arial"/>
                <w:sz w:val="20"/>
                <w:szCs w:val="20"/>
                <w:shd w:val="clear" w:color="auto" w:fill="FEFEFE"/>
              </w:rPr>
            </w:pPr>
            <w:r w:rsidRPr="00131EED">
              <w:rPr>
                <w:rFonts w:cs="Arial"/>
                <w:sz w:val="20"/>
                <w:szCs w:val="20"/>
                <w:shd w:val="clear" w:color="auto" w:fill="FEFEFE"/>
              </w:rPr>
              <w:t>65</w:t>
            </w:r>
          </w:p>
        </w:tc>
        <w:tc>
          <w:tcPr>
            <w:tcW w:w="1535" w:type="dxa"/>
          </w:tcPr>
          <w:p w14:paraId="33DB83D0" w14:textId="0F0DF446" w:rsidR="008A326C" w:rsidRPr="00131EED" w:rsidRDefault="008A326C" w:rsidP="000448A3">
            <w:pPr>
              <w:jc w:val="center"/>
              <w:rPr>
                <w:rFonts w:cs="Arial"/>
                <w:sz w:val="20"/>
                <w:szCs w:val="20"/>
                <w:shd w:val="clear" w:color="auto" w:fill="FEFEFE"/>
              </w:rPr>
            </w:pPr>
            <w:r w:rsidRPr="00131EED">
              <w:rPr>
                <w:rFonts w:cs="Arial"/>
                <w:sz w:val="20"/>
                <w:szCs w:val="20"/>
                <w:shd w:val="clear" w:color="auto" w:fill="FEFEFE"/>
              </w:rPr>
              <w:t>1.</w:t>
            </w:r>
            <w:r w:rsidR="00174FD8" w:rsidRPr="00131EED">
              <w:rPr>
                <w:rFonts w:cs="Arial"/>
                <w:sz w:val="20"/>
                <w:szCs w:val="20"/>
                <w:shd w:val="clear" w:color="auto" w:fill="FEFEFE"/>
              </w:rPr>
              <w:t>3</w:t>
            </w:r>
            <w:r w:rsidRPr="00131EED">
              <w:rPr>
                <w:rFonts w:cs="Arial"/>
                <w:sz w:val="20"/>
                <w:szCs w:val="20"/>
                <w:shd w:val="clear" w:color="auto" w:fill="FEFEFE"/>
              </w:rPr>
              <w:t>49,40</w:t>
            </w:r>
          </w:p>
        </w:tc>
        <w:tc>
          <w:tcPr>
            <w:tcW w:w="1591" w:type="dxa"/>
          </w:tcPr>
          <w:p w14:paraId="075CA180" w14:textId="07E738FC" w:rsidR="008A326C" w:rsidRPr="00131EED" w:rsidRDefault="008A326C" w:rsidP="000448A3">
            <w:pPr>
              <w:jc w:val="center"/>
              <w:rPr>
                <w:rFonts w:cs="Arial"/>
                <w:sz w:val="20"/>
                <w:szCs w:val="20"/>
                <w:shd w:val="clear" w:color="auto" w:fill="FEFEFE"/>
              </w:rPr>
            </w:pPr>
            <w:r w:rsidRPr="00131EED">
              <w:rPr>
                <w:rFonts w:cs="Arial"/>
                <w:sz w:val="20"/>
                <w:szCs w:val="20"/>
                <w:shd w:val="clear" w:color="auto" w:fill="FEFEFE"/>
              </w:rPr>
              <w:t>0,</w:t>
            </w:r>
            <w:r w:rsidR="00174FD8" w:rsidRPr="00131EED">
              <w:rPr>
                <w:rFonts w:cs="Arial"/>
                <w:sz w:val="20"/>
                <w:szCs w:val="20"/>
                <w:shd w:val="clear" w:color="auto" w:fill="FEFEFE"/>
              </w:rPr>
              <w:t>32</w:t>
            </w:r>
          </w:p>
        </w:tc>
        <w:tc>
          <w:tcPr>
            <w:tcW w:w="1856" w:type="dxa"/>
          </w:tcPr>
          <w:p w14:paraId="07AC644D" w14:textId="77777777" w:rsidR="008A326C" w:rsidRPr="00131EED" w:rsidRDefault="008A326C" w:rsidP="000448A3">
            <w:pPr>
              <w:jc w:val="center"/>
              <w:rPr>
                <w:rFonts w:cs="Arial"/>
                <w:sz w:val="20"/>
                <w:szCs w:val="20"/>
                <w:shd w:val="clear" w:color="auto" w:fill="FEFEFE"/>
              </w:rPr>
            </w:pPr>
            <w:r w:rsidRPr="00131EED">
              <w:rPr>
                <w:rFonts w:cs="Arial"/>
                <w:sz w:val="20"/>
                <w:szCs w:val="20"/>
                <w:shd w:val="clear" w:color="auto" w:fill="FEFEFE"/>
              </w:rPr>
              <w:t>0</w:t>
            </w:r>
          </w:p>
        </w:tc>
        <w:tc>
          <w:tcPr>
            <w:tcW w:w="1704" w:type="dxa"/>
          </w:tcPr>
          <w:p w14:paraId="7B90854F" w14:textId="77777777" w:rsidR="008A326C" w:rsidRPr="00131EED" w:rsidRDefault="008A326C" w:rsidP="000448A3">
            <w:pPr>
              <w:jc w:val="center"/>
              <w:rPr>
                <w:rFonts w:cs="Arial"/>
                <w:sz w:val="20"/>
                <w:szCs w:val="20"/>
                <w:shd w:val="clear" w:color="auto" w:fill="FEFEFE"/>
              </w:rPr>
            </w:pPr>
            <w:r w:rsidRPr="00131EED">
              <w:rPr>
                <w:rFonts w:cs="Arial"/>
                <w:sz w:val="20"/>
                <w:szCs w:val="20"/>
                <w:shd w:val="clear" w:color="auto" w:fill="FEFEFE"/>
              </w:rPr>
              <w:t>0%</w:t>
            </w:r>
          </w:p>
        </w:tc>
      </w:tr>
      <w:tr w:rsidR="008A326C" w:rsidRPr="00131EED" w14:paraId="7A471D67" w14:textId="77777777" w:rsidTr="00EB1D7C">
        <w:trPr>
          <w:trHeight w:val="165"/>
        </w:trPr>
        <w:tc>
          <w:tcPr>
            <w:tcW w:w="1916" w:type="dxa"/>
          </w:tcPr>
          <w:p w14:paraId="10F6A4E2" w14:textId="77777777" w:rsidR="008A326C" w:rsidRPr="00131EED" w:rsidRDefault="008A326C" w:rsidP="002D7F18">
            <w:pPr>
              <w:rPr>
                <w:rFonts w:cs="Arial"/>
                <w:sz w:val="20"/>
                <w:szCs w:val="20"/>
                <w:shd w:val="clear" w:color="auto" w:fill="FEFEFE"/>
              </w:rPr>
            </w:pPr>
            <w:r w:rsidRPr="00131EED">
              <w:rPr>
                <w:rFonts w:cs="Arial"/>
                <w:sz w:val="20"/>
                <w:szCs w:val="20"/>
                <w:shd w:val="clear" w:color="auto" w:fill="FEFEFE"/>
              </w:rPr>
              <w:t>Reservas Forestales Protectoras Nacionales</w:t>
            </w:r>
          </w:p>
        </w:tc>
        <w:tc>
          <w:tcPr>
            <w:tcW w:w="815" w:type="dxa"/>
          </w:tcPr>
          <w:p w14:paraId="61202A12" w14:textId="343F7543" w:rsidR="008A326C" w:rsidRPr="00131EED" w:rsidRDefault="00457CE0" w:rsidP="000448A3">
            <w:pPr>
              <w:jc w:val="center"/>
              <w:rPr>
                <w:rFonts w:cs="Arial"/>
                <w:sz w:val="20"/>
                <w:szCs w:val="20"/>
                <w:shd w:val="clear" w:color="auto" w:fill="FEFEFE"/>
              </w:rPr>
            </w:pPr>
            <w:r w:rsidRPr="00131EED">
              <w:rPr>
                <w:rFonts w:cs="Arial"/>
                <w:sz w:val="20"/>
                <w:szCs w:val="20"/>
                <w:shd w:val="clear" w:color="auto" w:fill="FEFEFE"/>
              </w:rPr>
              <w:t>3</w:t>
            </w:r>
          </w:p>
        </w:tc>
        <w:tc>
          <w:tcPr>
            <w:tcW w:w="1535" w:type="dxa"/>
          </w:tcPr>
          <w:p w14:paraId="29FAE8AE" w14:textId="4DE40D29" w:rsidR="008A326C" w:rsidRPr="00131EED" w:rsidRDefault="00457CE0" w:rsidP="000448A3">
            <w:pPr>
              <w:jc w:val="center"/>
              <w:rPr>
                <w:rFonts w:cs="Arial"/>
                <w:sz w:val="20"/>
                <w:szCs w:val="20"/>
                <w:shd w:val="clear" w:color="auto" w:fill="FEFEFE"/>
              </w:rPr>
            </w:pPr>
            <w:r w:rsidRPr="00131EED">
              <w:rPr>
                <w:rFonts w:cs="Arial"/>
                <w:sz w:val="20"/>
                <w:szCs w:val="20"/>
                <w:shd w:val="clear" w:color="auto" w:fill="FEFEFE"/>
              </w:rPr>
              <w:t>17.387</w:t>
            </w:r>
          </w:p>
        </w:tc>
        <w:tc>
          <w:tcPr>
            <w:tcW w:w="1591" w:type="dxa"/>
          </w:tcPr>
          <w:p w14:paraId="19BD2385" w14:textId="16FB215B" w:rsidR="008A326C" w:rsidRPr="00131EED" w:rsidRDefault="001608BE" w:rsidP="000448A3">
            <w:pPr>
              <w:jc w:val="center"/>
              <w:rPr>
                <w:rFonts w:cs="Arial"/>
                <w:sz w:val="20"/>
                <w:szCs w:val="20"/>
                <w:shd w:val="clear" w:color="auto" w:fill="FEFEFE"/>
              </w:rPr>
            </w:pPr>
            <w:r w:rsidRPr="00131EED">
              <w:rPr>
                <w:rFonts w:cs="Arial"/>
                <w:sz w:val="20"/>
                <w:szCs w:val="20"/>
                <w:shd w:val="clear" w:color="auto" w:fill="FEFEFE"/>
              </w:rPr>
              <w:t>4,06</w:t>
            </w:r>
          </w:p>
        </w:tc>
        <w:tc>
          <w:tcPr>
            <w:tcW w:w="1856" w:type="dxa"/>
          </w:tcPr>
          <w:p w14:paraId="080863A9" w14:textId="77777777" w:rsidR="008A326C" w:rsidRPr="00131EED" w:rsidRDefault="008A326C" w:rsidP="000448A3">
            <w:pPr>
              <w:jc w:val="center"/>
              <w:rPr>
                <w:rFonts w:cs="Arial"/>
                <w:sz w:val="20"/>
                <w:szCs w:val="20"/>
                <w:shd w:val="clear" w:color="auto" w:fill="FEFEFE"/>
              </w:rPr>
            </w:pPr>
            <w:r w:rsidRPr="00131EED">
              <w:rPr>
                <w:rFonts w:cs="Arial"/>
                <w:sz w:val="20"/>
                <w:szCs w:val="20"/>
                <w:shd w:val="clear" w:color="auto" w:fill="FEFEFE"/>
              </w:rPr>
              <w:t>1</w:t>
            </w:r>
          </w:p>
        </w:tc>
        <w:tc>
          <w:tcPr>
            <w:tcW w:w="1704" w:type="dxa"/>
          </w:tcPr>
          <w:p w14:paraId="44E402AA" w14:textId="7A897EAC" w:rsidR="008A326C" w:rsidRPr="00131EED" w:rsidRDefault="00FD7D5D" w:rsidP="000448A3">
            <w:pPr>
              <w:jc w:val="center"/>
              <w:rPr>
                <w:rFonts w:cs="Arial"/>
                <w:sz w:val="20"/>
                <w:szCs w:val="20"/>
                <w:shd w:val="clear" w:color="auto" w:fill="FEFEFE"/>
              </w:rPr>
            </w:pPr>
            <w:r w:rsidRPr="00131EED">
              <w:rPr>
                <w:rFonts w:cs="Arial"/>
                <w:sz w:val="20"/>
                <w:szCs w:val="20"/>
                <w:shd w:val="clear" w:color="auto" w:fill="FEFEFE"/>
              </w:rPr>
              <w:t>33</w:t>
            </w:r>
            <w:r w:rsidR="008A326C" w:rsidRPr="00131EED">
              <w:rPr>
                <w:rFonts w:cs="Arial"/>
                <w:sz w:val="20"/>
                <w:szCs w:val="20"/>
                <w:shd w:val="clear" w:color="auto" w:fill="FEFEFE"/>
              </w:rPr>
              <w:t>%</w:t>
            </w:r>
          </w:p>
        </w:tc>
      </w:tr>
      <w:tr w:rsidR="008A326C" w:rsidRPr="00131EED" w14:paraId="42C84BA3" w14:textId="77777777" w:rsidTr="00EB1D7C">
        <w:trPr>
          <w:trHeight w:val="165"/>
        </w:trPr>
        <w:tc>
          <w:tcPr>
            <w:tcW w:w="1916" w:type="dxa"/>
          </w:tcPr>
          <w:p w14:paraId="153FFCF8" w14:textId="77777777" w:rsidR="008A326C" w:rsidRPr="00131EED" w:rsidRDefault="008A326C" w:rsidP="002D7F18">
            <w:pPr>
              <w:rPr>
                <w:rFonts w:cs="Arial"/>
                <w:sz w:val="20"/>
                <w:szCs w:val="20"/>
                <w:shd w:val="clear" w:color="auto" w:fill="FEFEFE"/>
              </w:rPr>
            </w:pPr>
            <w:r w:rsidRPr="00131EED">
              <w:rPr>
                <w:rFonts w:cs="Arial"/>
                <w:sz w:val="20"/>
                <w:szCs w:val="20"/>
                <w:shd w:val="clear" w:color="auto" w:fill="FEFEFE"/>
              </w:rPr>
              <w:t>Reservas Forestales Protectoras Regionales</w:t>
            </w:r>
          </w:p>
        </w:tc>
        <w:tc>
          <w:tcPr>
            <w:tcW w:w="815" w:type="dxa"/>
          </w:tcPr>
          <w:p w14:paraId="52D87602" w14:textId="11530D7B" w:rsidR="008A326C" w:rsidRPr="00131EED" w:rsidRDefault="001608BE" w:rsidP="000448A3">
            <w:pPr>
              <w:jc w:val="center"/>
              <w:rPr>
                <w:rFonts w:cs="Arial"/>
                <w:sz w:val="20"/>
                <w:szCs w:val="20"/>
                <w:shd w:val="clear" w:color="auto" w:fill="FEFEFE"/>
              </w:rPr>
            </w:pPr>
            <w:r w:rsidRPr="00131EED">
              <w:rPr>
                <w:rFonts w:cs="Arial"/>
                <w:sz w:val="20"/>
                <w:szCs w:val="20"/>
                <w:shd w:val="clear" w:color="auto" w:fill="FEFEFE"/>
              </w:rPr>
              <w:t>12</w:t>
            </w:r>
          </w:p>
        </w:tc>
        <w:tc>
          <w:tcPr>
            <w:tcW w:w="1535" w:type="dxa"/>
          </w:tcPr>
          <w:p w14:paraId="5534023E" w14:textId="385B1DC8" w:rsidR="008A326C" w:rsidRPr="00131EED" w:rsidRDefault="009A5DFC" w:rsidP="000448A3">
            <w:pPr>
              <w:jc w:val="center"/>
              <w:rPr>
                <w:rFonts w:cs="Arial"/>
                <w:sz w:val="20"/>
                <w:szCs w:val="20"/>
                <w:shd w:val="clear" w:color="auto" w:fill="FEFEFE"/>
              </w:rPr>
            </w:pPr>
            <w:r w:rsidRPr="00131EED">
              <w:rPr>
                <w:rFonts w:cs="Arial"/>
                <w:sz w:val="20"/>
                <w:szCs w:val="20"/>
                <w:shd w:val="clear" w:color="auto" w:fill="FEFEFE"/>
              </w:rPr>
              <w:t>12.181</w:t>
            </w:r>
          </w:p>
        </w:tc>
        <w:tc>
          <w:tcPr>
            <w:tcW w:w="1591" w:type="dxa"/>
          </w:tcPr>
          <w:p w14:paraId="4746E45B" w14:textId="7E84E778" w:rsidR="008A326C" w:rsidRPr="00131EED" w:rsidRDefault="009A5DFC" w:rsidP="000448A3">
            <w:pPr>
              <w:jc w:val="center"/>
              <w:rPr>
                <w:rFonts w:cs="Arial"/>
                <w:sz w:val="20"/>
                <w:szCs w:val="20"/>
                <w:shd w:val="clear" w:color="auto" w:fill="FEFEFE"/>
              </w:rPr>
            </w:pPr>
            <w:r w:rsidRPr="00131EED">
              <w:rPr>
                <w:rFonts w:cs="Arial"/>
                <w:sz w:val="20"/>
                <w:szCs w:val="20"/>
                <w:shd w:val="clear" w:color="auto" w:fill="FEFEFE"/>
              </w:rPr>
              <w:t>2,85</w:t>
            </w:r>
          </w:p>
        </w:tc>
        <w:tc>
          <w:tcPr>
            <w:tcW w:w="1856" w:type="dxa"/>
          </w:tcPr>
          <w:p w14:paraId="05B35D1D" w14:textId="747EA034" w:rsidR="008A326C" w:rsidRPr="00131EED" w:rsidRDefault="00767463" w:rsidP="000448A3">
            <w:pPr>
              <w:jc w:val="center"/>
              <w:rPr>
                <w:rFonts w:cs="Arial"/>
                <w:sz w:val="20"/>
                <w:szCs w:val="20"/>
                <w:shd w:val="clear" w:color="auto" w:fill="FEFEFE"/>
              </w:rPr>
            </w:pPr>
            <w:r w:rsidRPr="00131EED">
              <w:rPr>
                <w:rFonts w:cs="Arial"/>
                <w:sz w:val="20"/>
                <w:szCs w:val="20"/>
                <w:shd w:val="clear" w:color="auto" w:fill="FEFEFE"/>
              </w:rPr>
              <w:t>5</w:t>
            </w:r>
          </w:p>
        </w:tc>
        <w:tc>
          <w:tcPr>
            <w:tcW w:w="1704" w:type="dxa"/>
          </w:tcPr>
          <w:p w14:paraId="4D07E425" w14:textId="2E6BCD57" w:rsidR="008A326C" w:rsidRPr="00131EED" w:rsidRDefault="00FD7D5D" w:rsidP="000448A3">
            <w:pPr>
              <w:jc w:val="center"/>
              <w:rPr>
                <w:rFonts w:cs="Arial"/>
                <w:sz w:val="20"/>
                <w:szCs w:val="20"/>
                <w:shd w:val="clear" w:color="auto" w:fill="FEFEFE"/>
              </w:rPr>
            </w:pPr>
            <w:r w:rsidRPr="00131EED">
              <w:rPr>
                <w:rFonts w:cs="Arial"/>
                <w:sz w:val="20"/>
                <w:szCs w:val="20"/>
                <w:shd w:val="clear" w:color="auto" w:fill="FEFEFE"/>
              </w:rPr>
              <w:t>42</w:t>
            </w:r>
            <w:r w:rsidR="008A326C" w:rsidRPr="00131EED">
              <w:rPr>
                <w:rFonts w:cs="Arial"/>
                <w:sz w:val="20"/>
                <w:szCs w:val="20"/>
                <w:shd w:val="clear" w:color="auto" w:fill="FEFEFE"/>
              </w:rPr>
              <w:t>%</w:t>
            </w:r>
          </w:p>
        </w:tc>
      </w:tr>
      <w:tr w:rsidR="008A326C" w:rsidRPr="00131EED" w14:paraId="200A967A" w14:textId="77777777" w:rsidTr="00EB1D7C">
        <w:trPr>
          <w:trHeight w:val="165"/>
        </w:trPr>
        <w:tc>
          <w:tcPr>
            <w:tcW w:w="1916" w:type="dxa"/>
          </w:tcPr>
          <w:p w14:paraId="190A9125" w14:textId="77777777" w:rsidR="008A326C" w:rsidRPr="00131EED" w:rsidRDefault="008A326C" w:rsidP="002D7F18">
            <w:pPr>
              <w:rPr>
                <w:rFonts w:cs="Arial"/>
                <w:b/>
                <w:sz w:val="20"/>
                <w:szCs w:val="20"/>
                <w:shd w:val="clear" w:color="auto" w:fill="FEFEFE"/>
              </w:rPr>
            </w:pPr>
            <w:r w:rsidRPr="00131EED">
              <w:rPr>
                <w:rFonts w:cs="Arial"/>
                <w:b/>
                <w:sz w:val="20"/>
                <w:szCs w:val="20"/>
                <w:shd w:val="clear" w:color="auto" w:fill="FEFEFE"/>
              </w:rPr>
              <w:t>Total general</w:t>
            </w:r>
          </w:p>
        </w:tc>
        <w:tc>
          <w:tcPr>
            <w:tcW w:w="815" w:type="dxa"/>
          </w:tcPr>
          <w:p w14:paraId="456F059E" w14:textId="71F982D8" w:rsidR="008A326C" w:rsidRPr="00131EED" w:rsidRDefault="00462657" w:rsidP="000448A3">
            <w:pPr>
              <w:jc w:val="center"/>
              <w:rPr>
                <w:rFonts w:cs="Arial"/>
                <w:b/>
                <w:sz w:val="20"/>
                <w:szCs w:val="20"/>
                <w:shd w:val="clear" w:color="auto" w:fill="FEFEFE"/>
              </w:rPr>
            </w:pPr>
            <w:r w:rsidRPr="00131EED">
              <w:rPr>
                <w:rFonts w:cs="Arial"/>
                <w:b/>
                <w:sz w:val="20"/>
                <w:szCs w:val="20"/>
                <w:shd w:val="clear" w:color="auto" w:fill="FEFEFE"/>
              </w:rPr>
              <w:t>99</w:t>
            </w:r>
          </w:p>
        </w:tc>
        <w:tc>
          <w:tcPr>
            <w:tcW w:w="1535" w:type="dxa"/>
          </w:tcPr>
          <w:p w14:paraId="4F375BAF" w14:textId="77777777" w:rsidR="008A326C" w:rsidRPr="00131EED" w:rsidRDefault="008A326C" w:rsidP="000448A3">
            <w:pPr>
              <w:jc w:val="center"/>
              <w:rPr>
                <w:rFonts w:cs="Arial"/>
                <w:b/>
                <w:sz w:val="20"/>
                <w:szCs w:val="20"/>
                <w:shd w:val="clear" w:color="auto" w:fill="FEFEFE"/>
              </w:rPr>
            </w:pPr>
            <w:r w:rsidRPr="00131EED">
              <w:rPr>
                <w:rFonts w:cs="Arial"/>
                <w:b/>
                <w:sz w:val="20"/>
                <w:szCs w:val="20"/>
                <w:shd w:val="clear" w:color="auto" w:fill="FEFEFE"/>
              </w:rPr>
              <w:t>164.011,69</w:t>
            </w:r>
          </w:p>
        </w:tc>
        <w:tc>
          <w:tcPr>
            <w:tcW w:w="1591" w:type="dxa"/>
          </w:tcPr>
          <w:p w14:paraId="19C527E3" w14:textId="77777777" w:rsidR="008A326C" w:rsidRPr="00131EED" w:rsidRDefault="008A326C" w:rsidP="000448A3">
            <w:pPr>
              <w:jc w:val="center"/>
              <w:rPr>
                <w:rFonts w:cs="Arial"/>
                <w:b/>
                <w:sz w:val="20"/>
                <w:szCs w:val="20"/>
                <w:shd w:val="clear" w:color="auto" w:fill="FEFEFE"/>
              </w:rPr>
            </w:pPr>
            <w:r w:rsidRPr="00131EED">
              <w:rPr>
                <w:rFonts w:cs="Arial"/>
                <w:b/>
                <w:sz w:val="20"/>
                <w:szCs w:val="20"/>
                <w:shd w:val="clear" w:color="auto" w:fill="FEFEFE"/>
              </w:rPr>
              <w:t>28,20</w:t>
            </w:r>
          </w:p>
        </w:tc>
        <w:tc>
          <w:tcPr>
            <w:tcW w:w="1856" w:type="dxa"/>
          </w:tcPr>
          <w:p w14:paraId="3B97E4BD" w14:textId="3DD0E1E9" w:rsidR="008A326C" w:rsidRPr="00131EED" w:rsidRDefault="00462657" w:rsidP="000448A3">
            <w:pPr>
              <w:jc w:val="center"/>
              <w:rPr>
                <w:rFonts w:cs="Arial"/>
                <w:b/>
                <w:sz w:val="20"/>
                <w:szCs w:val="20"/>
                <w:shd w:val="clear" w:color="auto" w:fill="FEFEFE"/>
              </w:rPr>
            </w:pPr>
            <w:r w:rsidRPr="00131EED">
              <w:rPr>
                <w:rFonts w:cs="Arial"/>
                <w:b/>
                <w:sz w:val="20"/>
                <w:szCs w:val="20"/>
                <w:shd w:val="clear" w:color="auto" w:fill="FEFEFE"/>
              </w:rPr>
              <w:t>15</w:t>
            </w:r>
          </w:p>
        </w:tc>
        <w:tc>
          <w:tcPr>
            <w:tcW w:w="1704" w:type="dxa"/>
          </w:tcPr>
          <w:p w14:paraId="4D2F061E" w14:textId="20B9B1D1" w:rsidR="008A326C" w:rsidRPr="00131EED" w:rsidRDefault="00462657" w:rsidP="000448A3">
            <w:pPr>
              <w:jc w:val="center"/>
              <w:rPr>
                <w:rFonts w:cs="Arial"/>
                <w:b/>
                <w:sz w:val="20"/>
                <w:szCs w:val="20"/>
                <w:shd w:val="clear" w:color="auto" w:fill="FEFEFE"/>
              </w:rPr>
            </w:pPr>
            <w:r w:rsidRPr="00131EED">
              <w:rPr>
                <w:rFonts w:cs="Arial"/>
                <w:b/>
                <w:sz w:val="20"/>
                <w:szCs w:val="20"/>
                <w:shd w:val="clear" w:color="auto" w:fill="FEFEFE"/>
              </w:rPr>
              <w:t>15</w:t>
            </w:r>
            <w:r w:rsidR="008A326C" w:rsidRPr="00131EED">
              <w:rPr>
                <w:rFonts w:cs="Arial"/>
                <w:b/>
                <w:sz w:val="20"/>
                <w:szCs w:val="20"/>
                <w:shd w:val="clear" w:color="auto" w:fill="FEFEFE"/>
              </w:rPr>
              <w:t>%</w:t>
            </w:r>
          </w:p>
        </w:tc>
      </w:tr>
    </w:tbl>
    <w:p w14:paraId="513B772C" w14:textId="13E6FE6F" w:rsidR="008A326C" w:rsidRPr="00131EED" w:rsidRDefault="008A326C" w:rsidP="00EB1D7C">
      <w:pPr>
        <w:jc w:val="center"/>
        <w:rPr>
          <w:rFonts w:cs="Arial"/>
          <w:sz w:val="20"/>
          <w:szCs w:val="20"/>
        </w:rPr>
      </w:pPr>
      <w:r w:rsidRPr="00131EED">
        <w:rPr>
          <w:rFonts w:cs="Arial"/>
          <w:sz w:val="20"/>
          <w:szCs w:val="20"/>
        </w:rPr>
        <w:t>Fuente: RUNAP, 202</w:t>
      </w:r>
      <w:r w:rsidR="00FB14E7" w:rsidRPr="00131EED">
        <w:rPr>
          <w:rFonts w:cs="Arial"/>
          <w:sz w:val="20"/>
          <w:szCs w:val="20"/>
        </w:rPr>
        <w:t>5</w:t>
      </w:r>
    </w:p>
    <w:p w14:paraId="6782BD63" w14:textId="77777777" w:rsidR="00A45F77" w:rsidRPr="00131EED" w:rsidRDefault="00A45F77" w:rsidP="008A326C">
      <w:pPr>
        <w:rPr>
          <w:rStyle w:val="FootnoteReference"/>
          <w:rFonts w:ascii="Baskerville" w:hAnsi="Baskerville" w:cs="Arial"/>
        </w:rPr>
      </w:pPr>
    </w:p>
    <w:p w14:paraId="4E064FDF" w14:textId="16240E6C" w:rsidR="008A326C" w:rsidRPr="00131EED" w:rsidRDefault="008A326C" w:rsidP="00FA7A9B">
      <w:r w:rsidRPr="00131EED">
        <w:rPr>
          <w:rFonts w:cs="Arial"/>
        </w:rPr>
        <w:t>En cuanto a otras iniciativas de conservación in situ, p</w:t>
      </w:r>
      <w:r w:rsidRPr="00131EED">
        <w:rPr>
          <w:rFonts w:cs="Arial"/>
          <w:shd w:val="clear" w:color="auto" w:fill="FEFEFE"/>
        </w:rPr>
        <w:t xml:space="preserve">ara la ecorregión Sabana de Bogotá se evidencia presencia de traslape con </w:t>
      </w:r>
      <w:r w:rsidR="00EF036D" w:rsidRPr="00131EED">
        <w:rPr>
          <w:rFonts w:cs="Arial"/>
          <w:shd w:val="clear" w:color="auto" w:fill="FEFEFE"/>
        </w:rPr>
        <w:t>diez</w:t>
      </w:r>
      <w:r w:rsidRPr="00131EED">
        <w:rPr>
          <w:rFonts w:cs="Arial"/>
          <w:shd w:val="clear" w:color="auto" w:fill="FEFEFE"/>
        </w:rPr>
        <w:t xml:space="preserve"> (</w:t>
      </w:r>
      <w:r w:rsidR="00EF036D" w:rsidRPr="00131EED">
        <w:rPr>
          <w:rFonts w:cs="Arial"/>
          <w:shd w:val="clear" w:color="auto" w:fill="FEFEFE"/>
        </w:rPr>
        <w:t>10</w:t>
      </w:r>
      <w:r w:rsidRPr="00131EED">
        <w:rPr>
          <w:rFonts w:cs="Arial"/>
          <w:shd w:val="clear" w:color="auto" w:fill="FEFEFE"/>
        </w:rPr>
        <w:t xml:space="preserve">) OMEC (Otras Medidas Efectivas de Conservación Basadas en Áreas), </w:t>
      </w:r>
      <w:r w:rsidR="006506C4" w:rsidRPr="00131EED">
        <w:rPr>
          <w:rFonts w:cs="Arial"/>
          <w:shd w:val="clear" w:color="auto" w:fill="FEFEFE"/>
        </w:rPr>
        <w:t>que corresponden</w:t>
      </w:r>
      <w:r w:rsidRPr="00131EED">
        <w:rPr>
          <w:rFonts w:cs="Arial"/>
          <w:shd w:val="clear" w:color="auto" w:fill="FEFEFE"/>
        </w:rPr>
        <w:t xml:space="preserve"> la Reserva Forestal Protectora Productora Cuenca Alta de Río Bogotá,</w:t>
      </w:r>
      <w:r w:rsidR="006506C4" w:rsidRPr="00131EED">
        <w:rPr>
          <w:rFonts w:cs="Arial"/>
          <w:shd w:val="clear" w:color="auto" w:fill="FEFEFE"/>
        </w:rPr>
        <w:t xml:space="preserve"> tres Reservas Forestales Protectoras – Productoras Regionales</w:t>
      </w:r>
      <w:r w:rsidRPr="00131EED">
        <w:rPr>
          <w:rFonts w:cs="Arial"/>
          <w:shd w:val="clear" w:color="auto" w:fill="FEFEFE"/>
        </w:rPr>
        <w:t xml:space="preserve"> junto con la Reserva Forestal</w:t>
      </w:r>
      <w:r w:rsidR="003D58ED" w:rsidRPr="00131EED">
        <w:rPr>
          <w:rFonts w:cs="Arial"/>
          <w:shd w:val="clear" w:color="auto" w:fill="FEFEFE"/>
        </w:rPr>
        <w:t xml:space="preserve"> Productora del Norte de Bogotá y finalmente cinco reservas hídricas definidas por la CAR Cundinamarca,</w:t>
      </w:r>
      <w:r w:rsidRPr="00131EED">
        <w:rPr>
          <w:rFonts w:cs="Arial"/>
          <w:shd w:val="clear" w:color="auto" w:fill="FEFEFE"/>
        </w:rPr>
        <w:t xml:space="preserve"> en la siguiente tabla se relacionan los nom</w:t>
      </w:r>
      <w:r w:rsidR="003D2E0D" w:rsidRPr="00131EED">
        <w:rPr>
          <w:rFonts w:cs="Arial"/>
          <w:shd w:val="clear" w:color="auto" w:fill="FEFEFE"/>
        </w:rPr>
        <w:t>bre y área de traslape y en la</w:t>
      </w:r>
      <w:r w:rsidR="000C7F0C" w:rsidRPr="00131EED">
        <w:rPr>
          <w:rFonts w:cs="Arial"/>
          <w:shd w:val="clear" w:color="auto" w:fill="FEFEFE"/>
        </w:rPr>
        <w:t xml:space="preserve"> </w:t>
      </w:r>
      <w:r w:rsidR="00AD357C" w:rsidRPr="00131EED">
        <w:rPr>
          <w:rFonts w:cs="Arial"/>
          <w:shd w:val="clear" w:color="auto" w:fill="FEFEFE"/>
        </w:rPr>
        <w:fldChar w:fldCharType="begin"/>
      </w:r>
      <w:r w:rsidR="00AD357C" w:rsidRPr="00131EED">
        <w:rPr>
          <w:rFonts w:cs="Arial"/>
          <w:shd w:val="clear" w:color="auto" w:fill="FEFEFE"/>
        </w:rPr>
        <w:instrText xml:space="preserve"> REF _Ref210659562 \h </w:instrText>
      </w:r>
      <w:r w:rsidR="00EB1D7C" w:rsidRPr="00131EED">
        <w:rPr>
          <w:rFonts w:cs="Arial"/>
          <w:shd w:val="clear" w:color="auto" w:fill="FEFEFE"/>
        </w:rPr>
        <w:instrText xml:space="preserve"> \* MERGEFORMAT </w:instrText>
      </w:r>
      <w:r w:rsidR="00AD357C" w:rsidRPr="00131EED">
        <w:rPr>
          <w:rFonts w:cs="Arial"/>
          <w:shd w:val="clear" w:color="auto" w:fill="FEFEFE"/>
        </w:rPr>
      </w:r>
      <w:r w:rsidR="00AD357C" w:rsidRPr="00131EED">
        <w:rPr>
          <w:rFonts w:cs="Arial"/>
          <w:shd w:val="clear" w:color="auto" w:fill="FEFEFE"/>
        </w:rPr>
        <w:fldChar w:fldCharType="separate"/>
      </w:r>
      <w:r w:rsidR="00CE096F" w:rsidRPr="00131EED">
        <w:t xml:space="preserve">Tabla </w:t>
      </w:r>
      <w:r w:rsidR="00AD357C" w:rsidRPr="00131EED">
        <w:rPr>
          <w:rFonts w:cs="Arial"/>
          <w:shd w:val="clear" w:color="auto" w:fill="FEFEFE"/>
        </w:rPr>
        <w:fldChar w:fldCharType="end"/>
      </w:r>
      <w:r w:rsidR="00AD357C" w:rsidRPr="00131EED">
        <w:rPr>
          <w:rFonts w:cs="Arial"/>
          <w:shd w:val="clear" w:color="auto" w:fill="FEFEFE"/>
        </w:rPr>
        <w:t xml:space="preserve"> </w:t>
      </w:r>
      <w:r w:rsidRPr="00131EED">
        <w:rPr>
          <w:rFonts w:cs="Arial"/>
          <w:shd w:val="clear" w:color="auto" w:fill="FEFEFE"/>
        </w:rPr>
        <w:t>se muestran las OMEC presentes en la ecorregión Sabana de Bogotá, de acuerdo con la información disponible reportada en los diferentes sistemas de información geográfica.</w:t>
      </w:r>
    </w:p>
    <w:p w14:paraId="21E390C2" w14:textId="77777777" w:rsidR="00EB1D7C" w:rsidRPr="00131EED" w:rsidRDefault="00EB1D7C" w:rsidP="00FA7A9B">
      <w:bookmarkStart w:id="68" w:name="_Ref210655447"/>
    </w:p>
    <w:p w14:paraId="612F57BC" w14:textId="77777777" w:rsidR="006625D1" w:rsidRPr="00131EED" w:rsidRDefault="006625D1" w:rsidP="00FA7A9B"/>
    <w:p w14:paraId="51889727" w14:textId="77777777" w:rsidR="006625D1" w:rsidRPr="00131EED" w:rsidRDefault="006625D1" w:rsidP="00FA7A9B"/>
    <w:p w14:paraId="64726814" w14:textId="77777777" w:rsidR="006625D1" w:rsidRPr="00131EED" w:rsidRDefault="006625D1" w:rsidP="00FA7A9B"/>
    <w:p w14:paraId="2470B76D" w14:textId="77777777" w:rsidR="000D507E" w:rsidRPr="00131EED" w:rsidRDefault="000D507E" w:rsidP="00FA7A9B"/>
    <w:p w14:paraId="2BCD82FE" w14:textId="25E27571" w:rsidR="000D507E" w:rsidRPr="00131EED" w:rsidRDefault="00BF1FD6" w:rsidP="006625D1">
      <w:pPr>
        <w:pStyle w:val="Caption"/>
        <w:jc w:val="center"/>
      </w:pPr>
      <w:bookmarkStart w:id="69" w:name="_Ref210964657"/>
      <w:bookmarkStart w:id="70" w:name="_Toc216468782"/>
      <w:r w:rsidRPr="00131EED">
        <w:t xml:space="preserve">Ilustración </w:t>
      </w:r>
      <w:r w:rsidRPr="00131EED">
        <w:fldChar w:fldCharType="begin"/>
      </w:r>
      <w:r w:rsidRPr="00131EED">
        <w:instrText>SEQ Ilustración \* ARABIC</w:instrText>
      </w:r>
      <w:r w:rsidRPr="00131EED">
        <w:fldChar w:fldCharType="separate"/>
      </w:r>
      <w:r w:rsidR="00CE096F">
        <w:rPr>
          <w:noProof/>
        </w:rPr>
        <w:t>17</w:t>
      </w:r>
      <w:r w:rsidRPr="00131EED">
        <w:fldChar w:fldCharType="end"/>
      </w:r>
      <w:bookmarkEnd w:id="68"/>
      <w:bookmarkEnd w:id="69"/>
      <w:r w:rsidRPr="00131EED">
        <w:t xml:space="preserve"> Otras Medidas Efectivas de Conservación - OMEC Declaradas en la Sabana de Bogotá.</w:t>
      </w:r>
      <w:bookmarkEnd w:id="70"/>
    </w:p>
    <w:p w14:paraId="72E05995" w14:textId="5A989D0B" w:rsidR="00BF1FD6" w:rsidRPr="00131EED" w:rsidRDefault="00BF1FD6" w:rsidP="000D507E">
      <w:pPr>
        <w:jc w:val="center"/>
      </w:pPr>
      <w:r w:rsidRPr="00131EED">
        <w:rPr>
          <w:noProof/>
        </w:rPr>
        <w:drawing>
          <wp:inline distT="0" distB="0" distL="0" distR="0" wp14:anchorId="6CD81AF0" wp14:editId="5657CB89">
            <wp:extent cx="4037610" cy="5225143"/>
            <wp:effectExtent l="0" t="0" r="1270" b="0"/>
            <wp:docPr id="37" name="Imagen 37" descr="C:\Users\Dalila\Downloads\Areas protegidas declaradas C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lila\Downloads\Areas protegidas declaradas CAR.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049941" cy="5241101"/>
                    </a:xfrm>
                    <a:prstGeom prst="rect">
                      <a:avLst/>
                    </a:prstGeom>
                    <a:noFill/>
                    <a:ln>
                      <a:noFill/>
                    </a:ln>
                  </pic:spPr>
                </pic:pic>
              </a:graphicData>
            </a:graphic>
          </wp:inline>
        </w:drawing>
      </w:r>
    </w:p>
    <w:p w14:paraId="23D9928E" w14:textId="77777777" w:rsidR="00BF1FD6" w:rsidRPr="00131EED" w:rsidRDefault="00BF1FD6" w:rsidP="00BF1FD6">
      <w:pPr>
        <w:tabs>
          <w:tab w:val="left" w:pos="1320"/>
          <w:tab w:val="right" w:pos="8828"/>
        </w:tabs>
        <w:jc w:val="center"/>
        <w:rPr>
          <w:rFonts w:cs="Arial"/>
          <w:sz w:val="20"/>
          <w:szCs w:val="20"/>
        </w:rPr>
      </w:pPr>
      <w:r w:rsidRPr="00131EED">
        <w:rPr>
          <w:rFonts w:cs="Arial"/>
          <w:sz w:val="20"/>
          <w:szCs w:val="20"/>
        </w:rPr>
        <w:t>Fuente: MinAmbiente, 2025.</w:t>
      </w:r>
    </w:p>
    <w:p w14:paraId="46CE306A" w14:textId="77777777" w:rsidR="00A45F77" w:rsidRPr="00131EED" w:rsidRDefault="00A45F77" w:rsidP="00BF1FD6">
      <w:pPr>
        <w:tabs>
          <w:tab w:val="left" w:pos="1320"/>
          <w:tab w:val="right" w:pos="8828"/>
        </w:tabs>
        <w:jc w:val="center"/>
        <w:rPr>
          <w:rFonts w:cs="Arial"/>
          <w:sz w:val="20"/>
          <w:szCs w:val="20"/>
        </w:rPr>
      </w:pPr>
    </w:p>
    <w:p w14:paraId="2D5E9502" w14:textId="309A076A" w:rsidR="00AD357C" w:rsidRPr="00131EED" w:rsidRDefault="00AD357C" w:rsidP="003228A4">
      <w:pPr>
        <w:pStyle w:val="Caption"/>
        <w:jc w:val="center"/>
      </w:pPr>
      <w:bookmarkStart w:id="71" w:name="_Ref210659562"/>
      <w:bookmarkStart w:id="72" w:name="_Toc216468921"/>
      <w:r w:rsidRPr="00131EED">
        <w:t xml:space="preserve">Tabla </w:t>
      </w:r>
      <w:bookmarkEnd w:id="71"/>
      <w:r w:rsidRPr="00131EED">
        <w:fldChar w:fldCharType="begin"/>
      </w:r>
      <w:r w:rsidRPr="00131EED">
        <w:instrText>SEQ Tabla \* ARABIC</w:instrText>
      </w:r>
      <w:r w:rsidRPr="00131EED">
        <w:fldChar w:fldCharType="separate"/>
      </w:r>
      <w:r w:rsidR="00CE096F">
        <w:rPr>
          <w:noProof/>
        </w:rPr>
        <w:t>11</w:t>
      </w:r>
      <w:r w:rsidRPr="00131EED">
        <w:fldChar w:fldCharType="end"/>
      </w:r>
      <w:r w:rsidRPr="00131EED">
        <w:t xml:space="preserve"> :Relación de las OMEC presentes dentro de la Sabana de Bogotá.</w:t>
      </w:r>
      <w:bookmarkEnd w:id="72"/>
    </w:p>
    <w:tbl>
      <w:tblPr>
        <w:tblStyle w:val="TableGrid"/>
        <w:tblW w:w="5000" w:type="pct"/>
        <w:tblLook w:val="04A0" w:firstRow="1" w:lastRow="0" w:firstColumn="1" w:lastColumn="0" w:noHBand="0" w:noVBand="1"/>
      </w:tblPr>
      <w:tblGrid>
        <w:gridCol w:w="3345"/>
        <w:gridCol w:w="4267"/>
        <w:gridCol w:w="1216"/>
      </w:tblGrid>
      <w:tr w:rsidR="00AD357C" w:rsidRPr="00131EED" w14:paraId="05763360" w14:textId="77777777" w:rsidTr="00053167">
        <w:trPr>
          <w:trHeight w:val="300"/>
        </w:trPr>
        <w:tc>
          <w:tcPr>
            <w:tcW w:w="1895" w:type="pct"/>
            <w:noWrap/>
            <w:hideMark/>
          </w:tcPr>
          <w:p w14:paraId="7DD1D9E0" w14:textId="77777777" w:rsidR="00AD357C" w:rsidRPr="00131EED" w:rsidRDefault="00AD357C" w:rsidP="001562F1">
            <w:pPr>
              <w:jc w:val="left"/>
              <w:rPr>
                <w:rFonts w:cs="Calibri"/>
                <w:b/>
                <w:color w:val="000000"/>
                <w:sz w:val="20"/>
                <w:szCs w:val="20"/>
                <w:lang w:eastAsia="en-US"/>
              </w:rPr>
            </w:pPr>
            <w:r w:rsidRPr="00131EED">
              <w:rPr>
                <w:rFonts w:cs="Calibri"/>
                <w:b/>
                <w:color w:val="000000"/>
                <w:sz w:val="20"/>
                <w:szCs w:val="20"/>
                <w:lang w:eastAsia="en-US"/>
              </w:rPr>
              <w:t>CATEGORIA</w:t>
            </w:r>
          </w:p>
        </w:tc>
        <w:tc>
          <w:tcPr>
            <w:tcW w:w="2417" w:type="pct"/>
            <w:noWrap/>
            <w:hideMark/>
          </w:tcPr>
          <w:p w14:paraId="76A059E9" w14:textId="77777777" w:rsidR="00AD357C" w:rsidRPr="00131EED" w:rsidRDefault="00AD357C" w:rsidP="001562F1">
            <w:pPr>
              <w:jc w:val="left"/>
              <w:rPr>
                <w:rFonts w:cs="Calibri"/>
                <w:b/>
                <w:color w:val="000000"/>
                <w:sz w:val="20"/>
                <w:szCs w:val="20"/>
                <w:lang w:eastAsia="en-US"/>
              </w:rPr>
            </w:pPr>
            <w:r w:rsidRPr="00131EED">
              <w:rPr>
                <w:rFonts w:cs="Calibri"/>
                <w:b/>
                <w:color w:val="000000"/>
                <w:sz w:val="20"/>
                <w:szCs w:val="20"/>
                <w:lang w:eastAsia="en-US"/>
              </w:rPr>
              <w:t>NOMBRE</w:t>
            </w:r>
          </w:p>
        </w:tc>
        <w:tc>
          <w:tcPr>
            <w:tcW w:w="689" w:type="pct"/>
            <w:noWrap/>
            <w:hideMark/>
          </w:tcPr>
          <w:p w14:paraId="00A64373" w14:textId="4CEDFBD8" w:rsidR="00AD357C" w:rsidRPr="00131EED" w:rsidRDefault="00AD357C" w:rsidP="001562F1">
            <w:pPr>
              <w:jc w:val="left"/>
              <w:rPr>
                <w:rFonts w:cs="Calibri"/>
                <w:b/>
                <w:color w:val="000000"/>
                <w:sz w:val="20"/>
                <w:szCs w:val="20"/>
                <w:lang w:eastAsia="en-US"/>
              </w:rPr>
            </w:pPr>
            <w:r w:rsidRPr="00131EED">
              <w:rPr>
                <w:rFonts w:cs="Calibri"/>
                <w:b/>
                <w:color w:val="000000"/>
                <w:sz w:val="20"/>
                <w:szCs w:val="20"/>
                <w:lang w:eastAsia="en-US"/>
              </w:rPr>
              <w:t>Extensión (ha)</w:t>
            </w:r>
          </w:p>
        </w:tc>
      </w:tr>
      <w:tr w:rsidR="00AD357C" w:rsidRPr="00131EED" w14:paraId="3EC75D67" w14:textId="77777777" w:rsidTr="00053167">
        <w:trPr>
          <w:trHeight w:val="300"/>
        </w:trPr>
        <w:tc>
          <w:tcPr>
            <w:tcW w:w="1895" w:type="pct"/>
            <w:noWrap/>
            <w:hideMark/>
          </w:tcPr>
          <w:p w14:paraId="229D9DE1" w14:textId="77777777" w:rsidR="00AD357C" w:rsidRPr="00131EED" w:rsidRDefault="00AD357C" w:rsidP="001562F1">
            <w:pPr>
              <w:jc w:val="left"/>
              <w:rPr>
                <w:rFonts w:cs="Calibri"/>
                <w:b/>
                <w:color w:val="000000"/>
                <w:sz w:val="20"/>
                <w:szCs w:val="20"/>
                <w:lang w:eastAsia="en-US"/>
              </w:rPr>
            </w:pPr>
            <w:r w:rsidRPr="00131EED">
              <w:rPr>
                <w:rFonts w:cs="Calibri"/>
                <w:b/>
                <w:color w:val="000000"/>
                <w:sz w:val="20"/>
                <w:szCs w:val="20"/>
                <w:lang w:eastAsia="en-US"/>
              </w:rPr>
              <w:t>Reservas Forestales Productoras</w:t>
            </w:r>
          </w:p>
        </w:tc>
        <w:tc>
          <w:tcPr>
            <w:tcW w:w="2417" w:type="pct"/>
            <w:noWrap/>
            <w:hideMark/>
          </w:tcPr>
          <w:p w14:paraId="13BE81F6" w14:textId="77777777" w:rsidR="00AD357C" w:rsidRPr="00131EED" w:rsidRDefault="00AD357C" w:rsidP="001562F1">
            <w:pPr>
              <w:jc w:val="left"/>
              <w:rPr>
                <w:rFonts w:cs="Calibri"/>
                <w:color w:val="000000"/>
                <w:sz w:val="20"/>
                <w:szCs w:val="20"/>
                <w:lang w:eastAsia="en-US"/>
              </w:rPr>
            </w:pPr>
            <w:r w:rsidRPr="00131EED">
              <w:rPr>
                <w:rFonts w:cs="Calibri"/>
                <w:color w:val="000000"/>
                <w:sz w:val="20"/>
                <w:szCs w:val="20"/>
                <w:lang w:eastAsia="en-US"/>
              </w:rPr>
              <w:t>Reserva Forestal Regional Productora del Norte de Bogot</w:t>
            </w:r>
            <w:r w:rsidRPr="00131EED">
              <w:rPr>
                <w:color w:val="000000"/>
                <w:sz w:val="20"/>
                <w:szCs w:val="20"/>
                <w:lang w:eastAsia="en-US"/>
              </w:rPr>
              <w:t>á</w:t>
            </w:r>
          </w:p>
        </w:tc>
        <w:tc>
          <w:tcPr>
            <w:tcW w:w="689" w:type="pct"/>
            <w:noWrap/>
            <w:hideMark/>
          </w:tcPr>
          <w:p w14:paraId="0E8C7DEB" w14:textId="77777777" w:rsidR="00AD357C" w:rsidRPr="00131EED" w:rsidRDefault="00AD357C" w:rsidP="001562F1">
            <w:pPr>
              <w:jc w:val="left"/>
              <w:rPr>
                <w:rFonts w:cs="Calibri"/>
                <w:color w:val="000000"/>
                <w:sz w:val="20"/>
                <w:szCs w:val="20"/>
                <w:lang w:eastAsia="en-US"/>
              </w:rPr>
            </w:pPr>
            <w:r w:rsidRPr="00131EED">
              <w:rPr>
                <w:rFonts w:cs="Calibri"/>
                <w:color w:val="000000"/>
                <w:sz w:val="20"/>
                <w:szCs w:val="20"/>
                <w:lang w:eastAsia="en-US"/>
              </w:rPr>
              <w:t>1374,264</w:t>
            </w:r>
          </w:p>
        </w:tc>
      </w:tr>
      <w:tr w:rsidR="00AD357C" w:rsidRPr="00131EED" w14:paraId="75EEE8C1" w14:textId="77777777" w:rsidTr="00053167">
        <w:trPr>
          <w:trHeight w:val="300"/>
        </w:trPr>
        <w:tc>
          <w:tcPr>
            <w:tcW w:w="4311" w:type="pct"/>
            <w:gridSpan w:val="2"/>
            <w:noWrap/>
            <w:hideMark/>
          </w:tcPr>
          <w:p w14:paraId="0156FD05" w14:textId="77777777" w:rsidR="00AD357C" w:rsidRPr="00131EED" w:rsidRDefault="00AD357C" w:rsidP="001562F1">
            <w:pPr>
              <w:jc w:val="left"/>
              <w:rPr>
                <w:rFonts w:cs="Calibri"/>
                <w:b/>
                <w:color w:val="000000"/>
                <w:sz w:val="20"/>
                <w:szCs w:val="20"/>
                <w:lang w:eastAsia="en-US"/>
              </w:rPr>
            </w:pPr>
            <w:r w:rsidRPr="00131EED">
              <w:rPr>
                <w:rFonts w:cs="Calibri"/>
                <w:b/>
                <w:color w:val="000000"/>
                <w:sz w:val="20"/>
                <w:szCs w:val="20"/>
                <w:lang w:eastAsia="en-US"/>
              </w:rPr>
              <w:t>Total Reservas Forestales Productoras</w:t>
            </w:r>
          </w:p>
        </w:tc>
        <w:tc>
          <w:tcPr>
            <w:tcW w:w="689" w:type="pct"/>
            <w:noWrap/>
            <w:hideMark/>
          </w:tcPr>
          <w:p w14:paraId="01355447" w14:textId="77777777" w:rsidR="00AD357C" w:rsidRPr="00131EED" w:rsidRDefault="00AD357C" w:rsidP="001562F1">
            <w:pPr>
              <w:jc w:val="left"/>
              <w:rPr>
                <w:rFonts w:cs="Calibri"/>
                <w:b/>
                <w:color w:val="000000"/>
                <w:sz w:val="20"/>
                <w:szCs w:val="20"/>
                <w:lang w:eastAsia="en-US"/>
              </w:rPr>
            </w:pPr>
            <w:r w:rsidRPr="00131EED">
              <w:rPr>
                <w:rFonts w:cs="Calibri"/>
                <w:b/>
                <w:color w:val="000000"/>
                <w:sz w:val="20"/>
                <w:szCs w:val="20"/>
                <w:lang w:eastAsia="en-US"/>
              </w:rPr>
              <w:t>1374,264</w:t>
            </w:r>
          </w:p>
        </w:tc>
      </w:tr>
      <w:tr w:rsidR="001562F1" w:rsidRPr="00131EED" w14:paraId="50003CFA" w14:textId="77777777" w:rsidTr="00053167">
        <w:trPr>
          <w:trHeight w:val="300"/>
        </w:trPr>
        <w:tc>
          <w:tcPr>
            <w:tcW w:w="1895" w:type="pct"/>
            <w:vMerge w:val="restart"/>
            <w:noWrap/>
            <w:hideMark/>
          </w:tcPr>
          <w:p w14:paraId="69642BF5" w14:textId="77777777" w:rsidR="001562F1" w:rsidRPr="00131EED" w:rsidRDefault="001562F1" w:rsidP="001562F1">
            <w:pPr>
              <w:jc w:val="left"/>
              <w:rPr>
                <w:rFonts w:cs="Calibri"/>
                <w:b/>
                <w:color w:val="000000"/>
                <w:sz w:val="20"/>
                <w:szCs w:val="20"/>
                <w:lang w:eastAsia="en-US"/>
              </w:rPr>
            </w:pPr>
            <w:r w:rsidRPr="00131EED">
              <w:rPr>
                <w:rFonts w:cs="Calibri"/>
                <w:b/>
                <w:color w:val="000000"/>
                <w:sz w:val="20"/>
                <w:szCs w:val="20"/>
                <w:lang w:eastAsia="en-US"/>
              </w:rPr>
              <w:t>Reservas Forestales Protectoras - Productoras</w:t>
            </w:r>
          </w:p>
        </w:tc>
        <w:tc>
          <w:tcPr>
            <w:tcW w:w="2417" w:type="pct"/>
            <w:noWrap/>
            <w:hideMark/>
          </w:tcPr>
          <w:p w14:paraId="42F740A1" w14:textId="77777777" w:rsidR="001562F1" w:rsidRPr="00131EED" w:rsidRDefault="001562F1" w:rsidP="001562F1">
            <w:pPr>
              <w:jc w:val="left"/>
              <w:rPr>
                <w:rFonts w:cs="Calibri"/>
                <w:color w:val="000000"/>
                <w:sz w:val="20"/>
                <w:szCs w:val="20"/>
                <w:lang w:eastAsia="en-US"/>
              </w:rPr>
            </w:pPr>
            <w:r w:rsidRPr="00131EED">
              <w:rPr>
                <w:rFonts w:cs="Calibri"/>
                <w:color w:val="000000"/>
                <w:sz w:val="20"/>
                <w:szCs w:val="20"/>
                <w:lang w:eastAsia="en-US"/>
              </w:rPr>
              <w:t>Cuenca Alta del R</w:t>
            </w:r>
            <w:r w:rsidRPr="00131EED">
              <w:rPr>
                <w:color w:val="000000"/>
                <w:sz w:val="20"/>
                <w:szCs w:val="20"/>
                <w:lang w:eastAsia="en-US"/>
              </w:rPr>
              <w:t>í</w:t>
            </w:r>
            <w:r w:rsidRPr="00131EED">
              <w:rPr>
                <w:rFonts w:cs="Calibri"/>
                <w:color w:val="000000"/>
                <w:sz w:val="20"/>
                <w:szCs w:val="20"/>
                <w:lang w:eastAsia="en-US"/>
              </w:rPr>
              <w:t>o Bogot</w:t>
            </w:r>
            <w:r w:rsidRPr="00131EED">
              <w:rPr>
                <w:color w:val="000000"/>
                <w:sz w:val="20"/>
                <w:szCs w:val="20"/>
                <w:lang w:eastAsia="en-US"/>
              </w:rPr>
              <w:t>á</w:t>
            </w:r>
          </w:p>
        </w:tc>
        <w:tc>
          <w:tcPr>
            <w:tcW w:w="689" w:type="pct"/>
            <w:noWrap/>
            <w:hideMark/>
          </w:tcPr>
          <w:p w14:paraId="2277262C" w14:textId="77777777" w:rsidR="001562F1" w:rsidRPr="00131EED" w:rsidRDefault="001562F1" w:rsidP="001562F1">
            <w:pPr>
              <w:jc w:val="left"/>
              <w:rPr>
                <w:rFonts w:cs="Calibri"/>
                <w:color w:val="000000"/>
                <w:sz w:val="20"/>
                <w:szCs w:val="20"/>
                <w:lang w:eastAsia="en-US"/>
              </w:rPr>
            </w:pPr>
            <w:r w:rsidRPr="00131EED">
              <w:rPr>
                <w:rFonts w:cs="Calibri"/>
                <w:color w:val="000000"/>
                <w:sz w:val="20"/>
                <w:szCs w:val="20"/>
                <w:lang w:eastAsia="en-US"/>
              </w:rPr>
              <w:t>90607,206</w:t>
            </w:r>
          </w:p>
        </w:tc>
      </w:tr>
      <w:tr w:rsidR="001562F1" w:rsidRPr="00131EED" w14:paraId="3A3656F0" w14:textId="77777777" w:rsidTr="00053167">
        <w:trPr>
          <w:trHeight w:val="300"/>
        </w:trPr>
        <w:tc>
          <w:tcPr>
            <w:tcW w:w="1895" w:type="pct"/>
            <w:vMerge/>
            <w:noWrap/>
            <w:hideMark/>
          </w:tcPr>
          <w:p w14:paraId="3430183D" w14:textId="77777777" w:rsidR="001562F1" w:rsidRPr="00131EED" w:rsidRDefault="001562F1" w:rsidP="001562F1">
            <w:pPr>
              <w:jc w:val="left"/>
              <w:rPr>
                <w:rFonts w:cs="Calibri"/>
                <w:color w:val="000000"/>
                <w:sz w:val="20"/>
                <w:szCs w:val="20"/>
                <w:lang w:eastAsia="en-US"/>
              </w:rPr>
            </w:pPr>
          </w:p>
        </w:tc>
        <w:tc>
          <w:tcPr>
            <w:tcW w:w="2417" w:type="pct"/>
            <w:noWrap/>
            <w:hideMark/>
          </w:tcPr>
          <w:p w14:paraId="341EB8B3" w14:textId="77777777" w:rsidR="001562F1" w:rsidRPr="00131EED" w:rsidRDefault="001562F1" w:rsidP="001562F1">
            <w:pPr>
              <w:jc w:val="left"/>
              <w:rPr>
                <w:rFonts w:cs="Calibri"/>
                <w:color w:val="000000"/>
                <w:sz w:val="20"/>
                <w:szCs w:val="20"/>
                <w:lang w:eastAsia="en-US"/>
              </w:rPr>
            </w:pPr>
            <w:r w:rsidRPr="00131EED">
              <w:rPr>
                <w:rFonts w:cs="Calibri"/>
                <w:color w:val="000000"/>
                <w:sz w:val="20"/>
                <w:szCs w:val="20"/>
                <w:lang w:eastAsia="en-US"/>
              </w:rPr>
              <w:t>El Sapo - San Rafael</w:t>
            </w:r>
          </w:p>
        </w:tc>
        <w:tc>
          <w:tcPr>
            <w:tcW w:w="689" w:type="pct"/>
            <w:noWrap/>
            <w:hideMark/>
          </w:tcPr>
          <w:p w14:paraId="19A06B05" w14:textId="77777777" w:rsidR="001562F1" w:rsidRPr="00131EED" w:rsidRDefault="001562F1" w:rsidP="001562F1">
            <w:pPr>
              <w:jc w:val="left"/>
              <w:rPr>
                <w:rFonts w:cs="Calibri"/>
                <w:color w:val="000000"/>
                <w:sz w:val="20"/>
                <w:szCs w:val="20"/>
                <w:lang w:eastAsia="en-US"/>
              </w:rPr>
            </w:pPr>
            <w:r w:rsidRPr="00131EED">
              <w:rPr>
                <w:rFonts w:cs="Calibri"/>
                <w:color w:val="000000"/>
                <w:sz w:val="20"/>
                <w:szCs w:val="20"/>
                <w:lang w:eastAsia="en-US"/>
              </w:rPr>
              <w:t>1034,899</w:t>
            </w:r>
          </w:p>
        </w:tc>
      </w:tr>
      <w:tr w:rsidR="001562F1" w:rsidRPr="00131EED" w14:paraId="139DD3CF" w14:textId="77777777" w:rsidTr="00053167">
        <w:trPr>
          <w:trHeight w:val="300"/>
        </w:trPr>
        <w:tc>
          <w:tcPr>
            <w:tcW w:w="1895" w:type="pct"/>
            <w:vMerge/>
            <w:noWrap/>
            <w:hideMark/>
          </w:tcPr>
          <w:p w14:paraId="51B210E6" w14:textId="77777777" w:rsidR="001562F1" w:rsidRPr="00131EED" w:rsidRDefault="001562F1" w:rsidP="001562F1">
            <w:pPr>
              <w:jc w:val="left"/>
              <w:rPr>
                <w:rFonts w:cs="Calibri"/>
                <w:color w:val="000000"/>
                <w:sz w:val="20"/>
                <w:szCs w:val="20"/>
                <w:lang w:eastAsia="en-US"/>
              </w:rPr>
            </w:pPr>
          </w:p>
        </w:tc>
        <w:tc>
          <w:tcPr>
            <w:tcW w:w="2417" w:type="pct"/>
            <w:noWrap/>
            <w:hideMark/>
          </w:tcPr>
          <w:p w14:paraId="373F2DFC" w14:textId="77777777" w:rsidR="001562F1" w:rsidRPr="00131EED" w:rsidRDefault="001562F1" w:rsidP="001562F1">
            <w:pPr>
              <w:jc w:val="left"/>
              <w:rPr>
                <w:rFonts w:cs="Calibri"/>
                <w:color w:val="000000"/>
                <w:sz w:val="20"/>
                <w:szCs w:val="20"/>
                <w:lang w:eastAsia="en-US"/>
              </w:rPr>
            </w:pPr>
            <w:r w:rsidRPr="00131EED">
              <w:rPr>
                <w:rFonts w:cs="Calibri"/>
                <w:color w:val="000000"/>
                <w:sz w:val="20"/>
                <w:szCs w:val="20"/>
                <w:lang w:eastAsia="en-US"/>
              </w:rPr>
              <w:t>Laguna de Pedro Palo</w:t>
            </w:r>
          </w:p>
        </w:tc>
        <w:tc>
          <w:tcPr>
            <w:tcW w:w="689" w:type="pct"/>
            <w:noWrap/>
            <w:hideMark/>
          </w:tcPr>
          <w:p w14:paraId="0DD3DBA4" w14:textId="77777777" w:rsidR="001562F1" w:rsidRPr="00131EED" w:rsidRDefault="001562F1" w:rsidP="001562F1">
            <w:pPr>
              <w:jc w:val="left"/>
              <w:rPr>
                <w:rFonts w:cs="Calibri"/>
                <w:color w:val="000000"/>
                <w:sz w:val="20"/>
                <w:szCs w:val="20"/>
                <w:lang w:eastAsia="en-US"/>
              </w:rPr>
            </w:pPr>
            <w:r w:rsidRPr="00131EED">
              <w:rPr>
                <w:rFonts w:cs="Calibri"/>
                <w:color w:val="000000"/>
                <w:sz w:val="20"/>
                <w:szCs w:val="20"/>
                <w:lang w:eastAsia="en-US"/>
              </w:rPr>
              <w:t>0,727</w:t>
            </w:r>
          </w:p>
        </w:tc>
      </w:tr>
      <w:tr w:rsidR="001562F1" w:rsidRPr="00131EED" w14:paraId="7736750E" w14:textId="77777777" w:rsidTr="00053167">
        <w:trPr>
          <w:trHeight w:val="300"/>
        </w:trPr>
        <w:tc>
          <w:tcPr>
            <w:tcW w:w="1895" w:type="pct"/>
            <w:vMerge/>
            <w:noWrap/>
            <w:hideMark/>
          </w:tcPr>
          <w:p w14:paraId="28D36CA4" w14:textId="77777777" w:rsidR="001562F1" w:rsidRPr="00131EED" w:rsidRDefault="001562F1" w:rsidP="001562F1">
            <w:pPr>
              <w:jc w:val="left"/>
              <w:rPr>
                <w:rFonts w:cs="Calibri"/>
                <w:color w:val="000000"/>
                <w:sz w:val="20"/>
                <w:szCs w:val="20"/>
                <w:lang w:eastAsia="en-US"/>
              </w:rPr>
            </w:pPr>
          </w:p>
        </w:tc>
        <w:tc>
          <w:tcPr>
            <w:tcW w:w="2417" w:type="pct"/>
            <w:noWrap/>
            <w:hideMark/>
          </w:tcPr>
          <w:p w14:paraId="51FB8B25" w14:textId="77777777" w:rsidR="001562F1" w:rsidRPr="00131EED" w:rsidRDefault="001562F1" w:rsidP="001562F1">
            <w:pPr>
              <w:jc w:val="left"/>
              <w:rPr>
                <w:rFonts w:cs="Calibri"/>
                <w:color w:val="000000"/>
                <w:sz w:val="20"/>
                <w:szCs w:val="20"/>
                <w:lang w:eastAsia="en-US"/>
              </w:rPr>
            </w:pPr>
            <w:r w:rsidRPr="00131EED">
              <w:rPr>
                <w:rFonts w:cs="Calibri"/>
                <w:color w:val="000000"/>
                <w:sz w:val="20"/>
                <w:szCs w:val="20"/>
                <w:lang w:eastAsia="en-US"/>
              </w:rPr>
              <w:t>Pe</w:t>
            </w:r>
            <w:r w:rsidRPr="00131EED">
              <w:rPr>
                <w:color w:val="000000"/>
                <w:sz w:val="20"/>
                <w:szCs w:val="20"/>
                <w:lang w:eastAsia="en-US"/>
              </w:rPr>
              <w:t>ñ</w:t>
            </w:r>
            <w:r w:rsidRPr="00131EED">
              <w:rPr>
                <w:rFonts w:cs="Calibri"/>
                <w:color w:val="000000"/>
                <w:sz w:val="20"/>
                <w:szCs w:val="20"/>
                <w:lang w:eastAsia="en-US"/>
              </w:rPr>
              <w:t>as del Aserradero</w:t>
            </w:r>
          </w:p>
        </w:tc>
        <w:tc>
          <w:tcPr>
            <w:tcW w:w="689" w:type="pct"/>
            <w:noWrap/>
            <w:hideMark/>
          </w:tcPr>
          <w:p w14:paraId="3A15F3CB" w14:textId="77777777" w:rsidR="001562F1" w:rsidRPr="00131EED" w:rsidRDefault="001562F1" w:rsidP="001562F1">
            <w:pPr>
              <w:jc w:val="left"/>
              <w:rPr>
                <w:rFonts w:cs="Calibri"/>
                <w:color w:val="000000"/>
                <w:sz w:val="20"/>
                <w:szCs w:val="20"/>
                <w:lang w:eastAsia="en-US"/>
              </w:rPr>
            </w:pPr>
            <w:r w:rsidRPr="00131EED">
              <w:rPr>
                <w:rFonts w:cs="Calibri"/>
                <w:color w:val="000000"/>
                <w:sz w:val="20"/>
                <w:szCs w:val="20"/>
                <w:lang w:eastAsia="en-US"/>
              </w:rPr>
              <w:t>2,034</w:t>
            </w:r>
          </w:p>
        </w:tc>
      </w:tr>
      <w:tr w:rsidR="00AD357C" w:rsidRPr="00131EED" w14:paraId="241ACAF0" w14:textId="77777777" w:rsidTr="00053167">
        <w:trPr>
          <w:trHeight w:val="300"/>
        </w:trPr>
        <w:tc>
          <w:tcPr>
            <w:tcW w:w="4311" w:type="pct"/>
            <w:gridSpan w:val="2"/>
            <w:noWrap/>
            <w:hideMark/>
          </w:tcPr>
          <w:p w14:paraId="7F3590C5" w14:textId="77777777" w:rsidR="00AD357C" w:rsidRPr="00131EED" w:rsidRDefault="00AD357C" w:rsidP="001562F1">
            <w:pPr>
              <w:jc w:val="left"/>
              <w:rPr>
                <w:rFonts w:cs="Calibri"/>
                <w:b/>
                <w:color w:val="000000"/>
                <w:sz w:val="20"/>
                <w:szCs w:val="20"/>
                <w:lang w:eastAsia="en-US"/>
              </w:rPr>
            </w:pPr>
            <w:r w:rsidRPr="00131EED">
              <w:rPr>
                <w:rFonts w:cs="Calibri"/>
                <w:b/>
                <w:color w:val="000000"/>
                <w:sz w:val="20"/>
                <w:szCs w:val="20"/>
                <w:lang w:eastAsia="en-US"/>
              </w:rPr>
              <w:t>Total Reservas Forestales Protectoras - Productoras</w:t>
            </w:r>
          </w:p>
        </w:tc>
        <w:tc>
          <w:tcPr>
            <w:tcW w:w="689" w:type="pct"/>
            <w:noWrap/>
            <w:hideMark/>
          </w:tcPr>
          <w:p w14:paraId="44FFCAFB" w14:textId="761A1CF0" w:rsidR="00AD357C" w:rsidRPr="00131EED" w:rsidRDefault="00AD357C" w:rsidP="001562F1">
            <w:pPr>
              <w:jc w:val="left"/>
              <w:rPr>
                <w:rFonts w:cs="Calibri"/>
                <w:b/>
                <w:color w:val="000000"/>
                <w:sz w:val="20"/>
                <w:szCs w:val="20"/>
                <w:lang w:eastAsia="en-US"/>
              </w:rPr>
            </w:pPr>
            <w:r w:rsidRPr="00131EED">
              <w:rPr>
                <w:rFonts w:cs="Calibri"/>
                <w:b/>
                <w:bCs/>
                <w:color w:val="000000"/>
                <w:sz w:val="20"/>
                <w:szCs w:val="20"/>
                <w:lang w:eastAsia="en-US"/>
              </w:rPr>
              <w:t>91</w:t>
            </w:r>
            <w:r w:rsidR="00041B8E" w:rsidRPr="00131EED">
              <w:rPr>
                <w:rFonts w:cs="Calibri"/>
                <w:b/>
                <w:bCs/>
                <w:color w:val="000000"/>
                <w:sz w:val="20"/>
                <w:szCs w:val="20"/>
                <w:lang w:eastAsia="en-US"/>
              </w:rPr>
              <w:t>.</w:t>
            </w:r>
            <w:r w:rsidRPr="00131EED">
              <w:rPr>
                <w:rFonts w:cs="Calibri"/>
                <w:b/>
                <w:bCs/>
                <w:color w:val="000000"/>
                <w:sz w:val="20"/>
                <w:szCs w:val="20"/>
                <w:lang w:eastAsia="en-US"/>
              </w:rPr>
              <w:t>644</w:t>
            </w:r>
            <w:r w:rsidRPr="00131EED">
              <w:rPr>
                <w:rFonts w:cs="Calibri"/>
                <w:b/>
                <w:color w:val="000000"/>
                <w:sz w:val="20"/>
                <w:szCs w:val="20"/>
                <w:lang w:eastAsia="en-US"/>
              </w:rPr>
              <w:t>,866</w:t>
            </w:r>
          </w:p>
        </w:tc>
      </w:tr>
      <w:tr w:rsidR="001562F1" w:rsidRPr="00131EED" w14:paraId="3D32BD3A" w14:textId="77777777" w:rsidTr="00053167">
        <w:trPr>
          <w:trHeight w:val="300"/>
        </w:trPr>
        <w:tc>
          <w:tcPr>
            <w:tcW w:w="1895" w:type="pct"/>
            <w:vMerge w:val="restart"/>
            <w:noWrap/>
            <w:hideMark/>
          </w:tcPr>
          <w:p w14:paraId="32E8252A" w14:textId="77777777" w:rsidR="001562F1" w:rsidRPr="00131EED" w:rsidRDefault="001562F1" w:rsidP="001562F1">
            <w:pPr>
              <w:jc w:val="left"/>
              <w:rPr>
                <w:rFonts w:cs="Calibri"/>
                <w:b/>
                <w:color w:val="000000"/>
                <w:sz w:val="20"/>
                <w:szCs w:val="20"/>
                <w:lang w:eastAsia="en-US"/>
              </w:rPr>
            </w:pPr>
            <w:r w:rsidRPr="00131EED">
              <w:rPr>
                <w:rFonts w:cs="Calibri"/>
                <w:b/>
                <w:color w:val="000000"/>
                <w:sz w:val="20"/>
                <w:szCs w:val="20"/>
                <w:lang w:eastAsia="en-US"/>
              </w:rPr>
              <w:t>Reservas hídricas</w:t>
            </w:r>
          </w:p>
        </w:tc>
        <w:tc>
          <w:tcPr>
            <w:tcW w:w="2417" w:type="pct"/>
            <w:noWrap/>
            <w:hideMark/>
          </w:tcPr>
          <w:p w14:paraId="0EE69D25" w14:textId="77777777" w:rsidR="001562F1" w:rsidRPr="00131EED" w:rsidRDefault="001562F1" w:rsidP="001562F1">
            <w:pPr>
              <w:jc w:val="left"/>
              <w:rPr>
                <w:rFonts w:cs="Calibri"/>
                <w:color w:val="000000"/>
                <w:sz w:val="20"/>
                <w:szCs w:val="20"/>
                <w:lang w:eastAsia="en-US"/>
              </w:rPr>
            </w:pPr>
            <w:r w:rsidRPr="00131EED">
              <w:rPr>
                <w:rFonts w:cs="Calibri"/>
                <w:color w:val="000000"/>
                <w:sz w:val="20"/>
                <w:szCs w:val="20"/>
                <w:lang w:eastAsia="en-US"/>
              </w:rPr>
              <w:t>Humedal de Neuta</w:t>
            </w:r>
          </w:p>
        </w:tc>
        <w:tc>
          <w:tcPr>
            <w:tcW w:w="689" w:type="pct"/>
            <w:noWrap/>
            <w:hideMark/>
          </w:tcPr>
          <w:p w14:paraId="40274299" w14:textId="77777777" w:rsidR="001562F1" w:rsidRPr="00131EED" w:rsidRDefault="001562F1" w:rsidP="001562F1">
            <w:pPr>
              <w:jc w:val="left"/>
              <w:rPr>
                <w:rFonts w:cs="Calibri"/>
                <w:color w:val="000000"/>
                <w:sz w:val="20"/>
                <w:szCs w:val="20"/>
                <w:lang w:eastAsia="en-US"/>
              </w:rPr>
            </w:pPr>
            <w:r w:rsidRPr="00131EED">
              <w:rPr>
                <w:rFonts w:cs="Calibri"/>
                <w:color w:val="000000"/>
                <w:sz w:val="20"/>
                <w:szCs w:val="20"/>
                <w:lang w:eastAsia="en-US"/>
              </w:rPr>
              <w:t>40,364</w:t>
            </w:r>
          </w:p>
        </w:tc>
      </w:tr>
      <w:tr w:rsidR="001562F1" w:rsidRPr="00131EED" w14:paraId="12E78F36" w14:textId="77777777" w:rsidTr="00053167">
        <w:trPr>
          <w:trHeight w:val="300"/>
        </w:trPr>
        <w:tc>
          <w:tcPr>
            <w:tcW w:w="1895" w:type="pct"/>
            <w:vMerge/>
            <w:noWrap/>
            <w:hideMark/>
          </w:tcPr>
          <w:p w14:paraId="5E922526" w14:textId="77777777" w:rsidR="001562F1" w:rsidRPr="00131EED" w:rsidRDefault="001562F1" w:rsidP="001562F1">
            <w:pPr>
              <w:jc w:val="left"/>
              <w:rPr>
                <w:rFonts w:cs="Calibri"/>
                <w:color w:val="000000"/>
                <w:sz w:val="20"/>
                <w:szCs w:val="20"/>
                <w:lang w:eastAsia="en-US"/>
              </w:rPr>
            </w:pPr>
          </w:p>
        </w:tc>
        <w:tc>
          <w:tcPr>
            <w:tcW w:w="2417" w:type="pct"/>
            <w:noWrap/>
            <w:hideMark/>
          </w:tcPr>
          <w:p w14:paraId="27A7FCCC" w14:textId="77777777" w:rsidR="001562F1" w:rsidRPr="00131EED" w:rsidRDefault="001562F1" w:rsidP="001562F1">
            <w:pPr>
              <w:jc w:val="left"/>
              <w:rPr>
                <w:rFonts w:cs="Calibri"/>
                <w:color w:val="000000"/>
                <w:sz w:val="20"/>
                <w:szCs w:val="20"/>
                <w:lang w:eastAsia="en-US"/>
              </w:rPr>
            </w:pPr>
            <w:r w:rsidRPr="00131EED">
              <w:rPr>
                <w:rFonts w:cs="Calibri"/>
                <w:color w:val="000000"/>
                <w:sz w:val="20"/>
                <w:szCs w:val="20"/>
                <w:lang w:eastAsia="en-US"/>
              </w:rPr>
              <w:t>Humedal Tierra Blanca</w:t>
            </w:r>
          </w:p>
        </w:tc>
        <w:tc>
          <w:tcPr>
            <w:tcW w:w="689" w:type="pct"/>
            <w:noWrap/>
            <w:hideMark/>
          </w:tcPr>
          <w:p w14:paraId="7299D75A" w14:textId="77777777" w:rsidR="001562F1" w:rsidRPr="00131EED" w:rsidRDefault="001562F1" w:rsidP="001562F1">
            <w:pPr>
              <w:jc w:val="left"/>
              <w:rPr>
                <w:rFonts w:cs="Calibri"/>
                <w:color w:val="000000"/>
                <w:sz w:val="20"/>
                <w:szCs w:val="20"/>
                <w:lang w:eastAsia="en-US"/>
              </w:rPr>
            </w:pPr>
            <w:r w:rsidRPr="00131EED">
              <w:rPr>
                <w:rFonts w:cs="Calibri"/>
                <w:color w:val="000000"/>
                <w:sz w:val="20"/>
                <w:szCs w:val="20"/>
                <w:lang w:eastAsia="en-US"/>
              </w:rPr>
              <w:t>27,788</w:t>
            </w:r>
          </w:p>
        </w:tc>
      </w:tr>
      <w:tr w:rsidR="001562F1" w:rsidRPr="00131EED" w14:paraId="3FAF94DF" w14:textId="77777777" w:rsidTr="00053167">
        <w:trPr>
          <w:trHeight w:val="300"/>
        </w:trPr>
        <w:tc>
          <w:tcPr>
            <w:tcW w:w="1895" w:type="pct"/>
            <w:vMerge/>
            <w:noWrap/>
            <w:hideMark/>
          </w:tcPr>
          <w:p w14:paraId="586DB34D" w14:textId="77777777" w:rsidR="001562F1" w:rsidRPr="00131EED" w:rsidRDefault="001562F1" w:rsidP="001562F1">
            <w:pPr>
              <w:jc w:val="left"/>
              <w:rPr>
                <w:rFonts w:cs="Calibri"/>
                <w:color w:val="000000"/>
                <w:sz w:val="20"/>
                <w:szCs w:val="20"/>
                <w:lang w:eastAsia="en-US"/>
              </w:rPr>
            </w:pPr>
          </w:p>
        </w:tc>
        <w:tc>
          <w:tcPr>
            <w:tcW w:w="2417" w:type="pct"/>
            <w:noWrap/>
            <w:hideMark/>
          </w:tcPr>
          <w:p w14:paraId="03848304" w14:textId="77777777" w:rsidR="001562F1" w:rsidRPr="00131EED" w:rsidRDefault="001562F1" w:rsidP="001562F1">
            <w:pPr>
              <w:jc w:val="left"/>
              <w:rPr>
                <w:rFonts w:cs="Calibri"/>
                <w:color w:val="000000"/>
                <w:sz w:val="20"/>
                <w:szCs w:val="20"/>
                <w:lang w:eastAsia="en-US"/>
              </w:rPr>
            </w:pPr>
            <w:r w:rsidRPr="00131EED">
              <w:rPr>
                <w:rFonts w:cs="Calibri"/>
                <w:color w:val="000000"/>
                <w:sz w:val="20"/>
                <w:szCs w:val="20"/>
                <w:lang w:eastAsia="en-US"/>
              </w:rPr>
              <w:t>Laguna La Herrera</w:t>
            </w:r>
          </w:p>
        </w:tc>
        <w:tc>
          <w:tcPr>
            <w:tcW w:w="689" w:type="pct"/>
            <w:noWrap/>
            <w:hideMark/>
          </w:tcPr>
          <w:p w14:paraId="0DA2F577" w14:textId="77777777" w:rsidR="001562F1" w:rsidRPr="00131EED" w:rsidRDefault="001562F1" w:rsidP="001562F1">
            <w:pPr>
              <w:jc w:val="left"/>
              <w:rPr>
                <w:rFonts w:cs="Calibri"/>
                <w:color w:val="000000"/>
                <w:sz w:val="20"/>
                <w:szCs w:val="20"/>
                <w:lang w:eastAsia="en-US"/>
              </w:rPr>
            </w:pPr>
            <w:r w:rsidRPr="00131EED">
              <w:rPr>
                <w:rFonts w:cs="Calibri"/>
                <w:color w:val="000000"/>
                <w:sz w:val="20"/>
                <w:szCs w:val="20"/>
                <w:lang w:eastAsia="en-US"/>
              </w:rPr>
              <w:t>326,843</w:t>
            </w:r>
          </w:p>
        </w:tc>
      </w:tr>
      <w:tr w:rsidR="001562F1" w:rsidRPr="00131EED" w14:paraId="23C8E873" w14:textId="77777777" w:rsidTr="00053167">
        <w:trPr>
          <w:trHeight w:val="300"/>
        </w:trPr>
        <w:tc>
          <w:tcPr>
            <w:tcW w:w="1895" w:type="pct"/>
            <w:vMerge/>
            <w:noWrap/>
            <w:hideMark/>
          </w:tcPr>
          <w:p w14:paraId="4DEF0328" w14:textId="77777777" w:rsidR="001562F1" w:rsidRPr="00131EED" w:rsidRDefault="001562F1" w:rsidP="001562F1">
            <w:pPr>
              <w:jc w:val="left"/>
              <w:rPr>
                <w:rFonts w:cs="Calibri"/>
                <w:color w:val="000000"/>
                <w:sz w:val="20"/>
                <w:szCs w:val="20"/>
                <w:lang w:eastAsia="en-US"/>
              </w:rPr>
            </w:pPr>
          </w:p>
        </w:tc>
        <w:tc>
          <w:tcPr>
            <w:tcW w:w="2417" w:type="pct"/>
            <w:noWrap/>
            <w:hideMark/>
          </w:tcPr>
          <w:p w14:paraId="6558EEB2" w14:textId="77777777" w:rsidR="001562F1" w:rsidRPr="00131EED" w:rsidRDefault="001562F1" w:rsidP="001562F1">
            <w:pPr>
              <w:jc w:val="left"/>
              <w:rPr>
                <w:rFonts w:cs="Calibri"/>
                <w:color w:val="000000"/>
                <w:sz w:val="20"/>
                <w:szCs w:val="20"/>
                <w:lang w:eastAsia="en-US"/>
              </w:rPr>
            </w:pPr>
            <w:r w:rsidRPr="00131EED">
              <w:rPr>
                <w:rFonts w:cs="Calibri"/>
                <w:color w:val="000000"/>
                <w:sz w:val="20"/>
                <w:szCs w:val="20"/>
                <w:lang w:eastAsia="en-US"/>
              </w:rPr>
              <w:t>RH Humedal el Juncal</w:t>
            </w:r>
          </w:p>
        </w:tc>
        <w:tc>
          <w:tcPr>
            <w:tcW w:w="689" w:type="pct"/>
            <w:noWrap/>
            <w:hideMark/>
          </w:tcPr>
          <w:p w14:paraId="1FCA025A" w14:textId="77777777" w:rsidR="001562F1" w:rsidRPr="00131EED" w:rsidRDefault="001562F1" w:rsidP="001562F1">
            <w:pPr>
              <w:jc w:val="left"/>
              <w:rPr>
                <w:rFonts w:cs="Calibri"/>
                <w:color w:val="000000"/>
                <w:sz w:val="20"/>
                <w:szCs w:val="20"/>
                <w:lang w:eastAsia="en-US"/>
              </w:rPr>
            </w:pPr>
            <w:r w:rsidRPr="00131EED">
              <w:rPr>
                <w:rFonts w:cs="Calibri"/>
                <w:color w:val="000000"/>
                <w:sz w:val="20"/>
                <w:szCs w:val="20"/>
                <w:lang w:eastAsia="en-US"/>
              </w:rPr>
              <w:t>57,151</w:t>
            </w:r>
          </w:p>
        </w:tc>
      </w:tr>
      <w:tr w:rsidR="001562F1" w:rsidRPr="00131EED" w14:paraId="10A596F4" w14:textId="77777777" w:rsidTr="00053167">
        <w:trPr>
          <w:trHeight w:val="300"/>
        </w:trPr>
        <w:tc>
          <w:tcPr>
            <w:tcW w:w="1895" w:type="pct"/>
            <w:vMerge/>
            <w:noWrap/>
            <w:hideMark/>
          </w:tcPr>
          <w:p w14:paraId="6D8A4EA1" w14:textId="77777777" w:rsidR="001562F1" w:rsidRPr="00131EED" w:rsidRDefault="001562F1" w:rsidP="001562F1">
            <w:pPr>
              <w:jc w:val="left"/>
              <w:rPr>
                <w:rFonts w:cs="Calibri"/>
                <w:color w:val="000000"/>
                <w:sz w:val="20"/>
                <w:szCs w:val="20"/>
                <w:lang w:eastAsia="en-US"/>
              </w:rPr>
            </w:pPr>
          </w:p>
        </w:tc>
        <w:tc>
          <w:tcPr>
            <w:tcW w:w="2417" w:type="pct"/>
            <w:noWrap/>
            <w:hideMark/>
          </w:tcPr>
          <w:p w14:paraId="6DF761EF" w14:textId="77777777" w:rsidR="001562F1" w:rsidRPr="00131EED" w:rsidRDefault="001562F1" w:rsidP="001562F1">
            <w:pPr>
              <w:jc w:val="left"/>
              <w:rPr>
                <w:rFonts w:cs="Calibri"/>
                <w:color w:val="000000"/>
                <w:sz w:val="20"/>
                <w:szCs w:val="20"/>
                <w:lang w:eastAsia="en-US"/>
              </w:rPr>
            </w:pPr>
            <w:r w:rsidRPr="00131EED">
              <w:rPr>
                <w:rFonts w:cs="Calibri"/>
                <w:color w:val="000000"/>
                <w:sz w:val="20"/>
                <w:szCs w:val="20"/>
                <w:lang w:eastAsia="en-US"/>
              </w:rPr>
              <w:t>RH Humedal La Florida</w:t>
            </w:r>
          </w:p>
        </w:tc>
        <w:tc>
          <w:tcPr>
            <w:tcW w:w="689" w:type="pct"/>
            <w:noWrap/>
            <w:hideMark/>
          </w:tcPr>
          <w:p w14:paraId="4674F9F2" w14:textId="77777777" w:rsidR="001562F1" w:rsidRPr="00131EED" w:rsidRDefault="001562F1" w:rsidP="001562F1">
            <w:pPr>
              <w:jc w:val="left"/>
              <w:rPr>
                <w:rFonts w:cs="Calibri"/>
                <w:color w:val="000000"/>
                <w:sz w:val="20"/>
                <w:szCs w:val="20"/>
                <w:lang w:eastAsia="en-US"/>
              </w:rPr>
            </w:pPr>
            <w:r w:rsidRPr="00131EED">
              <w:rPr>
                <w:rFonts w:cs="Calibri"/>
                <w:color w:val="000000"/>
                <w:sz w:val="20"/>
                <w:szCs w:val="20"/>
                <w:lang w:eastAsia="en-US"/>
              </w:rPr>
              <w:t>104,175</w:t>
            </w:r>
          </w:p>
        </w:tc>
      </w:tr>
      <w:tr w:rsidR="00AD357C" w:rsidRPr="00131EED" w14:paraId="3DD46CBA" w14:textId="77777777" w:rsidTr="00053167">
        <w:trPr>
          <w:trHeight w:val="300"/>
        </w:trPr>
        <w:tc>
          <w:tcPr>
            <w:tcW w:w="4311" w:type="pct"/>
            <w:gridSpan w:val="2"/>
            <w:noWrap/>
            <w:hideMark/>
          </w:tcPr>
          <w:p w14:paraId="3B9CC08B" w14:textId="77777777" w:rsidR="00AD357C" w:rsidRPr="00131EED" w:rsidRDefault="00AD357C" w:rsidP="001562F1">
            <w:pPr>
              <w:jc w:val="left"/>
              <w:rPr>
                <w:rFonts w:cs="Calibri"/>
                <w:b/>
                <w:color w:val="000000"/>
                <w:sz w:val="20"/>
                <w:szCs w:val="20"/>
                <w:lang w:eastAsia="en-US"/>
              </w:rPr>
            </w:pPr>
            <w:r w:rsidRPr="00131EED">
              <w:rPr>
                <w:rFonts w:cs="Calibri"/>
                <w:b/>
                <w:color w:val="000000"/>
                <w:sz w:val="20"/>
                <w:szCs w:val="20"/>
                <w:lang w:eastAsia="en-US"/>
              </w:rPr>
              <w:t>Total Reservas hídricas</w:t>
            </w:r>
          </w:p>
        </w:tc>
        <w:tc>
          <w:tcPr>
            <w:tcW w:w="689" w:type="pct"/>
            <w:noWrap/>
            <w:hideMark/>
          </w:tcPr>
          <w:p w14:paraId="07936D4A" w14:textId="77777777" w:rsidR="00AD357C" w:rsidRPr="00131EED" w:rsidRDefault="00AD357C" w:rsidP="001562F1">
            <w:pPr>
              <w:jc w:val="left"/>
              <w:rPr>
                <w:rFonts w:cs="Calibri"/>
                <w:b/>
                <w:color w:val="000000"/>
                <w:sz w:val="20"/>
                <w:szCs w:val="20"/>
                <w:lang w:eastAsia="en-US"/>
              </w:rPr>
            </w:pPr>
            <w:r w:rsidRPr="00131EED">
              <w:rPr>
                <w:rFonts w:cs="Calibri"/>
                <w:b/>
                <w:color w:val="000000"/>
                <w:sz w:val="20"/>
                <w:szCs w:val="20"/>
                <w:lang w:eastAsia="en-US"/>
              </w:rPr>
              <w:t>556,321</w:t>
            </w:r>
          </w:p>
        </w:tc>
      </w:tr>
      <w:tr w:rsidR="00AD357C" w:rsidRPr="00131EED" w14:paraId="4A0A35BE" w14:textId="77777777" w:rsidTr="00053167">
        <w:trPr>
          <w:trHeight w:val="300"/>
        </w:trPr>
        <w:tc>
          <w:tcPr>
            <w:tcW w:w="4311" w:type="pct"/>
            <w:gridSpan w:val="2"/>
            <w:noWrap/>
            <w:hideMark/>
          </w:tcPr>
          <w:p w14:paraId="195BE1EE" w14:textId="77777777" w:rsidR="00AD357C" w:rsidRPr="00131EED" w:rsidRDefault="00AD357C" w:rsidP="001562F1">
            <w:pPr>
              <w:jc w:val="left"/>
              <w:rPr>
                <w:b/>
                <w:sz w:val="20"/>
                <w:szCs w:val="20"/>
                <w:lang w:eastAsia="en-US"/>
              </w:rPr>
            </w:pPr>
            <w:r w:rsidRPr="00131EED">
              <w:rPr>
                <w:b/>
                <w:sz w:val="20"/>
                <w:szCs w:val="20"/>
                <w:lang w:eastAsia="en-US"/>
              </w:rPr>
              <w:t>Total OMEC</w:t>
            </w:r>
          </w:p>
        </w:tc>
        <w:tc>
          <w:tcPr>
            <w:tcW w:w="689" w:type="pct"/>
            <w:noWrap/>
            <w:hideMark/>
          </w:tcPr>
          <w:p w14:paraId="74F73070" w14:textId="6671C0A5" w:rsidR="00AD357C" w:rsidRPr="00131EED" w:rsidRDefault="00AD357C" w:rsidP="001562F1">
            <w:pPr>
              <w:jc w:val="left"/>
              <w:rPr>
                <w:rFonts w:cs="Calibri"/>
                <w:b/>
                <w:color w:val="000000"/>
                <w:sz w:val="20"/>
                <w:szCs w:val="20"/>
                <w:lang w:eastAsia="en-US"/>
              </w:rPr>
            </w:pPr>
            <w:r w:rsidRPr="00131EED">
              <w:rPr>
                <w:rFonts w:cs="Calibri"/>
                <w:b/>
                <w:bCs/>
                <w:color w:val="000000"/>
                <w:sz w:val="20"/>
                <w:szCs w:val="20"/>
                <w:lang w:eastAsia="en-US"/>
              </w:rPr>
              <w:t>93</w:t>
            </w:r>
            <w:r w:rsidR="00041B8E" w:rsidRPr="00131EED">
              <w:rPr>
                <w:rFonts w:cs="Calibri"/>
                <w:b/>
                <w:bCs/>
                <w:color w:val="000000"/>
                <w:sz w:val="20"/>
                <w:szCs w:val="20"/>
                <w:lang w:eastAsia="en-US"/>
              </w:rPr>
              <w:t>.</w:t>
            </w:r>
            <w:r w:rsidRPr="00131EED">
              <w:rPr>
                <w:rFonts w:cs="Calibri"/>
                <w:b/>
                <w:bCs/>
                <w:color w:val="000000"/>
                <w:sz w:val="20"/>
                <w:szCs w:val="20"/>
                <w:lang w:eastAsia="en-US"/>
              </w:rPr>
              <w:t>575,</w:t>
            </w:r>
            <w:r w:rsidR="00041B8E" w:rsidRPr="00131EED">
              <w:rPr>
                <w:rFonts w:cs="Calibri"/>
                <w:b/>
                <w:bCs/>
                <w:color w:val="000000"/>
                <w:sz w:val="20"/>
                <w:szCs w:val="20"/>
                <w:lang w:eastAsia="en-US"/>
              </w:rPr>
              <w:t>45</w:t>
            </w:r>
          </w:p>
        </w:tc>
      </w:tr>
    </w:tbl>
    <w:p w14:paraId="526D0C5A" w14:textId="77777777" w:rsidR="00AD357C" w:rsidRPr="00131EED" w:rsidRDefault="00AD357C" w:rsidP="00AD357C">
      <w:pPr>
        <w:jc w:val="center"/>
        <w:rPr>
          <w:rFonts w:cs="Arial"/>
          <w:sz w:val="20"/>
          <w:szCs w:val="20"/>
        </w:rPr>
      </w:pPr>
      <w:r w:rsidRPr="00131EED">
        <w:rPr>
          <w:rStyle w:val="FootnoteReference"/>
          <w:rFonts w:cs="Arial"/>
          <w:sz w:val="20"/>
          <w:szCs w:val="20"/>
          <w:vertAlign w:val="baseline"/>
        </w:rPr>
        <w:t>Fuente: MinAmbiente, 2024</w:t>
      </w:r>
    </w:p>
    <w:p w14:paraId="36B221BA" w14:textId="77777777" w:rsidR="00AD357C" w:rsidRPr="00131EED" w:rsidRDefault="00AD357C" w:rsidP="008A326C">
      <w:pPr>
        <w:rPr>
          <w:rFonts w:cs="Arial"/>
        </w:rPr>
      </w:pPr>
    </w:p>
    <w:p w14:paraId="0717D507" w14:textId="7211D60C" w:rsidR="008A326C" w:rsidRPr="00131EED" w:rsidRDefault="008A326C" w:rsidP="008A326C">
      <w:pPr>
        <w:rPr>
          <w:rFonts w:cs="Arial"/>
        </w:rPr>
      </w:pPr>
      <w:r w:rsidRPr="00131EED">
        <w:rPr>
          <w:rFonts w:cs="Arial"/>
        </w:rPr>
        <w:t xml:space="preserve">Adicionalmente, al realizar el análisis de integridad ecológica al interior de las áreas protegidas y las OMEC de la Sabana de Bogotá, se evidencia que de las </w:t>
      </w:r>
      <w:r w:rsidR="00B17585" w:rsidRPr="00131EED">
        <w:rPr>
          <w:rFonts w:cs="Arial"/>
        </w:rPr>
        <w:t>1</w:t>
      </w:r>
      <w:r w:rsidR="005103A7" w:rsidRPr="00131EED">
        <w:rPr>
          <w:rFonts w:cs="Arial"/>
        </w:rPr>
        <w:t>50.480</w:t>
      </w:r>
      <w:r w:rsidRPr="00131EED">
        <w:rPr>
          <w:rFonts w:cs="Arial"/>
        </w:rPr>
        <w:t xml:space="preserve"> hectáreas que actualmente se encuentran al interior de estas estrategias de conservación, </w:t>
      </w:r>
      <w:r w:rsidR="00C63E85" w:rsidRPr="00131EED">
        <w:rPr>
          <w:rFonts w:cs="Arial"/>
        </w:rPr>
        <w:t>81.637</w:t>
      </w:r>
      <w:r w:rsidRPr="00131EED">
        <w:rPr>
          <w:rFonts w:cs="Arial"/>
        </w:rPr>
        <w:t xml:space="preserve"> hectáreas se encuentran con integridad baja y muy baja, </w:t>
      </w:r>
      <w:r w:rsidR="00C63E85" w:rsidRPr="00131EED">
        <w:rPr>
          <w:rFonts w:cs="Arial"/>
        </w:rPr>
        <w:t xml:space="preserve">que corresponden al </w:t>
      </w:r>
      <w:r w:rsidR="00C64F11" w:rsidRPr="00131EED">
        <w:rPr>
          <w:rFonts w:cs="Arial"/>
          <w:b/>
        </w:rPr>
        <w:t>61% de las áreas protegidas</w:t>
      </w:r>
      <w:r w:rsidR="00C64F11" w:rsidRPr="00131EED">
        <w:rPr>
          <w:rFonts w:cs="Arial"/>
        </w:rPr>
        <w:t xml:space="preserve">, </w:t>
      </w:r>
      <w:r w:rsidRPr="00131EED">
        <w:rPr>
          <w:rFonts w:cs="Arial"/>
        </w:rPr>
        <w:t>siendo las más afectadas las relacionadas con el complejo de páramo de Guerrero.</w:t>
      </w:r>
    </w:p>
    <w:p w14:paraId="314D87B7" w14:textId="3EDB93FA" w:rsidR="00844327" w:rsidRPr="00131EED" w:rsidRDefault="00844327" w:rsidP="008A326C">
      <w:pPr>
        <w:rPr>
          <w:rFonts w:cs="Arial"/>
        </w:rPr>
      </w:pPr>
    </w:p>
    <w:p w14:paraId="760B950C" w14:textId="77777777" w:rsidR="00844327" w:rsidRPr="00131EED" w:rsidRDefault="00844327" w:rsidP="00844327">
      <w:pPr>
        <w:rPr>
          <w:rFonts w:cs="Arial"/>
          <w:shd w:val="clear" w:color="auto" w:fill="FEFEFE"/>
        </w:rPr>
      </w:pPr>
      <w:r w:rsidRPr="00131EED">
        <w:rPr>
          <w:rFonts w:cs="Arial"/>
          <w:shd w:val="clear" w:color="auto" w:fill="FEFEFE"/>
        </w:rPr>
        <w:t>Esta situación se configura como una problemática para la ecorregión sabana, teniendo en cuenta que las áreas protegidas son determinantes ambientales y en los escenarios de ordenamiento territorial es indispensable contar con los planes de manejo formulados y vigentes; de acuerdo con la cartilla determinantes ambientales del Ministerio de Ambiente,</w:t>
      </w:r>
      <w:r w:rsidRPr="00131EED">
        <w:rPr>
          <w:rFonts w:cs="Arial"/>
          <w:i/>
          <w:shd w:val="clear" w:color="auto" w:fill="FEFEFE"/>
        </w:rPr>
        <w:t xml:space="preserve"> “el determinante ambiental implica la incorporación de los objetivos de conservación de estas áreas protegidas, el régimen usos y las estrategias definidas en el plan de manejo de dicha área en el ordenamiento territorial” </w:t>
      </w:r>
      <w:r w:rsidRPr="00131EED">
        <w:rPr>
          <w:rFonts w:cs="Arial"/>
          <w:shd w:val="clear" w:color="auto" w:fill="FEFEFE"/>
        </w:rPr>
        <w:t>(Minambiente, 2022).</w:t>
      </w:r>
    </w:p>
    <w:p w14:paraId="08C8C54D" w14:textId="77777777" w:rsidR="00844327" w:rsidRPr="00131EED" w:rsidRDefault="00844327" w:rsidP="008A326C">
      <w:pPr>
        <w:rPr>
          <w:rFonts w:cs="Arial"/>
        </w:rPr>
      </w:pPr>
    </w:p>
    <w:p w14:paraId="05D78ED8" w14:textId="77777777" w:rsidR="00F75775" w:rsidRPr="00131EED" w:rsidRDefault="00F75775" w:rsidP="008A326C">
      <w:pPr>
        <w:rPr>
          <w:rFonts w:ascii="Baskerville" w:hAnsi="Baskerville" w:cs="Arial"/>
        </w:rPr>
      </w:pPr>
    </w:p>
    <w:p w14:paraId="2F36BFAF" w14:textId="77777777" w:rsidR="00F75775" w:rsidRPr="00131EED" w:rsidRDefault="00F75775" w:rsidP="008A326C">
      <w:pPr>
        <w:rPr>
          <w:rFonts w:ascii="Baskerville" w:hAnsi="Baskerville" w:cs="Arial"/>
        </w:rPr>
      </w:pPr>
    </w:p>
    <w:p w14:paraId="3521D506" w14:textId="77777777" w:rsidR="00F75775" w:rsidRPr="00131EED" w:rsidRDefault="00F75775" w:rsidP="008A326C">
      <w:pPr>
        <w:rPr>
          <w:rFonts w:ascii="Baskerville" w:hAnsi="Baskerville" w:cs="Arial"/>
        </w:rPr>
      </w:pPr>
    </w:p>
    <w:p w14:paraId="3DE1BE41" w14:textId="77777777" w:rsidR="00F75775" w:rsidRPr="00131EED" w:rsidRDefault="00F75775" w:rsidP="008A326C">
      <w:pPr>
        <w:rPr>
          <w:rFonts w:ascii="Baskerville" w:hAnsi="Baskerville" w:cs="Arial"/>
        </w:rPr>
      </w:pPr>
    </w:p>
    <w:p w14:paraId="580302A9" w14:textId="77777777" w:rsidR="00F75775" w:rsidRPr="00131EED" w:rsidRDefault="00F75775" w:rsidP="008A326C">
      <w:pPr>
        <w:rPr>
          <w:rFonts w:ascii="Baskerville" w:hAnsi="Baskerville" w:cs="Arial"/>
        </w:rPr>
      </w:pPr>
    </w:p>
    <w:p w14:paraId="00A1E04C" w14:textId="77777777" w:rsidR="0067661C" w:rsidRPr="00131EED" w:rsidRDefault="0067661C" w:rsidP="008A326C">
      <w:pPr>
        <w:rPr>
          <w:rFonts w:ascii="Baskerville" w:hAnsi="Baskerville" w:cs="Arial"/>
        </w:rPr>
      </w:pPr>
    </w:p>
    <w:p w14:paraId="2529B5E5" w14:textId="77777777" w:rsidR="0067661C" w:rsidRPr="00131EED" w:rsidRDefault="0067661C" w:rsidP="008A326C">
      <w:pPr>
        <w:rPr>
          <w:rFonts w:ascii="Baskerville" w:hAnsi="Baskerville" w:cs="Arial"/>
        </w:rPr>
      </w:pPr>
    </w:p>
    <w:p w14:paraId="7C71BD6A" w14:textId="77777777" w:rsidR="0067661C" w:rsidRPr="00131EED" w:rsidRDefault="0067661C" w:rsidP="008A326C">
      <w:pPr>
        <w:rPr>
          <w:rFonts w:ascii="Baskerville" w:hAnsi="Baskerville" w:cs="Arial"/>
        </w:rPr>
      </w:pPr>
    </w:p>
    <w:p w14:paraId="6EB53AB0" w14:textId="77777777" w:rsidR="0067661C" w:rsidRPr="00131EED" w:rsidRDefault="0067661C" w:rsidP="008A326C">
      <w:pPr>
        <w:rPr>
          <w:rFonts w:ascii="Baskerville" w:hAnsi="Baskerville" w:cs="Arial"/>
        </w:rPr>
      </w:pPr>
    </w:p>
    <w:p w14:paraId="4BABE435" w14:textId="77777777" w:rsidR="0067661C" w:rsidRPr="00131EED" w:rsidRDefault="0067661C" w:rsidP="008A326C">
      <w:pPr>
        <w:rPr>
          <w:rFonts w:ascii="Baskerville" w:hAnsi="Baskerville" w:cs="Arial"/>
        </w:rPr>
      </w:pPr>
    </w:p>
    <w:p w14:paraId="732FE2BA" w14:textId="77777777" w:rsidR="0067661C" w:rsidRPr="00131EED" w:rsidRDefault="0067661C" w:rsidP="008A326C">
      <w:pPr>
        <w:rPr>
          <w:rFonts w:ascii="Baskerville" w:hAnsi="Baskerville" w:cs="Arial"/>
        </w:rPr>
      </w:pPr>
    </w:p>
    <w:p w14:paraId="70E9659C" w14:textId="77777777" w:rsidR="0067661C" w:rsidRPr="00131EED" w:rsidRDefault="0067661C" w:rsidP="008A326C">
      <w:pPr>
        <w:rPr>
          <w:rFonts w:ascii="Baskerville" w:hAnsi="Baskerville" w:cs="Arial"/>
        </w:rPr>
      </w:pPr>
    </w:p>
    <w:p w14:paraId="2E31BED0" w14:textId="77777777" w:rsidR="0067661C" w:rsidRPr="00131EED" w:rsidRDefault="0067661C" w:rsidP="008A326C">
      <w:pPr>
        <w:rPr>
          <w:rFonts w:ascii="Baskerville" w:hAnsi="Baskerville" w:cs="Arial"/>
        </w:rPr>
      </w:pPr>
    </w:p>
    <w:p w14:paraId="403E01D8" w14:textId="77777777" w:rsidR="0067661C" w:rsidRPr="00131EED" w:rsidRDefault="0067661C" w:rsidP="008A326C">
      <w:pPr>
        <w:rPr>
          <w:rFonts w:ascii="Baskerville" w:hAnsi="Baskerville" w:cs="Arial"/>
        </w:rPr>
      </w:pPr>
    </w:p>
    <w:p w14:paraId="0BAF036D" w14:textId="77777777" w:rsidR="00F75775" w:rsidRPr="00131EED" w:rsidRDefault="00F75775" w:rsidP="008A326C">
      <w:pPr>
        <w:rPr>
          <w:rFonts w:ascii="Baskerville" w:hAnsi="Baskerville" w:cs="Arial"/>
        </w:rPr>
      </w:pPr>
    </w:p>
    <w:p w14:paraId="542B425C" w14:textId="5F7D5CF3" w:rsidR="008A326C" w:rsidRPr="00131EED" w:rsidRDefault="00F75775" w:rsidP="003228A4">
      <w:pPr>
        <w:pStyle w:val="Caption"/>
        <w:jc w:val="center"/>
      </w:pPr>
      <w:bookmarkStart w:id="73" w:name="_Toc216468783"/>
      <w:r w:rsidRPr="00131EED">
        <w:t xml:space="preserve">Ilustración </w:t>
      </w:r>
      <w:r w:rsidRPr="00131EED">
        <w:fldChar w:fldCharType="begin"/>
      </w:r>
      <w:r w:rsidRPr="00131EED">
        <w:instrText>SEQ Ilustración \* ARABIC</w:instrText>
      </w:r>
      <w:r w:rsidRPr="00131EED">
        <w:fldChar w:fldCharType="separate"/>
      </w:r>
      <w:r w:rsidR="00CE096F">
        <w:rPr>
          <w:noProof/>
        </w:rPr>
        <w:t>18</w:t>
      </w:r>
      <w:r w:rsidRPr="00131EED">
        <w:fldChar w:fldCharType="end"/>
      </w:r>
      <w:r w:rsidRPr="00131EED">
        <w:t xml:space="preserve">. </w:t>
      </w:r>
      <w:r w:rsidR="008A326C" w:rsidRPr="00131EED">
        <w:t>Análisis de integridad ecológica para las áreas protegidas y las OMEC identificadas al interior de la Sabana de Bogotá.</w:t>
      </w:r>
      <w:bookmarkEnd w:id="73"/>
    </w:p>
    <w:p w14:paraId="1A9DB218" w14:textId="109740C9" w:rsidR="008A326C" w:rsidRPr="00131EED" w:rsidRDefault="00A32433" w:rsidP="00A32433">
      <w:pPr>
        <w:jc w:val="center"/>
        <w:rPr>
          <w:rFonts w:ascii="Baskerville" w:hAnsi="Baskerville" w:cs="Arial"/>
        </w:rPr>
      </w:pPr>
      <w:r w:rsidRPr="00131EED">
        <w:rPr>
          <w:rFonts w:ascii="Baskerville" w:hAnsi="Baskerville" w:cs="Arial"/>
          <w:noProof/>
          <w:lang w:eastAsia="en-US"/>
        </w:rPr>
        <w:drawing>
          <wp:inline distT="0" distB="0" distL="0" distR="0" wp14:anchorId="7E7133DC" wp14:editId="6EF901C8">
            <wp:extent cx="4657854" cy="6029864"/>
            <wp:effectExtent l="0" t="0" r="0" b="9525"/>
            <wp:docPr id="1474823172" name="Imagen 1474823172" descr="C:\Users\Dalila\Downloads\WhatsApp Image 2025-10-06 at 4.47.09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alila\Downloads\WhatsApp Image 2025-10-06 at 4.47.09 PM.jpe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59517" cy="6032017"/>
                    </a:xfrm>
                    <a:prstGeom prst="rect">
                      <a:avLst/>
                    </a:prstGeom>
                    <a:noFill/>
                    <a:ln>
                      <a:noFill/>
                    </a:ln>
                  </pic:spPr>
                </pic:pic>
              </a:graphicData>
            </a:graphic>
          </wp:inline>
        </w:drawing>
      </w:r>
    </w:p>
    <w:p w14:paraId="2EC6010F" w14:textId="77777777" w:rsidR="008A326C" w:rsidRPr="00131EED" w:rsidRDefault="008A326C" w:rsidP="00041B8E">
      <w:pPr>
        <w:jc w:val="center"/>
        <w:rPr>
          <w:rStyle w:val="FootnoteReference"/>
          <w:rFonts w:cs="Arial"/>
          <w:sz w:val="20"/>
          <w:szCs w:val="20"/>
        </w:rPr>
      </w:pPr>
      <w:r w:rsidRPr="00131EED">
        <w:rPr>
          <w:rFonts w:cs="Arial"/>
          <w:sz w:val="20"/>
          <w:szCs w:val="20"/>
        </w:rPr>
        <w:t>Fuente: MinAmbiente a partir de información IAvH, 2023</w:t>
      </w:r>
    </w:p>
    <w:p w14:paraId="5BE99E04" w14:textId="77777777" w:rsidR="00485C2B" w:rsidRPr="00131EED" w:rsidRDefault="00485C2B" w:rsidP="008A326C">
      <w:pPr>
        <w:rPr>
          <w:rFonts w:cs="Arial"/>
          <w:shd w:val="clear" w:color="auto" w:fill="FEFEFE"/>
        </w:rPr>
      </w:pPr>
    </w:p>
    <w:p w14:paraId="5535BE47" w14:textId="77777777" w:rsidR="008A326C" w:rsidRPr="00131EED" w:rsidRDefault="008A326C" w:rsidP="008A326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Baskerville" w:hAnsi="Baskerville" w:cs="Arial"/>
          <w:color w:val="000000"/>
          <w:lang w:eastAsia="es-CO"/>
        </w:rPr>
      </w:pPr>
    </w:p>
    <w:p w14:paraId="09D18822" w14:textId="5B36C465" w:rsidR="008A326C" w:rsidRPr="00131EED" w:rsidRDefault="008A326C" w:rsidP="00410194">
      <w:pPr>
        <w:pStyle w:val="Heading3"/>
        <w:numPr>
          <w:ilvl w:val="2"/>
          <w:numId w:val="31"/>
        </w:numPr>
      </w:pPr>
      <w:bookmarkStart w:id="74" w:name="_Toc216468691"/>
      <w:r w:rsidRPr="00131EED">
        <w:t xml:space="preserve">Ecosistemas estratégicos </w:t>
      </w:r>
      <w:r w:rsidR="001941C6" w:rsidRPr="00131EED">
        <w:t>de la Sabana de Bogotá:</w:t>
      </w:r>
      <w:r w:rsidRPr="00131EED">
        <w:t xml:space="preserve"> humedales</w:t>
      </w:r>
      <w:r w:rsidR="00791CCE" w:rsidRPr="00131EED">
        <w:t>, bosques altoandinos</w:t>
      </w:r>
      <w:r w:rsidRPr="00131EED">
        <w:t xml:space="preserve"> y subxerofitia</w:t>
      </w:r>
      <w:bookmarkEnd w:id="74"/>
    </w:p>
    <w:p w14:paraId="466027C4" w14:textId="77777777" w:rsidR="008A326C" w:rsidRPr="00131EED" w:rsidRDefault="008A326C" w:rsidP="008A326C">
      <w:pPr>
        <w:spacing w:before="240"/>
        <w:rPr>
          <w:rFonts w:cs="Arial"/>
          <w:shd w:val="clear" w:color="auto" w:fill="FEFEFE"/>
        </w:rPr>
      </w:pPr>
      <w:r w:rsidRPr="00131EED">
        <w:rPr>
          <w:rFonts w:cs="Arial"/>
          <w:shd w:val="clear" w:color="auto" w:fill="FEFEFE"/>
        </w:rPr>
        <w:t xml:space="preserve">Dentro de los ecosistemas de alta relevancia en la Sabana de Bogotá, adicional a los páramos, se encuentran los humedales, los bosques altoandinos y la subxerofitia, que se constituyen en hábitats para especies de fauna, principalmente aves tanto residentes como migratorias que utilizan estos ecosistemas. </w:t>
      </w:r>
    </w:p>
    <w:p w14:paraId="71E25282" w14:textId="77777777" w:rsidR="008A326C" w:rsidRPr="00131EED" w:rsidRDefault="008A326C" w:rsidP="008A326C">
      <w:pPr>
        <w:spacing w:before="240"/>
        <w:rPr>
          <w:rFonts w:cs="Arial"/>
          <w:shd w:val="clear" w:color="auto" w:fill="FEFEFE"/>
        </w:rPr>
      </w:pPr>
      <w:r w:rsidRPr="00131EED">
        <w:rPr>
          <w:rFonts w:cs="Arial"/>
          <w:shd w:val="clear" w:color="auto" w:fill="FEFEFE"/>
        </w:rPr>
        <w:t>De esta situación se puede evidenciar que la falta de manejo de ecosistemas estratégicos para la Sabana como lo son los humedales, los bosques andinos y las áreas subxerofíticas, se ha llevado a un alto nivel de desconocimiento y transformación de estos ecosistemas, haciendo además el llamado a la urgente intervención de los mismos para garantizar su conservación y la prestación de los servicios ecosistémicos para la sostenibilidad de la sabana de Bogotá.</w:t>
      </w:r>
    </w:p>
    <w:p w14:paraId="3507F736" w14:textId="54A411D5" w:rsidR="00791CCE" w:rsidRPr="00131EED" w:rsidRDefault="00791CCE" w:rsidP="008A326C">
      <w:pPr>
        <w:spacing w:before="240"/>
        <w:rPr>
          <w:rFonts w:cs="Arial"/>
          <w:shd w:val="clear" w:color="auto" w:fill="FEFEFE"/>
        </w:rPr>
      </w:pPr>
      <w:r w:rsidRPr="00131EED">
        <w:rPr>
          <w:rFonts w:cs="Arial"/>
          <w:shd w:val="clear" w:color="auto" w:fill="FEFEFE"/>
        </w:rPr>
        <w:t>A continuación</w:t>
      </w:r>
      <w:r w:rsidR="00CC5B75" w:rsidRPr="00131EED">
        <w:rPr>
          <w:rFonts w:cs="Arial"/>
          <w:shd w:val="clear" w:color="auto" w:fill="FEFEFE"/>
        </w:rPr>
        <w:t>,</w:t>
      </w:r>
      <w:r w:rsidRPr="00131EED">
        <w:rPr>
          <w:rFonts w:cs="Arial"/>
          <w:shd w:val="clear" w:color="auto" w:fill="FEFEFE"/>
        </w:rPr>
        <w:t xml:space="preserve"> se realizará una descripción del estado de conservación de estos ecosistemas y los principales retos para su conservación. </w:t>
      </w:r>
    </w:p>
    <w:p w14:paraId="1C346885" w14:textId="77777777" w:rsidR="00E177BE" w:rsidRPr="00131EED" w:rsidRDefault="00E177BE" w:rsidP="008A326C">
      <w:pPr>
        <w:rPr>
          <w:rFonts w:ascii="Baskerville" w:hAnsi="Baskerville" w:cs="Arial"/>
          <w:vertAlign w:val="superscript"/>
        </w:rPr>
      </w:pPr>
    </w:p>
    <w:p w14:paraId="28A5A11D" w14:textId="4289FB4D" w:rsidR="008A326C" w:rsidRPr="00131EED" w:rsidRDefault="00C7619A" w:rsidP="008A326C">
      <w:pPr>
        <w:pStyle w:val="Heading4"/>
        <w:spacing w:before="0" w:line="240" w:lineRule="auto"/>
        <w:rPr>
          <w:rFonts w:ascii="Baskerville" w:hAnsi="Baskerville"/>
          <w:sz w:val="24"/>
        </w:rPr>
      </w:pPr>
      <w:bookmarkStart w:id="75" w:name="_Toc216468692"/>
      <w:r w:rsidRPr="00131EED">
        <w:rPr>
          <w:rFonts w:ascii="Baskerville" w:hAnsi="Baskerville"/>
          <w:sz w:val="24"/>
        </w:rPr>
        <w:t>H</w:t>
      </w:r>
      <w:r w:rsidR="008A326C" w:rsidRPr="00131EED">
        <w:rPr>
          <w:rFonts w:ascii="Baskerville" w:hAnsi="Baskerville"/>
          <w:sz w:val="24"/>
        </w:rPr>
        <w:t>umedales</w:t>
      </w:r>
      <w:bookmarkEnd w:id="75"/>
    </w:p>
    <w:p w14:paraId="7522ADB9" w14:textId="77777777" w:rsidR="008A326C" w:rsidRPr="00131EED" w:rsidRDefault="008A326C" w:rsidP="008A326C">
      <w:pPr>
        <w:rPr>
          <w:rFonts w:ascii="Baskerville" w:hAnsi="Baskerville" w:cs="Arial"/>
          <w:shd w:val="clear" w:color="auto" w:fill="FEFEFE"/>
        </w:rPr>
      </w:pPr>
    </w:p>
    <w:p w14:paraId="4E6F8A64" w14:textId="77777777" w:rsidR="008A326C" w:rsidRPr="00131EED" w:rsidRDefault="008A326C" w:rsidP="008A326C">
      <w:pPr>
        <w:pStyle w:val="Caption"/>
        <w:spacing w:after="0"/>
        <w:rPr>
          <w:rFonts w:ascii="Baskerville Old Face" w:hAnsi="Baskerville Old Face"/>
          <w:i w:val="0"/>
          <w:color w:val="auto"/>
          <w:sz w:val="24"/>
          <w:szCs w:val="22"/>
          <w:shd w:val="clear" w:color="auto" w:fill="FEFEFE"/>
        </w:rPr>
      </w:pPr>
      <w:r w:rsidRPr="00131EED">
        <w:rPr>
          <w:rFonts w:ascii="Baskerville Old Face" w:hAnsi="Baskerville Old Face"/>
          <w:i w:val="0"/>
          <w:color w:val="auto"/>
          <w:sz w:val="24"/>
          <w:szCs w:val="22"/>
          <w:shd w:val="clear" w:color="auto" w:fill="FEFEFE"/>
        </w:rPr>
        <w:t xml:space="preserve">Los humedales son ecosistemas que debido a condiciones geomorfológicas e hidrológicas permiten la acumulación de agua (temporal o permanente) y dan lugar a un tipo característico de suelo y a organismos adaptados a éstas condiciones. Como sistemas socioecológicos, son el resultado de la coevolución entre las características socioculturales de sus habitantes y el ecosistema. De acuerdo con el Instituto Humboldt, los humedales se clasifican en cinco categorías: permanente abierto, permanente bajo dosel, temporal, potencial bajo y potencial medio (IavH, 2020). </w:t>
      </w:r>
    </w:p>
    <w:p w14:paraId="281D05A8" w14:textId="77777777" w:rsidR="008A326C" w:rsidRPr="00131EED" w:rsidRDefault="008A326C" w:rsidP="008A326C">
      <w:pPr>
        <w:rPr>
          <w:sz w:val="26"/>
        </w:rPr>
      </w:pPr>
    </w:p>
    <w:p w14:paraId="7C6EC403" w14:textId="77777777" w:rsidR="008A326C" w:rsidRPr="00131EED" w:rsidRDefault="008A326C" w:rsidP="008A326C">
      <w:r w:rsidRPr="00131EED">
        <w:t>De acuerdo con la guía de acotamiento de rondas hídricas adoptada mediante la Resolución 957 de 2018, se resaltan los siguientes aspectos:</w:t>
      </w:r>
    </w:p>
    <w:p w14:paraId="406299F5" w14:textId="77777777" w:rsidR="008A326C" w:rsidRPr="00131EED" w:rsidRDefault="008A326C" w:rsidP="008A326C"/>
    <w:p w14:paraId="21B91104" w14:textId="77777777" w:rsidR="008A326C" w:rsidRPr="00131EED" w:rsidRDefault="008A326C" w:rsidP="0086788E">
      <w:pPr>
        <w:ind w:left="720"/>
        <w:rPr>
          <w:i/>
        </w:rPr>
      </w:pPr>
      <w:r w:rsidRPr="00131EED">
        <w:rPr>
          <w:i/>
        </w:rPr>
        <w:t>El humedal es un tipo de ecosistema que debido a condiciones geomorfológicas e hidrológicas permite la acumulación de agua (temporal y permanentemente) y que da lugar a un tipo característico de suelo y organismos adaptados a estas condiciones (ver Jaramillo et al., 2015).</w:t>
      </w:r>
    </w:p>
    <w:p w14:paraId="53CE8518" w14:textId="77777777" w:rsidR="008A326C" w:rsidRPr="00131EED" w:rsidRDefault="008A326C" w:rsidP="008A326C">
      <w:pPr>
        <w:rPr>
          <w:rFonts w:ascii="Baskerville" w:hAnsi="Baskerville"/>
          <w:i/>
        </w:rPr>
      </w:pPr>
    </w:p>
    <w:p w14:paraId="34D4BDDD" w14:textId="3D69EF9A" w:rsidR="008A326C" w:rsidRPr="00131EED" w:rsidRDefault="009C1EEB" w:rsidP="008A326C">
      <w:r w:rsidRPr="00131EED">
        <w:t>La guía técnica de criterios</w:t>
      </w:r>
      <w:r w:rsidR="008A326C" w:rsidRPr="00131EED">
        <w:t xml:space="preserve"> para el acotamiento de la ronda hídrica resalta la necesidad de definir estos espacios geográficos como mecanismo para dar un manejo que articule la funcionalidad de la ronda y la prestación de los servicios ecosistémicos de los humedales, esto resaltando que el desarrollo histórico de los asentamientos humanos se ha realizado, entre otras, alrededor de cuerpos de agua por la diversidad de servicios ecosistémicos que éstos prestan. </w:t>
      </w:r>
    </w:p>
    <w:p w14:paraId="6084A073" w14:textId="77777777" w:rsidR="008A326C" w:rsidRPr="00131EED" w:rsidRDefault="008A326C" w:rsidP="008A326C"/>
    <w:p w14:paraId="5B0C3B76" w14:textId="77777777" w:rsidR="008A326C" w:rsidRPr="00131EED" w:rsidRDefault="008A326C" w:rsidP="008A326C">
      <w:r w:rsidRPr="00131EED">
        <w:t xml:space="preserve">Lo anterior permitirá evitar la generación de condiciones de riesgos por inundación, avenidas torrenciales y estabilidad geotécnica al prevenir la exposición de personas, bienes o servicios, así como orientar su aprovechamiento de manera sostenible. Las distintas formas de ocupación del territorio, usos de la tierra y aprovechamiento de los recursos naturales, pueden llegar a tener impactos significativos en las funciones geomorfológicas, hidrológicas y ecosistémicas de las rondas hídricas. </w:t>
      </w:r>
    </w:p>
    <w:p w14:paraId="7F51F5FB" w14:textId="77777777" w:rsidR="008A326C" w:rsidRPr="00131EED" w:rsidRDefault="008A326C" w:rsidP="008A326C"/>
    <w:p w14:paraId="06568F67" w14:textId="1D231AB5" w:rsidR="008A326C" w:rsidRPr="00131EED" w:rsidRDefault="008A326C" w:rsidP="008A326C">
      <w:r w:rsidRPr="00131EED">
        <w:t xml:space="preserve">De igual manera, se resalta </w:t>
      </w:r>
      <w:r w:rsidR="009C1EEB" w:rsidRPr="00131EED">
        <w:t>que,</w:t>
      </w:r>
      <w:r w:rsidRPr="00131EED">
        <w:t xml:space="preserve"> en la construcción del mapa nacional de humedales, cuya última actualización se dio en el año 2022, indica que la construcción de esta cartografía se realizó con base a los criterios de permanencia y temporalidad del agua que fueron aplicados en los diferentes insumos utilizados, se establecieron los siguientes niveles para el Mapa Nacional de Humedales: </w:t>
      </w:r>
    </w:p>
    <w:p w14:paraId="41C82794" w14:textId="77777777" w:rsidR="008A326C" w:rsidRPr="00131EED" w:rsidRDefault="008A326C" w:rsidP="008A326C"/>
    <w:p w14:paraId="36A32558" w14:textId="77777777" w:rsidR="008A326C" w:rsidRPr="00131EED" w:rsidRDefault="008A326C" w:rsidP="008A326C">
      <w:r w:rsidRPr="00131EED">
        <w:rPr>
          <w:b/>
        </w:rPr>
        <w:t>Nivel 1:</w:t>
      </w:r>
      <w:r w:rsidRPr="00131EED">
        <w:t xml:space="preserve"> Identifica a los humedales con mayor permanencia de agua, relacionados con los polígonos que se encuentran dentro de las categorías generales de clasificación correspondiente </w:t>
      </w:r>
      <w:r w:rsidRPr="00131EED">
        <w:rPr>
          <w:b/>
        </w:rPr>
        <w:t xml:space="preserve">a humedales permanentes. </w:t>
      </w:r>
      <w:r w:rsidRPr="00131EED">
        <w:t xml:space="preserve">En este sentido, se han identificado los polígonos definidos como lénticos y lóticos, ecosistemas marinos, zonas insulares con cobertura de manglar y los ecosistemas continentales con zonas de glaciares y nivales. Este nivel identifica a los humedales de la más alta importancia ecosistémica, que por su funcionalidad requieren prioridad en su gestión, la cual debe estar orientada a la protección, restauración y/o conservación. </w:t>
      </w:r>
    </w:p>
    <w:p w14:paraId="2BDC6CDF" w14:textId="77777777" w:rsidR="008A326C" w:rsidRPr="00131EED" w:rsidRDefault="008A326C" w:rsidP="008A326C"/>
    <w:p w14:paraId="18E3DCBE" w14:textId="77777777" w:rsidR="008A326C" w:rsidRPr="00131EED" w:rsidRDefault="008A326C" w:rsidP="008A326C">
      <w:r w:rsidRPr="00131EED">
        <w:rPr>
          <w:b/>
        </w:rPr>
        <w:t>Nivel 2:</w:t>
      </w:r>
      <w:r w:rsidRPr="00131EED">
        <w:t xml:space="preserve"> Identifica a los humedales que se inundan con temporalidad, relacionados con los polígonos que se encuentran dentro de las categorías generales de clasificación como </w:t>
      </w:r>
      <w:r w:rsidRPr="00131EED">
        <w:rPr>
          <w:b/>
        </w:rPr>
        <w:t>ecosistemas acuáticos transicionales y los humedales temporales.</w:t>
      </w:r>
      <w:r w:rsidRPr="00131EED">
        <w:t xml:space="preserve"> Este nivel identifica áreas como ecosistemas transicionales que cumplen una función muy importante dentro de la dinámica natural de estos ecosistemas y que requieren de una gestión orientada a la recuperación, al condicionamiento del uso y a la gestión del riesgo.</w:t>
      </w:r>
    </w:p>
    <w:p w14:paraId="789813ED" w14:textId="77777777" w:rsidR="008A326C" w:rsidRPr="00131EED" w:rsidRDefault="008A326C" w:rsidP="008A326C"/>
    <w:p w14:paraId="479E802E" w14:textId="6E91B642" w:rsidR="00800BA2" w:rsidRPr="00131EED" w:rsidRDefault="00586AF8" w:rsidP="008A326C">
      <w:r w:rsidRPr="00131EED">
        <w:t xml:space="preserve">De acuerdo con la </w:t>
      </w:r>
      <w:r w:rsidR="00367C5B" w:rsidRPr="00131EED">
        <w:t xml:space="preserve">guía de acotamientos de ronda, un </w:t>
      </w:r>
      <w:r w:rsidR="00367C5B" w:rsidRPr="00131EED">
        <w:rPr>
          <w:b/>
        </w:rPr>
        <w:t xml:space="preserve">humedal o sistema lótico </w:t>
      </w:r>
      <w:r w:rsidR="00A750EA" w:rsidRPr="00131EED">
        <w:t xml:space="preserve">es un ecosistema acuático interior caracterizado por un flujo constante o periódico de agua — aguas corrientes o fluviales — donde el régimen hidrológico domina el ambiente, con transporte de sedimentos y conectividad longitudinal (como ríos, arroyos). También define un </w:t>
      </w:r>
      <w:r w:rsidR="00A750EA" w:rsidRPr="00131EED">
        <w:rPr>
          <w:b/>
        </w:rPr>
        <w:t>humedal o sistema léntico</w:t>
      </w:r>
      <w:r w:rsidR="00A750EA" w:rsidRPr="00131EED">
        <w:t xml:space="preserve"> como un </w:t>
      </w:r>
      <w:r w:rsidR="00EE416F" w:rsidRPr="00131EED">
        <w:t>ecosistema acuático interior cuya dinámica del agua es de carácter estacionario o de lenta circulación — aguas quietas o de poca corriente — como lagos, lagunas, estanques y ciénagas.</w:t>
      </w:r>
    </w:p>
    <w:p w14:paraId="7A8C71B0" w14:textId="77777777" w:rsidR="006E472E" w:rsidRPr="00131EED" w:rsidRDefault="006E472E" w:rsidP="008A326C"/>
    <w:p w14:paraId="5C85EEA2" w14:textId="5D56C5C5" w:rsidR="006E472E" w:rsidRPr="00131EED" w:rsidRDefault="006E472E" w:rsidP="009E60FA">
      <w:r w:rsidRPr="00131EED">
        <w:t>En cuanto a la permanencia del agua en los humedales,</w:t>
      </w:r>
      <w:r w:rsidR="009E60FA" w:rsidRPr="00131EED">
        <w:t xml:space="preserve"> estos pueden ser clasificados como </w:t>
      </w:r>
      <w:r w:rsidRPr="00131EED">
        <w:t xml:space="preserve"> </w:t>
      </w:r>
      <w:r w:rsidR="009E60FA" w:rsidRPr="00131EED">
        <w:rPr>
          <w:b/>
        </w:rPr>
        <w:t>humedales permanente</w:t>
      </w:r>
      <w:r w:rsidR="001B5877" w:rsidRPr="00131EED">
        <w:rPr>
          <w:b/>
        </w:rPr>
        <w:t>s</w:t>
      </w:r>
      <w:r w:rsidR="009E60FA" w:rsidRPr="00131EED">
        <w:t xml:space="preserve"> </w:t>
      </w:r>
      <w:r w:rsidR="001B5877" w:rsidRPr="00131EED">
        <w:t xml:space="preserve"> a </w:t>
      </w:r>
      <w:r w:rsidR="009E60FA" w:rsidRPr="00131EED">
        <w:t>ecosistema</w:t>
      </w:r>
      <w:r w:rsidR="001B5877" w:rsidRPr="00131EED">
        <w:t>s</w:t>
      </w:r>
      <w:r w:rsidR="009E60FA" w:rsidRPr="00131EED">
        <w:t xml:space="preserve"> acuático interior</w:t>
      </w:r>
      <w:r w:rsidR="001B5877" w:rsidRPr="00131EED">
        <w:t>es</w:t>
      </w:r>
      <w:r w:rsidR="009E60FA" w:rsidRPr="00131EED">
        <w:t xml:space="preserve"> en </w:t>
      </w:r>
      <w:r w:rsidR="001B5877" w:rsidRPr="00131EED">
        <w:t>los</w:t>
      </w:r>
      <w:r w:rsidR="009E60FA" w:rsidRPr="00131EED">
        <w:t xml:space="preserve"> cual</w:t>
      </w:r>
      <w:r w:rsidR="001B5877" w:rsidRPr="00131EED">
        <w:t>es</w:t>
      </w:r>
      <w:r w:rsidR="009E60FA" w:rsidRPr="00131EED">
        <w:t xml:space="preserve"> la presencia de agua (superficial o subsuperficial) es continua o con muy alta persistencia a lo largo del año, de modo que</w:t>
      </w:r>
      <w:r w:rsidR="00CE7B14" w:rsidRPr="00131EED">
        <w:t xml:space="preserve"> no sufre desecación estacional, e</w:t>
      </w:r>
      <w:r w:rsidR="009E60FA" w:rsidRPr="00131EED">
        <w:t>n otras palabras, es un humedal cuya condición hídrica no desaparec</w:t>
      </w:r>
      <w:r w:rsidR="002A3DC8" w:rsidRPr="00131EED">
        <w:t xml:space="preserve">e en periodos secos prolongados y los </w:t>
      </w:r>
      <w:r w:rsidR="002A3DC8" w:rsidRPr="00131EED">
        <w:rPr>
          <w:b/>
        </w:rPr>
        <w:t>h</w:t>
      </w:r>
      <w:r w:rsidR="009E60FA" w:rsidRPr="00131EED">
        <w:rPr>
          <w:b/>
        </w:rPr>
        <w:t>umedal</w:t>
      </w:r>
      <w:r w:rsidR="002A3DC8" w:rsidRPr="00131EED">
        <w:rPr>
          <w:b/>
        </w:rPr>
        <w:t>es</w:t>
      </w:r>
      <w:r w:rsidR="009E60FA" w:rsidRPr="00131EED">
        <w:rPr>
          <w:b/>
        </w:rPr>
        <w:t xml:space="preserve"> temporal</w:t>
      </w:r>
      <w:r w:rsidR="002A3DC8" w:rsidRPr="00131EED">
        <w:rPr>
          <w:b/>
        </w:rPr>
        <w:t>es</w:t>
      </w:r>
      <w:r w:rsidR="002A3DC8" w:rsidRPr="00131EED">
        <w:t xml:space="preserve"> a </w:t>
      </w:r>
      <w:r w:rsidR="009E60FA" w:rsidRPr="00131EED">
        <w:t xml:space="preserve"> ecosistema</w:t>
      </w:r>
      <w:r w:rsidR="002A3DC8" w:rsidRPr="00131EED">
        <w:t>s</w:t>
      </w:r>
      <w:r w:rsidR="009E60FA" w:rsidRPr="00131EED">
        <w:t xml:space="preserve"> acuático</w:t>
      </w:r>
      <w:r w:rsidR="002A3DC8" w:rsidRPr="00131EED">
        <w:t>s</w:t>
      </w:r>
      <w:r w:rsidR="009E60FA" w:rsidRPr="00131EED">
        <w:t xml:space="preserve"> interior cuyo régimen hídrico se caracteriza por alternancias estacionales o interanuales, en las cuales durante parte del año (o en años de sequía) el área puede quedar seca o co</w:t>
      </w:r>
      <w:r w:rsidR="0090169E" w:rsidRPr="00131EED">
        <w:t>n niveles de agua muy reducidos,</w:t>
      </w:r>
      <w:r w:rsidR="009E60FA" w:rsidRPr="00131EED">
        <w:t xml:space="preserve"> </w:t>
      </w:r>
      <w:r w:rsidR="0090169E" w:rsidRPr="00131EED">
        <w:t>e</w:t>
      </w:r>
      <w:r w:rsidR="009E60FA" w:rsidRPr="00131EED">
        <w:t>s decir, un humedal cuya condición acuática no es permanente todo el año sino sujeta a periodicidad hídrica.</w:t>
      </w:r>
    </w:p>
    <w:p w14:paraId="14148323" w14:textId="77777777" w:rsidR="00E93C01" w:rsidRPr="00131EED" w:rsidRDefault="00E93C01" w:rsidP="008A326C"/>
    <w:p w14:paraId="55D4A250" w14:textId="65D340FD" w:rsidR="004B34F5" w:rsidRPr="00131EED" w:rsidRDefault="006C4C23" w:rsidP="00754C03">
      <w:r w:rsidRPr="00131EED">
        <w:t xml:space="preserve">Por otra parte, en cuanto a su origen, los humedales pueden ser clasificados como </w:t>
      </w:r>
      <w:r w:rsidRPr="00131EED">
        <w:rPr>
          <w:b/>
        </w:rPr>
        <w:t>humedales naturales</w:t>
      </w:r>
      <w:r w:rsidRPr="00131EED">
        <w:t xml:space="preserve"> </w:t>
      </w:r>
      <w:r w:rsidR="00E75734" w:rsidRPr="00131EED">
        <w:t>que son ecosistemas húmedos que se forman y mantienen por procesos hidrológicos, geomorfológicos y ecológicos sin intervención humana significativa en su origen ni en su régimen hídrico principal</w:t>
      </w:r>
      <w:r w:rsidR="00936F66" w:rsidRPr="00131EED">
        <w:t>,</w:t>
      </w:r>
      <w:r w:rsidR="00E75734" w:rsidRPr="00131EED">
        <w:t xml:space="preserve"> </w:t>
      </w:r>
      <w:r w:rsidR="00936F66" w:rsidRPr="00131EED">
        <w:t>s</w:t>
      </w:r>
      <w:r w:rsidR="00E75734" w:rsidRPr="00131EED">
        <w:t xml:space="preserve">u presencia de agua (superficial o subsuperficial), su tipo de vegetación, tipo de suelo y función ecológica son resultado de condiciones naturales (clima, </w:t>
      </w:r>
      <w:r w:rsidR="00936F66" w:rsidRPr="00131EED">
        <w:t xml:space="preserve">suelo, relieve, cuenca hídrica) y en </w:t>
      </w:r>
      <w:r w:rsidR="00936F66" w:rsidRPr="00131EED">
        <w:rPr>
          <w:b/>
        </w:rPr>
        <w:t>humedales antrópicos o artificiales</w:t>
      </w:r>
      <w:r w:rsidR="00936F66" w:rsidRPr="00131EED">
        <w:t xml:space="preserve"> que </w:t>
      </w:r>
      <w:r w:rsidR="00754C03" w:rsidRPr="00131EED">
        <w:t>son humedales cuyo origen o funcionamiento principal ha sido creado, modificado o mantenido por acción humana, con propósitos específicos (tratamiento de aguas, recreación, gestión de inundaciones, almacenamiento, acuicultura, etc.).</w:t>
      </w:r>
    </w:p>
    <w:p w14:paraId="28153069" w14:textId="39DF3AC0" w:rsidR="007A256A" w:rsidRPr="00131EED" w:rsidRDefault="007A256A" w:rsidP="00754C03"/>
    <w:p w14:paraId="29369FDF" w14:textId="77777777" w:rsidR="007A256A" w:rsidRPr="00131EED" w:rsidRDefault="007A256A" w:rsidP="007A256A">
      <w:r w:rsidRPr="00131EED">
        <w:t>Finalmente, la guía de acotamiento de ronda hídrica indica que los complejos de humedales que se originan de la interacción del río, los cauces y entre ellos mismos, requieren de la funcionalidad en su conjunto. Se deben evitar las modificaciones de sus cauces, la construcción de diques o los rellenos ya que estos alteran significativamente su dinámica natural.</w:t>
      </w:r>
    </w:p>
    <w:p w14:paraId="2F9FF7AB" w14:textId="77777777" w:rsidR="007A256A" w:rsidRPr="00131EED" w:rsidRDefault="007A256A" w:rsidP="007A256A"/>
    <w:p w14:paraId="26ED23CE" w14:textId="5DCCFC1E" w:rsidR="007A256A" w:rsidRPr="00131EED" w:rsidRDefault="007A256A" w:rsidP="007A256A">
      <w:r w:rsidRPr="00131EED">
        <w:t>Estas discusiones realizadas a nivel nacional, son claramente aplicables a las directrices para la Sabana de Bogotá, ya que, dada sus condiciones biogeográficas, se encuentra una importante red de humedales tanto permanentes como temporales asociados principalmente al río Bogotá, por lo cual su manejo debe ser diferenciado y acorde a sus condiciones actuales.</w:t>
      </w:r>
    </w:p>
    <w:p w14:paraId="1BF0E677" w14:textId="2A209016" w:rsidR="007A256A" w:rsidRPr="00131EED" w:rsidRDefault="007A256A" w:rsidP="007A256A"/>
    <w:p w14:paraId="477D5FD1" w14:textId="65D29F58" w:rsidR="002B4216" w:rsidRPr="00131EED" w:rsidRDefault="007A256A" w:rsidP="002B4216">
      <w:pPr>
        <w:pStyle w:val="Caption"/>
        <w:spacing w:after="0"/>
      </w:pPr>
      <w:r w:rsidRPr="00131EED">
        <w:rPr>
          <w:rFonts w:ascii="Baskerville Old Face" w:hAnsi="Baskerville Old Face"/>
          <w:i w:val="0"/>
          <w:color w:val="auto"/>
          <w:sz w:val="24"/>
          <w:szCs w:val="22"/>
          <w:shd w:val="clear" w:color="auto" w:fill="FEFEFE"/>
        </w:rPr>
        <w:t xml:space="preserve">Actualmente los humedales son un ecosistema estratégico, no obstante, actualmente se cuenta con dificultad en su identificación, delimitación en los términos requeridos por el Decreto 2245 de 2017 e incorporación en suelos de protección en los diferentes instrumentos de planificación. De acuerdo con el mapa de humedales terrestres, marinos y costeros generado por el Ministerio de Ambiente en el año 2022, en la Sabana de Bogotá se encuentran </w:t>
      </w:r>
      <w:r w:rsidRPr="00131EED">
        <w:rPr>
          <w:rFonts w:ascii="Baskerville Old Face" w:hAnsi="Baskerville Old Face"/>
          <w:i w:val="0"/>
          <w:color w:val="auto"/>
          <w:sz w:val="24"/>
          <w:szCs w:val="24"/>
          <w:shd w:val="clear" w:color="auto" w:fill="FEFEFE"/>
        </w:rPr>
        <w:t>aproximadamente 39.849 hectáreas ocupadas por ecosistemas de humedales, de los cuales 1.343 son naturales y 28.</w:t>
      </w:r>
      <w:r w:rsidRPr="00131EED">
        <w:rPr>
          <w:rFonts w:ascii="Baskerville Old Face" w:hAnsi="Baskerville Old Face"/>
          <w:i w:val="0"/>
          <w:color w:val="auto"/>
          <w:sz w:val="24"/>
          <w:szCs w:val="24"/>
        </w:rPr>
        <w:t>786 son transformados</w:t>
      </w:r>
    </w:p>
    <w:p w14:paraId="05F01EB7" w14:textId="6915105A" w:rsidR="007A256A" w:rsidRPr="00131EED" w:rsidRDefault="007A256A" w:rsidP="007A256A">
      <w:pPr>
        <w:pStyle w:val="Caption"/>
        <w:spacing w:after="0"/>
        <w:rPr>
          <w:rFonts w:ascii="Baskerville Old Face" w:hAnsi="Baskerville Old Face"/>
          <w:i w:val="0"/>
          <w:color w:val="auto"/>
          <w:sz w:val="24"/>
          <w:szCs w:val="22"/>
          <w:shd w:val="clear" w:color="auto" w:fill="FEFEFE"/>
        </w:rPr>
      </w:pPr>
    </w:p>
    <w:p w14:paraId="3E447562" w14:textId="247B2B04" w:rsidR="007A256A" w:rsidRPr="00131EED" w:rsidRDefault="007A256A" w:rsidP="007A256A"/>
    <w:p w14:paraId="242DFEBD" w14:textId="430F8425" w:rsidR="007A256A" w:rsidRPr="00131EED" w:rsidRDefault="007A256A" w:rsidP="007A256A"/>
    <w:p w14:paraId="454D5E4D" w14:textId="247D3195" w:rsidR="007A256A" w:rsidRPr="00131EED" w:rsidRDefault="007A256A" w:rsidP="007A256A"/>
    <w:p w14:paraId="71E3D979" w14:textId="38A32641" w:rsidR="007A256A" w:rsidRPr="00131EED" w:rsidRDefault="007A256A" w:rsidP="007A256A"/>
    <w:p w14:paraId="65FF6467" w14:textId="7D20DF10" w:rsidR="007A256A" w:rsidRPr="00131EED" w:rsidRDefault="007A256A" w:rsidP="007A256A"/>
    <w:p w14:paraId="711A5DB3" w14:textId="2459DD09" w:rsidR="007A256A" w:rsidRPr="00131EED" w:rsidRDefault="007A256A" w:rsidP="007A256A"/>
    <w:p w14:paraId="26816808" w14:textId="77777777" w:rsidR="007A256A" w:rsidRPr="00131EED" w:rsidRDefault="007A256A" w:rsidP="007A256A"/>
    <w:p w14:paraId="43DD9D35" w14:textId="77777777" w:rsidR="007A256A" w:rsidRPr="00131EED" w:rsidRDefault="007A256A" w:rsidP="00754C03"/>
    <w:p w14:paraId="4727BBFA" w14:textId="49F686E7" w:rsidR="00CC5B75" w:rsidRPr="00131EED" w:rsidRDefault="00CC5B75" w:rsidP="00754C03"/>
    <w:p w14:paraId="11A232CC" w14:textId="02E8027E" w:rsidR="00CC5B75" w:rsidRPr="00131EED" w:rsidRDefault="000C1CB2" w:rsidP="00704BCE">
      <w:pPr>
        <w:pStyle w:val="Caption"/>
        <w:jc w:val="center"/>
      </w:pPr>
      <w:bookmarkStart w:id="76" w:name="_Toc216468784"/>
      <w:r w:rsidRPr="00131EED">
        <w:t xml:space="preserve">Ilustración </w:t>
      </w:r>
      <w:fldSimple w:instr=" SEQ Ilustración \* ARABIC ">
        <w:r w:rsidR="00CE096F">
          <w:rPr>
            <w:noProof/>
          </w:rPr>
          <w:t>19</w:t>
        </w:r>
      </w:fldSimple>
      <w:r w:rsidRPr="00131EED">
        <w:t>. Registros fotográficos de humedales presentes en la sabana: a) Humedal</w:t>
      </w:r>
      <w:r w:rsidR="00750944" w:rsidRPr="00131EED">
        <w:t xml:space="preserve"> natural</w:t>
      </w:r>
      <w:r w:rsidRPr="00131EED">
        <w:t xml:space="preserve"> pantano redondo municipio de Zipaquirá, b) </w:t>
      </w:r>
      <w:r w:rsidR="00750944" w:rsidRPr="00131EED">
        <w:t xml:space="preserve">Humedal lótico </w:t>
      </w:r>
      <w:r w:rsidRPr="00131EED">
        <w:t>Chucua de Fagua municipio de Chía c)</w:t>
      </w:r>
      <w:r w:rsidR="00750944" w:rsidRPr="00131EED">
        <w:t xml:space="preserve"> Humedal lentico Barro Blanco municipio de Tenjo, d) humedal artificial </w:t>
      </w:r>
      <w:r w:rsidR="008206D8" w:rsidRPr="00131EED">
        <w:t xml:space="preserve">embalse del </w:t>
      </w:r>
      <w:r w:rsidR="00750944" w:rsidRPr="00131EED">
        <w:t>Tominé</w:t>
      </w:r>
      <w:r w:rsidR="008206D8" w:rsidRPr="00131EED">
        <w:t xml:space="preserve"> municipio de Guatavita</w:t>
      </w:r>
      <w:r w:rsidR="00750944" w:rsidRPr="00131EED">
        <w:t>.</w:t>
      </w:r>
      <w:bookmarkEnd w:id="76"/>
    </w:p>
    <w:p w14:paraId="4755B41E" w14:textId="31AC563D" w:rsidR="00CC5B75" w:rsidRPr="00131EED" w:rsidRDefault="00CC5B75" w:rsidP="00754C03">
      <w:pPr>
        <w:rPr>
          <w:rFonts w:ascii="Times New Roman" w:hAnsi="Times New Roman"/>
          <w:snapToGrid w:val="0"/>
          <w:color w:val="000000"/>
          <w:w w:val="0"/>
          <w:sz w:val="0"/>
          <w:szCs w:val="0"/>
          <w:u w:color="000000"/>
          <w:bdr w:val="none" w:sz="0" w:space="0" w:color="000000"/>
          <w:shd w:val="clear" w:color="000000" w:fill="000000"/>
          <w:lang w:eastAsia="x-none" w:bidi="x-none"/>
        </w:rPr>
      </w:pPr>
      <w:r w:rsidRPr="00131EED">
        <w:rPr>
          <w:noProof/>
          <w:lang w:eastAsia="en-US"/>
        </w:rPr>
        <w:drawing>
          <wp:inline distT="0" distB="0" distL="0" distR="0" wp14:anchorId="02E4C8B2" wp14:editId="5F0E376C">
            <wp:extent cx="2708694" cy="2031554"/>
            <wp:effectExtent l="0" t="0" r="0" b="6985"/>
            <wp:docPr id="4" name="Imagen 4" descr="C:\Users\Dalila\Downloads\20230420_1028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alila\Downloads\20230420_102829.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22442" cy="2041865"/>
                    </a:xfrm>
                    <a:prstGeom prst="rect">
                      <a:avLst/>
                    </a:prstGeom>
                    <a:noFill/>
                    <a:ln>
                      <a:noFill/>
                    </a:ln>
                  </pic:spPr>
                </pic:pic>
              </a:graphicData>
            </a:graphic>
          </wp:inline>
        </w:drawing>
      </w:r>
      <w:r w:rsidR="00D412C8" w:rsidRPr="00131EED">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00D412C8" w:rsidRPr="00131EED">
        <w:rPr>
          <w:noProof/>
          <w:lang w:eastAsia="en-US"/>
        </w:rPr>
        <w:drawing>
          <wp:inline distT="0" distB="0" distL="0" distR="0" wp14:anchorId="4C42790B" wp14:editId="7E1B9E68">
            <wp:extent cx="2760453" cy="2070374"/>
            <wp:effectExtent l="0" t="0" r="1905" b="6350"/>
            <wp:docPr id="21" name="Imagen 21" descr="C:\Users\Dalila\Downloads\20250603_1337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alila\Downloads\20250603_133725.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71744" cy="2078842"/>
                    </a:xfrm>
                    <a:prstGeom prst="rect">
                      <a:avLst/>
                    </a:prstGeom>
                    <a:noFill/>
                    <a:ln>
                      <a:noFill/>
                    </a:ln>
                  </pic:spPr>
                </pic:pic>
              </a:graphicData>
            </a:graphic>
          </wp:inline>
        </w:drawing>
      </w:r>
    </w:p>
    <w:p w14:paraId="679567C7" w14:textId="694A722F" w:rsidR="007A256A" w:rsidRPr="00131EED" w:rsidRDefault="007A256A" w:rsidP="00754C03">
      <w:r w:rsidRPr="00131EED">
        <w:rPr>
          <w:noProof/>
          <w:lang w:eastAsia="en-US"/>
        </w:rPr>
        <w:drawing>
          <wp:inline distT="0" distB="0" distL="0" distR="0" wp14:anchorId="7C559166" wp14:editId="6DF743C6">
            <wp:extent cx="2677906" cy="2112381"/>
            <wp:effectExtent l="0" t="0" r="8255" b="2540"/>
            <wp:docPr id="34" name="Imagen 34" descr="C:\Users\Dalila\Downloads\20240913_065625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Users\Dalila\Downloads\20240913_065625 (1).jp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4919"/>
                    <a:stretch/>
                  </pic:blipFill>
                  <pic:spPr bwMode="auto">
                    <a:xfrm>
                      <a:off x="0" y="0"/>
                      <a:ext cx="2692610" cy="2123980"/>
                    </a:xfrm>
                    <a:prstGeom prst="rect">
                      <a:avLst/>
                    </a:prstGeom>
                    <a:noFill/>
                    <a:ln>
                      <a:noFill/>
                    </a:ln>
                    <a:extLst>
                      <a:ext uri="{53640926-AAD7-44D8-BBD7-CCE9431645EC}">
                        <a14:shadowObscured xmlns:a14="http://schemas.microsoft.com/office/drawing/2010/main"/>
                      </a:ext>
                    </a:extLst>
                  </pic:spPr>
                </pic:pic>
              </a:graphicData>
            </a:graphic>
          </wp:inline>
        </w:drawing>
      </w:r>
      <w:r w:rsidR="00750944" w:rsidRPr="00131EED">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00750944" w:rsidRPr="00131EED">
        <w:rPr>
          <w:noProof/>
          <w:lang w:eastAsia="en-US"/>
        </w:rPr>
        <w:drawing>
          <wp:inline distT="0" distB="0" distL="0" distR="0" wp14:anchorId="4ACFA5A5" wp14:editId="55A6569C">
            <wp:extent cx="2806418" cy="2104846"/>
            <wp:effectExtent l="0" t="0" r="0" b="0"/>
            <wp:docPr id="39" name="Imagen 39" descr="C:\Users\Dalila\Downloads\20241103_143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Dalila\Downloads\20241103_143336.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30437" cy="2122861"/>
                    </a:xfrm>
                    <a:prstGeom prst="rect">
                      <a:avLst/>
                    </a:prstGeom>
                    <a:noFill/>
                    <a:ln>
                      <a:noFill/>
                    </a:ln>
                  </pic:spPr>
                </pic:pic>
              </a:graphicData>
            </a:graphic>
          </wp:inline>
        </w:drawing>
      </w:r>
    </w:p>
    <w:p w14:paraId="384F3403" w14:textId="5BB9F730" w:rsidR="00E93C01" w:rsidRPr="00131EED" w:rsidRDefault="00750944" w:rsidP="00750944">
      <w:pPr>
        <w:jc w:val="center"/>
      </w:pPr>
      <w:r w:rsidRPr="00131EED">
        <w:t>Fuente: Camelo, D., 2024</w:t>
      </w:r>
    </w:p>
    <w:p w14:paraId="1E943279" w14:textId="77777777" w:rsidR="00704BCE" w:rsidRPr="00131EED" w:rsidRDefault="00704BCE" w:rsidP="00F24F7B">
      <w:pPr>
        <w:rPr>
          <w:rFonts w:cs="Arial"/>
          <w:shd w:val="clear" w:color="auto" w:fill="FEFEFE"/>
        </w:rPr>
      </w:pPr>
    </w:p>
    <w:p w14:paraId="5C5C08EA" w14:textId="4A64F83E" w:rsidR="00F24F7B" w:rsidRPr="00131EED" w:rsidRDefault="00F24F7B" w:rsidP="00F24F7B">
      <w:pPr>
        <w:rPr>
          <w:rFonts w:cs="Arial"/>
          <w:shd w:val="clear" w:color="auto" w:fill="FEFEFE"/>
        </w:rPr>
      </w:pPr>
      <w:r w:rsidRPr="00131EED">
        <w:rPr>
          <w:rFonts w:cs="Arial"/>
          <w:shd w:val="clear" w:color="auto" w:fill="FEFEFE"/>
        </w:rPr>
        <w:t xml:space="preserve">Según el Plan de Acción Cuatrienal de la CAR (2024), en el Territorio CAR se encuentran zonas potenciales de humedales asociados a los procesos antrópicos y de desarrollo productivo que, por su ubicación, tamaño y capacidad de integración a elementos ambientales e hidrológicos del territorio, tienen el potencial para apoyar la prestación de servicios ecosistémicos y que cumplen con las expectativas trazadas dentro de la definición de estos ecosistemas por la convención RAMSAR. </w:t>
      </w:r>
    </w:p>
    <w:p w14:paraId="6FB96F04" w14:textId="77777777" w:rsidR="009C1EEB" w:rsidRPr="00131EED" w:rsidRDefault="009C1EEB" w:rsidP="009C1EEB">
      <w:pPr>
        <w:rPr>
          <w:lang w:eastAsia="en-US"/>
        </w:rPr>
      </w:pPr>
    </w:p>
    <w:p w14:paraId="369C4A87" w14:textId="77777777" w:rsidR="009C1EEB" w:rsidRPr="00131EED" w:rsidRDefault="009C1EEB" w:rsidP="009C1EEB">
      <w:pPr>
        <w:rPr>
          <w:lang w:eastAsia="en-US"/>
        </w:rPr>
      </w:pPr>
    </w:p>
    <w:p w14:paraId="2C138BB9" w14:textId="77777777" w:rsidR="007552EC" w:rsidRPr="00131EED" w:rsidRDefault="007552EC" w:rsidP="009C1EEB">
      <w:pPr>
        <w:rPr>
          <w:lang w:eastAsia="en-US"/>
        </w:rPr>
      </w:pPr>
    </w:p>
    <w:p w14:paraId="4B7E9C05" w14:textId="77777777" w:rsidR="00DD5553" w:rsidRPr="00131EED" w:rsidRDefault="00DD5553" w:rsidP="003862BF">
      <w:pPr>
        <w:pStyle w:val="Caption"/>
      </w:pPr>
      <w:bookmarkStart w:id="77" w:name="_Ref210664798"/>
    </w:p>
    <w:p w14:paraId="46DD0153" w14:textId="77777777" w:rsidR="00704BCE" w:rsidRPr="00131EED" w:rsidRDefault="00704BCE" w:rsidP="003228A4">
      <w:pPr>
        <w:pStyle w:val="Caption"/>
        <w:jc w:val="center"/>
      </w:pPr>
      <w:bookmarkStart w:id="78" w:name="_Ref211339501"/>
    </w:p>
    <w:p w14:paraId="42D3F4EB" w14:textId="77777777" w:rsidR="00704BCE" w:rsidRPr="00131EED" w:rsidRDefault="00704BCE" w:rsidP="003228A4">
      <w:pPr>
        <w:pStyle w:val="Caption"/>
        <w:jc w:val="center"/>
      </w:pPr>
    </w:p>
    <w:p w14:paraId="5A4775BE" w14:textId="18A9664A" w:rsidR="008A326C" w:rsidRPr="00131EED" w:rsidRDefault="003862BF" w:rsidP="003228A4">
      <w:pPr>
        <w:pStyle w:val="Caption"/>
        <w:jc w:val="center"/>
      </w:pPr>
      <w:bookmarkStart w:id="79" w:name="_Toc216468785"/>
      <w:r w:rsidRPr="00131EED">
        <w:t xml:space="preserve">Ilustración </w:t>
      </w:r>
      <w:r w:rsidRPr="00131EED">
        <w:fldChar w:fldCharType="begin"/>
      </w:r>
      <w:r w:rsidRPr="00131EED">
        <w:instrText>SEQ Ilustración \* ARABIC</w:instrText>
      </w:r>
      <w:r w:rsidRPr="00131EED">
        <w:fldChar w:fldCharType="separate"/>
      </w:r>
      <w:r w:rsidR="00CE096F">
        <w:rPr>
          <w:noProof/>
        </w:rPr>
        <w:t>20</w:t>
      </w:r>
      <w:r w:rsidRPr="00131EED">
        <w:fldChar w:fldCharType="end"/>
      </w:r>
      <w:bookmarkEnd w:id="77"/>
      <w:bookmarkEnd w:id="78"/>
      <w:r w:rsidR="003F5B7E" w:rsidRPr="00131EED">
        <w:t xml:space="preserve"> </w:t>
      </w:r>
      <w:r w:rsidR="008A326C" w:rsidRPr="00131EED">
        <w:t>Mapa de los humedales identificados en la Sabana de Bogotá</w:t>
      </w:r>
      <w:r w:rsidR="002F5E32" w:rsidRPr="00131EED">
        <w:t xml:space="preserve"> según el mapa nacional de humedales</w:t>
      </w:r>
      <w:bookmarkEnd w:id="79"/>
    </w:p>
    <w:p w14:paraId="027CD85D" w14:textId="17807FDA" w:rsidR="008A326C" w:rsidRPr="00131EED" w:rsidRDefault="003E4C76" w:rsidP="003E4C76">
      <w:pPr>
        <w:jc w:val="center"/>
        <w:rPr>
          <w:rFonts w:ascii="Baskerville" w:hAnsi="Baskerville" w:cs="Arial"/>
          <w:shd w:val="clear" w:color="auto" w:fill="FEFEFE"/>
        </w:rPr>
      </w:pPr>
      <w:r w:rsidRPr="00131EED">
        <w:rPr>
          <w:rFonts w:ascii="Baskerville" w:hAnsi="Baskerville" w:cs="Arial"/>
          <w:noProof/>
          <w:shd w:val="clear" w:color="auto" w:fill="FEFEFE"/>
          <w:lang w:eastAsia="en-US"/>
        </w:rPr>
        <w:drawing>
          <wp:inline distT="0" distB="0" distL="0" distR="0" wp14:anchorId="588B8430" wp14:editId="103498C4">
            <wp:extent cx="4615543" cy="5973055"/>
            <wp:effectExtent l="0" t="0" r="0" b="8890"/>
            <wp:docPr id="1474823170" name="Imagen 1474823170" descr="C:\Users\Dalila\Downloads\Humeda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lila\Downloads\Humedales.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23840" cy="5983792"/>
                    </a:xfrm>
                    <a:prstGeom prst="rect">
                      <a:avLst/>
                    </a:prstGeom>
                    <a:noFill/>
                    <a:ln>
                      <a:noFill/>
                    </a:ln>
                  </pic:spPr>
                </pic:pic>
              </a:graphicData>
            </a:graphic>
          </wp:inline>
        </w:drawing>
      </w:r>
    </w:p>
    <w:p w14:paraId="0A850F33" w14:textId="77777777" w:rsidR="008A326C" w:rsidRPr="00131EED" w:rsidRDefault="008A326C" w:rsidP="008A326C">
      <w:pPr>
        <w:jc w:val="center"/>
        <w:rPr>
          <w:rFonts w:cs="Arial"/>
          <w:sz w:val="20"/>
          <w:szCs w:val="20"/>
        </w:rPr>
      </w:pPr>
      <w:r w:rsidRPr="00131EED">
        <w:rPr>
          <w:rFonts w:cs="Arial"/>
          <w:sz w:val="20"/>
          <w:szCs w:val="20"/>
        </w:rPr>
        <w:t>Fuente. MinAmbiente, 2022.</w:t>
      </w:r>
    </w:p>
    <w:p w14:paraId="2DA4DFD6" w14:textId="77777777" w:rsidR="008A326C" w:rsidRPr="00131EED" w:rsidRDefault="008A326C" w:rsidP="008A326C">
      <w:pPr>
        <w:jc w:val="center"/>
        <w:rPr>
          <w:rFonts w:cs="Arial"/>
        </w:rPr>
      </w:pPr>
    </w:p>
    <w:p w14:paraId="1B52D3D1" w14:textId="77777777" w:rsidR="003228A4" w:rsidRPr="00131EED" w:rsidRDefault="003228A4" w:rsidP="008A326C">
      <w:pPr>
        <w:jc w:val="center"/>
        <w:rPr>
          <w:rStyle w:val="FootnoteReference"/>
          <w:rFonts w:cs="Arial"/>
        </w:rPr>
      </w:pPr>
    </w:p>
    <w:p w14:paraId="6132FE4E" w14:textId="3A67505F" w:rsidR="008A326C" w:rsidRPr="00131EED" w:rsidRDefault="009B0F27" w:rsidP="008A326C">
      <w:pPr>
        <w:rPr>
          <w:rFonts w:cs="Arial"/>
          <w:shd w:val="clear" w:color="auto" w:fill="FEFEFE"/>
        </w:rPr>
      </w:pPr>
      <w:r w:rsidRPr="00131EED">
        <w:rPr>
          <w:rFonts w:cs="Arial"/>
          <w:shd w:val="clear" w:color="auto" w:fill="FEFEFE"/>
        </w:rPr>
        <w:t xml:space="preserve">De acuerdo con el avance que ha tenido la Corporación en la elaboración del inventario de humedales, en la Sabana de Bogotá se identificaron aproximadamente 10.730 hectáreas de humedales, discriminadas según lo presentado en la </w:t>
      </w:r>
      <w:r w:rsidRPr="00131EED">
        <w:rPr>
          <w:rFonts w:cs="Arial"/>
          <w:shd w:val="clear" w:color="auto" w:fill="FEFEFE"/>
        </w:rPr>
        <w:fldChar w:fldCharType="begin"/>
      </w:r>
      <w:r w:rsidRPr="00131EED">
        <w:rPr>
          <w:rFonts w:cs="Arial"/>
          <w:shd w:val="clear" w:color="auto" w:fill="FEFEFE"/>
        </w:rPr>
        <w:instrText xml:space="preserve"> REF _Ref210665020 \h </w:instrText>
      </w:r>
      <w:r w:rsidR="00472619" w:rsidRPr="00131EED">
        <w:rPr>
          <w:rFonts w:cs="Arial"/>
          <w:shd w:val="clear" w:color="auto" w:fill="FEFEFE"/>
        </w:rPr>
        <w:instrText xml:space="preserve"> \* MERGEFORMAT </w:instrText>
      </w:r>
      <w:r w:rsidRPr="00131EED">
        <w:rPr>
          <w:rFonts w:cs="Arial"/>
          <w:shd w:val="clear" w:color="auto" w:fill="FEFEFE"/>
        </w:rPr>
      </w:r>
      <w:r w:rsidRPr="00131EED">
        <w:rPr>
          <w:rFonts w:cs="Arial"/>
          <w:shd w:val="clear" w:color="auto" w:fill="FEFEFE"/>
        </w:rPr>
        <w:fldChar w:fldCharType="separate"/>
      </w:r>
      <w:r w:rsidR="00CE096F" w:rsidRPr="00131EED">
        <w:t xml:space="preserve">Tabla </w:t>
      </w:r>
      <w:r w:rsidRPr="00131EED">
        <w:rPr>
          <w:rFonts w:cs="Arial"/>
          <w:shd w:val="clear" w:color="auto" w:fill="FEFEFE"/>
        </w:rPr>
        <w:fldChar w:fldCharType="end"/>
      </w:r>
      <w:r w:rsidR="000D256A" w:rsidRPr="00131EED">
        <w:rPr>
          <w:rFonts w:cs="Arial"/>
          <w:shd w:val="clear" w:color="auto" w:fill="FEFEFE"/>
        </w:rPr>
        <w:t>,</w:t>
      </w:r>
      <w:r w:rsidRPr="00131EED">
        <w:rPr>
          <w:rFonts w:cs="Arial"/>
          <w:shd w:val="clear" w:color="auto" w:fill="FEFEFE"/>
        </w:rPr>
        <w:t xml:space="preserve"> </w:t>
      </w:r>
      <w:r w:rsidR="00CD2547" w:rsidRPr="00131EED">
        <w:rPr>
          <w:rFonts w:cs="Arial"/>
          <w:shd w:val="clear" w:color="auto" w:fill="FEFEFE"/>
        </w:rPr>
        <w:t xml:space="preserve">haciendo la salvedad que estas áreas </w:t>
      </w:r>
      <w:r w:rsidR="008A326C" w:rsidRPr="00131EED">
        <w:rPr>
          <w:rFonts w:cs="Arial"/>
          <w:shd w:val="clear" w:color="auto" w:fill="FEFEFE"/>
        </w:rPr>
        <w:t>se encuentran en proceso de identificación e inventario</w:t>
      </w:r>
      <w:r w:rsidR="000D256A" w:rsidRPr="00131EED">
        <w:rPr>
          <w:rFonts w:cs="Arial"/>
          <w:shd w:val="clear" w:color="auto" w:fill="FEFEFE"/>
        </w:rPr>
        <w:t xml:space="preserve"> por lo cual estos datos pueden variar, adicionalmente en función de lo que pueda salir del acotamiento de las rondas.</w:t>
      </w:r>
      <w:r w:rsidR="008A326C" w:rsidRPr="00131EED">
        <w:rPr>
          <w:rFonts w:cs="Arial"/>
          <w:shd w:val="clear" w:color="auto" w:fill="FEFEFE"/>
        </w:rPr>
        <w:t xml:space="preserve"> </w:t>
      </w:r>
      <w:r w:rsidR="000D256A" w:rsidRPr="00131EED">
        <w:rPr>
          <w:rFonts w:cs="Arial"/>
          <w:shd w:val="clear" w:color="auto" w:fill="FEFEFE"/>
        </w:rPr>
        <w:t xml:space="preserve">De igual manera, la Corporación aportó información relacionada con </w:t>
      </w:r>
      <w:r w:rsidR="00770A91" w:rsidRPr="00131EED">
        <w:rPr>
          <w:rFonts w:cs="Arial"/>
          <w:shd w:val="clear" w:color="auto" w:fill="FEFEFE"/>
        </w:rPr>
        <w:t xml:space="preserve">16 </w:t>
      </w:r>
      <w:r w:rsidR="000D256A" w:rsidRPr="00131EED">
        <w:rPr>
          <w:rFonts w:cs="Arial"/>
          <w:shd w:val="clear" w:color="auto" w:fill="FEFEFE"/>
        </w:rPr>
        <w:t xml:space="preserve">humedales que </w:t>
      </w:r>
      <w:r w:rsidR="008A326C" w:rsidRPr="00131EED">
        <w:rPr>
          <w:rFonts w:cs="Arial"/>
          <w:shd w:val="clear" w:color="auto" w:fill="FEFEFE"/>
        </w:rPr>
        <w:t xml:space="preserve">se han </w:t>
      </w:r>
      <w:r w:rsidR="00770A91" w:rsidRPr="00131EED">
        <w:rPr>
          <w:rFonts w:cs="Arial"/>
          <w:shd w:val="clear" w:color="auto" w:fill="FEFEFE"/>
        </w:rPr>
        <w:t>incorporado en</w:t>
      </w:r>
      <w:r w:rsidR="008A326C" w:rsidRPr="00131EED">
        <w:rPr>
          <w:rFonts w:cs="Arial"/>
          <w:shd w:val="clear" w:color="auto" w:fill="FEFEFE"/>
        </w:rPr>
        <w:t xml:space="preserve"> del Sistema de Áreas Protegidas Regional o de iniciativas de conservación in situ, </w:t>
      </w:r>
      <w:r w:rsidR="00770A91" w:rsidRPr="00131EED">
        <w:rPr>
          <w:rFonts w:cs="Arial"/>
          <w:shd w:val="clear" w:color="auto" w:fill="FEFEFE"/>
        </w:rPr>
        <w:t xml:space="preserve">según lo establecido en la </w:t>
      </w:r>
      <w:r w:rsidR="00510969" w:rsidRPr="00131EED">
        <w:rPr>
          <w:rFonts w:cs="Arial"/>
          <w:shd w:val="clear" w:color="auto" w:fill="FEFEFE"/>
        </w:rPr>
        <w:fldChar w:fldCharType="begin"/>
      </w:r>
      <w:r w:rsidR="00510969" w:rsidRPr="00131EED">
        <w:rPr>
          <w:rFonts w:cs="Arial"/>
          <w:shd w:val="clear" w:color="auto" w:fill="FEFEFE"/>
        </w:rPr>
        <w:instrText xml:space="preserve"> REF _Ref210669719 \h </w:instrText>
      </w:r>
      <w:r w:rsidR="00472619" w:rsidRPr="00131EED">
        <w:rPr>
          <w:rFonts w:cs="Arial"/>
          <w:shd w:val="clear" w:color="auto" w:fill="FEFEFE"/>
        </w:rPr>
        <w:instrText xml:space="preserve"> \* MERGEFORMAT </w:instrText>
      </w:r>
      <w:r w:rsidR="00510969" w:rsidRPr="00131EED">
        <w:rPr>
          <w:rFonts w:cs="Arial"/>
          <w:shd w:val="clear" w:color="auto" w:fill="FEFEFE"/>
        </w:rPr>
      </w:r>
      <w:r w:rsidR="00510969" w:rsidRPr="00131EED">
        <w:rPr>
          <w:rFonts w:cs="Arial"/>
          <w:shd w:val="clear" w:color="auto" w:fill="FEFEFE"/>
        </w:rPr>
        <w:fldChar w:fldCharType="separate"/>
      </w:r>
      <w:r w:rsidR="00CE096F" w:rsidRPr="00131EED">
        <w:t xml:space="preserve">Tabla </w:t>
      </w:r>
      <w:r w:rsidR="00510969" w:rsidRPr="00131EED">
        <w:rPr>
          <w:rFonts w:cs="Arial"/>
          <w:shd w:val="clear" w:color="auto" w:fill="FEFEFE"/>
        </w:rPr>
        <w:fldChar w:fldCharType="end"/>
      </w:r>
    </w:p>
    <w:p w14:paraId="477A9503" w14:textId="77777777" w:rsidR="009B0F27" w:rsidRPr="00131EED" w:rsidRDefault="009B0F27" w:rsidP="008A326C">
      <w:pPr>
        <w:rPr>
          <w:rFonts w:ascii="Baskerville" w:hAnsi="Baskerville" w:cs="Arial"/>
          <w:shd w:val="clear" w:color="auto" w:fill="FEFEFE"/>
        </w:rPr>
      </w:pPr>
    </w:p>
    <w:p w14:paraId="53FF675D" w14:textId="13E0B646" w:rsidR="00510969" w:rsidRPr="00131EED" w:rsidRDefault="00510969" w:rsidP="003228A4">
      <w:pPr>
        <w:pStyle w:val="Caption"/>
        <w:jc w:val="center"/>
      </w:pPr>
      <w:bookmarkStart w:id="80" w:name="_Toc216468786"/>
      <w:r w:rsidRPr="00131EED">
        <w:t xml:space="preserve">Ilustración </w:t>
      </w:r>
      <w:r w:rsidRPr="00131EED">
        <w:fldChar w:fldCharType="begin"/>
      </w:r>
      <w:r w:rsidRPr="00131EED">
        <w:instrText>SEQ Ilustración \* ARABIC</w:instrText>
      </w:r>
      <w:r w:rsidRPr="00131EED">
        <w:fldChar w:fldCharType="separate"/>
      </w:r>
      <w:r w:rsidR="00CE096F">
        <w:rPr>
          <w:noProof/>
        </w:rPr>
        <w:t>21</w:t>
      </w:r>
      <w:r w:rsidRPr="00131EED">
        <w:fldChar w:fldCharType="end"/>
      </w:r>
      <w:r w:rsidRPr="00131EED">
        <w:t>. Presencia de humedales en la Sabana de Bogotá, según inventario de humedales en construcción en la jurisdicción CAR</w:t>
      </w:r>
      <w:bookmarkEnd w:id="80"/>
    </w:p>
    <w:p w14:paraId="2E108D54" w14:textId="609C6BCC" w:rsidR="004D4D64" w:rsidRPr="00131EED" w:rsidRDefault="004D4D64" w:rsidP="004D4D64">
      <w:pPr>
        <w:rPr>
          <w:lang w:eastAsia="en-US"/>
        </w:rPr>
      </w:pPr>
      <w:r w:rsidRPr="00131EED">
        <w:rPr>
          <w:noProof/>
          <w:lang w:eastAsia="en-US"/>
        </w:rPr>
        <w:drawing>
          <wp:inline distT="0" distB="0" distL="0" distR="0" wp14:anchorId="0105F4F9" wp14:editId="0509CC4E">
            <wp:extent cx="5612130" cy="3967701"/>
            <wp:effectExtent l="0" t="0" r="7620" b="0"/>
            <wp:docPr id="1474823176" name="Imagen 1474823176" descr="D:\Back up dalila 20_09_2024\Documentos\Dali\MADS\DIRECCION ORDENAMIENTO\SABANA DE BOGOTA\RECORTES SANTIAGO\HUMEDALES CAR SABANA DE BOGOTA NOR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Back up dalila 20_09_2024\Documentos\Dali\MADS\DIRECCION ORDENAMIENTO\SABANA DE BOGOTA\RECORTES SANTIAGO\HUMEDALES CAR SABANA DE BOGOTA NORTE.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612130" cy="3967701"/>
                    </a:xfrm>
                    <a:prstGeom prst="rect">
                      <a:avLst/>
                    </a:prstGeom>
                    <a:noFill/>
                    <a:ln>
                      <a:noFill/>
                    </a:ln>
                  </pic:spPr>
                </pic:pic>
              </a:graphicData>
            </a:graphic>
          </wp:inline>
        </w:drawing>
      </w:r>
    </w:p>
    <w:p w14:paraId="77BC4033" w14:textId="77777777" w:rsidR="003228A4" w:rsidRPr="00131EED" w:rsidRDefault="003228A4" w:rsidP="004D4D64">
      <w:pPr>
        <w:rPr>
          <w:lang w:eastAsia="en-US"/>
        </w:rPr>
      </w:pPr>
    </w:p>
    <w:p w14:paraId="3D4E6B71" w14:textId="77777777" w:rsidR="003228A4" w:rsidRPr="00131EED" w:rsidRDefault="003228A4" w:rsidP="004D4D64">
      <w:pPr>
        <w:rPr>
          <w:lang w:eastAsia="en-US"/>
        </w:rPr>
      </w:pPr>
    </w:p>
    <w:p w14:paraId="082D3BAC" w14:textId="4F4718C1" w:rsidR="00510969" w:rsidRPr="00131EED" w:rsidRDefault="008B0109" w:rsidP="00510969">
      <w:pPr>
        <w:rPr>
          <w:rFonts w:ascii="Baskerville" w:hAnsi="Baskerville"/>
        </w:rPr>
      </w:pPr>
      <w:r w:rsidRPr="00131EED">
        <w:rPr>
          <w:rFonts w:ascii="Baskerville" w:hAnsi="Baskerville"/>
          <w:noProof/>
          <w:lang w:eastAsia="en-US"/>
        </w:rPr>
        <w:drawing>
          <wp:inline distT="0" distB="0" distL="0" distR="0" wp14:anchorId="7716FEC5" wp14:editId="4943F629">
            <wp:extent cx="5612130" cy="3967701"/>
            <wp:effectExtent l="0" t="0" r="7620" b="0"/>
            <wp:docPr id="1474823177" name="Imagen 1474823177" descr="D:\Back up dalila 20_09_2024\Documentos\Dali\MADS\DIRECCION ORDENAMIENTO\SABANA DE BOGOTA\RECORTES SANTIAGO\HUMEDALES CAR SABANA DE BOGOTA S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Back up dalila 20_09_2024\Documentos\Dali\MADS\DIRECCION ORDENAMIENTO\SABANA DE BOGOTA\RECORTES SANTIAGO\HUMEDALES CAR SABANA DE BOGOTA SUR.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612130" cy="3967701"/>
                    </a:xfrm>
                    <a:prstGeom prst="rect">
                      <a:avLst/>
                    </a:prstGeom>
                    <a:noFill/>
                    <a:ln>
                      <a:noFill/>
                    </a:ln>
                  </pic:spPr>
                </pic:pic>
              </a:graphicData>
            </a:graphic>
          </wp:inline>
        </w:drawing>
      </w:r>
    </w:p>
    <w:p w14:paraId="0C0DF32A" w14:textId="77777777" w:rsidR="00510969" w:rsidRPr="00131EED" w:rsidRDefault="00510969" w:rsidP="00510969">
      <w:pPr>
        <w:jc w:val="center"/>
        <w:rPr>
          <w:sz w:val="20"/>
          <w:szCs w:val="20"/>
        </w:rPr>
      </w:pPr>
      <w:r w:rsidRPr="00131EED">
        <w:rPr>
          <w:sz w:val="20"/>
          <w:szCs w:val="20"/>
        </w:rPr>
        <w:t>Fuente: Dirección de Gestión del Ordenamiento Ambiental y Territorial – DGOAT - CAR (2025)</w:t>
      </w:r>
    </w:p>
    <w:p w14:paraId="0E60E6A6" w14:textId="77777777" w:rsidR="003228A4" w:rsidRPr="00131EED" w:rsidRDefault="003228A4" w:rsidP="00510969">
      <w:pPr>
        <w:jc w:val="center"/>
      </w:pPr>
    </w:p>
    <w:p w14:paraId="7829F6F9" w14:textId="295551C8" w:rsidR="003228A4" w:rsidRPr="00131EED" w:rsidRDefault="009B0F27" w:rsidP="0055774B">
      <w:pPr>
        <w:pStyle w:val="Caption"/>
        <w:jc w:val="center"/>
      </w:pPr>
      <w:bookmarkStart w:id="81" w:name="_Ref210665020"/>
      <w:bookmarkStart w:id="82" w:name="_Toc216468922"/>
      <w:r w:rsidRPr="00131EED">
        <w:t xml:space="preserve">Tabla </w:t>
      </w:r>
      <w:bookmarkEnd w:id="81"/>
      <w:r w:rsidRPr="00131EED">
        <w:fldChar w:fldCharType="begin"/>
      </w:r>
      <w:r w:rsidRPr="00131EED">
        <w:instrText>SEQ Tabla \* ARABIC</w:instrText>
      </w:r>
      <w:r w:rsidRPr="00131EED">
        <w:fldChar w:fldCharType="separate"/>
      </w:r>
      <w:r w:rsidR="00CE096F">
        <w:rPr>
          <w:noProof/>
        </w:rPr>
        <w:t>12</w:t>
      </w:r>
      <w:r w:rsidRPr="00131EED">
        <w:fldChar w:fldCharType="end"/>
      </w:r>
      <w:r w:rsidRPr="00131EED">
        <w:t>. Síntesis del inventario de humedales realizado por la Corporación Autónoma Regional de Cundinamarca en la Sabana de Bogotá, a corte 2025.</w:t>
      </w:r>
      <w:bookmarkEnd w:id="82"/>
    </w:p>
    <w:tbl>
      <w:tblPr>
        <w:tblStyle w:val="TableGrid"/>
        <w:tblW w:w="5680" w:type="dxa"/>
        <w:jc w:val="center"/>
        <w:tblLook w:val="04A0" w:firstRow="1" w:lastRow="0" w:firstColumn="1" w:lastColumn="0" w:noHBand="0" w:noVBand="1"/>
      </w:tblPr>
      <w:tblGrid>
        <w:gridCol w:w="1840"/>
        <w:gridCol w:w="1960"/>
        <w:gridCol w:w="1880"/>
      </w:tblGrid>
      <w:tr w:rsidR="002A144A" w:rsidRPr="00131EED" w14:paraId="15673360" w14:textId="77777777" w:rsidTr="00053167">
        <w:trPr>
          <w:trHeight w:val="300"/>
          <w:jc w:val="center"/>
        </w:trPr>
        <w:tc>
          <w:tcPr>
            <w:tcW w:w="1840" w:type="dxa"/>
            <w:noWrap/>
            <w:hideMark/>
          </w:tcPr>
          <w:p w14:paraId="0192BEE2" w14:textId="3CA03DBC" w:rsidR="002A144A" w:rsidRPr="00131EED" w:rsidRDefault="002A144A" w:rsidP="002A144A">
            <w:pPr>
              <w:jc w:val="left"/>
              <w:rPr>
                <w:rFonts w:cs="Calibri"/>
                <w:b/>
                <w:bCs/>
                <w:color w:val="000000"/>
                <w:sz w:val="20"/>
                <w:szCs w:val="20"/>
                <w:lang w:eastAsia="en-US"/>
              </w:rPr>
            </w:pPr>
            <w:r w:rsidRPr="00131EED">
              <w:rPr>
                <w:rFonts w:cs="Calibri"/>
                <w:b/>
                <w:bCs/>
                <w:color w:val="000000"/>
                <w:sz w:val="20"/>
                <w:szCs w:val="20"/>
                <w:lang w:eastAsia="en-US"/>
              </w:rPr>
              <w:t>Categoría de humedal</w:t>
            </w:r>
          </w:p>
        </w:tc>
        <w:tc>
          <w:tcPr>
            <w:tcW w:w="1960" w:type="dxa"/>
            <w:noWrap/>
            <w:hideMark/>
          </w:tcPr>
          <w:p w14:paraId="75B19FF7" w14:textId="3BBC8212" w:rsidR="002A144A" w:rsidRPr="00131EED" w:rsidRDefault="002A144A" w:rsidP="002A144A">
            <w:pPr>
              <w:jc w:val="left"/>
              <w:rPr>
                <w:rFonts w:cs="Calibri"/>
                <w:b/>
                <w:bCs/>
                <w:color w:val="000000"/>
                <w:sz w:val="20"/>
                <w:szCs w:val="20"/>
                <w:lang w:eastAsia="en-US"/>
              </w:rPr>
            </w:pPr>
            <w:r w:rsidRPr="00131EED">
              <w:rPr>
                <w:rFonts w:cs="Calibri"/>
                <w:b/>
                <w:bCs/>
                <w:color w:val="000000"/>
                <w:sz w:val="20"/>
                <w:szCs w:val="20"/>
                <w:lang w:eastAsia="en-US"/>
              </w:rPr>
              <w:t>Número de polígonos</w:t>
            </w:r>
          </w:p>
        </w:tc>
        <w:tc>
          <w:tcPr>
            <w:tcW w:w="1880" w:type="dxa"/>
            <w:noWrap/>
            <w:hideMark/>
          </w:tcPr>
          <w:p w14:paraId="3A52CBF4" w14:textId="007398EB" w:rsidR="002A144A" w:rsidRPr="00131EED" w:rsidRDefault="002A144A" w:rsidP="002A144A">
            <w:pPr>
              <w:jc w:val="left"/>
              <w:rPr>
                <w:rFonts w:cs="Calibri"/>
                <w:b/>
                <w:bCs/>
                <w:color w:val="000000"/>
                <w:sz w:val="20"/>
                <w:szCs w:val="20"/>
                <w:lang w:eastAsia="en-US"/>
              </w:rPr>
            </w:pPr>
            <w:r w:rsidRPr="00131EED">
              <w:rPr>
                <w:rFonts w:cs="Calibri"/>
                <w:b/>
                <w:bCs/>
                <w:color w:val="000000"/>
                <w:sz w:val="20"/>
                <w:szCs w:val="20"/>
                <w:lang w:eastAsia="en-US"/>
              </w:rPr>
              <w:t>Extensión (ha)</w:t>
            </w:r>
          </w:p>
        </w:tc>
      </w:tr>
      <w:tr w:rsidR="002A144A" w:rsidRPr="00131EED" w14:paraId="7B0CB5D2" w14:textId="77777777" w:rsidTr="00053167">
        <w:trPr>
          <w:trHeight w:val="300"/>
          <w:jc w:val="center"/>
        </w:trPr>
        <w:tc>
          <w:tcPr>
            <w:tcW w:w="1840" w:type="dxa"/>
            <w:noWrap/>
            <w:hideMark/>
          </w:tcPr>
          <w:p w14:paraId="332A9449" w14:textId="77777777" w:rsidR="002A144A" w:rsidRPr="00131EED" w:rsidRDefault="002A144A" w:rsidP="002A144A">
            <w:pPr>
              <w:jc w:val="left"/>
              <w:rPr>
                <w:rFonts w:cs="Calibri"/>
                <w:color w:val="000000"/>
                <w:sz w:val="20"/>
                <w:szCs w:val="20"/>
                <w:lang w:eastAsia="en-US"/>
              </w:rPr>
            </w:pPr>
            <w:r w:rsidRPr="00131EED">
              <w:rPr>
                <w:rFonts w:cs="Calibri"/>
                <w:color w:val="000000"/>
                <w:sz w:val="20"/>
                <w:szCs w:val="20"/>
                <w:lang w:eastAsia="en-US"/>
              </w:rPr>
              <w:t>Cuerpo de agua</w:t>
            </w:r>
          </w:p>
        </w:tc>
        <w:tc>
          <w:tcPr>
            <w:tcW w:w="1960" w:type="dxa"/>
            <w:noWrap/>
            <w:hideMark/>
          </w:tcPr>
          <w:p w14:paraId="03878705" w14:textId="77777777" w:rsidR="002A144A" w:rsidRPr="00131EED" w:rsidRDefault="002A144A" w:rsidP="002A144A">
            <w:pPr>
              <w:jc w:val="right"/>
              <w:rPr>
                <w:rFonts w:cs="Calibri"/>
                <w:color w:val="000000"/>
                <w:sz w:val="20"/>
                <w:szCs w:val="20"/>
                <w:lang w:eastAsia="en-US"/>
              </w:rPr>
            </w:pPr>
            <w:r w:rsidRPr="00131EED">
              <w:rPr>
                <w:rFonts w:cs="Calibri"/>
                <w:color w:val="000000"/>
                <w:sz w:val="20"/>
                <w:szCs w:val="20"/>
                <w:lang w:eastAsia="en-US"/>
              </w:rPr>
              <w:t>722</w:t>
            </w:r>
          </w:p>
        </w:tc>
        <w:tc>
          <w:tcPr>
            <w:tcW w:w="1880" w:type="dxa"/>
            <w:noWrap/>
            <w:hideMark/>
          </w:tcPr>
          <w:p w14:paraId="01537DC6" w14:textId="77777777" w:rsidR="002A144A" w:rsidRPr="00131EED" w:rsidRDefault="002A144A" w:rsidP="002A144A">
            <w:pPr>
              <w:jc w:val="right"/>
              <w:rPr>
                <w:rFonts w:cs="Calibri"/>
                <w:color w:val="000000"/>
                <w:sz w:val="20"/>
                <w:szCs w:val="20"/>
                <w:lang w:eastAsia="en-US"/>
              </w:rPr>
            </w:pPr>
            <w:r w:rsidRPr="00131EED">
              <w:rPr>
                <w:rFonts w:cs="Calibri"/>
                <w:color w:val="000000"/>
                <w:sz w:val="20"/>
                <w:szCs w:val="20"/>
                <w:lang w:eastAsia="en-US"/>
              </w:rPr>
              <w:t>554,76</w:t>
            </w:r>
          </w:p>
        </w:tc>
      </w:tr>
      <w:tr w:rsidR="002A144A" w:rsidRPr="00131EED" w14:paraId="25F0D342" w14:textId="77777777" w:rsidTr="00053167">
        <w:trPr>
          <w:trHeight w:val="300"/>
          <w:jc w:val="center"/>
        </w:trPr>
        <w:tc>
          <w:tcPr>
            <w:tcW w:w="1840" w:type="dxa"/>
            <w:noWrap/>
            <w:hideMark/>
          </w:tcPr>
          <w:p w14:paraId="31A82F87" w14:textId="77777777" w:rsidR="002A144A" w:rsidRPr="00131EED" w:rsidRDefault="002A144A" w:rsidP="002A144A">
            <w:pPr>
              <w:jc w:val="left"/>
              <w:rPr>
                <w:rFonts w:cs="Calibri"/>
                <w:color w:val="000000"/>
                <w:sz w:val="20"/>
                <w:szCs w:val="20"/>
                <w:lang w:eastAsia="en-US"/>
              </w:rPr>
            </w:pPr>
            <w:r w:rsidRPr="00131EED">
              <w:rPr>
                <w:rFonts w:cs="Calibri"/>
                <w:color w:val="000000"/>
                <w:sz w:val="20"/>
                <w:szCs w:val="20"/>
                <w:lang w:eastAsia="en-US"/>
              </w:rPr>
              <w:t>Embalse</w:t>
            </w:r>
          </w:p>
        </w:tc>
        <w:tc>
          <w:tcPr>
            <w:tcW w:w="1960" w:type="dxa"/>
            <w:noWrap/>
            <w:hideMark/>
          </w:tcPr>
          <w:p w14:paraId="1C342530" w14:textId="77777777" w:rsidR="002A144A" w:rsidRPr="00131EED" w:rsidRDefault="002A144A" w:rsidP="002A144A">
            <w:pPr>
              <w:jc w:val="right"/>
              <w:rPr>
                <w:rFonts w:cs="Calibri"/>
                <w:color w:val="000000"/>
                <w:sz w:val="20"/>
                <w:szCs w:val="20"/>
                <w:lang w:eastAsia="en-US"/>
              </w:rPr>
            </w:pPr>
            <w:r w:rsidRPr="00131EED">
              <w:rPr>
                <w:rFonts w:cs="Calibri"/>
                <w:color w:val="000000"/>
                <w:sz w:val="20"/>
                <w:szCs w:val="20"/>
                <w:lang w:eastAsia="en-US"/>
              </w:rPr>
              <w:t>8</w:t>
            </w:r>
          </w:p>
        </w:tc>
        <w:tc>
          <w:tcPr>
            <w:tcW w:w="1880" w:type="dxa"/>
            <w:noWrap/>
            <w:hideMark/>
          </w:tcPr>
          <w:p w14:paraId="17835F6F" w14:textId="77777777" w:rsidR="002A144A" w:rsidRPr="00131EED" w:rsidRDefault="002A144A" w:rsidP="002A144A">
            <w:pPr>
              <w:jc w:val="right"/>
              <w:rPr>
                <w:rFonts w:cs="Calibri"/>
                <w:color w:val="000000"/>
                <w:sz w:val="20"/>
                <w:szCs w:val="20"/>
                <w:lang w:eastAsia="en-US"/>
              </w:rPr>
            </w:pPr>
            <w:r w:rsidRPr="00131EED">
              <w:rPr>
                <w:rFonts w:cs="Calibri"/>
                <w:color w:val="000000"/>
                <w:sz w:val="20"/>
                <w:szCs w:val="20"/>
                <w:lang w:eastAsia="en-US"/>
              </w:rPr>
              <w:t>5.121,74</w:t>
            </w:r>
          </w:p>
        </w:tc>
      </w:tr>
      <w:tr w:rsidR="002A144A" w:rsidRPr="00131EED" w14:paraId="4ED187C1" w14:textId="77777777" w:rsidTr="00053167">
        <w:trPr>
          <w:trHeight w:val="300"/>
          <w:jc w:val="center"/>
        </w:trPr>
        <w:tc>
          <w:tcPr>
            <w:tcW w:w="1840" w:type="dxa"/>
            <w:noWrap/>
            <w:hideMark/>
          </w:tcPr>
          <w:p w14:paraId="22E54BB7" w14:textId="77777777" w:rsidR="002A144A" w:rsidRPr="00131EED" w:rsidRDefault="002A144A" w:rsidP="002A144A">
            <w:pPr>
              <w:jc w:val="left"/>
              <w:rPr>
                <w:rFonts w:cs="Calibri"/>
                <w:color w:val="000000"/>
                <w:sz w:val="20"/>
                <w:szCs w:val="20"/>
                <w:lang w:eastAsia="en-US"/>
              </w:rPr>
            </w:pPr>
            <w:r w:rsidRPr="00131EED">
              <w:rPr>
                <w:rFonts w:cs="Calibri"/>
                <w:color w:val="000000"/>
                <w:sz w:val="20"/>
                <w:szCs w:val="20"/>
                <w:lang w:eastAsia="en-US"/>
              </w:rPr>
              <w:t>Humedal</w:t>
            </w:r>
          </w:p>
        </w:tc>
        <w:tc>
          <w:tcPr>
            <w:tcW w:w="1960" w:type="dxa"/>
            <w:noWrap/>
            <w:hideMark/>
          </w:tcPr>
          <w:p w14:paraId="519682EC" w14:textId="77777777" w:rsidR="002A144A" w:rsidRPr="00131EED" w:rsidRDefault="002A144A" w:rsidP="002A144A">
            <w:pPr>
              <w:jc w:val="right"/>
              <w:rPr>
                <w:rFonts w:cs="Calibri"/>
                <w:color w:val="000000"/>
                <w:sz w:val="20"/>
                <w:szCs w:val="20"/>
                <w:lang w:eastAsia="en-US"/>
              </w:rPr>
            </w:pPr>
            <w:r w:rsidRPr="00131EED">
              <w:rPr>
                <w:rFonts w:cs="Calibri"/>
                <w:color w:val="000000"/>
                <w:sz w:val="20"/>
                <w:szCs w:val="20"/>
                <w:lang w:eastAsia="en-US"/>
              </w:rPr>
              <w:t>260</w:t>
            </w:r>
          </w:p>
        </w:tc>
        <w:tc>
          <w:tcPr>
            <w:tcW w:w="1880" w:type="dxa"/>
            <w:noWrap/>
            <w:hideMark/>
          </w:tcPr>
          <w:p w14:paraId="1629709A" w14:textId="77777777" w:rsidR="002A144A" w:rsidRPr="00131EED" w:rsidRDefault="002A144A" w:rsidP="002A144A">
            <w:pPr>
              <w:jc w:val="right"/>
              <w:rPr>
                <w:rFonts w:cs="Calibri"/>
                <w:color w:val="000000"/>
                <w:sz w:val="20"/>
                <w:szCs w:val="20"/>
                <w:lang w:eastAsia="en-US"/>
              </w:rPr>
            </w:pPr>
            <w:r w:rsidRPr="00131EED">
              <w:rPr>
                <w:rFonts w:cs="Calibri"/>
                <w:color w:val="000000"/>
                <w:sz w:val="20"/>
                <w:szCs w:val="20"/>
                <w:lang w:eastAsia="en-US"/>
              </w:rPr>
              <w:t>4.222,25</w:t>
            </w:r>
          </w:p>
        </w:tc>
      </w:tr>
      <w:tr w:rsidR="002A144A" w:rsidRPr="00131EED" w14:paraId="28DAA876" w14:textId="77777777" w:rsidTr="00053167">
        <w:trPr>
          <w:trHeight w:val="300"/>
          <w:jc w:val="center"/>
        </w:trPr>
        <w:tc>
          <w:tcPr>
            <w:tcW w:w="1840" w:type="dxa"/>
            <w:noWrap/>
            <w:hideMark/>
          </w:tcPr>
          <w:p w14:paraId="5751DFB6" w14:textId="77777777" w:rsidR="002A144A" w:rsidRPr="00131EED" w:rsidRDefault="002A144A" w:rsidP="002A144A">
            <w:pPr>
              <w:jc w:val="left"/>
              <w:rPr>
                <w:rFonts w:cs="Calibri"/>
                <w:color w:val="000000"/>
                <w:sz w:val="20"/>
                <w:szCs w:val="20"/>
                <w:lang w:eastAsia="en-US"/>
              </w:rPr>
            </w:pPr>
            <w:r w:rsidRPr="00131EED">
              <w:rPr>
                <w:rFonts w:cs="Calibri"/>
                <w:color w:val="000000"/>
                <w:sz w:val="20"/>
                <w:szCs w:val="20"/>
                <w:lang w:eastAsia="en-US"/>
              </w:rPr>
              <w:t>Laguna</w:t>
            </w:r>
          </w:p>
        </w:tc>
        <w:tc>
          <w:tcPr>
            <w:tcW w:w="1960" w:type="dxa"/>
            <w:noWrap/>
            <w:hideMark/>
          </w:tcPr>
          <w:p w14:paraId="7B0038D5" w14:textId="77777777" w:rsidR="002A144A" w:rsidRPr="00131EED" w:rsidRDefault="002A144A" w:rsidP="002A144A">
            <w:pPr>
              <w:jc w:val="right"/>
              <w:rPr>
                <w:rFonts w:cs="Calibri"/>
                <w:color w:val="000000"/>
                <w:sz w:val="20"/>
                <w:szCs w:val="20"/>
                <w:lang w:eastAsia="en-US"/>
              </w:rPr>
            </w:pPr>
            <w:r w:rsidRPr="00131EED">
              <w:rPr>
                <w:rFonts w:cs="Calibri"/>
                <w:color w:val="000000"/>
                <w:sz w:val="20"/>
                <w:szCs w:val="20"/>
                <w:lang w:eastAsia="en-US"/>
              </w:rPr>
              <w:t>599</w:t>
            </w:r>
          </w:p>
        </w:tc>
        <w:tc>
          <w:tcPr>
            <w:tcW w:w="1880" w:type="dxa"/>
            <w:noWrap/>
            <w:hideMark/>
          </w:tcPr>
          <w:p w14:paraId="52913CE9" w14:textId="77777777" w:rsidR="002A144A" w:rsidRPr="00131EED" w:rsidRDefault="002A144A" w:rsidP="002A144A">
            <w:pPr>
              <w:jc w:val="right"/>
              <w:rPr>
                <w:rFonts w:cs="Calibri"/>
                <w:color w:val="000000"/>
                <w:sz w:val="20"/>
                <w:szCs w:val="20"/>
                <w:lang w:eastAsia="en-US"/>
              </w:rPr>
            </w:pPr>
            <w:r w:rsidRPr="00131EED">
              <w:rPr>
                <w:rFonts w:cs="Calibri"/>
                <w:color w:val="000000"/>
                <w:sz w:val="20"/>
                <w:szCs w:val="20"/>
                <w:lang w:eastAsia="en-US"/>
              </w:rPr>
              <w:t>384,41</w:t>
            </w:r>
          </w:p>
        </w:tc>
      </w:tr>
      <w:tr w:rsidR="002A144A" w:rsidRPr="00131EED" w14:paraId="21735E03" w14:textId="77777777" w:rsidTr="00053167">
        <w:trPr>
          <w:trHeight w:val="300"/>
          <w:jc w:val="center"/>
        </w:trPr>
        <w:tc>
          <w:tcPr>
            <w:tcW w:w="1840" w:type="dxa"/>
            <w:noWrap/>
            <w:hideMark/>
          </w:tcPr>
          <w:p w14:paraId="677D8D55" w14:textId="77777777" w:rsidR="002A144A" w:rsidRPr="00131EED" w:rsidRDefault="002A144A" w:rsidP="002A144A">
            <w:pPr>
              <w:jc w:val="left"/>
              <w:rPr>
                <w:rFonts w:cs="Calibri"/>
                <w:color w:val="000000"/>
                <w:sz w:val="20"/>
                <w:szCs w:val="20"/>
                <w:lang w:eastAsia="en-US"/>
              </w:rPr>
            </w:pPr>
            <w:r w:rsidRPr="00131EED">
              <w:rPr>
                <w:rFonts w:cs="Calibri"/>
                <w:color w:val="000000"/>
                <w:sz w:val="20"/>
                <w:szCs w:val="20"/>
                <w:lang w:eastAsia="en-US"/>
              </w:rPr>
              <w:t>Pantano</w:t>
            </w:r>
          </w:p>
        </w:tc>
        <w:tc>
          <w:tcPr>
            <w:tcW w:w="1960" w:type="dxa"/>
            <w:noWrap/>
            <w:hideMark/>
          </w:tcPr>
          <w:p w14:paraId="56A3E73F" w14:textId="77777777" w:rsidR="002A144A" w:rsidRPr="00131EED" w:rsidRDefault="002A144A" w:rsidP="002A144A">
            <w:pPr>
              <w:jc w:val="right"/>
              <w:rPr>
                <w:rFonts w:cs="Calibri"/>
                <w:color w:val="000000"/>
                <w:sz w:val="20"/>
                <w:szCs w:val="20"/>
                <w:lang w:eastAsia="en-US"/>
              </w:rPr>
            </w:pPr>
            <w:r w:rsidRPr="00131EED">
              <w:rPr>
                <w:rFonts w:cs="Calibri"/>
                <w:color w:val="000000"/>
                <w:sz w:val="20"/>
                <w:szCs w:val="20"/>
                <w:lang w:eastAsia="en-US"/>
              </w:rPr>
              <w:t>297</w:t>
            </w:r>
          </w:p>
        </w:tc>
        <w:tc>
          <w:tcPr>
            <w:tcW w:w="1880" w:type="dxa"/>
            <w:noWrap/>
            <w:hideMark/>
          </w:tcPr>
          <w:p w14:paraId="68EB2EE8" w14:textId="77777777" w:rsidR="002A144A" w:rsidRPr="00131EED" w:rsidRDefault="002A144A" w:rsidP="002A144A">
            <w:pPr>
              <w:jc w:val="right"/>
              <w:rPr>
                <w:rFonts w:cs="Calibri"/>
                <w:color w:val="000000"/>
                <w:sz w:val="20"/>
                <w:szCs w:val="20"/>
                <w:lang w:eastAsia="en-US"/>
              </w:rPr>
            </w:pPr>
            <w:r w:rsidRPr="00131EED">
              <w:rPr>
                <w:rFonts w:cs="Calibri"/>
                <w:color w:val="000000"/>
                <w:sz w:val="20"/>
                <w:szCs w:val="20"/>
                <w:lang w:eastAsia="en-US"/>
              </w:rPr>
              <w:t>447,14</w:t>
            </w:r>
          </w:p>
        </w:tc>
      </w:tr>
      <w:tr w:rsidR="002A144A" w:rsidRPr="00131EED" w14:paraId="3CA381B7" w14:textId="77777777" w:rsidTr="00053167">
        <w:trPr>
          <w:trHeight w:val="300"/>
          <w:jc w:val="center"/>
        </w:trPr>
        <w:tc>
          <w:tcPr>
            <w:tcW w:w="1840" w:type="dxa"/>
            <w:noWrap/>
            <w:hideMark/>
          </w:tcPr>
          <w:p w14:paraId="61EA69DC" w14:textId="77777777" w:rsidR="002A144A" w:rsidRPr="00131EED" w:rsidRDefault="002A144A" w:rsidP="002A144A">
            <w:pPr>
              <w:jc w:val="left"/>
              <w:rPr>
                <w:rFonts w:cs="Calibri"/>
                <w:b/>
                <w:bCs/>
                <w:color w:val="000000"/>
                <w:sz w:val="20"/>
                <w:szCs w:val="20"/>
                <w:lang w:eastAsia="en-US"/>
              </w:rPr>
            </w:pPr>
            <w:r w:rsidRPr="00131EED">
              <w:rPr>
                <w:rFonts w:cs="Calibri"/>
                <w:b/>
                <w:bCs/>
                <w:color w:val="000000"/>
                <w:sz w:val="20"/>
                <w:szCs w:val="20"/>
                <w:lang w:eastAsia="en-US"/>
              </w:rPr>
              <w:t>Total general</w:t>
            </w:r>
          </w:p>
        </w:tc>
        <w:tc>
          <w:tcPr>
            <w:tcW w:w="1960" w:type="dxa"/>
            <w:noWrap/>
            <w:hideMark/>
          </w:tcPr>
          <w:p w14:paraId="78EC15C7" w14:textId="77777777" w:rsidR="002A144A" w:rsidRPr="00131EED" w:rsidRDefault="002A144A" w:rsidP="002A144A">
            <w:pPr>
              <w:jc w:val="right"/>
              <w:rPr>
                <w:rFonts w:cs="Calibri"/>
                <w:b/>
                <w:bCs/>
                <w:color w:val="000000"/>
                <w:sz w:val="20"/>
                <w:szCs w:val="20"/>
                <w:lang w:eastAsia="en-US"/>
              </w:rPr>
            </w:pPr>
            <w:r w:rsidRPr="00131EED">
              <w:rPr>
                <w:rFonts w:cs="Calibri"/>
                <w:b/>
                <w:bCs/>
                <w:color w:val="000000"/>
                <w:sz w:val="20"/>
                <w:szCs w:val="20"/>
                <w:lang w:eastAsia="en-US"/>
              </w:rPr>
              <w:t>1886</w:t>
            </w:r>
          </w:p>
        </w:tc>
        <w:tc>
          <w:tcPr>
            <w:tcW w:w="1880" w:type="dxa"/>
            <w:noWrap/>
            <w:hideMark/>
          </w:tcPr>
          <w:p w14:paraId="140C72F9" w14:textId="77777777" w:rsidR="002A144A" w:rsidRPr="00131EED" w:rsidRDefault="002A144A" w:rsidP="002A144A">
            <w:pPr>
              <w:jc w:val="right"/>
              <w:rPr>
                <w:rFonts w:cs="Calibri"/>
                <w:b/>
                <w:bCs/>
                <w:color w:val="000000"/>
                <w:sz w:val="20"/>
                <w:szCs w:val="20"/>
                <w:lang w:eastAsia="en-US"/>
              </w:rPr>
            </w:pPr>
            <w:r w:rsidRPr="00131EED">
              <w:rPr>
                <w:rFonts w:cs="Calibri"/>
                <w:b/>
                <w:bCs/>
                <w:color w:val="000000"/>
                <w:sz w:val="20"/>
                <w:szCs w:val="20"/>
                <w:lang w:eastAsia="en-US"/>
              </w:rPr>
              <w:t>10.730,30</w:t>
            </w:r>
          </w:p>
        </w:tc>
      </w:tr>
    </w:tbl>
    <w:p w14:paraId="7DBBC182" w14:textId="28ECB2DC" w:rsidR="00CD2547" w:rsidRPr="00131EED" w:rsidRDefault="00CD2547" w:rsidP="00CD2547">
      <w:pPr>
        <w:jc w:val="center"/>
        <w:rPr>
          <w:sz w:val="20"/>
          <w:szCs w:val="20"/>
        </w:rPr>
      </w:pPr>
      <w:r w:rsidRPr="00131EED">
        <w:rPr>
          <w:sz w:val="20"/>
          <w:szCs w:val="20"/>
        </w:rPr>
        <w:t>Fuente: Dirección de Gestión del Ordenamiento Ambiental y Territorial – DGOAT - CAR (2025)</w:t>
      </w:r>
    </w:p>
    <w:p w14:paraId="0846144B" w14:textId="77777777" w:rsidR="0055774B" w:rsidRPr="00131EED" w:rsidRDefault="0055774B" w:rsidP="00CD2547">
      <w:pPr>
        <w:jc w:val="center"/>
        <w:rPr>
          <w:sz w:val="20"/>
          <w:szCs w:val="20"/>
        </w:rPr>
      </w:pPr>
    </w:p>
    <w:p w14:paraId="132C8BEA" w14:textId="4EC7E9E6" w:rsidR="008A326C" w:rsidRPr="00131EED" w:rsidRDefault="00770A91" w:rsidP="003228A4">
      <w:pPr>
        <w:pStyle w:val="Caption"/>
        <w:jc w:val="center"/>
      </w:pPr>
      <w:bookmarkStart w:id="83" w:name="_Ref210669719"/>
      <w:bookmarkStart w:id="84" w:name="_Toc216468923"/>
      <w:r w:rsidRPr="00131EED">
        <w:t xml:space="preserve">Tabla </w:t>
      </w:r>
      <w:bookmarkEnd w:id="83"/>
      <w:r w:rsidRPr="00131EED">
        <w:fldChar w:fldCharType="begin"/>
      </w:r>
      <w:r w:rsidRPr="00131EED">
        <w:instrText>SEQ Tabla \* ARABIC</w:instrText>
      </w:r>
      <w:r w:rsidRPr="00131EED">
        <w:fldChar w:fldCharType="separate"/>
      </w:r>
      <w:r w:rsidR="00CE096F">
        <w:rPr>
          <w:noProof/>
        </w:rPr>
        <w:t>13</w:t>
      </w:r>
      <w:r w:rsidRPr="00131EED">
        <w:fldChar w:fldCharType="end"/>
      </w:r>
      <w:r w:rsidRPr="00131EED">
        <w:t xml:space="preserve"> </w:t>
      </w:r>
      <w:r w:rsidR="008A326C" w:rsidRPr="00131EED">
        <w:t xml:space="preserve">Humedales regionales </w:t>
      </w:r>
      <w:r w:rsidR="00AE1086" w:rsidRPr="00131EED">
        <w:t>incorporados en áreas protegidas e iniciativas de conservación in situ en jurisdicción CAR</w:t>
      </w:r>
      <w:r w:rsidR="008A326C" w:rsidRPr="00131EED">
        <w:t>.</w:t>
      </w:r>
      <w:bookmarkEnd w:id="84"/>
    </w:p>
    <w:tbl>
      <w:tblPr>
        <w:tblStyle w:val="TableGrid"/>
        <w:tblW w:w="0" w:type="auto"/>
        <w:tblLook w:val="04A0" w:firstRow="1" w:lastRow="0" w:firstColumn="1" w:lastColumn="0" w:noHBand="0" w:noVBand="1"/>
      </w:tblPr>
      <w:tblGrid>
        <w:gridCol w:w="3114"/>
        <w:gridCol w:w="2268"/>
        <w:gridCol w:w="1559"/>
        <w:gridCol w:w="1887"/>
      </w:tblGrid>
      <w:tr w:rsidR="008A326C" w:rsidRPr="00131EED" w14:paraId="21C9D944" w14:textId="77777777" w:rsidTr="00053167">
        <w:trPr>
          <w:trHeight w:val="20"/>
          <w:tblHeader/>
        </w:trPr>
        <w:tc>
          <w:tcPr>
            <w:tcW w:w="3114" w:type="dxa"/>
          </w:tcPr>
          <w:p w14:paraId="2F004595" w14:textId="77777777" w:rsidR="008A326C" w:rsidRPr="00131EED" w:rsidRDefault="008A326C" w:rsidP="002D7F18">
            <w:pPr>
              <w:rPr>
                <w:b/>
                <w:color w:val="000000" w:themeColor="text1"/>
                <w:sz w:val="20"/>
                <w:szCs w:val="20"/>
              </w:rPr>
            </w:pPr>
            <w:r w:rsidRPr="00131EED">
              <w:rPr>
                <w:b/>
                <w:color w:val="000000" w:themeColor="text1"/>
                <w:sz w:val="20"/>
                <w:szCs w:val="20"/>
              </w:rPr>
              <w:t>Municipio</w:t>
            </w:r>
          </w:p>
        </w:tc>
        <w:tc>
          <w:tcPr>
            <w:tcW w:w="2268" w:type="dxa"/>
          </w:tcPr>
          <w:p w14:paraId="387A3A19" w14:textId="77777777" w:rsidR="008A326C" w:rsidRPr="00131EED" w:rsidRDefault="008A326C" w:rsidP="002D7F18">
            <w:pPr>
              <w:rPr>
                <w:b/>
                <w:color w:val="000000" w:themeColor="text1"/>
                <w:sz w:val="20"/>
                <w:szCs w:val="20"/>
              </w:rPr>
            </w:pPr>
            <w:r w:rsidRPr="00131EED">
              <w:rPr>
                <w:b/>
                <w:color w:val="000000" w:themeColor="text1"/>
                <w:sz w:val="20"/>
                <w:szCs w:val="20"/>
              </w:rPr>
              <w:t>Humedal</w:t>
            </w:r>
          </w:p>
        </w:tc>
        <w:tc>
          <w:tcPr>
            <w:tcW w:w="1559" w:type="dxa"/>
          </w:tcPr>
          <w:p w14:paraId="4413AA2C" w14:textId="77777777" w:rsidR="008A326C" w:rsidRPr="00131EED" w:rsidRDefault="008A326C" w:rsidP="002D7F18">
            <w:pPr>
              <w:rPr>
                <w:b/>
                <w:color w:val="000000" w:themeColor="text1"/>
                <w:sz w:val="20"/>
                <w:szCs w:val="20"/>
              </w:rPr>
            </w:pPr>
            <w:r w:rsidRPr="00131EED">
              <w:rPr>
                <w:b/>
                <w:color w:val="000000" w:themeColor="text1"/>
                <w:sz w:val="20"/>
                <w:szCs w:val="20"/>
              </w:rPr>
              <w:t>Área (Ha)</w:t>
            </w:r>
          </w:p>
        </w:tc>
        <w:tc>
          <w:tcPr>
            <w:tcW w:w="1887" w:type="dxa"/>
          </w:tcPr>
          <w:p w14:paraId="417432B3" w14:textId="77777777" w:rsidR="008A326C" w:rsidRPr="00131EED" w:rsidRDefault="008A326C" w:rsidP="002D7F18">
            <w:pPr>
              <w:rPr>
                <w:b/>
                <w:color w:val="000000" w:themeColor="text1"/>
                <w:sz w:val="20"/>
                <w:szCs w:val="20"/>
              </w:rPr>
            </w:pPr>
            <w:r w:rsidRPr="00131EED">
              <w:rPr>
                <w:b/>
                <w:color w:val="000000" w:themeColor="text1"/>
                <w:sz w:val="20"/>
                <w:szCs w:val="20"/>
              </w:rPr>
              <w:t>Declaratoria</w:t>
            </w:r>
          </w:p>
        </w:tc>
      </w:tr>
      <w:tr w:rsidR="008A326C" w:rsidRPr="00131EED" w14:paraId="54AF4589" w14:textId="77777777" w:rsidTr="00053167">
        <w:trPr>
          <w:trHeight w:val="20"/>
        </w:trPr>
        <w:tc>
          <w:tcPr>
            <w:tcW w:w="3114" w:type="dxa"/>
          </w:tcPr>
          <w:p w14:paraId="57A0D02E" w14:textId="77777777" w:rsidR="008A326C" w:rsidRPr="00131EED" w:rsidRDefault="008A326C" w:rsidP="002D7F18">
            <w:pPr>
              <w:rPr>
                <w:b/>
                <w:color w:val="000000" w:themeColor="text1"/>
                <w:sz w:val="20"/>
                <w:szCs w:val="20"/>
              </w:rPr>
            </w:pPr>
            <w:r w:rsidRPr="00131EED">
              <w:rPr>
                <w:color w:val="000000" w:themeColor="text1"/>
                <w:sz w:val="20"/>
                <w:szCs w:val="20"/>
              </w:rPr>
              <w:t>Tenjo, Mosquera y Funza</w:t>
            </w:r>
          </w:p>
        </w:tc>
        <w:tc>
          <w:tcPr>
            <w:tcW w:w="2268" w:type="dxa"/>
          </w:tcPr>
          <w:p w14:paraId="4F5F63AE" w14:textId="77777777" w:rsidR="008A326C" w:rsidRPr="00131EED" w:rsidRDefault="008A326C" w:rsidP="002D7F18">
            <w:pPr>
              <w:rPr>
                <w:color w:val="000000" w:themeColor="text1"/>
                <w:sz w:val="20"/>
                <w:szCs w:val="20"/>
              </w:rPr>
            </w:pPr>
            <w:r w:rsidRPr="00131EED">
              <w:rPr>
                <w:color w:val="000000" w:themeColor="text1"/>
                <w:sz w:val="20"/>
                <w:szCs w:val="20"/>
              </w:rPr>
              <w:t xml:space="preserve">DMI de los terrenos comprometidos por los humedales de Gualí, Tres Esquinas y Laguna del Funzhé. </w:t>
            </w:r>
          </w:p>
        </w:tc>
        <w:tc>
          <w:tcPr>
            <w:tcW w:w="1559" w:type="dxa"/>
          </w:tcPr>
          <w:p w14:paraId="197FE46D" w14:textId="77777777" w:rsidR="008A326C" w:rsidRPr="00131EED" w:rsidRDefault="008A326C" w:rsidP="004E4E21">
            <w:pPr>
              <w:jc w:val="right"/>
              <w:rPr>
                <w:color w:val="000000" w:themeColor="text1"/>
                <w:sz w:val="20"/>
                <w:szCs w:val="20"/>
              </w:rPr>
            </w:pPr>
            <w:r w:rsidRPr="00131EED">
              <w:rPr>
                <w:color w:val="000000" w:themeColor="text1"/>
                <w:sz w:val="20"/>
                <w:szCs w:val="20"/>
              </w:rPr>
              <w:t>1196,39</w:t>
            </w:r>
          </w:p>
        </w:tc>
        <w:tc>
          <w:tcPr>
            <w:tcW w:w="1887" w:type="dxa"/>
          </w:tcPr>
          <w:p w14:paraId="5A6AF7BF" w14:textId="77777777" w:rsidR="008A326C" w:rsidRPr="00131EED" w:rsidRDefault="008A326C" w:rsidP="002D7F18">
            <w:pPr>
              <w:rPr>
                <w:color w:val="000000" w:themeColor="text1"/>
                <w:sz w:val="20"/>
                <w:szCs w:val="20"/>
              </w:rPr>
            </w:pPr>
            <w:r w:rsidRPr="00131EED">
              <w:rPr>
                <w:color w:val="000000" w:themeColor="text1"/>
                <w:sz w:val="20"/>
                <w:szCs w:val="20"/>
              </w:rPr>
              <w:t>Acuerdo 01 de 2014</w:t>
            </w:r>
          </w:p>
        </w:tc>
      </w:tr>
      <w:tr w:rsidR="008A326C" w:rsidRPr="00131EED" w14:paraId="7B9C4616" w14:textId="77777777" w:rsidTr="00053167">
        <w:trPr>
          <w:trHeight w:val="20"/>
        </w:trPr>
        <w:tc>
          <w:tcPr>
            <w:tcW w:w="3114" w:type="dxa"/>
          </w:tcPr>
          <w:p w14:paraId="630B68DE" w14:textId="77777777" w:rsidR="008A326C" w:rsidRPr="00131EED" w:rsidRDefault="008A326C" w:rsidP="002D7F18">
            <w:pPr>
              <w:rPr>
                <w:b/>
                <w:color w:val="000000" w:themeColor="text1"/>
                <w:sz w:val="20"/>
                <w:szCs w:val="20"/>
              </w:rPr>
            </w:pPr>
            <w:r w:rsidRPr="00131EED">
              <w:rPr>
                <w:color w:val="000000" w:themeColor="text1"/>
                <w:sz w:val="20"/>
                <w:szCs w:val="20"/>
              </w:rPr>
              <w:t>Soacha</w:t>
            </w:r>
          </w:p>
        </w:tc>
        <w:tc>
          <w:tcPr>
            <w:tcW w:w="2268" w:type="dxa"/>
          </w:tcPr>
          <w:p w14:paraId="47C2ED28" w14:textId="77777777" w:rsidR="008A326C" w:rsidRPr="00131EED" w:rsidRDefault="008A326C" w:rsidP="002D7F18">
            <w:pPr>
              <w:rPr>
                <w:color w:val="000000" w:themeColor="text1"/>
                <w:sz w:val="20"/>
                <w:szCs w:val="20"/>
              </w:rPr>
            </w:pPr>
            <w:r w:rsidRPr="00131EED">
              <w:rPr>
                <w:color w:val="000000" w:themeColor="text1"/>
                <w:sz w:val="20"/>
                <w:szCs w:val="20"/>
              </w:rPr>
              <w:t>Reserva hídrica humedal Tierra Blanca</w:t>
            </w:r>
          </w:p>
        </w:tc>
        <w:tc>
          <w:tcPr>
            <w:tcW w:w="1559" w:type="dxa"/>
          </w:tcPr>
          <w:p w14:paraId="1C10EF93" w14:textId="77777777" w:rsidR="008A326C" w:rsidRPr="00131EED" w:rsidRDefault="008A326C" w:rsidP="004E4E21">
            <w:pPr>
              <w:jc w:val="right"/>
              <w:rPr>
                <w:color w:val="000000" w:themeColor="text1"/>
                <w:sz w:val="20"/>
                <w:szCs w:val="20"/>
              </w:rPr>
            </w:pPr>
            <w:r w:rsidRPr="00131EED">
              <w:rPr>
                <w:color w:val="000000" w:themeColor="text1"/>
                <w:sz w:val="20"/>
                <w:szCs w:val="20"/>
              </w:rPr>
              <w:t>27,3</w:t>
            </w:r>
          </w:p>
        </w:tc>
        <w:tc>
          <w:tcPr>
            <w:tcW w:w="1887" w:type="dxa"/>
          </w:tcPr>
          <w:p w14:paraId="50C39E49" w14:textId="77777777" w:rsidR="008A326C" w:rsidRPr="00131EED" w:rsidRDefault="008A326C" w:rsidP="002D7F18">
            <w:pPr>
              <w:rPr>
                <w:color w:val="000000" w:themeColor="text1"/>
                <w:sz w:val="20"/>
                <w:szCs w:val="20"/>
              </w:rPr>
            </w:pPr>
            <w:r w:rsidRPr="00131EED">
              <w:rPr>
                <w:color w:val="000000" w:themeColor="text1"/>
                <w:sz w:val="20"/>
                <w:szCs w:val="20"/>
              </w:rPr>
              <w:t>Acuerdo 33 de 2006</w:t>
            </w:r>
          </w:p>
        </w:tc>
      </w:tr>
      <w:tr w:rsidR="008A326C" w:rsidRPr="00131EED" w14:paraId="3EDDD4C9" w14:textId="77777777" w:rsidTr="00053167">
        <w:trPr>
          <w:trHeight w:val="20"/>
        </w:trPr>
        <w:tc>
          <w:tcPr>
            <w:tcW w:w="3114" w:type="dxa"/>
          </w:tcPr>
          <w:p w14:paraId="3539A597" w14:textId="7A926567" w:rsidR="008A326C" w:rsidRPr="00131EED" w:rsidRDefault="008A326C" w:rsidP="002D7F18">
            <w:pPr>
              <w:rPr>
                <w:b/>
                <w:color w:val="000000" w:themeColor="text1"/>
                <w:sz w:val="20"/>
                <w:szCs w:val="20"/>
              </w:rPr>
            </w:pPr>
            <w:r w:rsidRPr="00131EED">
              <w:rPr>
                <w:color w:val="000000" w:themeColor="text1"/>
                <w:sz w:val="20"/>
                <w:szCs w:val="20"/>
              </w:rPr>
              <w:t>So</w:t>
            </w:r>
            <w:r w:rsidR="00AE1086" w:rsidRPr="00131EED">
              <w:rPr>
                <w:color w:val="000000" w:themeColor="text1"/>
                <w:sz w:val="20"/>
                <w:szCs w:val="20"/>
              </w:rPr>
              <w:t>a</w:t>
            </w:r>
            <w:r w:rsidRPr="00131EED">
              <w:rPr>
                <w:color w:val="000000" w:themeColor="text1"/>
                <w:sz w:val="20"/>
                <w:szCs w:val="20"/>
              </w:rPr>
              <w:t>cha</w:t>
            </w:r>
          </w:p>
        </w:tc>
        <w:tc>
          <w:tcPr>
            <w:tcW w:w="2268" w:type="dxa"/>
          </w:tcPr>
          <w:p w14:paraId="7F926566" w14:textId="77777777" w:rsidR="008A326C" w:rsidRPr="00131EED" w:rsidRDefault="008A326C" w:rsidP="002D7F18">
            <w:pPr>
              <w:rPr>
                <w:color w:val="000000" w:themeColor="text1"/>
                <w:sz w:val="20"/>
                <w:szCs w:val="20"/>
              </w:rPr>
            </w:pPr>
            <w:r w:rsidRPr="00131EED">
              <w:rPr>
                <w:color w:val="000000" w:themeColor="text1"/>
                <w:sz w:val="20"/>
                <w:szCs w:val="20"/>
              </w:rPr>
              <w:t>Reserva hídrica humedal Neuta</w:t>
            </w:r>
          </w:p>
        </w:tc>
        <w:tc>
          <w:tcPr>
            <w:tcW w:w="1559" w:type="dxa"/>
          </w:tcPr>
          <w:p w14:paraId="2E48E833" w14:textId="77777777" w:rsidR="008A326C" w:rsidRPr="00131EED" w:rsidRDefault="008A326C" w:rsidP="004E4E21">
            <w:pPr>
              <w:jc w:val="right"/>
              <w:rPr>
                <w:color w:val="000000" w:themeColor="text1"/>
                <w:sz w:val="20"/>
                <w:szCs w:val="20"/>
              </w:rPr>
            </w:pPr>
            <w:r w:rsidRPr="00131EED">
              <w:rPr>
                <w:color w:val="000000" w:themeColor="text1"/>
                <w:sz w:val="20"/>
                <w:szCs w:val="20"/>
              </w:rPr>
              <w:t>40,15</w:t>
            </w:r>
          </w:p>
        </w:tc>
        <w:tc>
          <w:tcPr>
            <w:tcW w:w="1887" w:type="dxa"/>
          </w:tcPr>
          <w:p w14:paraId="3E00C6F7" w14:textId="77777777" w:rsidR="008A326C" w:rsidRPr="00131EED" w:rsidRDefault="008A326C" w:rsidP="002D7F18">
            <w:pPr>
              <w:rPr>
                <w:color w:val="000000" w:themeColor="text1"/>
                <w:sz w:val="20"/>
                <w:szCs w:val="20"/>
              </w:rPr>
            </w:pPr>
            <w:r w:rsidRPr="00131EED">
              <w:rPr>
                <w:color w:val="000000" w:themeColor="text1"/>
                <w:sz w:val="20"/>
                <w:szCs w:val="20"/>
              </w:rPr>
              <w:t>Acuerdo 37 de 2006</w:t>
            </w:r>
          </w:p>
        </w:tc>
      </w:tr>
      <w:tr w:rsidR="008A326C" w:rsidRPr="00131EED" w14:paraId="2A8EC8AA" w14:textId="77777777" w:rsidTr="00053167">
        <w:trPr>
          <w:trHeight w:val="20"/>
        </w:trPr>
        <w:tc>
          <w:tcPr>
            <w:tcW w:w="3114" w:type="dxa"/>
          </w:tcPr>
          <w:p w14:paraId="5F3901CD" w14:textId="77777777" w:rsidR="008A326C" w:rsidRPr="00131EED" w:rsidRDefault="008A326C" w:rsidP="002D7F18">
            <w:pPr>
              <w:rPr>
                <w:b/>
                <w:color w:val="000000" w:themeColor="text1"/>
                <w:sz w:val="20"/>
                <w:szCs w:val="20"/>
              </w:rPr>
            </w:pPr>
            <w:r w:rsidRPr="00131EED">
              <w:rPr>
                <w:color w:val="000000" w:themeColor="text1"/>
                <w:sz w:val="20"/>
                <w:szCs w:val="20"/>
              </w:rPr>
              <w:t>Ricaurte</w:t>
            </w:r>
          </w:p>
        </w:tc>
        <w:tc>
          <w:tcPr>
            <w:tcW w:w="2268" w:type="dxa"/>
          </w:tcPr>
          <w:p w14:paraId="29070D0F" w14:textId="77777777" w:rsidR="008A326C" w:rsidRPr="00131EED" w:rsidRDefault="008A326C" w:rsidP="002D7F18">
            <w:pPr>
              <w:rPr>
                <w:color w:val="000000" w:themeColor="text1"/>
                <w:sz w:val="20"/>
                <w:szCs w:val="20"/>
              </w:rPr>
            </w:pPr>
            <w:r w:rsidRPr="00131EED">
              <w:rPr>
                <w:color w:val="000000" w:themeColor="text1"/>
                <w:sz w:val="20"/>
                <w:szCs w:val="20"/>
              </w:rPr>
              <w:t>Reserva hídrica humedal El Yulo</w:t>
            </w:r>
          </w:p>
        </w:tc>
        <w:tc>
          <w:tcPr>
            <w:tcW w:w="1559" w:type="dxa"/>
          </w:tcPr>
          <w:p w14:paraId="0E8CCE65" w14:textId="77777777" w:rsidR="008A326C" w:rsidRPr="00131EED" w:rsidRDefault="008A326C" w:rsidP="004E4E21">
            <w:pPr>
              <w:jc w:val="right"/>
              <w:rPr>
                <w:color w:val="000000" w:themeColor="text1"/>
                <w:sz w:val="20"/>
                <w:szCs w:val="20"/>
              </w:rPr>
            </w:pPr>
            <w:r w:rsidRPr="00131EED">
              <w:rPr>
                <w:color w:val="000000" w:themeColor="text1"/>
                <w:sz w:val="20"/>
                <w:szCs w:val="20"/>
              </w:rPr>
              <w:t>143,1</w:t>
            </w:r>
          </w:p>
        </w:tc>
        <w:tc>
          <w:tcPr>
            <w:tcW w:w="1887" w:type="dxa"/>
          </w:tcPr>
          <w:p w14:paraId="4AD6B947" w14:textId="77777777" w:rsidR="008A326C" w:rsidRPr="00131EED" w:rsidRDefault="008A326C" w:rsidP="002D7F18">
            <w:pPr>
              <w:rPr>
                <w:color w:val="000000" w:themeColor="text1"/>
                <w:sz w:val="20"/>
                <w:szCs w:val="20"/>
              </w:rPr>
            </w:pPr>
            <w:r w:rsidRPr="00131EED">
              <w:rPr>
                <w:color w:val="000000" w:themeColor="text1"/>
                <w:sz w:val="20"/>
                <w:szCs w:val="20"/>
              </w:rPr>
              <w:t>Acuerdo 39 de 2006</w:t>
            </w:r>
          </w:p>
        </w:tc>
      </w:tr>
      <w:tr w:rsidR="008A326C" w:rsidRPr="00131EED" w14:paraId="4033237A" w14:textId="77777777" w:rsidTr="00053167">
        <w:trPr>
          <w:trHeight w:val="20"/>
        </w:trPr>
        <w:tc>
          <w:tcPr>
            <w:tcW w:w="3114" w:type="dxa"/>
          </w:tcPr>
          <w:p w14:paraId="42B4DC80" w14:textId="77777777" w:rsidR="008A326C" w:rsidRPr="00131EED" w:rsidRDefault="008A326C" w:rsidP="002D7F18">
            <w:pPr>
              <w:rPr>
                <w:b/>
                <w:color w:val="000000" w:themeColor="text1"/>
                <w:sz w:val="20"/>
                <w:szCs w:val="20"/>
              </w:rPr>
            </w:pPr>
            <w:r w:rsidRPr="00131EED">
              <w:rPr>
                <w:color w:val="000000" w:themeColor="text1"/>
                <w:sz w:val="20"/>
                <w:szCs w:val="20"/>
              </w:rPr>
              <w:t>Zipaquirá</w:t>
            </w:r>
          </w:p>
        </w:tc>
        <w:tc>
          <w:tcPr>
            <w:tcW w:w="2268" w:type="dxa"/>
          </w:tcPr>
          <w:p w14:paraId="2F7C03ED" w14:textId="77777777" w:rsidR="008A326C" w:rsidRPr="00131EED" w:rsidRDefault="008A326C" w:rsidP="002D7F18">
            <w:pPr>
              <w:rPr>
                <w:color w:val="000000" w:themeColor="text1"/>
                <w:sz w:val="20"/>
                <w:szCs w:val="20"/>
              </w:rPr>
            </w:pPr>
            <w:r w:rsidRPr="00131EED">
              <w:rPr>
                <w:color w:val="000000" w:themeColor="text1"/>
                <w:sz w:val="20"/>
                <w:szCs w:val="20"/>
              </w:rPr>
              <w:t xml:space="preserve">Pantano Redondo y Nacimiento del Río Susagua </w:t>
            </w:r>
          </w:p>
        </w:tc>
        <w:tc>
          <w:tcPr>
            <w:tcW w:w="1559" w:type="dxa"/>
          </w:tcPr>
          <w:p w14:paraId="43AF6461" w14:textId="77777777" w:rsidR="008A326C" w:rsidRPr="00131EED" w:rsidRDefault="008A326C" w:rsidP="004E4E21">
            <w:pPr>
              <w:jc w:val="right"/>
              <w:rPr>
                <w:color w:val="000000" w:themeColor="text1"/>
                <w:sz w:val="20"/>
                <w:szCs w:val="20"/>
              </w:rPr>
            </w:pPr>
            <w:r w:rsidRPr="00131EED">
              <w:rPr>
                <w:color w:val="000000" w:themeColor="text1"/>
                <w:sz w:val="20"/>
                <w:szCs w:val="20"/>
              </w:rPr>
              <w:t>1.361,20</w:t>
            </w:r>
          </w:p>
        </w:tc>
        <w:tc>
          <w:tcPr>
            <w:tcW w:w="1887" w:type="dxa"/>
          </w:tcPr>
          <w:p w14:paraId="3AAAA971" w14:textId="77777777" w:rsidR="008A326C" w:rsidRPr="00131EED" w:rsidRDefault="008A326C" w:rsidP="002D7F18">
            <w:pPr>
              <w:rPr>
                <w:color w:val="000000" w:themeColor="text1"/>
                <w:sz w:val="20"/>
                <w:szCs w:val="20"/>
              </w:rPr>
            </w:pPr>
            <w:r w:rsidRPr="00131EED">
              <w:rPr>
                <w:color w:val="000000" w:themeColor="text1"/>
                <w:sz w:val="20"/>
                <w:szCs w:val="20"/>
              </w:rPr>
              <w:t>Acuerdo 17 de 1992 y aprobado por resolución DNP 24 de 1993</w:t>
            </w:r>
          </w:p>
        </w:tc>
      </w:tr>
      <w:tr w:rsidR="008A326C" w:rsidRPr="00131EED" w14:paraId="27E28D17" w14:textId="77777777" w:rsidTr="00053167">
        <w:trPr>
          <w:trHeight w:val="20"/>
        </w:trPr>
        <w:tc>
          <w:tcPr>
            <w:tcW w:w="3114" w:type="dxa"/>
          </w:tcPr>
          <w:p w14:paraId="04E4C77B" w14:textId="77777777" w:rsidR="008A326C" w:rsidRPr="00131EED" w:rsidRDefault="008A326C" w:rsidP="002D7F18">
            <w:pPr>
              <w:rPr>
                <w:b/>
                <w:color w:val="000000" w:themeColor="text1"/>
                <w:sz w:val="20"/>
                <w:szCs w:val="20"/>
              </w:rPr>
            </w:pPr>
            <w:r w:rsidRPr="00131EED">
              <w:rPr>
                <w:color w:val="000000" w:themeColor="text1"/>
                <w:sz w:val="20"/>
                <w:szCs w:val="20"/>
              </w:rPr>
              <w:t>Villapinzón</w:t>
            </w:r>
          </w:p>
        </w:tc>
        <w:tc>
          <w:tcPr>
            <w:tcW w:w="2268" w:type="dxa"/>
          </w:tcPr>
          <w:p w14:paraId="57C56A16" w14:textId="77777777" w:rsidR="008A326C" w:rsidRPr="00131EED" w:rsidRDefault="008A326C" w:rsidP="002D7F18">
            <w:pPr>
              <w:rPr>
                <w:color w:val="000000" w:themeColor="text1"/>
                <w:sz w:val="20"/>
                <w:szCs w:val="20"/>
              </w:rPr>
            </w:pPr>
            <w:r w:rsidRPr="00131EED">
              <w:rPr>
                <w:color w:val="000000" w:themeColor="text1"/>
                <w:sz w:val="20"/>
                <w:szCs w:val="20"/>
              </w:rPr>
              <w:t>Nacimiento del Río Bogotá</w:t>
            </w:r>
          </w:p>
        </w:tc>
        <w:tc>
          <w:tcPr>
            <w:tcW w:w="1559" w:type="dxa"/>
          </w:tcPr>
          <w:p w14:paraId="4B83B4DE" w14:textId="77777777" w:rsidR="008A326C" w:rsidRPr="00131EED" w:rsidRDefault="008A326C" w:rsidP="004E4E21">
            <w:pPr>
              <w:jc w:val="right"/>
              <w:rPr>
                <w:color w:val="000000" w:themeColor="text1"/>
                <w:sz w:val="20"/>
                <w:szCs w:val="20"/>
              </w:rPr>
            </w:pPr>
            <w:r w:rsidRPr="00131EED">
              <w:rPr>
                <w:color w:val="000000" w:themeColor="text1"/>
                <w:sz w:val="20"/>
                <w:szCs w:val="20"/>
              </w:rPr>
              <w:t>1.128,00</w:t>
            </w:r>
          </w:p>
        </w:tc>
        <w:tc>
          <w:tcPr>
            <w:tcW w:w="1887" w:type="dxa"/>
          </w:tcPr>
          <w:p w14:paraId="16BE918D" w14:textId="77777777" w:rsidR="008A326C" w:rsidRPr="00131EED" w:rsidRDefault="008A326C" w:rsidP="002D7F18">
            <w:pPr>
              <w:rPr>
                <w:color w:val="000000" w:themeColor="text1"/>
                <w:sz w:val="20"/>
                <w:szCs w:val="20"/>
              </w:rPr>
            </w:pPr>
            <w:r w:rsidRPr="00131EED">
              <w:rPr>
                <w:color w:val="000000" w:themeColor="text1"/>
                <w:sz w:val="20"/>
                <w:szCs w:val="20"/>
              </w:rPr>
              <w:t xml:space="preserve">Acuerdo 10 de 1982 y aprobado por resolución DNP 142 de 1982 </w:t>
            </w:r>
          </w:p>
        </w:tc>
      </w:tr>
      <w:tr w:rsidR="008A326C" w:rsidRPr="00131EED" w14:paraId="38AF3580" w14:textId="77777777" w:rsidTr="00053167">
        <w:trPr>
          <w:trHeight w:val="20"/>
        </w:trPr>
        <w:tc>
          <w:tcPr>
            <w:tcW w:w="3114" w:type="dxa"/>
          </w:tcPr>
          <w:p w14:paraId="394B6E0B" w14:textId="77777777" w:rsidR="008A326C" w:rsidRPr="00131EED" w:rsidRDefault="008A326C" w:rsidP="002D7F18">
            <w:pPr>
              <w:rPr>
                <w:b/>
                <w:color w:val="000000" w:themeColor="text1"/>
                <w:sz w:val="20"/>
                <w:szCs w:val="20"/>
              </w:rPr>
            </w:pPr>
            <w:r w:rsidRPr="00131EED">
              <w:rPr>
                <w:color w:val="000000" w:themeColor="text1"/>
                <w:sz w:val="20"/>
                <w:szCs w:val="20"/>
              </w:rPr>
              <w:t>Tena</w:t>
            </w:r>
          </w:p>
        </w:tc>
        <w:tc>
          <w:tcPr>
            <w:tcW w:w="2268" w:type="dxa"/>
          </w:tcPr>
          <w:p w14:paraId="1DC968CD" w14:textId="77777777" w:rsidR="008A326C" w:rsidRPr="00131EED" w:rsidRDefault="008A326C" w:rsidP="002D7F18">
            <w:pPr>
              <w:rPr>
                <w:color w:val="000000" w:themeColor="text1"/>
                <w:sz w:val="20"/>
                <w:szCs w:val="20"/>
              </w:rPr>
            </w:pPr>
            <w:r w:rsidRPr="00131EED">
              <w:rPr>
                <w:color w:val="000000" w:themeColor="text1"/>
                <w:sz w:val="20"/>
                <w:szCs w:val="20"/>
              </w:rPr>
              <w:t>Laguna de Pedro Palo</w:t>
            </w:r>
          </w:p>
        </w:tc>
        <w:tc>
          <w:tcPr>
            <w:tcW w:w="1559" w:type="dxa"/>
          </w:tcPr>
          <w:p w14:paraId="52C63AEA" w14:textId="77777777" w:rsidR="008A326C" w:rsidRPr="00131EED" w:rsidRDefault="008A326C" w:rsidP="004E4E21">
            <w:pPr>
              <w:jc w:val="right"/>
              <w:rPr>
                <w:color w:val="000000" w:themeColor="text1"/>
                <w:sz w:val="20"/>
                <w:szCs w:val="20"/>
              </w:rPr>
            </w:pPr>
            <w:r w:rsidRPr="00131EED">
              <w:rPr>
                <w:color w:val="000000" w:themeColor="text1"/>
                <w:sz w:val="20"/>
                <w:szCs w:val="20"/>
              </w:rPr>
              <w:t>122,5</w:t>
            </w:r>
          </w:p>
        </w:tc>
        <w:tc>
          <w:tcPr>
            <w:tcW w:w="1887" w:type="dxa"/>
          </w:tcPr>
          <w:p w14:paraId="19CF16ED" w14:textId="77777777" w:rsidR="008A326C" w:rsidRPr="00131EED" w:rsidRDefault="008A326C" w:rsidP="002D7F18">
            <w:pPr>
              <w:rPr>
                <w:color w:val="000000" w:themeColor="text1"/>
                <w:sz w:val="20"/>
                <w:szCs w:val="20"/>
              </w:rPr>
            </w:pPr>
            <w:r w:rsidRPr="00131EED">
              <w:rPr>
                <w:color w:val="000000" w:themeColor="text1"/>
                <w:sz w:val="20"/>
                <w:szCs w:val="20"/>
              </w:rPr>
              <w:t>Acuerdo 38 de 1989 y aprobado por resolución DNP 38 de 1990</w:t>
            </w:r>
          </w:p>
        </w:tc>
      </w:tr>
      <w:tr w:rsidR="008A326C" w:rsidRPr="00131EED" w14:paraId="776C3F2F" w14:textId="77777777" w:rsidTr="00053167">
        <w:trPr>
          <w:trHeight w:val="20"/>
        </w:trPr>
        <w:tc>
          <w:tcPr>
            <w:tcW w:w="3114" w:type="dxa"/>
            <w:vMerge w:val="restart"/>
          </w:tcPr>
          <w:p w14:paraId="34A43A34" w14:textId="77777777" w:rsidR="008A326C" w:rsidRPr="00131EED" w:rsidRDefault="008A326C" w:rsidP="002D7F18">
            <w:pPr>
              <w:rPr>
                <w:b/>
                <w:color w:val="000000" w:themeColor="text1"/>
                <w:sz w:val="20"/>
                <w:szCs w:val="20"/>
              </w:rPr>
            </w:pPr>
            <w:r w:rsidRPr="00131EED">
              <w:rPr>
                <w:color w:val="000000" w:themeColor="text1"/>
                <w:sz w:val="20"/>
                <w:szCs w:val="20"/>
              </w:rPr>
              <w:t>Sesquilé y Guatavita</w:t>
            </w:r>
          </w:p>
        </w:tc>
        <w:tc>
          <w:tcPr>
            <w:tcW w:w="2268" w:type="dxa"/>
            <w:vMerge w:val="restart"/>
          </w:tcPr>
          <w:p w14:paraId="1B59BA67" w14:textId="77777777" w:rsidR="008A326C" w:rsidRPr="00131EED" w:rsidRDefault="008A326C" w:rsidP="002D7F18">
            <w:pPr>
              <w:rPr>
                <w:color w:val="000000" w:themeColor="text1"/>
                <w:sz w:val="20"/>
                <w:szCs w:val="20"/>
              </w:rPr>
            </w:pPr>
            <w:r w:rsidRPr="00131EED">
              <w:rPr>
                <w:color w:val="000000" w:themeColor="text1"/>
                <w:sz w:val="20"/>
                <w:szCs w:val="20"/>
              </w:rPr>
              <w:t>Laguna del Cacique Guatavita y Cuchilla de Peña Blanca</w:t>
            </w:r>
          </w:p>
        </w:tc>
        <w:tc>
          <w:tcPr>
            <w:tcW w:w="1559" w:type="dxa"/>
            <w:vMerge w:val="restart"/>
          </w:tcPr>
          <w:p w14:paraId="5C50CF44" w14:textId="77777777" w:rsidR="008A326C" w:rsidRPr="00131EED" w:rsidRDefault="008A326C" w:rsidP="004E4E21">
            <w:pPr>
              <w:jc w:val="right"/>
              <w:rPr>
                <w:color w:val="000000" w:themeColor="text1"/>
                <w:sz w:val="20"/>
                <w:szCs w:val="20"/>
              </w:rPr>
            </w:pPr>
            <w:r w:rsidRPr="00131EED">
              <w:rPr>
                <w:color w:val="000000" w:themeColor="text1"/>
                <w:sz w:val="20"/>
                <w:szCs w:val="20"/>
              </w:rPr>
              <w:t>613,02</w:t>
            </w:r>
          </w:p>
        </w:tc>
        <w:tc>
          <w:tcPr>
            <w:tcW w:w="1887" w:type="dxa"/>
          </w:tcPr>
          <w:p w14:paraId="232C5958" w14:textId="77777777" w:rsidR="008A326C" w:rsidRPr="00131EED" w:rsidRDefault="008A326C" w:rsidP="002D7F18">
            <w:pPr>
              <w:rPr>
                <w:color w:val="000000" w:themeColor="text1"/>
                <w:sz w:val="20"/>
                <w:szCs w:val="20"/>
              </w:rPr>
            </w:pPr>
            <w:r w:rsidRPr="00131EED">
              <w:rPr>
                <w:color w:val="000000" w:themeColor="text1"/>
                <w:sz w:val="20"/>
                <w:szCs w:val="20"/>
              </w:rPr>
              <w:t>Resolución DNP 174 de 1993</w:t>
            </w:r>
          </w:p>
        </w:tc>
      </w:tr>
      <w:tr w:rsidR="008A326C" w:rsidRPr="00131EED" w14:paraId="296F7420" w14:textId="77777777" w:rsidTr="00053167">
        <w:trPr>
          <w:trHeight w:val="20"/>
        </w:trPr>
        <w:tc>
          <w:tcPr>
            <w:tcW w:w="3114" w:type="dxa"/>
            <w:vMerge/>
          </w:tcPr>
          <w:p w14:paraId="0EC0F373" w14:textId="77777777" w:rsidR="008A326C" w:rsidRPr="00131EED" w:rsidRDefault="008A326C" w:rsidP="002D7F18">
            <w:pPr>
              <w:rPr>
                <w:b/>
                <w:color w:val="000000" w:themeColor="text1"/>
                <w:sz w:val="20"/>
                <w:szCs w:val="20"/>
              </w:rPr>
            </w:pPr>
          </w:p>
        </w:tc>
        <w:tc>
          <w:tcPr>
            <w:tcW w:w="2268" w:type="dxa"/>
            <w:vMerge/>
          </w:tcPr>
          <w:p w14:paraId="1B48428B" w14:textId="77777777" w:rsidR="008A326C" w:rsidRPr="00131EED" w:rsidRDefault="008A326C" w:rsidP="002D7F18">
            <w:pPr>
              <w:rPr>
                <w:color w:val="000000" w:themeColor="text1"/>
                <w:sz w:val="20"/>
                <w:szCs w:val="20"/>
              </w:rPr>
            </w:pPr>
          </w:p>
        </w:tc>
        <w:tc>
          <w:tcPr>
            <w:tcW w:w="1559" w:type="dxa"/>
            <w:vMerge/>
          </w:tcPr>
          <w:p w14:paraId="3E2D9813" w14:textId="77777777" w:rsidR="008A326C" w:rsidRPr="00131EED" w:rsidRDefault="008A326C" w:rsidP="004E4E21">
            <w:pPr>
              <w:jc w:val="right"/>
              <w:rPr>
                <w:color w:val="000000" w:themeColor="text1"/>
                <w:sz w:val="20"/>
                <w:szCs w:val="20"/>
              </w:rPr>
            </w:pPr>
          </w:p>
        </w:tc>
        <w:tc>
          <w:tcPr>
            <w:tcW w:w="1887" w:type="dxa"/>
          </w:tcPr>
          <w:p w14:paraId="762FF8FA" w14:textId="77777777" w:rsidR="008A326C" w:rsidRPr="00131EED" w:rsidRDefault="008A326C" w:rsidP="002D7F18">
            <w:pPr>
              <w:rPr>
                <w:color w:val="000000" w:themeColor="text1"/>
                <w:sz w:val="20"/>
                <w:szCs w:val="20"/>
              </w:rPr>
            </w:pPr>
            <w:r w:rsidRPr="00131EED">
              <w:rPr>
                <w:color w:val="000000" w:themeColor="text1"/>
                <w:sz w:val="20"/>
                <w:szCs w:val="20"/>
              </w:rPr>
              <w:t>Acuerdo 4 de 1993</w:t>
            </w:r>
          </w:p>
        </w:tc>
      </w:tr>
      <w:tr w:rsidR="008A326C" w:rsidRPr="00131EED" w14:paraId="5B57F225" w14:textId="77777777" w:rsidTr="00053167">
        <w:trPr>
          <w:trHeight w:val="20"/>
        </w:trPr>
        <w:tc>
          <w:tcPr>
            <w:tcW w:w="3114" w:type="dxa"/>
            <w:vMerge/>
          </w:tcPr>
          <w:p w14:paraId="33C6B948" w14:textId="77777777" w:rsidR="008A326C" w:rsidRPr="00131EED" w:rsidRDefault="008A326C" w:rsidP="002D7F18">
            <w:pPr>
              <w:rPr>
                <w:b/>
                <w:color w:val="000000" w:themeColor="text1"/>
                <w:sz w:val="20"/>
                <w:szCs w:val="20"/>
              </w:rPr>
            </w:pPr>
          </w:p>
        </w:tc>
        <w:tc>
          <w:tcPr>
            <w:tcW w:w="2268" w:type="dxa"/>
            <w:vMerge/>
          </w:tcPr>
          <w:p w14:paraId="69BEC7D6" w14:textId="77777777" w:rsidR="008A326C" w:rsidRPr="00131EED" w:rsidRDefault="008A326C" w:rsidP="002D7F18">
            <w:pPr>
              <w:rPr>
                <w:color w:val="000000" w:themeColor="text1"/>
                <w:sz w:val="20"/>
                <w:szCs w:val="20"/>
              </w:rPr>
            </w:pPr>
          </w:p>
        </w:tc>
        <w:tc>
          <w:tcPr>
            <w:tcW w:w="1559" w:type="dxa"/>
            <w:vMerge/>
          </w:tcPr>
          <w:p w14:paraId="57053DEC" w14:textId="77777777" w:rsidR="008A326C" w:rsidRPr="00131EED" w:rsidRDefault="008A326C" w:rsidP="004E4E21">
            <w:pPr>
              <w:jc w:val="right"/>
              <w:rPr>
                <w:color w:val="000000" w:themeColor="text1"/>
                <w:sz w:val="20"/>
                <w:szCs w:val="20"/>
              </w:rPr>
            </w:pPr>
          </w:p>
        </w:tc>
        <w:tc>
          <w:tcPr>
            <w:tcW w:w="1887" w:type="dxa"/>
          </w:tcPr>
          <w:p w14:paraId="7F257720" w14:textId="77777777" w:rsidR="008A326C" w:rsidRPr="00131EED" w:rsidRDefault="008A326C" w:rsidP="002D7F18">
            <w:pPr>
              <w:rPr>
                <w:color w:val="000000" w:themeColor="text1"/>
                <w:sz w:val="20"/>
                <w:szCs w:val="20"/>
              </w:rPr>
            </w:pPr>
            <w:r w:rsidRPr="00131EED">
              <w:rPr>
                <w:color w:val="000000" w:themeColor="text1"/>
                <w:sz w:val="20"/>
                <w:szCs w:val="20"/>
              </w:rPr>
              <w:t>Acuerdo 21 de 2004</w:t>
            </w:r>
          </w:p>
        </w:tc>
      </w:tr>
      <w:tr w:rsidR="008A326C" w:rsidRPr="00131EED" w14:paraId="0356AC77" w14:textId="77777777" w:rsidTr="00053167">
        <w:trPr>
          <w:trHeight w:val="20"/>
        </w:trPr>
        <w:tc>
          <w:tcPr>
            <w:tcW w:w="3114" w:type="dxa"/>
          </w:tcPr>
          <w:p w14:paraId="57F16875" w14:textId="77777777" w:rsidR="008A326C" w:rsidRPr="00131EED" w:rsidRDefault="008A326C" w:rsidP="002D7F18">
            <w:pPr>
              <w:rPr>
                <w:b/>
                <w:color w:val="000000" w:themeColor="text1"/>
                <w:sz w:val="20"/>
                <w:szCs w:val="20"/>
              </w:rPr>
            </w:pPr>
            <w:r w:rsidRPr="00131EED">
              <w:rPr>
                <w:color w:val="000000" w:themeColor="text1"/>
                <w:sz w:val="20"/>
                <w:szCs w:val="20"/>
              </w:rPr>
              <w:t>Madrid, Mosquera</w:t>
            </w:r>
          </w:p>
        </w:tc>
        <w:tc>
          <w:tcPr>
            <w:tcW w:w="2268" w:type="dxa"/>
          </w:tcPr>
          <w:p w14:paraId="6341235F" w14:textId="77777777" w:rsidR="008A326C" w:rsidRPr="00131EED" w:rsidRDefault="008A326C" w:rsidP="002D7F18">
            <w:pPr>
              <w:rPr>
                <w:color w:val="000000" w:themeColor="text1"/>
                <w:sz w:val="20"/>
                <w:szCs w:val="20"/>
              </w:rPr>
            </w:pPr>
            <w:r w:rsidRPr="00131EED">
              <w:rPr>
                <w:color w:val="000000" w:themeColor="text1"/>
                <w:sz w:val="20"/>
                <w:szCs w:val="20"/>
              </w:rPr>
              <w:t>Reserva hídrica laguna La Herrera</w:t>
            </w:r>
          </w:p>
        </w:tc>
        <w:tc>
          <w:tcPr>
            <w:tcW w:w="1559" w:type="dxa"/>
          </w:tcPr>
          <w:p w14:paraId="54F6EFAB" w14:textId="77777777" w:rsidR="008A326C" w:rsidRPr="00131EED" w:rsidRDefault="008A326C" w:rsidP="004E4E21">
            <w:pPr>
              <w:jc w:val="right"/>
              <w:rPr>
                <w:color w:val="000000" w:themeColor="text1"/>
                <w:sz w:val="20"/>
                <w:szCs w:val="20"/>
              </w:rPr>
            </w:pPr>
            <w:r w:rsidRPr="00131EED">
              <w:rPr>
                <w:color w:val="000000" w:themeColor="text1"/>
                <w:sz w:val="20"/>
                <w:szCs w:val="20"/>
              </w:rPr>
              <w:t>325,79</w:t>
            </w:r>
          </w:p>
        </w:tc>
        <w:tc>
          <w:tcPr>
            <w:tcW w:w="1887" w:type="dxa"/>
          </w:tcPr>
          <w:p w14:paraId="20554C23" w14:textId="77777777" w:rsidR="008A326C" w:rsidRPr="00131EED" w:rsidRDefault="008A326C" w:rsidP="002D7F18">
            <w:pPr>
              <w:rPr>
                <w:color w:val="000000" w:themeColor="text1"/>
                <w:sz w:val="20"/>
                <w:szCs w:val="20"/>
              </w:rPr>
            </w:pPr>
            <w:r w:rsidRPr="00131EED">
              <w:rPr>
                <w:color w:val="000000" w:themeColor="text1"/>
                <w:sz w:val="20"/>
                <w:szCs w:val="20"/>
              </w:rPr>
              <w:t>Acuerdo 23 de 2006</w:t>
            </w:r>
          </w:p>
        </w:tc>
      </w:tr>
      <w:tr w:rsidR="008A326C" w:rsidRPr="00131EED" w14:paraId="5C992A92" w14:textId="77777777" w:rsidTr="00053167">
        <w:trPr>
          <w:trHeight w:val="20"/>
        </w:trPr>
        <w:tc>
          <w:tcPr>
            <w:tcW w:w="3114" w:type="dxa"/>
          </w:tcPr>
          <w:p w14:paraId="2F230B3A" w14:textId="77777777" w:rsidR="008A326C" w:rsidRPr="00131EED" w:rsidRDefault="008A326C" w:rsidP="002D7F18">
            <w:pPr>
              <w:rPr>
                <w:b/>
                <w:color w:val="000000" w:themeColor="text1"/>
                <w:sz w:val="20"/>
                <w:szCs w:val="20"/>
              </w:rPr>
            </w:pPr>
            <w:r w:rsidRPr="00131EED">
              <w:rPr>
                <w:color w:val="000000" w:themeColor="text1"/>
                <w:sz w:val="20"/>
                <w:szCs w:val="20"/>
              </w:rPr>
              <w:t>Bojacá</w:t>
            </w:r>
          </w:p>
        </w:tc>
        <w:tc>
          <w:tcPr>
            <w:tcW w:w="2268" w:type="dxa"/>
          </w:tcPr>
          <w:p w14:paraId="6E727A2C" w14:textId="77777777" w:rsidR="008A326C" w:rsidRPr="00131EED" w:rsidRDefault="008A326C" w:rsidP="002D7F18">
            <w:pPr>
              <w:rPr>
                <w:color w:val="000000" w:themeColor="text1"/>
                <w:sz w:val="20"/>
                <w:szCs w:val="20"/>
              </w:rPr>
            </w:pPr>
            <w:r w:rsidRPr="00131EED">
              <w:rPr>
                <w:color w:val="000000" w:themeColor="text1"/>
                <w:sz w:val="20"/>
                <w:szCs w:val="20"/>
              </w:rPr>
              <w:t>Reserva hídrica humedal El Juncal</w:t>
            </w:r>
          </w:p>
        </w:tc>
        <w:tc>
          <w:tcPr>
            <w:tcW w:w="1559" w:type="dxa"/>
          </w:tcPr>
          <w:p w14:paraId="38C5DC7A" w14:textId="77777777" w:rsidR="008A326C" w:rsidRPr="00131EED" w:rsidRDefault="008A326C" w:rsidP="004E4E21">
            <w:pPr>
              <w:jc w:val="right"/>
              <w:rPr>
                <w:color w:val="000000" w:themeColor="text1"/>
                <w:sz w:val="20"/>
                <w:szCs w:val="20"/>
              </w:rPr>
            </w:pPr>
            <w:r w:rsidRPr="00131EED">
              <w:rPr>
                <w:color w:val="000000" w:themeColor="text1"/>
                <w:sz w:val="20"/>
                <w:szCs w:val="20"/>
              </w:rPr>
              <w:t>55,95</w:t>
            </w:r>
          </w:p>
        </w:tc>
        <w:tc>
          <w:tcPr>
            <w:tcW w:w="1887" w:type="dxa"/>
          </w:tcPr>
          <w:p w14:paraId="19A7FCC7" w14:textId="77777777" w:rsidR="008A326C" w:rsidRPr="00131EED" w:rsidRDefault="008A326C" w:rsidP="002D7F18">
            <w:pPr>
              <w:rPr>
                <w:color w:val="000000" w:themeColor="text1"/>
                <w:sz w:val="20"/>
                <w:szCs w:val="20"/>
              </w:rPr>
            </w:pPr>
            <w:r w:rsidRPr="00131EED">
              <w:rPr>
                <w:color w:val="000000" w:themeColor="text1"/>
                <w:sz w:val="20"/>
                <w:szCs w:val="20"/>
              </w:rPr>
              <w:t>Acuerdo 47 de 2006</w:t>
            </w:r>
          </w:p>
        </w:tc>
      </w:tr>
      <w:tr w:rsidR="008A326C" w:rsidRPr="00131EED" w14:paraId="353C966B" w14:textId="77777777" w:rsidTr="00053167">
        <w:trPr>
          <w:trHeight w:val="20"/>
        </w:trPr>
        <w:tc>
          <w:tcPr>
            <w:tcW w:w="3114" w:type="dxa"/>
          </w:tcPr>
          <w:p w14:paraId="7B02F96E" w14:textId="77777777" w:rsidR="008A326C" w:rsidRPr="00131EED" w:rsidRDefault="008A326C" w:rsidP="002D7F18">
            <w:pPr>
              <w:rPr>
                <w:b/>
                <w:color w:val="000000" w:themeColor="text1"/>
                <w:sz w:val="20"/>
                <w:szCs w:val="20"/>
              </w:rPr>
            </w:pPr>
            <w:r w:rsidRPr="00131EED">
              <w:rPr>
                <w:color w:val="000000" w:themeColor="text1"/>
                <w:sz w:val="20"/>
                <w:szCs w:val="20"/>
              </w:rPr>
              <w:t>Funza y Cota</w:t>
            </w:r>
          </w:p>
        </w:tc>
        <w:tc>
          <w:tcPr>
            <w:tcW w:w="2268" w:type="dxa"/>
          </w:tcPr>
          <w:p w14:paraId="3C27DB5C" w14:textId="77777777" w:rsidR="008A326C" w:rsidRPr="00131EED" w:rsidRDefault="008A326C" w:rsidP="002D7F18">
            <w:pPr>
              <w:rPr>
                <w:color w:val="000000" w:themeColor="text1"/>
                <w:sz w:val="20"/>
                <w:szCs w:val="20"/>
              </w:rPr>
            </w:pPr>
            <w:r w:rsidRPr="00131EED">
              <w:rPr>
                <w:color w:val="000000" w:themeColor="text1"/>
                <w:sz w:val="20"/>
                <w:szCs w:val="20"/>
              </w:rPr>
              <w:t>Reserva hídrica humedal La Florida</w:t>
            </w:r>
          </w:p>
        </w:tc>
        <w:tc>
          <w:tcPr>
            <w:tcW w:w="1559" w:type="dxa"/>
          </w:tcPr>
          <w:p w14:paraId="60172F90" w14:textId="77777777" w:rsidR="008A326C" w:rsidRPr="00131EED" w:rsidRDefault="008A326C" w:rsidP="004E4E21">
            <w:pPr>
              <w:jc w:val="right"/>
              <w:rPr>
                <w:color w:val="000000" w:themeColor="text1"/>
                <w:sz w:val="20"/>
                <w:szCs w:val="20"/>
              </w:rPr>
            </w:pPr>
            <w:r w:rsidRPr="00131EED">
              <w:rPr>
                <w:color w:val="000000" w:themeColor="text1"/>
                <w:sz w:val="20"/>
                <w:szCs w:val="20"/>
              </w:rPr>
              <w:t>255,4</w:t>
            </w:r>
          </w:p>
        </w:tc>
        <w:tc>
          <w:tcPr>
            <w:tcW w:w="1887" w:type="dxa"/>
          </w:tcPr>
          <w:p w14:paraId="74888AAA" w14:textId="77777777" w:rsidR="008A326C" w:rsidRPr="00131EED" w:rsidRDefault="008A326C" w:rsidP="002D7F18">
            <w:pPr>
              <w:rPr>
                <w:color w:val="000000" w:themeColor="text1"/>
                <w:sz w:val="20"/>
                <w:szCs w:val="20"/>
              </w:rPr>
            </w:pPr>
            <w:r w:rsidRPr="00131EED">
              <w:rPr>
                <w:color w:val="000000" w:themeColor="text1"/>
                <w:sz w:val="20"/>
                <w:szCs w:val="20"/>
              </w:rPr>
              <w:t>Acuerdo 46 de 2006</w:t>
            </w:r>
          </w:p>
        </w:tc>
      </w:tr>
      <w:tr w:rsidR="008A326C" w:rsidRPr="00131EED" w14:paraId="3946800A" w14:textId="77777777" w:rsidTr="00053167">
        <w:trPr>
          <w:trHeight w:val="20"/>
        </w:trPr>
        <w:tc>
          <w:tcPr>
            <w:tcW w:w="3114" w:type="dxa"/>
          </w:tcPr>
          <w:p w14:paraId="706347AE" w14:textId="77777777" w:rsidR="008A326C" w:rsidRPr="00131EED" w:rsidRDefault="008A326C" w:rsidP="002D7F18">
            <w:pPr>
              <w:rPr>
                <w:b/>
                <w:color w:val="000000" w:themeColor="text1"/>
                <w:sz w:val="20"/>
                <w:szCs w:val="20"/>
              </w:rPr>
            </w:pPr>
            <w:r w:rsidRPr="00131EED">
              <w:rPr>
                <w:color w:val="000000" w:themeColor="text1"/>
                <w:sz w:val="20"/>
                <w:szCs w:val="20"/>
              </w:rPr>
              <w:t>Suesca y Cucunubá</w:t>
            </w:r>
          </w:p>
        </w:tc>
        <w:tc>
          <w:tcPr>
            <w:tcW w:w="2268" w:type="dxa"/>
          </w:tcPr>
          <w:p w14:paraId="2BC1E2FC" w14:textId="77777777" w:rsidR="008A326C" w:rsidRPr="00131EED" w:rsidRDefault="008A326C" w:rsidP="002D7F18">
            <w:pPr>
              <w:rPr>
                <w:color w:val="000000" w:themeColor="text1"/>
                <w:sz w:val="20"/>
                <w:szCs w:val="20"/>
              </w:rPr>
            </w:pPr>
            <w:r w:rsidRPr="00131EED">
              <w:rPr>
                <w:color w:val="000000" w:themeColor="text1"/>
                <w:sz w:val="20"/>
                <w:szCs w:val="20"/>
              </w:rPr>
              <w:t>Reserva hídrica Laguna de Suesca</w:t>
            </w:r>
          </w:p>
        </w:tc>
        <w:tc>
          <w:tcPr>
            <w:tcW w:w="1559" w:type="dxa"/>
          </w:tcPr>
          <w:p w14:paraId="482DB24A" w14:textId="77777777" w:rsidR="008A326C" w:rsidRPr="00131EED" w:rsidRDefault="008A326C" w:rsidP="004E4E21">
            <w:pPr>
              <w:jc w:val="right"/>
              <w:rPr>
                <w:color w:val="000000" w:themeColor="text1"/>
                <w:sz w:val="20"/>
                <w:szCs w:val="20"/>
              </w:rPr>
            </w:pPr>
            <w:r w:rsidRPr="00131EED">
              <w:rPr>
                <w:color w:val="000000" w:themeColor="text1"/>
                <w:sz w:val="20"/>
                <w:szCs w:val="20"/>
              </w:rPr>
              <w:t>588,9</w:t>
            </w:r>
          </w:p>
        </w:tc>
        <w:tc>
          <w:tcPr>
            <w:tcW w:w="1887" w:type="dxa"/>
          </w:tcPr>
          <w:p w14:paraId="1C1DAB6F" w14:textId="77777777" w:rsidR="008A326C" w:rsidRPr="00131EED" w:rsidRDefault="008A326C" w:rsidP="002D7F18">
            <w:pPr>
              <w:rPr>
                <w:color w:val="000000" w:themeColor="text1"/>
                <w:sz w:val="20"/>
                <w:szCs w:val="20"/>
              </w:rPr>
            </w:pPr>
            <w:r w:rsidRPr="00131EED">
              <w:rPr>
                <w:color w:val="000000" w:themeColor="text1"/>
                <w:sz w:val="20"/>
                <w:szCs w:val="20"/>
              </w:rPr>
              <w:t>Acuerdo 48 de 2006</w:t>
            </w:r>
          </w:p>
        </w:tc>
      </w:tr>
      <w:tr w:rsidR="008A326C" w:rsidRPr="00131EED" w14:paraId="2B44976F" w14:textId="77777777" w:rsidTr="00053167">
        <w:trPr>
          <w:trHeight w:val="20"/>
        </w:trPr>
        <w:tc>
          <w:tcPr>
            <w:tcW w:w="3114" w:type="dxa"/>
          </w:tcPr>
          <w:p w14:paraId="60AADABE" w14:textId="77777777" w:rsidR="008A326C" w:rsidRPr="00131EED" w:rsidRDefault="008A326C" w:rsidP="002D7F18">
            <w:pPr>
              <w:rPr>
                <w:b/>
                <w:color w:val="000000" w:themeColor="text1"/>
                <w:sz w:val="20"/>
                <w:szCs w:val="20"/>
              </w:rPr>
            </w:pPr>
            <w:r w:rsidRPr="00131EED">
              <w:rPr>
                <w:color w:val="000000" w:themeColor="text1"/>
                <w:sz w:val="20"/>
                <w:szCs w:val="20"/>
              </w:rPr>
              <w:t>Puerto Salgar</w:t>
            </w:r>
          </w:p>
        </w:tc>
        <w:tc>
          <w:tcPr>
            <w:tcW w:w="2268" w:type="dxa"/>
          </w:tcPr>
          <w:p w14:paraId="1596A66F" w14:textId="77777777" w:rsidR="008A326C" w:rsidRPr="00131EED" w:rsidRDefault="008A326C" w:rsidP="002D7F18">
            <w:pPr>
              <w:rPr>
                <w:color w:val="000000" w:themeColor="text1"/>
                <w:sz w:val="20"/>
                <w:szCs w:val="20"/>
              </w:rPr>
            </w:pPr>
            <w:r w:rsidRPr="00131EED">
              <w:rPr>
                <w:color w:val="000000" w:themeColor="text1"/>
                <w:sz w:val="20"/>
                <w:szCs w:val="20"/>
              </w:rPr>
              <w:t>Cuchilla san Antonio y Laguna del Coco</w:t>
            </w:r>
          </w:p>
        </w:tc>
        <w:tc>
          <w:tcPr>
            <w:tcW w:w="1559" w:type="dxa"/>
          </w:tcPr>
          <w:p w14:paraId="4F7BAA05" w14:textId="77777777" w:rsidR="008A326C" w:rsidRPr="00131EED" w:rsidRDefault="008A326C" w:rsidP="004E4E21">
            <w:pPr>
              <w:jc w:val="right"/>
              <w:rPr>
                <w:color w:val="000000" w:themeColor="text1"/>
                <w:sz w:val="20"/>
                <w:szCs w:val="20"/>
              </w:rPr>
            </w:pPr>
            <w:r w:rsidRPr="00131EED">
              <w:rPr>
                <w:color w:val="000000" w:themeColor="text1"/>
                <w:sz w:val="20"/>
                <w:szCs w:val="20"/>
              </w:rPr>
              <w:t>13.581,95</w:t>
            </w:r>
          </w:p>
        </w:tc>
        <w:tc>
          <w:tcPr>
            <w:tcW w:w="1887" w:type="dxa"/>
          </w:tcPr>
          <w:p w14:paraId="56365669" w14:textId="77777777" w:rsidR="008A326C" w:rsidRPr="00131EED" w:rsidRDefault="008A326C" w:rsidP="002D7F18">
            <w:pPr>
              <w:rPr>
                <w:color w:val="000000" w:themeColor="text1"/>
                <w:sz w:val="20"/>
                <w:szCs w:val="20"/>
              </w:rPr>
            </w:pPr>
            <w:r w:rsidRPr="00131EED">
              <w:rPr>
                <w:color w:val="000000" w:themeColor="text1"/>
                <w:sz w:val="20"/>
                <w:szCs w:val="20"/>
              </w:rPr>
              <w:t>Acuerdo 23 de 2008</w:t>
            </w:r>
          </w:p>
          <w:p w14:paraId="7D9DD6C1" w14:textId="77777777" w:rsidR="008A326C" w:rsidRPr="00131EED" w:rsidRDefault="008A326C" w:rsidP="002D7F18">
            <w:pPr>
              <w:rPr>
                <w:color w:val="000000" w:themeColor="text1"/>
                <w:sz w:val="20"/>
                <w:szCs w:val="20"/>
              </w:rPr>
            </w:pPr>
            <w:r w:rsidRPr="00131EED">
              <w:rPr>
                <w:color w:val="000000" w:themeColor="text1"/>
                <w:sz w:val="20"/>
                <w:szCs w:val="20"/>
              </w:rPr>
              <w:t>Acuerdo 11 de 2009</w:t>
            </w:r>
          </w:p>
        </w:tc>
      </w:tr>
      <w:tr w:rsidR="008A326C" w:rsidRPr="00131EED" w14:paraId="70BF5516" w14:textId="77777777" w:rsidTr="00053167">
        <w:trPr>
          <w:trHeight w:val="20"/>
        </w:trPr>
        <w:tc>
          <w:tcPr>
            <w:tcW w:w="3114" w:type="dxa"/>
          </w:tcPr>
          <w:p w14:paraId="017257C4" w14:textId="77777777" w:rsidR="008A326C" w:rsidRPr="00131EED" w:rsidRDefault="008A326C" w:rsidP="002D7F18">
            <w:pPr>
              <w:rPr>
                <w:b/>
                <w:color w:val="000000" w:themeColor="text1"/>
                <w:sz w:val="20"/>
                <w:szCs w:val="20"/>
              </w:rPr>
            </w:pPr>
            <w:r w:rsidRPr="00131EED">
              <w:rPr>
                <w:color w:val="000000" w:themeColor="text1"/>
                <w:sz w:val="20"/>
                <w:szCs w:val="20"/>
              </w:rPr>
              <w:t>San Miguel de Sema y Ráquira (Boyacá), Carmen de Carupa, Lenguazaque, Simijaca, Guachetá, Cucunubá, Fúquene, Susa, Sutatausa y Ubaté (Cund)</w:t>
            </w:r>
          </w:p>
        </w:tc>
        <w:tc>
          <w:tcPr>
            <w:tcW w:w="2268" w:type="dxa"/>
          </w:tcPr>
          <w:p w14:paraId="1A9DB6E6" w14:textId="77777777" w:rsidR="008A326C" w:rsidRPr="00131EED" w:rsidRDefault="008A326C" w:rsidP="002D7F18">
            <w:pPr>
              <w:rPr>
                <w:color w:val="000000" w:themeColor="text1"/>
                <w:sz w:val="20"/>
                <w:szCs w:val="20"/>
              </w:rPr>
            </w:pPr>
            <w:r w:rsidRPr="00131EED">
              <w:rPr>
                <w:color w:val="000000" w:themeColor="text1"/>
                <w:sz w:val="20"/>
                <w:szCs w:val="20"/>
              </w:rPr>
              <w:t>Complejo lagunar Fúquene Cucunubá y Palacio</w:t>
            </w:r>
          </w:p>
        </w:tc>
        <w:tc>
          <w:tcPr>
            <w:tcW w:w="1559" w:type="dxa"/>
          </w:tcPr>
          <w:p w14:paraId="2F7E4DFA" w14:textId="77777777" w:rsidR="008A326C" w:rsidRPr="00131EED" w:rsidRDefault="008A326C" w:rsidP="004E4E21">
            <w:pPr>
              <w:jc w:val="right"/>
              <w:rPr>
                <w:color w:val="000000" w:themeColor="text1"/>
                <w:sz w:val="20"/>
                <w:szCs w:val="20"/>
              </w:rPr>
            </w:pPr>
            <w:r w:rsidRPr="00131EED">
              <w:rPr>
                <w:color w:val="000000" w:themeColor="text1"/>
                <w:sz w:val="20"/>
                <w:szCs w:val="20"/>
              </w:rPr>
              <w:t>19.194,00</w:t>
            </w:r>
          </w:p>
        </w:tc>
        <w:tc>
          <w:tcPr>
            <w:tcW w:w="1887" w:type="dxa"/>
          </w:tcPr>
          <w:p w14:paraId="1B824C8C" w14:textId="77777777" w:rsidR="008A326C" w:rsidRPr="00131EED" w:rsidRDefault="008A326C" w:rsidP="002D7F18">
            <w:pPr>
              <w:rPr>
                <w:color w:val="000000" w:themeColor="text1"/>
                <w:sz w:val="20"/>
                <w:szCs w:val="20"/>
              </w:rPr>
            </w:pPr>
            <w:r w:rsidRPr="00131EED">
              <w:rPr>
                <w:color w:val="000000" w:themeColor="text1"/>
                <w:sz w:val="20"/>
                <w:szCs w:val="20"/>
              </w:rPr>
              <w:t>Acuerdo 18 de 2017</w:t>
            </w:r>
          </w:p>
        </w:tc>
      </w:tr>
    </w:tbl>
    <w:p w14:paraId="7730145A" w14:textId="32DF4C2F" w:rsidR="008A326C" w:rsidRPr="00131EED" w:rsidRDefault="008A326C" w:rsidP="003228A4">
      <w:pPr>
        <w:jc w:val="center"/>
        <w:rPr>
          <w:sz w:val="20"/>
          <w:szCs w:val="20"/>
        </w:rPr>
      </w:pPr>
      <w:r w:rsidRPr="00131EED">
        <w:rPr>
          <w:sz w:val="20"/>
          <w:szCs w:val="20"/>
        </w:rPr>
        <w:t>Fuente: Dirección de Gestión del Ordenamiento Ambiental y Territorial – DGOAT - CAR (2024)</w:t>
      </w:r>
    </w:p>
    <w:p w14:paraId="0A89C3C0" w14:textId="77777777" w:rsidR="008A326C" w:rsidRPr="00131EED" w:rsidRDefault="008A326C" w:rsidP="008A326C">
      <w:pPr>
        <w:shd w:val="clear" w:color="auto" w:fill="FFFFFF" w:themeFill="background1"/>
        <w:textAlignment w:val="baseline"/>
      </w:pPr>
    </w:p>
    <w:p w14:paraId="73268073" w14:textId="2B75E22D" w:rsidR="008468A4" w:rsidRPr="00131EED" w:rsidRDefault="008A326C" w:rsidP="008A326C">
      <w:pPr>
        <w:shd w:val="clear" w:color="auto" w:fill="FFFFFF" w:themeFill="background1"/>
        <w:textAlignment w:val="baseline"/>
      </w:pPr>
      <w:r w:rsidRPr="00131EED">
        <w:t xml:space="preserve">Diez (10) de estas áreas protegidas cuentan con el Plan de Manejo Ambiental – PMA formulado y adoptado, de igual forma, se tienen identificados 2 ecosistemas adicionales de jurisdicción compartida con la Secretaría Distrital de Ambiente, que también cuentan con su correspondiente instrumento de manejo, como se presenta en la siguiente tabla: </w:t>
      </w:r>
    </w:p>
    <w:p w14:paraId="10F4AC3E" w14:textId="77777777" w:rsidR="004B5379" w:rsidRPr="00131EED" w:rsidRDefault="004B5379" w:rsidP="008A326C">
      <w:pPr>
        <w:shd w:val="clear" w:color="auto" w:fill="FFFFFF" w:themeFill="background1"/>
        <w:textAlignment w:val="baseline"/>
        <w:rPr>
          <w:rFonts w:ascii="Baskerville" w:hAnsi="Baskerville"/>
        </w:rPr>
      </w:pPr>
    </w:p>
    <w:p w14:paraId="5ABE01B0" w14:textId="548B57CB" w:rsidR="008A326C" w:rsidRPr="00131EED" w:rsidRDefault="00FE0BB8" w:rsidP="003228A4">
      <w:pPr>
        <w:pStyle w:val="Caption"/>
        <w:jc w:val="center"/>
      </w:pPr>
      <w:bookmarkStart w:id="85" w:name="_Toc216468924"/>
      <w:r w:rsidRPr="00131EED">
        <w:t xml:space="preserve">Tabla </w:t>
      </w:r>
      <w:r w:rsidRPr="00131EED">
        <w:fldChar w:fldCharType="begin"/>
      </w:r>
      <w:r w:rsidRPr="00131EED">
        <w:instrText>SEQ Tabla \* ARABIC</w:instrText>
      </w:r>
      <w:r w:rsidRPr="00131EED">
        <w:fldChar w:fldCharType="separate"/>
      </w:r>
      <w:r w:rsidR="00CE096F">
        <w:rPr>
          <w:noProof/>
        </w:rPr>
        <w:t>14</w:t>
      </w:r>
      <w:r w:rsidRPr="00131EED">
        <w:fldChar w:fldCharType="end"/>
      </w:r>
      <w:r w:rsidRPr="00131EED">
        <w:t xml:space="preserve"> </w:t>
      </w:r>
      <w:r w:rsidR="008A326C" w:rsidRPr="00131EED">
        <w:t>Planes de Manejo adoptados para Humedales</w:t>
      </w:r>
      <w:r w:rsidRPr="00131EED">
        <w:t xml:space="preserve"> incorporados en áreas protegidas o iniciativas de conservación in situ en jurisdicción CAR</w:t>
      </w:r>
      <w:bookmarkEnd w:id="85"/>
    </w:p>
    <w:tbl>
      <w:tblPr>
        <w:tblStyle w:val="TableGrid"/>
        <w:tblW w:w="0" w:type="auto"/>
        <w:tblLook w:val="04A0" w:firstRow="1" w:lastRow="0" w:firstColumn="1" w:lastColumn="0" w:noHBand="0" w:noVBand="1"/>
      </w:tblPr>
      <w:tblGrid>
        <w:gridCol w:w="2263"/>
        <w:gridCol w:w="2151"/>
        <w:gridCol w:w="2207"/>
        <w:gridCol w:w="2207"/>
      </w:tblGrid>
      <w:tr w:rsidR="008A326C" w:rsidRPr="00131EED" w14:paraId="1C3EEE51" w14:textId="77777777" w:rsidTr="00053167">
        <w:trPr>
          <w:trHeight w:val="20"/>
          <w:tblHeader/>
        </w:trPr>
        <w:tc>
          <w:tcPr>
            <w:tcW w:w="2263" w:type="dxa"/>
          </w:tcPr>
          <w:p w14:paraId="46539CB2" w14:textId="77777777" w:rsidR="008A326C" w:rsidRPr="00131EED" w:rsidRDefault="008A326C" w:rsidP="002D7F18">
            <w:pPr>
              <w:rPr>
                <w:b/>
                <w:color w:val="000000" w:themeColor="text1"/>
                <w:sz w:val="20"/>
                <w:szCs w:val="20"/>
              </w:rPr>
            </w:pPr>
            <w:r w:rsidRPr="00131EED">
              <w:rPr>
                <w:b/>
                <w:color w:val="000000" w:themeColor="text1"/>
                <w:sz w:val="20"/>
                <w:szCs w:val="20"/>
              </w:rPr>
              <w:t>Municipio</w:t>
            </w:r>
          </w:p>
        </w:tc>
        <w:tc>
          <w:tcPr>
            <w:tcW w:w="2151" w:type="dxa"/>
          </w:tcPr>
          <w:p w14:paraId="10AF37C0" w14:textId="77777777" w:rsidR="008A326C" w:rsidRPr="00131EED" w:rsidRDefault="008A326C" w:rsidP="002D7F18">
            <w:pPr>
              <w:rPr>
                <w:b/>
                <w:color w:val="000000" w:themeColor="text1"/>
                <w:sz w:val="20"/>
                <w:szCs w:val="20"/>
              </w:rPr>
            </w:pPr>
            <w:r w:rsidRPr="00131EED">
              <w:rPr>
                <w:b/>
                <w:color w:val="000000" w:themeColor="text1"/>
                <w:sz w:val="20"/>
                <w:szCs w:val="20"/>
              </w:rPr>
              <w:t>Humedal</w:t>
            </w:r>
          </w:p>
        </w:tc>
        <w:tc>
          <w:tcPr>
            <w:tcW w:w="2207" w:type="dxa"/>
          </w:tcPr>
          <w:p w14:paraId="2CFA877C" w14:textId="77777777" w:rsidR="008A326C" w:rsidRPr="00131EED" w:rsidRDefault="008A326C" w:rsidP="002D7F18">
            <w:pPr>
              <w:rPr>
                <w:b/>
                <w:color w:val="000000" w:themeColor="text1"/>
                <w:sz w:val="20"/>
                <w:szCs w:val="20"/>
              </w:rPr>
            </w:pPr>
            <w:r w:rsidRPr="00131EED">
              <w:rPr>
                <w:b/>
                <w:color w:val="000000" w:themeColor="text1"/>
                <w:sz w:val="20"/>
                <w:szCs w:val="20"/>
              </w:rPr>
              <w:t>Declaratoria</w:t>
            </w:r>
          </w:p>
        </w:tc>
        <w:tc>
          <w:tcPr>
            <w:tcW w:w="2207" w:type="dxa"/>
          </w:tcPr>
          <w:p w14:paraId="222C6582" w14:textId="77777777" w:rsidR="008A326C" w:rsidRPr="00131EED" w:rsidRDefault="008A326C" w:rsidP="002D7F18">
            <w:pPr>
              <w:rPr>
                <w:b/>
                <w:color w:val="000000" w:themeColor="text1"/>
                <w:sz w:val="20"/>
                <w:szCs w:val="20"/>
              </w:rPr>
            </w:pPr>
            <w:r w:rsidRPr="00131EED">
              <w:rPr>
                <w:b/>
                <w:color w:val="000000" w:themeColor="text1"/>
                <w:sz w:val="20"/>
                <w:szCs w:val="20"/>
              </w:rPr>
              <w:t>Plan de Manejo</w:t>
            </w:r>
          </w:p>
        </w:tc>
      </w:tr>
      <w:tr w:rsidR="008A326C" w:rsidRPr="00131EED" w14:paraId="16163567" w14:textId="77777777" w:rsidTr="00053167">
        <w:trPr>
          <w:trHeight w:val="20"/>
        </w:trPr>
        <w:tc>
          <w:tcPr>
            <w:tcW w:w="2263" w:type="dxa"/>
          </w:tcPr>
          <w:p w14:paraId="354954D8" w14:textId="77777777" w:rsidR="008A326C" w:rsidRPr="00131EED" w:rsidRDefault="008A326C" w:rsidP="002D7F18">
            <w:pPr>
              <w:rPr>
                <w:color w:val="000000" w:themeColor="text1"/>
                <w:sz w:val="20"/>
                <w:szCs w:val="20"/>
              </w:rPr>
            </w:pPr>
            <w:r w:rsidRPr="00131EED">
              <w:rPr>
                <w:color w:val="000000" w:themeColor="text1"/>
                <w:sz w:val="20"/>
                <w:szCs w:val="20"/>
              </w:rPr>
              <w:t>Tenjo, Mosquera y Funza</w:t>
            </w:r>
          </w:p>
        </w:tc>
        <w:tc>
          <w:tcPr>
            <w:tcW w:w="2151" w:type="dxa"/>
          </w:tcPr>
          <w:p w14:paraId="5948BDE1" w14:textId="77777777" w:rsidR="008A326C" w:rsidRPr="00131EED" w:rsidRDefault="008A326C" w:rsidP="002D7F18">
            <w:pPr>
              <w:rPr>
                <w:color w:val="000000" w:themeColor="text1"/>
                <w:sz w:val="20"/>
                <w:szCs w:val="20"/>
              </w:rPr>
            </w:pPr>
            <w:r w:rsidRPr="00131EED">
              <w:rPr>
                <w:color w:val="000000" w:themeColor="text1"/>
                <w:sz w:val="20"/>
                <w:szCs w:val="20"/>
              </w:rPr>
              <w:t xml:space="preserve">DMI de los terrenos comprometidos por los humedales de Gualí, Tres Esquinas y Laguna del Funzhé. </w:t>
            </w:r>
          </w:p>
        </w:tc>
        <w:tc>
          <w:tcPr>
            <w:tcW w:w="2207" w:type="dxa"/>
          </w:tcPr>
          <w:p w14:paraId="56A951A7" w14:textId="77777777" w:rsidR="008A326C" w:rsidRPr="00131EED" w:rsidRDefault="008A326C" w:rsidP="002D7F18">
            <w:pPr>
              <w:rPr>
                <w:color w:val="000000" w:themeColor="text1"/>
                <w:sz w:val="20"/>
                <w:szCs w:val="20"/>
              </w:rPr>
            </w:pPr>
            <w:r w:rsidRPr="00131EED">
              <w:rPr>
                <w:color w:val="000000" w:themeColor="text1"/>
                <w:sz w:val="20"/>
                <w:szCs w:val="20"/>
              </w:rPr>
              <w:t>Acuerdo 01 de 2014</w:t>
            </w:r>
          </w:p>
        </w:tc>
        <w:tc>
          <w:tcPr>
            <w:tcW w:w="2207" w:type="dxa"/>
          </w:tcPr>
          <w:p w14:paraId="38AE699B" w14:textId="77777777" w:rsidR="008A326C" w:rsidRPr="00131EED" w:rsidRDefault="008A326C" w:rsidP="002D7F18">
            <w:pPr>
              <w:rPr>
                <w:color w:val="000000" w:themeColor="text1"/>
                <w:sz w:val="20"/>
                <w:szCs w:val="20"/>
              </w:rPr>
            </w:pPr>
            <w:r w:rsidRPr="00131EED">
              <w:rPr>
                <w:color w:val="000000" w:themeColor="text1"/>
                <w:sz w:val="20"/>
                <w:szCs w:val="20"/>
              </w:rPr>
              <w:t>Acuerdo 11 de 2017</w:t>
            </w:r>
          </w:p>
        </w:tc>
      </w:tr>
      <w:tr w:rsidR="008A326C" w:rsidRPr="00131EED" w14:paraId="6A0AFD9F" w14:textId="77777777" w:rsidTr="00053167">
        <w:trPr>
          <w:trHeight w:val="20"/>
        </w:trPr>
        <w:tc>
          <w:tcPr>
            <w:tcW w:w="2263" w:type="dxa"/>
          </w:tcPr>
          <w:p w14:paraId="6D0B7EF1" w14:textId="77777777" w:rsidR="008A326C" w:rsidRPr="00131EED" w:rsidRDefault="008A326C" w:rsidP="002D7F18">
            <w:pPr>
              <w:rPr>
                <w:color w:val="000000" w:themeColor="text1"/>
                <w:sz w:val="20"/>
                <w:szCs w:val="20"/>
              </w:rPr>
            </w:pPr>
            <w:r w:rsidRPr="00131EED">
              <w:rPr>
                <w:color w:val="000000" w:themeColor="text1"/>
                <w:sz w:val="20"/>
                <w:szCs w:val="20"/>
              </w:rPr>
              <w:t>Soacha</w:t>
            </w:r>
          </w:p>
        </w:tc>
        <w:tc>
          <w:tcPr>
            <w:tcW w:w="2151" w:type="dxa"/>
          </w:tcPr>
          <w:p w14:paraId="6D11CB2D" w14:textId="77777777" w:rsidR="008A326C" w:rsidRPr="00131EED" w:rsidRDefault="008A326C" w:rsidP="002D7F18">
            <w:pPr>
              <w:rPr>
                <w:color w:val="000000" w:themeColor="text1"/>
                <w:sz w:val="20"/>
                <w:szCs w:val="20"/>
              </w:rPr>
            </w:pPr>
            <w:r w:rsidRPr="00131EED">
              <w:rPr>
                <w:color w:val="000000" w:themeColor="text1"/>
                <w:sz w:val="20"/>
                <w:szCs w:val="20"/>
              </w:rPr>
              <w:t>Reserva hídrica humedal Tierra Blanca</w:t>
            </w:r>
          </w:p>
        </w:tc>
        <w:tc>
          <w:tcPr>
            <w:tcW w:w="2207" w:type="dxa"/>
          </w:tcPr>
          <w:p w14:paraId="5EAC5F47" w14:textId="77777777" w:rsidR="008A326C" w:rsidRPr="00131EED" w:rsidRDefault="008A326C" w:rsidP="002D7F18">
            <w:pPr>
              <w:rPr>
                <w:color w:val="000000" w:themeColor="text1"/>
                <w:sz w:val="20"/>
                <w:szCs w:val="20"/>
              </w:rPr>
            </w:pPr>
            <w:r w:rsidRPr="00131EED">
              <w:rPr>
                <w:color w:val="000000" w:themeColor="text1"/>
                <w:sz w:val="20"/>
                <w:szCs w:val="20"/>
              </w:rPr>
              <w:t>Acuerdo 33 de 2006</w:t>
            </w:r>
          </w:p>
        </w:tc>
        <w:tc>
          <w:tcPr>
            <w:tcW w:w="2207" w:type="dxa"/>
          </w:tcPr>
          <w:p w14:paraId="15D01038" w14:textId="77777777" w:rsidR="008A326C" w:rsidRPr="00131EED" w:rsidRDefault="008A326C" w:rsidP="002D7F18">
            <w:pPr>
              <w:rPr>
                <w:color w:val="000000" w:themeColor="text1"/>
                <w:sz w:val="20"/>
                <w:szCs w:val="20"/>
              </w:rPr>
            </w:pPr>
            <w:r w:rsidRPr="00131EED">
              <w:rPr>
                <w:color w:val="000000" w:themeColor="text1"/>
                <w:sz w:val="20"/>
                <w:szCs w:val="20"/>
              </w:rPr>
              <w:t>Acuerdo 33 de 2008</w:t>
            </w:r>
          </w:p>
        </w:tc>
      </w:tr>
      <w:tr w:rsidR="008A326C" w:rsidRPr="00131EED" w14:paraId="3AACD832" w14:textId="77777777" w:rsidTr="00053167">
        <w:trPr>
          <w:trHeight w:val="20"/>
        </w:trPr>
        <w:tc>
          <w:tcPr>
            <w:tcW w:w="2263" w:type="dxa"/>
          </w:tcPr>
          <w:p w14:paraId="42B0AF54" w14:textId="77777777" w:rsidR="008A326C" w:rsidRPr="00131EED" w:rsidRDefault="008A326C" w:rsidP="002D7F18">
            <w:pPr>
              <w:rPr>
                <w:color w:val="000000" w:themeColor="text1"/>
                <w:sz w:val="20"/>
                <w:szCs w:val="20"/>
              </w:rPr>
            </w:pPr>
            <w:r w:rsidRPr="00131EED">
              <w:rPr>
                <w:color w:val="000000" w:themeColor="text1"/>
                <w:sz w:val="20"/>
                <w:szCs w:val="20"/>
              </w:rPr>
              <w:t>Socha</w:t>
            </w:r>
          </w:p>
        </w:tc>
        <w:tc>
          <w:tcPr>
            <w:tcW w:w="2151" w:type="dxa"/>
          </w:tcPr>
          <w:p w14:paraId="0F42F8F1" w14:textId="77777777" w:rsidR="008A326C" w:rsidRPr="00131EED" w:rsidRDefault="008A326C" w:rsidP="002D7F18">
            <w:pPr>
              <w:rPr>
                <w:color w:val="000000" w:themeColor="text1"/>
                <w:sz w:val="20"/>
                <w:szCs w:val="20"/>
              </w:rPr>
            </w:pPr>
            <w:r w:rsidRPr="00131EED">
              <w:rPr>
                <w:color w:val="000000" w:themeColor="text1"/>
                <w:sz w:val="20"/>
                <w:szCs w:val="20"/>
              </w:rPr>
              <w:t>Reserva hídrica humedal Neuta</w:t>
            </w:r>
          </w:p>
        </w:tc>
        <w:tc>
          <w:tcPr>
            <w:tcW w:w="2207" w:type="dxa"/>
          </w:tcPr>
          <w:p w14:paraId="1754FDB6" w14:textId="77777777" w:rsidR="008A326C" w:rsidRPr="00131EED" w:rsidRDefault="008A326C" w:rsidP="002D7F18">
            <w:pPr>
              <w:rPr>
                <w:color w:val="000000" w:themeColor="text1"/>
                <w:sz w:val="20"/>
                <w:szCs w:val="20"/>
              </w:rPr>
            </w:pPr>
            <w:r w:rsidRPr="00131EED">
              <w:rPr>
                <w:color w:val="000000" w:themeColor="text1"/>
                <w:sz w:val="20"/>
                <w:szCs w:val="20"/>
              </w:rPr>
              <w:t>Acuerdo 37 de 2006</w:t>
            </w:r>
          </w:p>
        </w:tc>
        <w:tc>
          <w:tcPr>
            <w:tcW w:w="2207" w:type="dxa"/>
          </w:tcPr>
          <w:p w14:paraId="3295DF86" w14:textId="77777777" w:rsidR="008A326C" w:rsidRPr="00131EED" w:rsidRDefault="008A326C" w:rsidP="002D7F18">
            <w:pPr>
              <w:rPr>
                <w:color w:val="000000" w:themeColor="text1"/>
                <w:sz w:val="20"/>
                <w:szCs w:val="20"/>
              </w:rPr>
            </w:pPr>
            <w:r w:rsidRPr="00131EED">
              <w:rPr>
                <w:color w:val="000000" w:themeColor="text1"/>
                <w:sz w:val="20"/>
                <w:szCs w:val="20"/>
              </w:rPr>
              <w:t>Acuerdo 20 de 2009</w:t>
            </w:r>
          </w:p>
        </w:tc>
      </w:tr>
      <w:tr w:rsidR="008A326C" w:rsidRPr="00131EED" w14:paraId="0736E2C3" w14:textId="77777777" w:rsidTr="00053167">
        <w:trPr>
          <w:trHeight w:val="20"/>
        </w:trPr>
        <w:tc>
          <w:tcPr>
            <w:tcW w:w="2263" w:type="dxa"/>
          </w:tcPr>
          <w:p w14:paraId="13EEB8B4" w14:textId="77777777" w:rsidR="008A326C" w:rsidRPr="00131EED" w:rsidRDefault="008A326C" w:rsidP="002D7F18">
            <w:pPr>
              <w:rPr>
                <w:color w:val="000000" w:themeColor="text1"/>
                <w:sz w:val="20"/>
                <w:szCs w:val="20"/>
              </w:rPr>
            </w:pPr>
            <w:r w:rsidRPr="00131EED">
              <w:rPr>
                <w:color w:val="000000" w:themeColor="text1"/>
                <w:sz w:val="20"/>
                <w:szCs w:val="20"/>
              </w:rPr>
              <w:t>Tena</w:t>
            </w:r>
          </w:p>
        </w:tc>
        <w:tc>
          <w:tcPr>
            <w:tcW w:w="2151" w:type="dxa"/>
          </w:tcPr>
          <w:p w14:paraId="48309041" w14:textId="77777777" w:rsidR="008A326C" w:rsidRPr="00131EED" w:rsidRDefault="008A326C" w:rsidP="002D7F18">
            <w:pPr>
              <w:rPr>
                <w:color w:val="000000" w:themeColor="text1"/>
                <w:sz w:val="20"/>
                <w:szCs w:val="20"/>
              </w:rPr>
            </w:pPr>
            <w:r w:rsidRPr="00131EED">
              <w:rPr>
                <w:color w:val="000000" w:themeColor="text1"/>
                <w:sz w:val="20"/>
                <w:szCs w:val="20"/>
              </w:rPr>
              <w:t>Laguna de Pedro Palo</w:t>
            </w:r>
          </w:p>
        </w:tc>
        <w:tc>
          <w:tcPr>
            <w:tcW w:w="2207" w:type="dxa"/>
          </w:tcPr>
          <w:p w14:paraId="0A1AF6AB" w14:textId="77777777" w:rsidR="008A326C" w:rsidRPr="00131EED" w:rsidRDefault="008A326C" w:rsidP="002D7F18">
            <w:pPr>
              <w:rPr>
                <w:color w:val="000000" w:themeColor="text1"/>
                <w:sz w:val="20"/>
                <w:szCs w:val="20"/>
              </w:rPr>
            </w:pPr>
            <w:r w:rsidRPr="00131EED">
              <w:rPr>
                <w:color w:val="000000" w:themeColor="text1"/>
                <w:sz w:val="20"/>
                <w:szCs w:val="20"/>
              </w:rPr>
              <w:t>Acuerdo 38 de 1989 y aprobado por resolución DNP 38 de 1990</w:t>
            </w:r>
          </w:p>
        </w:tc>
        <w:tc>
          <w:tcPr>
            <w:tcW w:w="2207" w:type="dxa"/>
          </w:tcPr>
          <w:p w14:paraId="4775A48F" w14:textId="77777777" w:rsidR="008A326C" w:rsidRPr="00131EED" w:rsidRDefault="008A326C" w:rsidP="002D7F18">
            <w:pPr>
              <w:rPr>
                <w:color w:val="000000" w:themeColor="text1"/>
                <w:sz w:val="20"/>
                <w:szCs w:val="20"/>
              </w:rPr>
            </w:pPr>
            <w:r w:rsidRPr="00131EED">
              <w:rPr>
                <w:color w:val="000000" w:themeColor="text1"/>
                <w:sz w:val="20"/>
                <w:szCs w:val="20"/>
              </w:rPr>
              <w:t>Acuerdo 2444 de 2014</w:t>
            </w:r>
          </w:p>
        </w:tc>
      </w:tr>
      <w:tr w:rsidR="008A326C" w:rsidRPr="00131EED" w14:paraId="4F02F52E" w14:textId="77777777" w:rsidTr="00053167">
        <w:trPr>
          <w:trHeight w:val="20"/>
        </w:trPr>
        <w:tc>
          <w:tcPr>
            <w:tcW w:w="2263" w:type="dxa"/>
          </w:tcPr>
          <w:p w14:paraId="5FA5FA07" w14:textId="77777777" w:rsidR="008A326C" w:rsidRPr="00131EED" w:rsidRDefault="008A326C" w:rsidP="002D7F18">
            <w:pPr>
              <w:rPr>
                <w:color w:val="000000" w:themeColor="text1"/>
                <w:sz w:val="20"/>
                <w:szCs w:val="20"/>
              </w:rPr>
            </w:pPr>
            <w:r w:rsidRPr="00131EED">
              <w:rPr>
                <w:color w:val="000000" w:themeColor="text1"/>
                <w:sz w:val="20"/>
                <w:szCs w:val="20"/>
              </w:rPr>
              <w:t>Madrid, Mosquera</w:t>
            </w:r>
          </w:p>
        </w:tc>
        <w:tc>
          <w:tcPr>
            <w:tcW w:w="2151" w:type="dxa"/>
          </w:tcPr>
          <w:p w14:paraId="7D75B84E" w14:textId="77777777" w:rsidR="008A326C" w:rsidRPr="00131EED" w:rsidRDefault="008A326C" w:rsidP="002D7F18">
            <w:pPr>
              <w:rPr>
                <w:color w:val="000000" w:themeColor="text1"/>
                <w:sz w:val="20"/>
                <w:szCs w:val="20"/>
              </w:rPr>
            </w:pPr>
            <w:r w:rsidRPr="00131EED">
              <w:rPr>
                <w:color w:val="000000" w:themeColor="text1"/>
                <w:sz w:val="20"/>
                <w:szCs w:val="20"/>
              </w:rPr>
              <w:t>Reserva hídrica laguna La Herrera</w:t>
            </w:r>
          </w:p>
        </w:tc>
        <w:tc>
          <w:tcPr>
            <w:tcW w:w="2207" w:type="dxa"/>
          </w:tcPr>
          <w:p w14:paraId="282C7968" w14:textId="77777777" w:rsidR="008A326C" w:rsidRPr="00131EED" w:rsidRDefault="008A326C" w:rsidP="002D7F18">
            <w:pPr>
              <w:rPr>
                <w:color w:val="000000" w:themeColor="text1"/>
                <w:sz w:val="20"/>
                <w:szCs w:val="20"/>
              </w:rPr>
            </w:pPr>
            <w:r w:rsidRPr="00131EED">
              <w:rPr>
                <w:color w:val="000000" w:themeColor="text1"/>
                <w:sz w:val="20"/>
                <w:szCs w:val="20"/>
              </w:rPr>
              <w:t>Acuerdo 23 de 2006</w:t>
            </w:r>
          </w:p>
        </w:tc>
        <w:tc>
          <w:tcPr>
            <w:tcW w:w="2207" w:type="dxa"/>
          </w:tcPr>
          <w:p w14:paraId="4D3A4201" w14:textId="77777777" w:rsidR="008A326C" w:rsidRPr="00131EED" w:rsidRDefault="008A326C" w:rsidP="002D7F18">
            <w:pPr>
              <w:rPr>
                <w:color w:val="000000" w:themeColor="text1"/>
                <w:sz w:val="20"/>
                <w:szCs w:val="20"/>
              </w:rPr>
            </w:pPr>
            <w:r w:rsidRPr="00131EED">
              <w:rPr>
                <w:color w:val="000000" w:themeColor="text1"/>
                <w:sz w:val="20"/>
                <w:szCs w:val="20"/>
              </w:rPr>
              <w:t>Acuerdo 21 de 2009</w:t>
            </w:r>
          </w:p>
        </w:tc>
      </w:tr>
      <w:tr w:rsidR="008A326C" w:rsidRPr="00131EED" w14:paraId="04FD7871" w14:textId="77777777" w:rsidTr="00053167">
        <w:trPr>
          <w:trHeight w:val="20"/>
        </w:trPr>
        <w:tc>
          <w:tcPr>
            <w:tcW w:w="2263" w:type="dxa"/>
          </w:tcPr>
          <w:p w14:paraId="3F84D73A" w14:textId="77777777" w:rsidR="008A326C" w:rsidRPr="00131EED" w:rsidRDefault="008A326C" w:rsidP="002D7F18">
            <w:pPr>
              <w:rPr>
                <w:color w:val="000000" w:themeColor="text1"/>
                <w:sz w:val="20"/>
                <w:szCs w:val="20"/>
              </w:rPr>
            </w:pPr>
            <w:r w:rsidRPr="00131EED">
              <w:rPr>
                <w:color w:val="000000" w:themeColor="text1"/>
                <w:sz w:val="20"/>
                <w:szCs w:val="20"/>
              </w:rPr>
              <w:t>Puerto Salgar</w:t>
            </w:r>
          </w:p>
        </w:tc>
        <w:tc>
          <w:tcPr>
            <w:tcW w:w="2151" w:type="dxa"/>
          </w:tcPr>
          <w:p w14:paraId="6641AD07" w14:textId="77777777" w:rsidR="008A326C" w:rsidRPr="00131EED" w:rsidRDefault="008A326C" w:rsidP="002D7F18">
            <w:pPr>
              <w:rPr>
                <w:color w:val="000000" w:themeColor="text1"/>
                <w:sz w:val="20"/>
                <w:szCs w:val="20"/>
              </w:rPr>
            </w:pPr>
            <w:r w:rsidRPr="00131EED">
              <w:rPr>
                <w:color w:val="000000" w:themeColor="text1"/>
                <w:sz w:val="20"/>
                <w:szCs w:val="20"/>
              </w:rPr>
              <w:t>Cuchilla san Antonio y Laguna del Coco</w:t>
            </w:r>
          </w:p>
        </w:tc>
        <w:tc>
          <w:tcPr>
            <w:tcW w:w="2207" w:type="dxa"/>
          </w:tcPr>
          <w:p w14:paraId="0097C109" w14:textId="77777777" w:rsidR="008A326C" w:rsidRPr="00131EED" w:rsidRDefault="008A326C" w:rsidP="002D7F18">
            <w:pPr>
              <w:rPr>
                <w:color w:val="000000" w:themeColor="text1"/>
                <w:sz w:val="20"/>
                <w:szCs w:val="20"/>
              </w:rPr>
            </w:pPr>
            <w:r w:rsidRPr="00131EED">
              <w:rPr>
                <w:color w:val="000000" w:themeColor="text1"/>
                <w:sz w:val="20"/>
                <w:szCs w:val="20"/>
              </w:rPr>
              <w:t>Acuerdo 23 de 2008</w:t>
            </w:r>
          </w:p>
          <w:p w14:paraId="58D5216D" w14:textId="77777777" w:rsidR="008A326C" w:rsidRPr="00131EED" w:rsidRDefault="008A326C" w:rsidP="002D7F18">
            <w:pPr>
              <w:rPr>
                <w:color w:val="000000" w:themeColor="text1"/>
                <w:sz w:val="20"/>
                <w:szCs w:val="20"/>
              </w:rPr>
            </w:pPr>
            <w:r w:rsidRPr="00131EED">
              <w:rPr>
                <w:color w:val="000000" w:themeColor="text1"/>
                <w:sz w:val="20"/>
                <w:szCs w:val="20"/>
              </w:rPr>
              <w:t>Acuerdo 11 de 2009</w:t>
            </w:r>
          </w:p>
        </w:tc>
        <w:tc>
          <w:tcPr>
            <w:tcW w:w="2207" w:type="dxa"/>
          </w:tcPr>
          <w:p w14:paraId="0370446B" w14:textId="77777777" w:rsidR="008A326C" w:rsidRPr="00131EED" w:rsidRDefault="008A326C" w:rsidP="002D7F18">
            <w:pPr>
              <w:rPr>
                <w:color w:val="000000" w:themeColor="text1"/>
                <w:sz w:val="20"/>
                <w:szCs w:val="20"/>
              </w:rPr>
            </w:pPr>
            <w:r w:rsidRPr="00131EED">
              <w:rPr>
                <w:color w:val="000000" w:themeColor="text1"/>
                <w:sz w:val="20"/>
                <w:szCs w:val="20"/>
              </w:rPr>
              <w:t>Resolución 2432 de 2011</w:t>
            </w:r>
          </w:p>
        </w:tc>
      </w:tr>
      <w:tr w:rsidR="008A326C" w:rsidRPr="00131EED" w14:paraId="1B208D4C" w14:textId="77777777" w:rsidTr="00053167">
        <w:trPr>
          <w:trHeight w:val="20"/>
        </w:trPr>
        <w:tc>
          <w:tcPr>
            <w:tcW w:w="2263" w:type="dxa"/>
          </w:tcPr>
          <w:p w14:paraId="0B024A0A" w14:textId="77777777" w:rsidR="008A326C" w:rsidRPr="00131EED" w:rsidRDefault="008A326C" w:rsidP="002D7F18">
            <w:pPr>
              <w:rPr>
                <w:b/>
                <w:color w:val="000000" w:themeColor="text1"/>
                <w:sz w:val="20"/>
                <w:szCs w:val="20"/>
              </w:rPr>
            </w:pPr>
            <w:r w:rsidRPr="00131EED">
              <w:rPr>
                <w:color w:val="000000" w:themeColor="text1"/>
                <w:sz w:val="20"/>
                <w:szCs w:val="20"/>
              </w:rPr>
              <w:t>San Miguel de Sema y Ráquira (Boyacá), Carmen de Carupa, Lenguazaque, Simijaca, Guachetá, Cucunubá, Fúquene, Susa, Sutatausa y Ubaté (Cund)</w:t>
            </w:r>
          </w:p>
        </w:tc>
        <w:tc>
          <w:tcPr>
            <w:tcW w:w="2151" w:type="dxa"/>
          </w:tcPr>
          <w:p w14:paraId="71DF23F1" w14:textId="77777777" w:rsidR="008A326C" w:rsidRPr="00131EED" w:rsidRDefault="008A326C" w:rsidP="002D7F18">
            <w:pPr>
              <w:rPr>
                <w:color w:val="000000" w:themeColor="text1"/>
                <w:sz w:val="20"/>
                <w:szCs w:val="20"/>
              </w:rPr>
            </w:pPr>
            <w:r w:rsidRPr="00131EED">
              <w:rPr>
                <w:color w:val="000000" w:themeColor="text1"/>
                <w:sz w:val="20"/>
                <w:szCs w:val="20"/>
              </w:rPr>
              <w:t>Complejo lagunar Fúquene Cucunubá y Palacio</w:t>
            </w:r>
          </w:p>
        </w:tc>
        <w:tc>
          <w:tcPr>
            <w:tcW w:w="2207" w:type="dxa"/>
          </w:tcPr>
          <w:p w14:paraId="1872CB3D" w14:textId="77777777" w:rsidR="008A326C" w:rsidRPr="00131EED" w:rsidRDefault="008A326C" w:rsidP="002D7F18">
            <w:pPr>
              <w:rPr>
                <w:color w:val="000000" w:themeColor="text1"/>
                <w:sz w:val="20"/>
                <w:szCs w:val="20"/>
              </w:rPr>
            </w:pPr>
            <w:r w:rsidRPr="00131EED">
              <w:rPr>
                <w:color w:val="000000" w:themeColor="text1"/>
                <w:sz w:val="20"/>
                <w:szCs w:val="20"/>
              </w:rPr>
              <w:t>Acuerdo 18 de 2017</w:t>
            </w:r>
          </w:p>
        </w:tc>
        <w:tc>
          <w:tcPr>
            <w:tcW w:w="2207" w:type="dxa"/>
          </w:tcPr>
          <w:p w14:paraId="06EBB237" w14:textId="77777777" w:rsidR="008A326C" w:rsidRPr="00131EED" w:rsidRDefault="008A326C" w:rsidP="002D7F18">
            <w:pPr>
              <w:rPr>
                <w:color w:val="000000" w:themeColor="text1"/>
                <w:sz w:val="20"/>
                <w:szCs w:val="20"/>
              </w:rPr>
            </w:pPr>
            <w:r w:rsidRPr="00131EED">
              <w:rPr>
                <w:color w:val="000000" w:themeColor="text1"/>
                <w:sz w:val="20"/>
                <w:szCs w:val="20"/>
              </w:rPr>
              <w:t>Acuerdo 05 de 2018</w:t>
            </w:r>
          </w:p>
        </w:tc>
      </w:tr>
      <w:tr w:rsidR="008A326C" w:rsidRPr="00131EED" w14:paraId="57BC6701" w14:textId="77777777" w:rsidTr="00053167">
        <w:trPr>
          <w:trHeight w:val="20"/>
        </w:trPr>
        <w:tc>
          <w:tcPr>
            <w:tcW w:w="2263" w:type="dxa"/>
          </w:tcPr>
          <w:p w14:paraId="4AD9619E" w14:textId="77777777" w:rsidR="008A326C" w:rsidRPr="00131EED" w:rsidRDefault="008A326C" w:rsidP="002D7F18">
            <w:pPr>
              <w:rPr>
                <w:b/>
                <w:color w:val="000000" w:themeColor="text1"/>
                <w:sz w:val="20"/>
                <w:szCs w:val="20"/>
              </w:rPr>
            </w:pPr>
            <w:r w:rsidRPr="00131EED">
              <w:rPr>
                <w:color w:val="000000" w:themeColor="text1"/>
                <w:sz w:val="20"/>
                <w:szCs w:val="20"/>
              </w:rPr>
              <w:t>Bogotá</w:t>
            </w:r>
          </w:p>
        </w:tc>
        <w:tc>
          <w:tcPr>
            <w:tcW w:w="2151" w:type="dxa"/>
          </w:tcPr>
          <w:p w14:paraId="1082CF68" w14:textId="77777777" w:rsidR="008A326C" w:rsidRPr="00131EED" w:rsidRDefault="008A326C" w:rsidP="002D7F18">
            <w:pPr>
              <w:rPr>
                <w:color w:val="000000" w:themeColor="text1"/>
                <w:sz w:val="20"/>
                <w:szCs w:val="20"/>
              </w:rPr>
            </w:pPr>
            <w:r w:rsidRPr="00131EED">
              <w:rPr>
                <w:color w:val="000000" w:themeColor="text1"/>
                <w:sz w:val="20"/>
                <w:szCs w:val="20"/>
              </w:rPr>
              <w:t>Humedal Meandro del Say</w:t>
            </w:r>
          </w:p>
        </w:tc>
        <w:tc>
          <w:tcPr>
            <w:tcW w:w="2207" w:type="dxa"/>
          </w:tcPr>
          <w:p w14:paraId="055B7691" w14:textId="77777777" w:rsidR="008A326C" w:rsidRPr="00131EED" w:rsidRDefault="008A326C" w:rsidP="002D7F18">
            <w:pPr>
              <w:rPr>
                <w:color w:val="000000" w:themeColor="text1"/>
                <w:sz w:val="20"/>
                <w:szCs w:val="20"/>
              </w:rPr>
            </w:pPr>
            <w:r w:rsidRPr="00131EED">
              <w:rPr>
                <w:color w:val="000000" w:themeColor="text1"/>
                <w:sz w:val="20"/>
                <w:szCs w:val="20"/>
              </w:rPr>
              <w:t>Acuerdo 19 de 1994</w:t>
            </w:r>
          </w:p>
        </w:tc>
        <w:tc>
          <w:tcPr>
            <w:tcW w:w="2207" w:type="dxa"/>
          </w:tcPr>
          <w:p w14:paraId="20E04B7B" w14:textId="77777777" w:rsidR="008A326C" w:rsidRPr="00131EED" w:rsidRDefault="008A326C" w:rsidP="002D7F18">
            <w:pPr>
              <w:rPr>
                <w:color w:val="000000" w:themeColor="text1"/>
                <w:sz w:val="20"/>
                <w:szCs w:val="20"/>
              </w:rPr>
            </w:pPr>
            <w:r w:rsidRPr="00131EED">
              <w:rPr>
                <w:color w:val="000000" w:themeColor="text1"/>
                <w:sz w:val="20"/>
                <w:szCs w:val="20"/>
              </w:rPr>
              <w:t>Resolución conjunta CAR – SDA 03 de 2015</w:t>
            </w:r>
          </w:p>
        </w:tc>
      </w:tr>
      <w:tr w:rsidR="008A326C" w:rsidRPr="00131EED" w14:paraId="5E68D08E" w14:textId="77777777" w:rsidTr="00053167">
        <w:trPr>
          <w:trHeight w:val="20"/>
        </w:trPr>
        <w:tc>
          <w:tcPr>
            <w:tcW w:w="2263" w:type="dxa"/>
          </w:tcPr>
          <w:p w14:paraId="71C8697A" w14:textId="77777777" w:rsidR="008A326C" w:rsidRPr="00131EED" w:rsidRDefault="008A326C" w:rsidP="002D7F18">
            <w:pPr>
              <w:rPr>
                <w:b/>
                <w:color w:val="000000" w:themeColor="text1"/>
                <w:sz w:val="20"/>
                <w:szCs w:val="20"/>
              </w:rPr>
            </w:pPr>
            <w:r w:rsidRPr="00131EED">
              <w:rPr>
                <w:color w:val="000000" w:themeColor="text1"/>
                <w:sz w:val="20"/>
                <w:szCs w:val="20"/>
              </w:rPr>
              <w:t>Bogotá</w:t>
            </w:r>
          </w:p>
        </w:tc>
        <w:tc>
          <w:tcPr>
            <w:tcW w:w="2151" w:type="dxa"/>
          </w:tcPr>
          <w:p w14:paraId="30835E8A" w14:textId="77777777" w:rsidR="008A326C" w:rsidRPr="00131EED" w:rsidRDefault="008A326C" w:rsidP="002D7F18">
            <w:pPr>
              <w:rPr>
                <w:color w:val="000000" w:themeColor="text1"/>
                <w:sz w:val="20"/>
                <w:szCs w:val="20"/>
              </w:rPr>
            </w:pPr>
            <w:r w:rsidRPr="00131EED">
              <w:rPr>
                <w:color w:val="000000" w:themeColor="text1"/>
                <w:sz w:val="20"/>
                <w:szCs w:val="20"/>
              </w:rPr>
              <w:t>Reserva Hídrica Torca - Guaymaral</w:t>
            </w:r>
          </w:p>
        </w:tc>
        <w:tc>
          <w:tcPr>
            <w:tcW w:w="2207" w:type="dxa"/>
          </w:tcPr>
          <w:p w14:paraId="3ACE994B" w14:textId="77777777" w:rsidR="008A326C" w:rsidRPr="00131EED" w:rsidRDefault="008A326C" w:rsidP="002D7F18">
            <w:pPr>
              <w:rPr>
                <w:color w:val="000000" w:themeColor="text1"/>
                <w:sz w:val="20"/>
                <w:szCs w:val="20"/>
              </w:rPr>
            </w:pPr>
            <w:r w:rsidRPr="00131EED">
              <w:rPr>
                <w:color w:val="000000" w:themeColor="text1"/>
                <w:sz w:val="20"/>
                <w:szCs w:val="20"/>
              </w:rPr>
              <w:t>Acuerdo 19 de 1994</w:t>
            </w:r>
          </w:p>
        </w:tc>
        <w:tc>
          <w:tcPr>
            <w:tcW w:w="2207" w:type="dxa"/>
          </w:tcPr>
          <w:p w14:paraId="22DB9ED3" w14:textId="77777777" w:rsidR="008A326C" w:rsidRPr="00131EED" w:rsidRDefault="008A326C" w:rsidP="002D7F18">
            <w:pPr>
              <w:rPr>
                <w:color w:val="000000" w:themeColor="text1"/>
                <w:sz w:val="20"/>
                <w:szCs w:val="20"/>
              </w:rPr>
            </w:pPr>
            <w:r w:rsidRPr="00131EED">
              <w:rPr>
                <w:color w:val="000000" w:themeColor="text1"/>
                <w:sz w:val="20"/>
                <w:szCs w:val="20"/>
              </w:rPr>
              <w:t>Resolución conjunta CAR – SDA 29 de 2023</w:t>
            </w:r>
          </w:p>
        </w:tc>
      </w:tr>
    </w:tbl>
    <w:p w14:paraId="7615B17F" w14:textId="77777777" w:rsidR="008A326C" w:rsidRPr="00131EED" w:rsidRDefault="008A326C" w:rsidP="003228A4">
      <w:pPr>
        <w:pStyle w:val="Caption"/>
        <w:spacing w:after="0"/>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Fuente: Dirección de Gestión del Ordenamiento Ambiental y Territorial – DGOAT - CAR (2024)</w:t>
      </w:r>
    </w:p>
    <w:p w14:paraId="39475424" w14:textId="77777777" w:rsidR="008A326C" w:rsidRPr="00131EED" w:rsidRDefault="008A326C" w:rsidP="008A326C">
      <w:pPr>
        <w:rPr>
          <w:rFonts w:ascii="Baskerville" w:hAnsi="Baskerville"/>
        </w:rPr>
      </w:pPr>
    </w:p>
    <w:p w14:paraId="0073BE6D" w14:textId="29E3051B" w:rsidR="008A326C" w:rsidRPr="00131EED" w:rsidRDefault="008A326C" w:rsidP="008A326C">
      <w:r w:rsidRPr="00131EED">
        <w:t xml:space="preserve">A partir de lo anterior, se destaca la importancia de la </w:t>
      </w:r>
      <w:r w:rsidRPr="00131EED">
        <w:rPr>
          <w:b/>
        </w:rPr>
        <w:t>renaturalización</w:t>
      </w:r>
      <w:r w:rsidRPr="00131EED">
        <w:t xml:space="preserve"> particularmente en humedales, entendida como un proceso de diseño ecológico que busca restaurar la funcionalidad ambiental de áreas urbanizadas mediante soluciones basadas en la naturaleza. Este enfoque incluye diversificar coberturas vegetales, transformar superficies impermeables en permeables y optimizar el ciclo hidrológico con tecnologías que favorezcan la infiltración y reutilización de aguas pluviales.  En humedales lóticos y lénticos, la renaturalización prioriza la restauración de dinámicas ecohidrológicas y caudales ambientales, combinando tratamientos biológicos para mejorar la calidad del agua, técnicas de bioingeniería contra la erosión y la recuperación de coberturas vegetales. Con ello, se crean hábitats funcionales, se fortalece la resiliencia climática, se mejora la calidad ambiental y se promueve el bienestar en entornos urbanos.</w:t>
      </w:r>
    </w:p>
    <w:p w14:paraId="16D7610B" w14:textId="77777777" w:rsidR="0055774B" w:rsidRPr="00131EED" w:rsidRDefault="0055774B" w:rsidP="008A326C"/>
    <w:p w14:paraId="62012917" w14:textId="77777777" w:rsidR="0055774B" w:rsidRPr="00131EED" w:rsidRDefault="0055774B" w:rsidP="008A326C"/>
    <w:p w14:paraId="735D0ACD" w14:textId="77777777" w:rsidR="008A326C" w:rsidRPr="00131EED" w:rsidRDefault="008A326C" w:rsidP="008A326C">
      <w:pPr>
        <w:pStyle w:val="Heading4"/>
        <w:rPr>
          <w:rFonts w:ascii="Baskerville Old Face" w:hAnsi="Baskerville Old Face"/>
          <w:sz w:val="24"/>
          <w:szCs w:val="24"/>
          <w:shd w:val="clear" w:color="auto" w:fill="FEFEFE"/>
        </w:rPr>
      </w:pPr>
      <w:bookmarkStart w:id="86" w:name="_Toc216468693"/>
      <w:r w:rsidRPr="00131EED">
        <w:rPr>
          <w:rFonts w:ascii="Baskerville Old Face" w:hAnsi="Baskerville Old Face"/>
          <w:sz w:val="24"/>
          <w:szCs w:val="24"/>
          <w:shd w:val="clear" w:color="auto" w:fill="FEFEFE"/>
        </w:rPr>
        <w:t>Bosques altoandinos en la Sabana de Bogotá</w:t>
      </w:r>
      <w:bookmarkEnd w:id="86"/>
    </w:p>
    <w:p w14:paraId="537444F2" w14:textId="77777777" w:rsidR="008A326C" w:rsidRPr="00131EED" w:rsidRDefault="008A326C" w:rsidP="008A326C"/>
    <w:p w14:paraId="2E85E1A4" w14:textId="77777777" w:rsidR="008A326C" w:rsidRPr="00131EED" w:rsidRDefault="008A326C" w:rsidP="008A326C">
      <w:pPr>
        <w:rPr>
          <w:rFonts w:cs="Arial"/>
        </w:rPr>
      </w:pPr>
      <w:r w:rsidRPr="00131EED">
        <w:rPr>
          <w:rFonts w:cs="Arial"/>
        </w:rPr>
        <w:t>El bosque Altoandino ha sido descrito como la franja de vegetación ubicada entre los 2.750 msnm de manera continua a los 3.300 msnm, limitando con el borde inferior del páramo. Estos bosques cuentan con la particularidad que la humedad aumenta con la altitud, de manera tal que van incrementando especies más higrofíticas de manera proporcional con la humedad.(</w:t>
      </w:r>
      <w:r w:rsidRPr="00131EED">
        <w:rPr>
          <w:rFonts w:cs="Arial"/>
        </w:rPr>
        <w:fldChar w:fldCharType="begin"/>
      </w:r>
      <w:r w:rsidRPr="00131EED">
        <w:rPr>
          <w:rFonts w:cs="Arial"/>
        </w:rPr>
        <w:instrText xml:space="preserve"> ADDIN EN.CITE &lt;EndNote&gt;&lt;Cite&gt;&lt;Author&gt;Van der Hammen&lt;/Author&gt;&lt;Year&gt;1998&lt;/Year&gt;&lt;RecNum&gt;33&lt;/RecNum&gt;&lt;record&gt;&lt;rec-number&gt;33&lt;/rec-number&gt;&lt;foreign-keys&gt;&lt;key app="EN" db-id="v9vzpfdessvvxxe2adaxpf2nxv0paa2ep22d"&gt;33&lt;/key&gt;&lt;/foreign-keys&gt;&lt;ref-type name="Book"&gt;6&lt;/ref-type&gt;&lt;contributors&gt;&lt;authors&gt;&lt;author&gt;Van der Hammen, T. &lt;/author&gt;&lt;/authors&gt;&lt;/contributors&gt;&lt;titles&gt;&lt;title&gt;Plan ambiental de la cuenca alta del Río Bogotá: Análisis y orientaciones para el ordenamiento Territorial.&lt;/title&gt;&lt;/titles&gt;&lt;dates&gt;&lt;year&gt;1998&lt;/year&gt;&lt;/dates&gt;&lt;pub-location&gt;Bogotá, D.C.&lt;/pub-location&gt;&lt;publisher&gt;Corporación Autónoma Regional de Cundinamarca – CAR&amp;#xD;&lt;/publisher&gt;&lt;urls&gt;&lt;/urls&gt;&lt;/record&gt;&lt;/Cite&gt;&lt;/EndNote&gt;</w:instrText>
      </w:r>
      <w:r w:rsidRPr="00131EED">
        <w:rPr>
          <w:rFonts w:cs="Arial"/>
        </w:rPr>
        <w:fldChar w:fldCharType="separate"/>
      </w:r>
      <w:r w:rsidRPr="00131EED">
        <w:rPr>
          <w:rFonts w:cs="Arial"/>
        </w:rPr>
        <w:t>Van der Hammen 1998</w:t>
      </w:r>
      <w:r w:rsidRPr="00131EED">
        <w:rPr>
          <w:rFonts w:cs="Arial"/>
        </w:rPr>
        <w:fldChar w:fldCharType="end"/>
      </w:r>
      <w:r w:rsidRPr="00131EED">
        <w:rPr>
          <w:rFonts w:cs="Arial"/>
        </w:rPr>
        <w:t xml:space="preserve">, </w:t>
      </w:r>
      <w:r w:rsidRPr="00131EED">
        <w:t>Camelo 2015</w:t>
      </w:r>
      <w:r w:rsidRPr="00131EED">
        <w:rPr>
          <w:rFonts w:cs="Arial"/>
        </w:rPr>
        <w:t>).</w:t>
      </w:r>
    </w:p>
    <w:p w14:paraId="612E0F5E" w14:textId="77777777" w:rsidR="008A326C" w:rsidRPr="00131EED" w:rsidRDefault="008A326C" w:rsidP="008A326C">
      <w:pPr>
        <w:pStyle w:val="ListParagraph"/>
        <w:spacing w:after="0"/>
        <w:rPr>
          <w:rFonts w:cs="Arial"/>
          <w:sz w:val="24"/>
          <w:szCs w:val="24"/>
        </w:rPr>
      </w:pPr>
    </w:p>
    <w:p w14:paraId="3F106B3B" w14:textId="77777777" w:rsidR="008A326C" w:rsidRPr="00131EED" w:rsidRDefault="008A326C" w:rsidP="008A326C">
      <w:pPr>
        <w:rPr>
          <w:rFonts w:cs="Arial"/>
        </w:rPr>
      </w:pPr>
      <w:r w:rsidRPr="00131EED">
        <w:rPr>
          <w:rFonts w:cs="Arial"/>
        </w:rPr>
        <w:t xml:space="preserve">Este tipo de bosques a nivel nacional se ubican sobre la región Andina en las tres cordilleras y en la Sierra Nevada de Santa Martha, sobre la franja altitudinal anteriormente citada. Sobre la región andina, este bioma ocupa aproximadamente 7’445.367 hectáreas </w:t>
      </w:r>
      <w:r w:rsidRPr="00131EED">
        <w:rPr>
          <w:rFonts w:cs="Arial"/>
        </w:rPr>
        <w:fldChar w:fldCharType="begin"/>
      </w:r>
      <w:r w:rsidRPr="00131EED">
        <w:rPr>
          <w:rFonts w:cs="Arial"/>
        </w:rPr>
        <w:instrText xml:space="preserve"> ADDIN EN.CITE &lt;EndNote&gt;&lt;Cite&gt;&lt;Author&gt;Romero M.&lt;/Author&gt;&lt;Year&gt;2008&lt;/Year&gt;&lt;RecNum&gt;2&lt;/RecNum&gt;&lt;record&gt;&lt;rec-number&gt;2&lt;/rec-number&gt;&lt;foreign-keys&gt;&lt;key app="EN" db-id="d0xx0929pdxfw4esdfpxx5z4fefxp29vfxde"&gt;2&lt;/key&gt;&lt;/foreign-keys&gt;&lt;ref-type name="Book"&gt;6&lt;/ref-type&gt;&lt;contributors&gt;&lt;authors&gt;&lt;author&gt;Romero M., Cabrera E. Ortiz N.&lt;/author&gt;&lt;/authors&gt;&lt;/contributors&gt;&lt;titles&gt;&lt;title&gt;Informe sobre el estado de la biodiversidad en Colombia 2006-2007&lt;/title&gt;&lt;/titles&gt;&lt;dates&gt;&lt;year&gt;2008&lt;/year&gt;&lt;/dates&gt;&lt;pub-location&gt;Bogotá D.C. Colombia&lt;/pub-location&gt;&lt;publisher&gt;nstituto de Investigación de Recursos Biológicos Alexander von Humboldt&lt;/publisher&gt;&lt;urls&gt;&lt;/urls&gt;&lt;/record&gt;&lt;/Cite&gt;&lt;/EndNote&gt;</w:instrText>
      </w:r>
      <w:r w:rsidRPr="00131EED">
        <w:rPr>
          <w:rFonts w:cs="Arial"/>
        </w:rPr>
        <w:fldChar w:fldCharType="separate"/>
      </w:r>
      <w:r w:rsidRPr="00131EED">
        <w:rPr>
          <w:rFonts w:cs="Arial"/>
        </w:rPr>
        <w:t>Romero M. 2008</w:t>
      </w:r>
      <w:r w:rsidRPr="00131EED">
        <w:rPr>
          <w:rFonts w:cs="Arial"/>
        </w:rPr>
        <w:fldChar w:fldCharType="end"/>
      </w:r>
      <w:r w:rsidRPr="00131EED">
        <w:rPr>
          <w:rFonts w:cs="Arial"/>
        </w:rPr>
        <w:t xml:space="preserve"> sobre la cordillera de los Andes, sin embargo, del total de este tipo de biomas, solo 3’560.285 son áreas naturales, es decir aproximadamente el 53% del total de la extensión sobre los andes colombianos han sido transformados (Romero </w:t>
      </w:r>
      <w:r w:rsidRPr="00131EED">
        <w:rPr>
          <w:rFonts w:cs="Arial"/>
          <w:i/>
        </w:rPr>
        <w:t>et al</w:t>
      </w:r>
      <w:r w:rsidRPr="00131EED">
        <w:rPr>
          <w:rFonts w:cs="Arial"/>
        </w:rPr>
        <w:t>,</w:t>
      </w:r>
      <w:r w:rsidRPr="00131EED">
        <w:rPr>
          <w:rFonts w:cs="Arial"/>
        </w:rPr>
        <w:fldChar w:fldCharType="begin"/>
      </w:r>
      <w:r w:rsidRPr="00131EED">
        <w:rPr>
          <w:rFonts w:cs="Arial"/>
        </w:rPr>
        <w:instrText xml:space="preserve"> ADDIN EN.CITE &lt;EndNote&gt;&lt;Cite ExcludeAuth="1"&gt;&lt;Author&gt;Romero&lt;/Author&gt;&lt;Year&gt;2008&lt;/Year&gt;&lt;RecNum&gt;42&lt;/RecNum&gt;&lt;record&gt;&lt;rec-number&gt;42&lt;/rec-number&gt;&lt;foreign-keys&gt;&lt;key app="EN" db-id="v9vzpfdessvvxxe2adaxpf2nxv0paa2ep22d"&gt;42&lt;/key&gt;&lt;/foreign-keys&gt;&lt;ref-type name="Book"&gt;6&lt;/ref-type&gt;&lt;contributors&gt;&lt;authors&gt;&lt;author&gt;Romero, M., Cabrera, E., Ortiz, N.&lt;/author&gt;&lt;/authors&gt;&lt;/contributors&gt;&lt;titles&gt;&lt;title&gt;Informe sobre el estado de la biodiversidad en Colombia 2006-2007&lt;/title&gt;&lt;/titles&gt;&lt;dates&gt;&lt;year&gt;2008&lt;/year&gt;&lt;/dates&gt;&lt;pub-location&gt;Bogotá D.C. Colombia&lt;/pub-location&gt;&lt;publisher&gt;nstituto de Investigación de Recursos Biológicos Alexander von Humboldt&lt;/publisher&gt;&lt;urls&gt;&lt;/urls&gt;&lt;/record&gt;&lt;/Cite&gt;&lt;/EndNote&gt;</w:instrText>
      </w:r>
      <w:r w:rsidRPr="00131EED">
        <w:rPr>
          <w:rFonts w:cs="Arial"/>
        </w:rPr>
        <w:fldChar w:fldCharType="separate"/>
      </w:r>
      <w:r w:rsidRPr="00131EED">
        <w:rPr>
          <w:rFonts w:cs="Arial"/>
        </w:rPr>
        <w:t>2008</w:t>
      </w:r>
      <w:r w:rsidRPr="00131EED">
        <w:rPr>
          <w:rFonts w:cs="Arial"/>
        </w:rPr>
        <w:fldChar w:fldCharType="end"/>
      </w:r>
      <w:r w:rsidRPr="00131EED">
        <w:rPr>
          <w:rFonts w:cs="Arial"/>
        </w:rPr>
        <w:t xml:space="preserve">, </w:t>
      </w:r>
      <w:r w:rsidRPr="00131EED">
        <w:t>Camelo 2015</w:t>
      </w:r>
      <w:r w:rsidRPr="00131EED">
        <w:rPr>
          <w:rFonts w:cs="Arial"/>
        </w:rPr>
        <w:t>).</w:t>
      </w:r>
    </w:p>
    <w:p w14:paraId="73EE875A" w14:textId="77777777" w:rsidR="008A326C" w:rsidRPr="00131EED" w:rsidRDefault="008A326C" w:rsidP="008A326C">
      <w:pPr>
        <w:pStyle w:val="ListParagraph"/>
        <w:spacing w:after="0"/>
        <w:rPr>
          <w:rFonts w:cs="Arial"/>
          <w:sz w:val="24"/>
          <w:szCs w:val="24"/>
        </w:rPr>
      </w:pPr>
    </w:p>
    <w:p w14:paraId="20CB8E7E" w14:textId="77777777" w:rsidR="008A326C" w:rsidRPr="00131EED" w:rsidRDefault="008A326C" w:rsidP="008A326C">
      <w:pPr>
        <w:rPr>
          <w:rFonts w:cs="Arial"/>
        </w:rPr>
      </w:pPr>
      <w:r w:rsidRPr="00131EED">
        <w:rPr>
          <w:rFonts w:cs="Arial"/>
        </w:rPr>
        <w:t xml:space="preserve">A nivel regional, los bosques altoandinos son característicos de la cordillera oriental en el departamento de Cundinamarca, básicamente en el sistema montañoso que enmarca el altiplano cundiboyacense y la Sabana de Bogotá, sin embargo este bosque ha sido altamente transformado ya que la mayor parte de la población nacional se encuentra asentada en la región central del país, por ende aumenta la presión antrópica sobre el mismo.(Morales </w:t>
      </w:r>
      <w:r w:rsidRPr="00131EED">
        <w:rPr>
          <w:rFonts w:cs="Arial"/>
          <w:i/>
        </w:rPr>
        <w:t>et al</w:t>
      </w:r>
      <w:r w:rsidRPr="00131EED">
        <w:rPr>
          <w:rFonts w:cs="Arial"/>
        </w:rPr>
        <w:t xml:space="preserve">, </w:t>
      </w:r>
      <w:r w:rsidRPr="00131EED">
        <w:rPr>
          <w:rFonts w:cs="Arial"/>
        </w:rPr>
        <w:fldChar w:fldCharType="begin"/>
      </w:r>
      <w:r w:rsidRPr="00131EED">
        <w:rPr>
          <w:rFonts w:cs="Arial"/>
        </w:rPr>
        <w:instrText xml:space="preserve"> ADDIN EN.CITE &lt;EndNote&gt;&lt;Cite ExcludeAuth="1"&gt;&lt;Author&gt;Morales&lt;/Author&gt;&lt;Year&gt;2009&lt;/Year&gt;&lt;RecNum&gt;41&lt;/RecNum&gt;&lt;record&gt;&lt;rec-number&gt;41&lt;/rec-number&gt;&lt;foreign-keys&gt;&lt;key app="EN" db-id="v9vzpfdessvvxxe2adaxpf2nxv0paa2ep22d"&gt;41&lt;/key&gt;&lt;/foreign-keys&gt;&lt;ref-type name="Government Document"&gt;46&lt;/ref-type&gt;&lt;contributors&gt;&lt;authors&gt;&lt;author&gt;Morales, M., Betancourt, J.C., Bernal, N.R.&lt;/author&gt;&lt;/authors&gt;&lt;secondary-authors&gt;&lt;author&gt;Convenio No 548 de 2007&lt;/author&gt;&lt;/secondary-authors&gt;&lt;/contributors&gt;&lt;titles&gt;&lt;title&gt;Estimación de un conjunto de indicadores que aproten a un programa de monitoreo de la biodiversidad, a nivel de ecosistemas, en la jurisdicción de la CAR&lt;/title&gt;&lt;/titles&gt;&lt;dates&gt;&lt;year&gt;2009&lt;/year&gt;&lt;/dates&gt;&lt;pub-location&gt;Bogotá D.C.&lt;/pub-location&gt;&lt;publisher&gt;Corporación Autónoma Regional de Cundinamarca - CAR&lt;/publisher&gt;&lt;urls&gt;&lt;/urls&gt;&lt;/record&gt;&lt;/Cite&gt;&lt;/EndNote&gt;</w:instrText>
      </w:r>
      <w:r w:rsidRPr="00131EED">
        <w:rPr>
          <w:rFonts w:cs="Arial"/>
        </w:rPr>
        <w:fldChar w:fldCharType="separate"/>
      </w:r>
      <w:r w:rsidRPr="00131EED">
        <w:rPr>
          <w:rFonts w:cs="Arial"/>
        </w:rPr>
        <w:t>2009</w:t>
      </w:r>
      <w:r w:rsidRPr="00131EED">
        <w:rPr>
          <w:rFonts w:cs="Arial"/>
        </w:rPr>
        <w:fldChar w:fldCharType="end"/>
      </w:r>
      <w:r w:rsidRPr="00131EED">
        <w:rPr>
          <w:rFonts w:cs="Arial"/>
        </w:rPr>
        <w:t xml:space="preserve">, (Romero </w:t>
      </w:r>
      <w:r w:rsidRPr="00131EED">
        <w:rPr>
          <w:rFonts w:cs="Arial"/>
          <w:i/>
        </w:rPr>
        <w:t>et al</w:t>
      </w:r>
      <w:r w:rsidRPr="00131EED">
        <w:rPr>
          <w:rFonts w:cs="Arial"/>
        </w:rPr>
        <w:t xml:space="preserve">, </w:t>
      </w:r>
      <w:r w:rsidRPr="00131EED">
        <w:rPr>
          <w:rFonts w:cs="Arial"/>
        </w:rPr>
        <w:fldChar w:fldCharType="begin"/>
      </w:r>
      <w:r w:rsidRPr="00131EED">
        <w:rPr>
          <w:rFonts w:cs="Arial"/>
        </w:rPr>
        <w:instrText xml:space="preserve"> ADDIN EN.CITE &lt;EndNote&gt;&lt;Cite ExcludeAuth="1"&gt;&lt;Author&gt;Romero&lt;/Author&gt;&lt;Year&gt;2008&lt;/Year&gt;&lt;RecNum&gt;42&lt;/RecNum&gt;&lt;record&gt;&lt;rec-number&gt;42&lt;/rec-number&gt;&lt;foreign-keys&gt;&lt;key app="EN" db-id="v9vzpfdessvvxxe2adaxpf2nxv0paa2ep22d"&gt;42&lt;/key&gt;&lt;/foreign-keys&gt;&lt;ref-type name="Book"&gt;6&lt;/ref-type&gt;&lt;contributors&gt;&lt;authors&gt;&lt;author&gt;Romero, M., Cabrera, E., Ortiz, N.&lt;/author&gt;&lt;/authors&gt;&lt;/contributors&gt;&lt;titles&gt;&lt;title&gt;Informe sobre el estado de la biodiversidad en Colombia 2006-2007&lt;/title&gt;&lt;/titles&gt;&lt;dates&gt;&lt;year&gt;2008&lt;/year&gt;&lt;/dates&gt;&lt;pub-location&gt;Bogotá D.C. Colombia&lt;/pub-location&gt;&lt;publisher&gt;nstituto de Investigación de Recursos Biológicos Alexander von Humboldt&lt;/publisher&gt;&lt;urls&gt;&lt;/urls&gt;&lt;/record&gt;&lt;/Cite&gt;&lt;/EndNote&gt;</w:instrText>
      </w:r>
      <w:r w:rsidRPr="00131EED">
        <w:rPr>
          <w:rFonts w:cs="Arial"/>
        </w:rPr>
        <w:fldChar w:fldCharType="separate"/>
      </w:r>
      <w:r w:rsidRPr="00131EED">
        <w:rPr>
          <w:rFonts w:cs="Arial"/>
        </w:rPr>
        <w:t>2008</w:t>
      </w:r>
      <w:r w:rsidRPr="00131EED">
        <w:rPr>
          <w:rFonts w:cs="Arial"/>
        </w:rPr>
        <w:fldChar w:fldCharType="end"/>
      </w:r>
      <w:r w:rsidRPr="00131EED">
        <w:rPr>
          <w:rFonts w:cs="Arial"/>
        </w:rPr>
        <w:t xml:space="preserve">, </w:t>
      </w:r>
      <w:r w:rsidRPr="00131EED">
        <w:t>Camelo 2015</w:t>
      </w:r>
      <w:r w:rsidRPr="00131EED">
        <w:rPr>
          <w:rFonts w:cs="Arial"/>
        </w:rPr>
        <w:t>).</w:t>
      </w:r>
    </w:p>
    <w:p w14:paraId="555E27FE" w14:textId="29F213E7" w:rsidR="00054C86" w:rsidRPr="00131EED" w:rsidRDefault="00054C86" w:rsidP="008A326C">
      <w:pPr>
        <w:rPr>
          <w:rFonts w:cs="Arial"/>
        </w:rPr>
      </w:pPr>
    </w:p>
    <w:p w14:paraId="6730F163" w14:textId="73884859" w:rsidR="00054C86" w:rsidRPr="00131EED" w:rsidRDefault="00A63DAD" w:rsidP="00A63DAD">
      <w:pPr>
        <w:pStyle w:val="Caption"/>
      </w:pPr>
      <w:bookmarkStart w:id="87" w:name="_Toc216468787"/>
      <w:r w:rsidRPr="00131EED">
        <w:t xml:space="preserve">Ilustración </w:t>
      </w:r>
      <w:fldSimple w:instr=" SEQ Ilustración \* ARABIC ">
        <w:r w:rsidR="00CE096F">
          <w:rPr>
            <w:noProof/>
          </w:rPr>
          <w:t>22</w:t>
        </w:r>
      </w:fldSimple>
      <w:r w:rsidRPr="00131EED">
        <w:t>. Relicto de Bosque Altoandino y transición a páramo, ubicado en los Cerros Orientales de Bogotá</w:t>
      </w:r>
      <w:bookmarkEnd w:id="87"/>
    </w:p>
    <w:p w14:paraId="49C7EC18" w14:textId="69FD7E96" w:rsidR="00054C86" w:rsidRPr="00131EED" w:rsidRDefault="00054C86" w:rsidP="00A63DAD">
      <w:pPr>
        <w:jc w:val="center"/>
        <w:rPr>
          <w:rFonts w:cs="Arial"/>
        </w:rPr>
      </w:pPr>
      <w:r w:rsidRPr="00131EED">
        <w:rPr>
          <w:rFonts w:eastAsia="Arial Narrow" w:cs="Arial Narrow"/>
          <w:noProof/>
          <w:lang w:eastAsia="en-US"/>
        </w:rPr>
        <w:drawing>
          <wp:inline distT="0" distB="0" distL="0" distR="0" wp14:anchorId="3CEE3FB9" wp14:editId="0212BC4E">
            <wp:extent cx="4451230" cy="2505139"/>
            <wp:effectExtent l="0" t="0" r="6985" b="0"/>
            <wp:docPr id="45" name="Imagen 45" descr="C:\Users\Dalila\Downloads\20190211_1307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Dalila\Downloads\20190211_130716.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453662" cy="2506508"/>
                    </a:xfrm>
                    <a:prstGeom prst="rect">
                      <a:avLst/>
                    </a:prstGeom>
                    <a:noFill/>
                    <a:ln>
                      <a:noFill/>
                    </a:ln>
                  </pic:spPr>
                </pic:pic>
              </a:graphicData>
            </a:graphic>
          </wp:inline>
        </w:drawing>
      </w:r>
    </w:p>
    <w:p w14:paraId="11156011" w14:textId="3D5FD536" w:rsidR="00A63DAD" w:rsidRPr="00131EED" w:rsidRDefault="00A63DAD" w:rsidP="00A63DAD">
      <w:pPr>
        <w:jc w:val="center"/>
        <w:rPr>
          <w:rFonts w:cs="Arial"/>
        </w:rPr>
      </w:pPr>
      <w:r w:rsidRPr="00131EED">
        <w:rPr>
          <w:rFonts w:cs="Arial"/>
        </w:rPr>
        <w:t>Fuente: Camelo, D., 2022</w:t>
      </w:r>
    </w:p>
    <w:p w14:paraId="3C2648EC" w14:textId="77777777" w:rsidR="008A326C" w:rsidRPr="00131EED" w:rsidRDefault="008A326C" w:rsidP="008A326C">
      <w:pPr>
        <w:rPr>
          <w:rFonts w:cs="Arial"/>
        </w:rPr>
      </w:pPr>
    </w:p>
    <w:p w14:paraId="23C854B6" w14:textId="77777777" w:rsidR="008A326C" w:rsidRPr="00131EED" w:rsidRDefault="008A326C" w:rsidP="008A326C">
      <w:pPr>
        <w:autoSpaceDE w:val="0"/>
        <w:autoSpaceDN w:val="0"/>
        <w:adjustRightInd w:val="0"/>
        <w:rPr>
          <w:rFonts w:cs="Arial"/>
        </w:rPr>
      </w:pPr>
      <w:r w:rsidRPr="00131EED">
        <w:rPr>
          <w:rFonts w:cs="Arial"/>
        </w:rPr>
        <w:t xml:space="preserve">Los bosques andinos, están considerados como uno de los ecosistemas más ricos en especies y se ubican entre los más importantes </w:t>
      </w:r>
      <w:r w:rsidRPr="00131EED">
        <w:rPr>
          <w:rFonts w:cs="Arial"/>
          <w:i/>
        </w:rPr>
        <w:t xml:space="preserve">hotspots </w:t>
      </w:r>
      <w:r w:rsidRPr="00131EED">
        <w:rPr>
          <w:rFonts w:cs="Arial"/>
        </w:rPr>
        <w:t>de biodiversidad mundial (Brehm et al</w:t>
      </w:r>
      <w:r w:rsidRPr="00131EED">
        <w:rPr>
          <w:rFonts w:cs="Arial"/>
          <w:i/>
        </w:rPr>
        <w:t>.</w:t>
      </w:r>
      <w:r w:rsidRPr="00131EED">
        <w:rPr>
          <w:rFonts w:cs="Arial"/>
        </w:rPr>
        <w:fldChar w:fldCharType="begin"/>
      </w:r>
      <w:r w:rsidRPr="00131EED">
        <w:rPr>
          <w:rFonts w:cs="Arial"/>
        </w:rPr>
        <w:instrText xml:space="preserve"> ADDIN EN.CITE &lt;EndNote&gt;&lt;Cite ExcludeAuth="1"&gt;&lt;Author&gt;Brehm&lt;/Author&gt;&lt;Year&gt;2008&lt;/Year&gt;&lt;RecNum&gt;67&lt;/RecNum&gt;&lt;record&gt;&lt;rec-number&gt;67&lt;/rec-number&gt;&lt;foreign-keys&gt;&lt;key app="EN" db-id="v9vzpfdessvvxxe2adaxpf2nxv0paa2ep22d"&gt;67&lt;/key&gt;&lt;/foreign-keys&gt;&lt;ref-type name="Journal Article"&gt;17&lt;/ref-type&gt;&lt;contributors&gt;&lt;authors&gt;&lt;author&gt;Brehm, G., Humeiek, K., Fiedler, J., Kotlke, J. Illing, N.M., Noske, F., Werner, F., Breckle, W. &lt;/author&gt;&lt;/authors&gt;&lt;/contributors&gt;&lt;titles&gt;&lt;title&gt;Mountain Rain Forest in Southern Ecuador as a Hotspot of biodiversity - Limited knweledge and diverging patterns.&lt;/title&gt;&lt;secondary-title&gt;Analysis and synthesis ecological studies&lt;/secondary-title&gt;&lt;/titles&gt;&lt;periodical&gt;&lt;full-title&gt;Analysis and synthesis ecological studies&lt;/full-title&gt;&lt;/periodical&gt;&lt;pages&gt;15 - 25&lt;/pages&gt;&lt;volume&gt;198&lt;/volume&gt;&lt;dates&gt;&lt;year&gt;2008&lt;/year&gt;&lt;/dates&gt;&lt;urls&gt;&lt;/urls&gt;&lt;/record&gt;&lt;/Cite&gt;&lt;/EndNote&gt;</w:instrText>
      </w:r>
      <w:r w:rsidRPr="00131EED">
        <w:rPr>
          <w:rFonts w:cs="Arial"/>
        </w:rPr>
        <w:fldChar w:fldCharType="separate"/>
      </w:r>
      <w:r w:rsidRPr="00131EED">
        <w:rPr>
          <w:rFonts w:cs="Arial"/>
        </w:rPr>
        <w:t>2008</w:t>
      </w:r>
      <w:r w:rsidRPr="00131EED">
        <w:rPr>
          <w:rFonts w:cs="Arial"/>
        </w:rPr>
        <w:fldChar w:fldCharType="end"/>
      </w:r>
      <w:r w:rsidRPr="00131EED">
        <w:rPr>
          <w:rFonts w:cs="Arial"/>
        </w:rPr>
        <w:t>; Myers et al</w:t>
      </w:r>
      <w:r w:rsidRPr="00131EED">
        <w:rPr>
          <w:rFonts w:cs="Arial"/>
          <w:i/>
        </w:rPr>
        <w:t>.</w:t>
      </w:r>
      <w:r w:rsidRPr="00131EED">
        <w:rPr>
          <w:rFonts w:cs="Arial"/>
        </w:rPr>
        <w:fldChar w:fldCharType="begin"/>
      </w:r>
      <w:r w:rsidRPr="00131EED">
        <w:rPr>
          <w:rFonts w:cs="Arial"/>
        </w:rPr>
        <w:instrText xml:space="preserve"> ADDIN EN.CITE &lt;EndNote&gt;&lt;Cite ExcludeAuth="1"&gt;&lt;Author&gt;Myers&lt;/Author&gt;&lt;Year&gt;2000&lt;/Year&gt;&lt;RecNum&gt;68&lt;/RecNum&gt;&lt;record&gt;&lt;rec-number&gt;68&lt;/rec-number&gt;&lt;foreign-keys&gt;&lt;key app="EN" db-id="v9vzpfdessvvxxe2adaxpf2nxv0paa2ep22d"&gt;68&lt;/key&gt;&lt;/foreign-keys&gt;&lt;ref-type name="Journal Article"&gt;17&lt;/ref-type&gt;&lt;contributors&gt;&lt;authors&gt;&lt;author&gt;Myers, N., Mittermeire, R., Mittermier, C., da Fonseca, G., Kent, J.&lt;/author&gt;&lt;/authors&gt;&lt;/contributors&gt;&lt;titles&gt;&lt;title&gt;Biodiversity hotspots for conservation priorities&lt;/title&gt;&lt;secondary-title&gt;Nature&lt;/secondary-title&gt;&lt;/titles&gt;&lt;periodical&gt;&lt;full-title&gt;Nature&lt;/full-title&gt;&lt;/periodical&gt;&lt;pages&gt;853 - 858.&lt;/pages&gt;&lt;volume&gt;403&lt;/volume&gt;&lt;dates&gt;&lt;year&gt;2000&lt;/year&gt;&lt;/dates&gt;&lt;urls&gt;&lt;/urls&gt;&lt;/record&gt;&lt;/Cite&gt;&lt;/EndNote&gt;</w:instrText>
      </w:r>
      <w:r w:rsidRPr="00131EED">
        <w:rPr>
          <w:rFonts w:cs="Arial"/>
        </w:rPr>
        <w:fldChar w:fldCharType="separate"/>
      </w:r>
      <w:r w:rsidRPr="00131EED">
        <w:rPr>
          <w:rFonts w:cs="Arial"/>
        </w:rPr>
        <w:t>2000</w:t>
      </w:r>
      <w:r w:rsidRPr="00131EED">
        <w:rPr>
          <w:rFonts w:cs="Arial"/>
        </w:rPr>
        <w:fldChar w:fldCharType="end"/>
      </w:r>
      <w:r w:rsidRPr="00131EED">
        <w:rPr>
          <w:rFonts w:cs="Arial"/>
        </w:rPr>
        <w:t>). Comparados con los bosques húmedos bajos, los bosques andinos han recibido poco interés de los científicos a pesar de su función ecológica y económica sumamente importante; por ejemplo, en la captación de agua y en el control de la erosión (</w:t>
      </w:r>
      <w:r w:rsidRPr="00131EED">
        <w:rPr>
          <w:rFonts w:cs="Arial"/>
        </w:rPr>
        <w:fldChar w:fldCharType="begin"/>
      </w:r>
      <w:r w:rsidRPr="00131EED">
        <w:rPr>
          <w:rFonts w:cs="Arial"/>
        </w:rPr>
        <w:instrText xml:space="preserve"> ADDIN EN.CITE &lt;EndNote&gt;&lt;Cite&gt;&lt;Author&gt;Tobón&lt;/Author&gt;&lt;Year&gt;2009&lt;/Year&gt;&lt;RecNum&gt;31&lt;/RecNum&gt;&lt;record&gt;&lt;rec-number&gt;31&lt;/rec-number&gt;&lt;foreign-keys&gt;&lt;key app="EN" db-id="v9vzpfdessvvxxe2adaxpf2nxv0paa2ep22d"&gt;31&lt;/key&gt;&lt;/foreign-keys&gt;&lt;ref-type name="Book"&gt;6&lt;/ref-type&gt;&lt;contributors&gt;&lt;authors&gt;&lt;author&gt;Tobón, C.&lt;/author&gt;&lt;/authors&gt;&lt;secondary-authors&gt;&lt;author&gt;Serie investigación y sistematización # 4.&lt;/author&gt;&lt;/secondary-authors&gt;&lt;/contributors&gt;&lt;titles&gt;&lt;title&gt;Los bosques andinos y el agua. &lt;/title&gt;&lt;secondary-title&gt;Programa Regional ECOBONA – INTERCOOPERATION, CONDESAN&lt;/secondary-title&gt;&lt;/titles&gt;&lt;dates&gt;&lt;year&gt;2009&lt;/year&gt;&lt;/dates&gt;&lt;pub-location&gt;Quito&lt;/pub-location&gt;&lt;urls&gt;&lt;/urls&gt;&lt;/record&gt;&lt;/Cite&gt;&lt;/EndNote&gt;</w:instrText>
      </w:r>
      <w:r w:rsidRPr="00131EED">
        <w:rPr>
          <w:rFonts w:cs="Arial"/>
        </w:rPr>
        <w:fldChar w:fldCharType="separate"/>
      </w:r>
      <w:r w:rsidRPr="00131EED">
        <w:rPr>
          <w:rFonts w:cs="Arial"/>
        </w:rPr>
        <w:t>Tobón 2009</w:t>
      </w:r>
      <w:r w:rsidRPr="00131EED">
        <w:rPr>
          <w:rFonts w:cs="Arial"/>
        </w:rPr>
        <w:fldChar w:fldCharType="end"/>
      </w:r>
      <w:r w:rsidRPr="00131EED">
        <w:rPr>
          <w:rFonts w:cs="Arial"/>
        </w:rPr>
        <w:t xml:space="preserve">, </w:t>
      </w:r>
      <w:r w:rsidRPr="00131EED">
        <w:t>Camelo 2015</w:t>
      </w:r>
      <w:r w:rsidRPr="00131EED">
        <w:rPr>
          <w:rFonts w:cs="Arial"/>
        </w:rPr>
        <w:t xml:space="preserve">). </w:t>
      </w:r>
    </w:p>
    <w:p w14:paraId="57668ED3" w14:textId="77777777" w:rsidR="008A326C" w:rsidRPr="00131EED" w:rsidRDefault="008A326C" w:rsidP="008A326C">
      <w:pPr>
        <w:autoSpaceDE w:val="0"/>
        <w:autoSpaceDN w:val="0"/>
        <w:adjustRightInd w:val="0"/>
        <w:rPr>
          <w:rFonts w:cs="Arial"/>
          <w:lang w:eastAsia="es-ES"/>
        </w:rPr>
      </w:pPr>
    </w:p>
    <w:p w14:paraId="14822426" w14:textId="5FEA3B1F" w:rsidR="008A326C" w:rsidRPr="00131EED" w:rsidRDefault="008A326C" w:rsidP="008A326C">
      <w:pPr>
        <w:autoSpaceDE w:val="0"/>
        <w:autoSpaceDN w:val="0"/>
        <w:adjustRightInd w:val="0"/>
        <w:rPr>
          <w:rFonts w:cs="Arial"/>
        </w:rPr>
      </w:pPr>
      <w:r w:rsidRPr="00131EED">
        <w:rPr>
          <w:rFonts w:cs="Arial"/>
        </w:rPr>
        <w:t>Por otra parte, los bosques altoandinos se constituyen en ecosistemas fundamentales para la regulación del ciclo hídrico</w:t>
      </w:r>
      <w:r w:rsidR="00D26810" w:rsidRPr="00131EED">
        <w:rPr>
          <w:rFonts w:cs="Arial"/>
        </w:rPr>
        <w:t>,</w:t>
      </w:r>
      <w:r w:rsidRPr="00131EED">
        <w:rPr>
          <w:rFonts w:cs="Arial"/>
        </w:rPr>
        <w:t xml:space="preserve">  ya que permiten captar el agua proveniente de las lluvias y de la precipitación horizontal, filtrar el agua a través de la vegetación y llevarla a las zonas de recarga hídrica</w:t>
      </w:r>
      <w:r w:rsidR="00D26810" w:rsidRPr="00131EED">
        <w:rPr>
          <w:rFonts w:cs="Arial"/>
        </w:rPr>
        <w:t xml:space="preserve"> </w:t>
      </w:r>
      <w:r w:rsidRPr="00131EED">
        <w:rPr>
          <w:rFonts w:cs="Arial"/>
        </w:rPr>
        <w:t>(</w:t>
      </w:r>
      <w:r w:rsidRPr="00131EED">
        <w:rPr>
          <w:rFonts w:cs="Arial"/>
        </w:rPr>
        <w:fldChar w:fldCharType="begin"/>
      </w:r>
      <w:r w:rsidRPr="00131EED">
        <w:rPr>
          <w:rFonts w:cs="Arial"/>
        </w:rPr>
        <w:instrText xml:space="preserve"> ADDIN EN.CITE &lt;EndNote&gt;&lt;Cite&gt;&lt;Author&gt;Tobón&lt;/Author&gt;&lt;Year&gt;2009&lt;/Year&gt;&lt;RecNum&gt;31&lt;/RecNum&gt;&lt;record&gt;&lt;rec-number&gt;31&lt;/rec-number&gt;&lt;foreign-keys&gt;&lt;key app="EN" db-id="v9vzpfdessvvxxe2adaxpf2nxv0paa2ep22d"&gt;31&lt;/key&gt;&lt;/foreign-keys&gt;&lt;ref-type name="Book"&gt;6&lt;/ref-type&gt;&lt;contributors&gt;&lt;authors&gt;&lt;author&gt;Tobón, C.&lt;/author&gt;&lt;/authors&gt;&lt;secondary-authors&gt;&lt;author&gt;Serie investigación y sistematización # 4.&lt;/author&gt;&lt;/secondary-authors&gt;&lt;/contributors&gt;&lt;titles&gt;&lt;title&gt;Los bosques andinos y el agua. &lt;/title&gt;&lt;secondary-title&gt;Programa Regional ECOBONA – INTERCOOPERATION, CONDESAN&lt;/secondary-title&gt;&lt;/titles&gt;&lt;dates&gt;&lt;year&gt;2009&lt;/year&gt;&lt;/dates&gt;&lt;pub-location&gt;Quito&lt;/pub-location&gt;&lt;urls&gt;&lt;/urls&gt;&lt;/record&gt;&lt;/Cite&gt;&lt;/EndNote&gt;</w:instrText>
      </w:r>
      <w:r w:rsidRPr="00131EED">
        <w:rPr>
          <w:rFonts w:cs="Arial"/>
        </w:rPr>
        <w:fldChar w:fldCharType="separate"/>
      </w:r>
      <w:r w:rsidRPr="00131EED">
        <w:rPr>
          <w:rFonts w:cs="Arial"/>
        </w:rPr>
        <w:t>Tobón 2009</w:t>
      </w:r>
      <w:r w:rsidRPr="00131EED">
        <w:rPr>
          <w:rFonts w:cs="Arial"/>
        </w:rPr>
        <w:fldChar w:fldCharType="end"/>
      </w:r>
      <w:r w:rsidRPr="00131EED">
        <w:rPr>
          <w:rFonts w:cs="Arial"/>
        </w:rPr>
        <w:t xml:space="preserve"> </w:t>
      </w:r>
      <w:r w:rsidRPr="00131EED">
        <w:t>Camelo 2015</w:t>
      </w:r>
      <w:r w:rsidRPr="00131EED">
        <w:rPr>
          <w:rFonts w:cs="Arial"/>
        </w:rPr>
        <w:t>).</w:t>
      </w:r>
    </w:p>
    <w:p w14:paraId="02A85935" w14:textId="77777777" w:rsidR="00AA57ED" w:rsidRPr="00131EED" w:rsidRDefault="00AA57ED" w:rsidP="008A326C">
      <w:pPr>
        <w:autoSpaceDE w:val="0"/>
        <w:autoSpaceDN w:val="0"/>
        <w:adjustRightInd w:val="0"/>
        <w:rPr>
          <w:rFonts w:cs="Arial"/>
        </w:rPr>
      </w:pPr>
    </w:p>
    <w:p w14:paraId="595D018E" w14:textId="1A25EE85" w:rsidR="00023483" w:rsidRPr="00131EED" w:rsidRDefault="00023483" w:rsidP="003228A4">
      <w:pPr>
        <w:pStyle w:val="Caption"/>
        <w:jc w:val="center"/>
      </w:pPr>
      <w:bookmarkStart w:id="88" w:name="_Toc216468788"/>
      <w:r w:rsidRPr="00131EED">
        <w:t xml:space="preserve">Ilustración </w:t>
      </w:r>
      <w:r w:rsidRPr="00131EED">
        <w:fldChar w:fldCharType="begin"/>
      </w:r>
      <w:r w:rsidRPr="00131EED">
        <w:instrText>SEQ Ilustración \* ARABIC</w:instrText>
      </w:r>
      <w:r w:rsidRPr="00131EED">
        <w:fldChar w:fldCharType="separate"/>
      </w:r>
      <w:r w:rsidR="00CE096F">
        <w:rPr>
          <w:noProof/>
        </w:rPr>
        <w:t>23</w:t>
      </w:r>
      <w:r w:rsidRPr="00131EED">
        <w:fldChar w:fldCharType="end"/>
      </w:r>
      <w:r w:rsidRPr="00131EED">
        <w:t xml:space="preserve"> Principales procesos hidrológicos que inciden en el funcionamiento hídrico de los bosques Altoandinos.</w:t>
      </w:r>
      <w:bookmarkEnd w:id="88"/>
    </w:p>
    <w:p w14:paraId="1BC7B1AC" w14:textId="77777777" w:rsidR="00023483" w:rsidRPr="00131EED" w:rsidRDefault="008A326C" w:rsidP="008A326C">
      <w:pPr>
        <w:jc w:val="center"/>
      </w:pPr>
      <w:r w:rsidRPr="00131EED">
        <w:rPr>
          <w:rFonts w:ascii="Baskerville" w:hAnsi="Baskerville" w:cs="Arial"/>
          <w:noProof/>
          <w:lang w:eastAsia="en-US"/>
        </w:rPr>
        <w:drawing>
          <wp:inline distT="0" distB="0" distL="0" distR="0" wp14:anchorId="05BC7755" wp14:editId="2A3ABCBD">
            <wp:extent cx="3699803" cy="2647602"/>
            <wp:effectExtent l="0" t="0" r="0" b="0"/>
            <wp:docPr id="1394076459" name="Imagen 2" descr="Diagram of a diagram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076459" name="Imagen 2" descr="Diagram of a diagram of a forest&#10;&#10;AI-generated content may be incorrect."/>
                    <pic:cNvPicPr>
                      <a:picLocks noChangeAspect="1" noChangeArrowheads="1"/>
                    </pic:cNvPicPr>
                  </pic:nvPicPr>
                  <pic:blipFill>
                    <a:blip r:embed="rId59" cstate="print"/>
                    <a:srcRect/>
                    <a:stretch>
                      <a:fillRect/>
                    </a:stretch>
                  </pic:blipFill>
                  <pic:spPr bwMode="auto">
                    <a:xfrm>
                      <a:off x="0" y="0"/>
                      <a:ext cx="3719532" cy="2661721"/>
                    </a:xfrm>
                    <a:prstGeom prst="rect">
                      <a:avLst/>
                    </a:prstGeom>
                    <a:ln>
                      <a:noFill/>
                    </a:ln>
                    <a:effectLst>
                      <a:softEdge rad="112500"/>
                    </a:effectLst>
                  </pic:spPr>
                </pic:pic>
              </a:graphicData>
            </a:graphic>
          </wp:inline>
        </w:drawing>
      </w:r>
      <w:r w:rsidR="00023483" w:rsidRPr="00131EED">
        <w:t xml:space="preserve"> </w:t>
      </w:r>
    </w:p>
    <w:p w14:paraId="5FB18412" w14:textId="0864BD88" w:rsidR="008A326C" w:rsidRPr="00131EED" w:rsidRDefault="00023483" w:rsidP="008A326C">
      <w:pPr>
        <w:jc w:val="center"/>
        <w:rPr>
          <w:rFonts w:ascii="Baskerville" w:hAnsi="Baskerville" w:cs="Arial"/>
          <w:b/>
          <w:sz w:val="20"/>
          <w:szCs w:val="20"/>
        </w:rPr>
      </w:pPr>
      <w:r w:rsidRPr="00131EED">
        <w:rPr>
          <w:sz w:val="20"/>
          <w:szCs w:val="20"/>
        </w:rPr>
        <w:t>Fuente: Tobón, 2009.</w:t>
      </w:r>
    </w:p>
    <w:p w14:paraId="6B0A7EA9" w14:textId="77777777" w:rsidR="008A326C" w:rsidRPr="00131EED" w:rsidRDefault="008A326C" w:rsidP="008A326C">
      <w:pPr>
        <w:pStyle w:val="ListParagraph"/>
        <w:spacing w:after="0"/>
        <w:rPr>
          <w:rFonts w:ascii="Baskerville" w:hAnsi="Baskerville" w:cs="Arial"/>
        </w:rPr>
      </w:pPr>
    </w:p>
    <w:p w14:paraId="0CA9F735" w14:textId="77777777" w:rsidR="008A326C" w:rsidRPr="00131EED" w:rsidRDefault="008A326C" w:rsidP="008A326C">
      <w:pPr>
        <w:pStyle w:val="ListParagraph"/>
        <w:spacing w:after="0"/>
        <w:ind w:left="0"/>
        <w:rPr>
          <w:rFonts w:cs="Arial"/>
          <w:sz w:val="24"/>
          <w:szCs w:val="24"/>
        </w:rPr>
      </w:pPr>
      <w:r w:rsidRPr="00131EED">
        <w:rPr>
          <w:rFonts w:cs="Arial"/>
          <w:sz w:val="24"/>
          <w:szCs w:val="24"/>
        </w:rPr>
        <w:t xml:space="preserve">Adicional a los servicios ecosistémicos de fuente y albergue de biodiversidad t regulación hídrica, estos bosques prestan otros servicios como la fijación de dióxido de carbono, prevención de erosión, regulación del clima, paisaje, entre otros. </w:t>
      </w:r>
    </w:p>
    <w:p w14:paraId="6F7D6F9D" w14:textId="77777777" w:rsidR="008A326C" w:rsidRPr="00131EED" w:rsidRDefault="008A326C" w:rsidP="008A326C">
      <w:pPr>
        <w:pStyle w:val="ListParagraph"/>
        <w:spacing w:after="0"/>
        <w:ind w:left="0"/>
        <w:rPr>
          <w:rFonts w:cs="Arial"/>
          <w:sz w:val="24"/>
          <w:szCs w:val="24"/>
        </w:rPr>
      </w:pPr>
    </w:p>
    <w:p w14:paraId="3A2FBF30" w14:textId="77777777" w:rsidR="008A326C" w:rsidRPr="00131EED" w:rsidRDefault="008A326C" w:rsidP="008A326C">
      <w:pPr>
        <w:pStyle w:val="ListParagraph"/>
        <w:spacing w:after="0"/>
        <w:ind w:left="0"/>
        <w:rPr>
          <w:rFonts w:cs="Arial"/>
          <w:sz w:val="24"/>
          <w:szCs w:val="24"/>
        </w:rPr>
      </w:pPr>
      <w:r w:rsidRPr="00131EED">
        <w:rPr>
          <w:rFonts w:cs="Arial"/>
          <w:sz w:val="24"/>
          <w:szCs w:val="24"/>
        </w:rPr>
        <w:t>Sin embargo, la capacidad de prestar estos servicios, depende de la salud de los ecosistemas, en este caso el bosque altoandino, de la permanencia de sus coberturas naturales y de la forma como se generen los flujos de energía al interior de los mismos. De acuerdo con Tobón(</w:t>
      </w:r>
      <w:r w:rsidRPr="00131EED">
        <w:rPr>
          <w:rFonts w:cs="Arial"/>
          <w:sz w:val="24"/>
          <w:szCs w:val="24"/>
        </w:rPr>
        <w:fldChar w:fldCharType="begin"/>
      </w:r>
      <w:r w:rsidRPr="00131EED">
        <w:rPr>
          <w:rFonts w:cs="Arial"/>
          <w:sz w:val="24"/>
          <w:szCs w:val="24"/>
        </w:rPr>
        <w:instrText xml:space="preserve"> ADDIN EN.CITE &lt;EndNote&gt;&lt;Cite ExcludeAuth="1"&gt;&lt;Author&gt;Tobón&lt;/Author&gt;&lt;Year&gt;2009&lt;/Year&gt;&lt;RecNum&gt;31&lt;/RecNum&gt;&lt;record&gt;&lt;rec-number&gt;31&lt;/rec-number&gt;&lt;foreign-keys&gt;&lt;key app="EN" db-id="v9vzpfdessvvxxe2adaxpf2nxv0paa2ep22d"&gt;31&lt;/key&gt;&lt;/foreign-keys&gt;&lt;ref-type name="Book"&gt;6&lt;/ref-type&gt;&lt;contributors&gt;&lt;authors&gt;&lt;author&gt;Tobón, C.&lt;/author&gt;&lt;/authors&gt;&lt;secondary-authors&gt;&lt;author&gt;Serie investigación y sistematización # 4.&lt;/author&gt;&lt;/secondary-authors&gt;&lt;/contributors&gt;&lt;titles&gt;&lt;title&gt;Los bosques andinos y el agua. &lt;/title&gt;&lt;secondary-title&gt;Programa Regional ECOBONA – INTERCOOPERATION, CONDESAN&lt;/secondary-title&gt;&lt;/titles&gt;&lt;dates&gt;&lt;year&gt;2009&lt;/year&gt;&lt;/dates&gt;&lt;pub-location&gt;Quito&lt;/pub-location&gt;&lt;urls&gt;&lt;/urls&gt;&lt;/record&gt;&lt;/Cite&gt;&lt;/EndNote&gt;</w:instrText>
      </w:r>
      <w:r w:rsidRPr="00131EED">
        <w:rPr>
          <w:rFonts w:cs="Arial"/>
          <w:sz w:val="24"/>
          <w:szCs w:val="24"/>
        </w:rPr>
        <w:fldChar w:fldCharType="separate"/>
      </w:r>
      <w:r w:rsidRPr="00131EED">
        <w:rPr>
          <w:rFonts w:cs="Arial"/>
          <w:sz w:val="24"/>
          <w:szCs w:val="24"/>
        </w:rPr>
        <w:t>2009</w:t>
      </w:r>
      <w:r w:rsidRPr="00131EED">
        <w:rPr>
          <w:rFonts w:cs="Arial"/>
          <w:sz w:val="24"/>
          <w:szCs w:val="24"/>
        </w:rPr>
        <w:fldChar w:fldCharType="end"/>
      </w:r>
      <w:r w:rsidRPr="00131EED">
        <w:rPr>
          <w:rFonts w:cs="Arial"/>
          <w:sz w:val="24"/>
          <w:szCs w:val="24"/>
        </w:rPr>
        <w:t>), a partir de datos consolidados en bosques altoandinos de Ecuador, Colombia y Venezuela se ha identificado que los cambios de vegetación disminuye la tasa de evapotranspiración, la capacidad de retención de humedad por el suelo, aumenta la pérdida de suelos por erosión en las zonas con cambio de cobertura, incide negativamente en el régimen de hidrológico e influye en la disminución de los caudales en las áreas que han sido talada la vegetación nativa (</w:t>
      </w:r>
      <w:r w:rsidRPr="00131EED">
        <w:rPr>
          <w:rFonts w:cs="Arial"/>
          <w:sz w:val="24"/>
          <w:szCs w:val="24"/>
        </w:rPr>
        <w:fldChar w:fldCharType="begin"/>
      </w:r>
      <w:r w:rsidRPr="00131EED">
        <w:rPr>
          <w:rFonts w:cs="Arial"/>
          <w:sz w:val="24"/>
          <w:szCs w:val="24"/>
        </w:rPr>
        <w:instrText xml:space="preserve"> ADDIN EN.CITE &lt;EndNote&gt;&lt;Cite&gt;&lt;Author&gt;Tobón&lt;/Author&gt;&lt;Year&gt;2009&lt;/Year&gt;&lt;RecNum&gt;31&lt;/RecNum&gt;&lt;record&gt;&lt;rec-number&gt;31&lt;/rec-number&gt;&lt;foreign-keys&gt;&lt;key app="EN" db-id="v9vzpfdessvvxxe2adaxpf2nxv0paa2ep22d"&gt;31&lt;/key&gt;&lt;/foreign-keys&gt;&lt;ref-type name="Book"&gt;6&lt;/ref-type&gt;&lt;contributors&gt;&lt;authors&gt;&lt;author&gt;Tobón, C.&lt;/author&gt;&lt;/authors&gt;&lt;secondary-authors&gt;&lt;author&gt;Serie investigación y sistematización # 4.&lt;/author&gt;&lt;/secondary-authors&gt;&lt;/contributors&gt;&lt;titles&gt;&lt;title&gt;Los bosques andinos y el agua. &lt;/title&gt;&lt;secondary-title&gt;Programa Regional ECOBONA – INTERCOOPERATION, CONDESAN&lt;/secondary-title&gt;&lt;/titles&gt;&lt;dates&gt;&lt;year&gt;2009&lt;/year&gt;&lt;/dates&gt;&lt;pub-location&gt;Quito&lt;/pub-location&gt;&lt;urls&gt;&lt;/urls&gt;&lt;/record&gt;&lt;/Cite&gt;&lt;/EndNote&gt;</w:instrText>
      </w:r>
      <w:r w:rsidRPr="00131EED">
        <w:rPr>
          <w:rFonts w:cs="Arial"/>
          <w:sz w:val="24"/>
          <w:szCs w:val="24"/>
        </w:rPr>
        <w:fldChar w:fldCharType="separate"/>
      </w:r>
      <w:r w:rsidRPr="00131EED">
        <w:rPr>
          <w:rFonts w:cs="Arial"/>
          <w:sz w:val="24"/>
          <w:szCs w:val="24"/>
        </w:rPr>
        <w:t>Tobón 2009</w:t>
      </w:r>
      <w:r w:rsidRPr="00131EED">
        <w:rPr>
          <w:rFonts w:cs="Arial"/>
          <w:sz w:val="24"/>
          <w:szCs w:val="24"/>
        </w:rPr>
        <w:fldChar w:fldCharType="end"/>
      </w:r>
      <w:r w:rsidRPr="00131EED">
        <w:rPr>
          <w:rFonts w:cs="Arial"/>
          <w:sz w:val="24"/>
          <w:szCs w:val="24"/>
        </w:rPr>
        <w:t xml:space="preserve"> </w:t>
      </w:r>
      <w:r w:rsidRPr="00131EED">
        <w:rPr>
          <w:sz w:val="24"/>
          <w:szCs w:val="24"/>
        </w:rPr>
        <w:t>Camelo 2015</w:t>
      </w:r>
      <w:r w:rsidRPr="00131EED">
        <w:rPr>
          <w:rFonts w:cs="Arial"/>
          <w:sz w:val="24"/>
          <w:szCs w:val="24"/>
        </w:rPr>
        <w:t>).</w:t>
      </w:r>
    </w:p>
    <w:p w14:paraId="54C676AB" w14:textId="77777777" w:rsidR="008A326C" w:rsidRPr="00131EED" w:rsidRDefault="008A326C" w:rsidP="008A326C">
      <w:pPr>
        <w:rPr>
          <w:rFonts w:ascii="Baskerville" w:hAnsi="Baskerville" w:cs="Arial"/>
        </w:rPr>
      </w:pPr>
    </w:p>
    <w:p w14:paraId="2E1CF1B3" w14:textId="00462823" w:rsidR="008A326C" w:rsidRPr="00131EED" w:rsidRDefault="00B87A61" w:rsidP="003228A4">
      <w:pPr>
        <w:pStyle w:val="Caption"/>
        <w:jc w:val="center"/>
      </w:pPr>
      <w:bookmarkStart w:id="89" w:name="_Toc216468789"/>
      <w:r w:rsidRPr="00131EED">
        <w:t xml:space="preserve">Ilustración </w:t>
      </w:r>
      <w:r w:rsidRPr="00131EED">
        <w:fldChar w:fldCharType="begin"/>
      </w:r>
      <w:r w:rsidRPr="00131EED">
        <w:instrText>SEQ Ilustración \* ARABIC</w:instrText>
      </w:r>
      <w:r w:rsidRPr="00131EED">
        <w:fldChar w:fldCharType="separate"/>
      </w:r>
      <w:r w:rsidR="00CE096F">
        <w:rPr>
          <w:noProof/>
        </w:rPr>
        <w:t>24</w:t>
      </w:r>
      <w:r w:rsidRPr="00131EED">
        <w:fldChar w:fldCharType="end"/>
      </w:r>
      <w:r w:rsidR="3A4071F9" w:rsidRPr="00131EED">
        <w:t xml:space="preserve"> </w:t>
      </w:r>
      <w:r w:rsidR="008A326C" w:rsidRPr="00131EED">
        <w:t>Espacialización de la distribución de los bosques altoandinos y su relación con las áreas protegidas e iniciativas de conservación in situ dentro de la Sabana de Bogotá.</w:t>
      </w:r>
      <w:bookmarkEnd w:id="89"/>
    </w:p>
    <w:p w14:paraId="2E5C8E13" w14:textId="06D5E900" w:rsidR="008A326C" w:rsidRPr="00131EED" w:rsidRDefault="110BEC4A" w:rsidP="00FE02EC">
      <w:pPr>
        <w:jc w:val="center"/>
      </w:pPr>
      <w:r w:rsidRPr="00131EED">
        <w:rPr>
          <w:noProof/>
          <w:lang w:eastAsia="en-US"/>
        </w:rPr>
        <w:drawing>
          <wp:inline distT="0" distB="0" distL="0" distR="0" wp14:anchorId="3EE452B7" wp14:editId="73BFD303">
            <wp:extent cx="4071668" cy="5760873"/>
            <wp:effectExtent l="0" t="0" r="5080" b="0"/>
            <wp:docPr id="109667253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672533"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80425" cy="5773262"/>
                    </a:xfrm>
                    <a:prstGeom prst="rect">
                      <a:avLst/>
                    </a:prstGeom>
                  </pic:spPr>
                </pic:pic>
              </a:graphicData>
            </a:graphic>
          </wp:inline>
        </w:drawing>
      </w:r>
    </w:p>
    <w:p w14:paraId="64C48E7A" w14:textId="77777777" w:rsidR="008A326C" w:rsidRPr="00131EED" w:rsidRDefault="008A326C" w:rsidP="008A326C">
      <w:pPr>
        <w:jc w:val="center"/>
        <w:rPr>
          <w:szCs w:val="20"/>
        </w:rPr>
      </w:pPr>
      <w:r w:rsidRPr="00131EED">
        <w:rPr>
          <w:szCs w:val="20"/>
        </w:rPr>
        <w:t>Fuente: MinAmbiente 2025.</w:t>
      </w:r>
    </w:p>
    <w:p w14:paraId="76F9444F" w14:textId="70E512C5" w:rsidR="00CF6F4E" w:rsidRPr="00131EED" w:rsidRDefault="00CF6F4E" w:rsidP="008A326C">
      <w:pPr>
        <w:jc w:val="center"/>
        <w:rPr>
          <w:sz w:val="20"/>
          <w:szCs w:val="20"/>
        </w:rPr>
      </w:pPr>
    </w:p>
    <w:p w14:paraId="22C66C33" w14:textId="77777777" w:rsidR="00CF6F4E" w:rsidRPr="00131EED" w:rsidRDefault="00CF6F4E" w:rsidP="00CF6F4E">
      <w:pPr>
        <w:rPr>
          <w:rFonts w:cs="Arial"/>
        </w:rPr>
      </w:pPr>
      <w:r w:rsidRPr="00131EED">
        <w:rPr>
          <w:rFonts w:cs="Arial"/>
        </w:rPr>
        <w:t>Este ecosistema cuenta con una importante representatividad ecosistémica dentro del SINAP, no obstante y según el mapa de ecosistemas terrestres marinos y costeros de Colombia generado por el IDEAM en el año 2024, se encuentran relictos de bosques altoandinos representados entre Arbustales Andino Húmedos, Arbustales Inundables Andino, Bosque Andino Húmedo y Bosque Andino Seco un total de 2.870 hectáreas, que en la actualidad no cuentan con figuras de protección al interior de la Sabana, por lo cual las directrices busca incentivar su conservación a través de los suelos de protección de los municipios, las áreas protegidas locales y regionales y demás figuras que aporten a su permanencia y conservación.</w:t>
      </w:r>
    </w:p>
    <w:p w14:paraId="639AC99E" w14:textId="77777777" w:rsidR="008A326C" w:rsidRPr="00131EED" w:rsidRDefault="008A326C" w:rsidP="008A326C">
      <w:pPr>
        <w:rPr>
          <w:rFonts w:ascii="Baskerville" w:hAnsi="Baskerville"/>
        </w:rPr>
      </w:pPr>
    </w:p>
    <w:p w14:paraId="4435906F" w14:textId="77777777" w:rsidR="008A326C" w:rsidRPr="00131EED" w:rsidRDefault="008A326C" w:rsidP="008A326C">
      <w:pPr>
        <w:pStyle w:val="Heading4"/>
        <w:spacing w:before="0" w:line="240" w:lineRule="auto"/>
        <w:rPr>
          <w:rFonts w:ascii="Baskerville" w:hAnsi="Baskerville"/>
          <w:shd w:val="clear" w:color="auto" w:fill="FEFEFE"/>
        </w:rPr>
      </w:pPr>
      <w:bookmarkStart w:id="90" w:name="_Toc216468694"/>
      <w:r w:rsidRPr="00131EED">
        <w:rPr>
          <w:rFonts w:ascii="Baskerville" w:hAnsi="Baskerville"/>
          <w:shd w:val="clear" w:color="auto" w:fill="FEFEFE"/>
        </w:rPr>
        <w:t>Ecosistemas subxerofíticos andinos en la Sabana de Bogotá</w:t>
      </w:r>
      <w:bookmarkEnd w:id="90"/>
    </w:p>
    <w:p w14:paraId="55F2CA97" w14:textId="77777777" w:rsidR="008A326C" w:rsidRPr="00131EED" w:rsidRDefault="008A326C" w:rsidP="008A326C">
      <w:pPr>
        <w:rPr>
          <w:rFonts w:ascii="Baskerville" w:eastAsia="Arial Narrow" w:hAnsi="Baskerville" w:cs="Arial Narrow"/>
          <w:b/>
          <w:bCs/>
          <w:i/>
          <w:iCs/>
        </w:rPr>
      </w:pPr>
    </w:p>
    <w:p w14:paraId="12E7748A" w14:textId="7059A3A6" w:rsidR="00FF4976" w:rsidRPr="00131EED" w:rsidRDefault="008A326C" w:rsidP="008A326C">
      <w:pPr>
        <w:rPr>
          <w:rFonts w:eastAsia="Arial Narrow" w:cs="Arial Narrow"/>
        </w:rPr>
      </w:pPr>
      <w:r w:rsidRPr="00131EED">
        <w:rPr>
          <w:rFonts w:eastAsia="Arial Narrow" w:cs="Arial Narrow"/>
          <w:b/>
          <w:i/>
        </w:rPr>
        <w:t>Importancia biofísica</w:t>
      </w:r>
    </w:p>
    <w:p w14:paraId="2BC12C26" w14:textId="77777777" w:rsidR="008A326C" w:rsidRPr="00131EED" w:rsidRDefault="008A326C" w:rsidP="008A326C">
      <w:pPr>
        <w:rPr>
          <w:rFonts w:eastAsia="Arial Narrow" w:cs="Arial Narrow"/>
        </w:rPr>
      </w:pPr>
      <w:r w:rsidRPr="00131EED">
        <w:rPr>
          <w:rFonts w:eastAsia="Arial Narrow" w:cs="Arial Narrow"/>
        </w:rPr>
        <w:t>Los ecosistemas subxerofíticos se encuentran en la Sabana de Bogotá con una distribución muy restringida, al sur en Bogotá sobre las localidades de Ciudad Bolívar, Usme, y en los municipios de Soacha, Madrid, Mosquera y Bojacá y al norte de la Sabana en los municipios de Suesca, Nemocón y Guatavita, en el Departamento de Cundinamarca. Zonas semisecas también se pueden encontrar en algunos cerros de la parte media de la sabana de Bogotá como en las serranías de Chía y Cota.</w:t>
      </w:r>
    </w:p>
    <w:p w14:paraId="1074CA58" w14:textId="77777777" w:rsidR="00387F2F" w:rsidRPr="00131EED" w:rsidRDefault="00387F2F" w:rsidP="008A326C">
      <w:pPr>
        <w:rPr>
          <w:rFonts w:eastAsia="Arial Narrow" w:cs="Arial Narrow"/>
        </w:rPr>
      </w:pPr>
    </w:p>
    <w:p w14:paraId="59C26462" w14:textId="6728D247" w:rsidR="00387F2F" w:rsidRPr="00131EED" w:rsidRDefault="00387F2F" w:rsidP="0055774B">
      <w:pPr>
        <w:pStyle w:val="Caption"/>
        <w:jc w:val="center"/>
        <w:rPr>
          <w:rFonts w:eastAsia="Arial Narrow" w:cs="Arial Narrow"/>
        </w:rPr>
      </w:pPr>
      <w:bookmarkStart w:id="91" w:name="_Toc216468790"/>
      <w:r w:rsidRPr="00131EED">
        <w:t xml:space="preserve">Ilustración </w:t>
      </w:r>
      <w:fldSimple w:instr=" SEQ Ilustración \* ARABIC ">
        <w:r w:rsidR="00CE096F">
          <w:rPr>
            <w:noProof/>
          </w:rPr>
          <w:t>25</w:t>
        </w:r>
      </w:fldSimple>
      <w:r w:rsidRPr="00131EED">
        <w:t>. Registro fotográfico relicto de ecosistema Subxerofítico presente en el límite del municipio de Soacha y Bogotá, D.C</w:t>
      </w:r>
      <w:bookmarkEnd w:id="91"/>
    </w:p>
    <w:p w14:paraId="44511B9D" w14:textId="07BAAB14" w:rsidR="00FF4976" w:rsidRPr="00131EED" w:rsidRDefault="00FF4976" w:rsidP="00FF4976">
      <w:pPr>
        <w:jc w:val="center"/>
        <w:rPr>
          <w:rFonts w:eastAsia="Arial Narrow" w:cs="Arial Narrow"/>
          <w:b/>
        </w:rPr>
      </w:pPr>
      <w:r w:rsidRPr="00131EED">
        <w:rPr>
          <w:rFonts w:eastAsia="Arial Narrow" w:cs="Arial Narrow"/>
          <w:noProof/>
          <w:lang w:eastAsia="en-US"/>
        </w:rPr>
        <w:drawing>
          <wp:inline distT="0" distB="0" distL="0" distR="0" wp14:anchorId="5BC75367" wp14:editId="516A31EC">
            <wp:extent cx="4140679" cy="3105275"/>
            <wp:effectExtent l="0" t="0" r="0" b="0"/>
            <wp:docPr id="1872738304" name="Imagen 1872738304" descr="C:\Users\Dalila\Downloads\20220611_0729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Dalila\Downloads\20220611_072949.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142899" cy="3106940"/>
                    </a:xfrm>
                    <a:prstGeom prst="rect">
                      <a:avLst/>
                    </a:prstGeom>
                    <a:noFill/>
                    <a:ln>
                      <a:noFill/>
                    </a:ln>
                  </pic:spPr>
                </pic:pic>
              </a:graphicData>
            </a:graphic>
          </wp:inline>
        </w:drawing>
      </w:r>
    </w:p>
    <w:p w14:paraId="2AFFB26D" w14:textId="786646B2" w:rsidR="00DB3B97" w:rsidRPr="00131EED" w:rsidRDefault="00DB3B97" w:rsidP="00DB3B97">
      <w:pPr>
        <w:jc w:val="center"/>
        <w:rPr>
          <w:rFonts w:cs="Arial"/>
        </w:rPr>
      </w:pPr>
      <w:r w:rsidRPr="00131EED">
        <w:rPr>
          <w:rFonts w:cs="Arial"/>
        </w:rPr>
        <w:t>Fuente: Camelo, D., 2023</w:t>
      </w:r>
    </w:p>
    <w:p w14:paraId="2CC7742A" w14:textId="4E2A7318" w:rsidR="008A326C" w:rsidRPr="00131EED" w:rsidRDefault="008A326C" w:rsidP="008A326C">
      <w:pPr>
        <w:rPr>
          <w:rFonts w:eastAsia="Arial Narrow" w:cs="Arial Narrow"/>
          <w:b/>
        </w:rPr>
      </w:pPr>
    </w:p>
    <w:p w14:paraId="7AC0383C" w14:textId="77777777" w:rsidR="008A326C" w:rsidRPr="00131EED" w:rsidRDefault="008A326C" w:rsidP="008A326C">
      <w:pPr>
        <w:rPr>
          <w:rFonts w:eastAsia="Arial Narrow" w:cs="Arial Narrow"/>
        </w:rPr>
      </w:pPr>
      <w:r w:rsidRPr="00131EED">
        <w:rPr>
          <w:rFonts w:eastAsia="Arial Narrow" w:cs="Arial Narrow"/>
        </w:rPr>
        <w:t xml:space="preserve">Estos enclaves secos se caracterizan por tener montos de precipitación anuales entre 500 y 800 mm y aunque el comportamiento de las lluvias es bimodal, los períodos de sequía son más largos acompañados por las temperaturas más altas de estas zonas frías que pueden oscilar entre 1 y 16°C; presentan suelos tipo alfisol, entisol e inceptisol, actualmente su apariencia es desértica a lo cual históricamente contribuyó el clima y posteriormente la agricultura y la ganadería, actividades que han hecho estos terrenos altamente susceptibles a la erosión que se expresa en cárcavas profundas (Van der Hammen, 1998; Cortés,2008). </w:t>
      </w:r>
    </w:p>
    <w:p w14:paraId="30EC4776" w14:textId="0AEA0D49" w:rsidR="00054C86" w:rsidRPr="00131EED" w:rsidRDefault="00054C86" w:rsidP="008A326C">
      <w:pPr>
        <w:rPr>
          <w:rFonts w:eastAsia="Arial Narrow" w:cs="Arial Narrow"/>
        </w:rPr>
      </w:pPr>
    </w:p>
    <w:p w14:paraId="4789552E" w14:textId="77777777" w:rsidR="008A326C" w:rsidRPr="00131EED" w:rsidRDefault="008A326C" w:rsidP="008A326C">
      <w:pPr>
        <w:rPr>
          <w:rFonts w:eastAsia="Arial Narrow" w:cs="Arial Narrow"/>
        </w:rPr>
      </w:pPr>
      <w:r w:rsidRPr="00131EED">
        <w:rPr>
          <w:rFonts w:eastAsia="Arial Narrow" w:cs="Arial Narrow"/>
        </w:rPr>
        <w:t>Las condiciones ambientales tan específicas de los ecosistemas subxerofíticos implica la presencia de especies adaptadas a estos entornos, lo cual hace que estos enclaves secos se constituyan en núcleos de endemismos importantes para la conservación, y las coberturas naturales presentes se constituyen en matorrales y bosques relictuales actualmente afectados por la transformación antrópica de la Sabana de Bogotá (Cortes, 2008).</w:t>
      </w:r>
    </w:p>
    <w:p w14:paraId="7A959355" w14:textId="16013F29" w:rsidR="008A326C" w:rsidRPr="00131EED" w:rsidRDefault="008A326C" w:rsidP="004065CA">
      <w:pPr>
        <w:rPr>
          <w:rFonts w:eastAsia="Arial Narrow" w:cs="Arial Narrow"/>
        </w:rPr>
      </w:pPr>
    </w:p>
    <w:p w14:paraId="57422AF9" w14:textId="77777777" w:rsidR="008A326C" w:rsidRPr="00131EED" w:rsidRDefault="008A326C" w:rsidP="008A326C">
      <w:pPr>
        <w:rPr>
          <w:rFonts w:eastAsia="Arial Narrow" w:cs="Arial Narrow"/>
          <w:b/>
          <w:i/>
        </w:rPr>
      </w:pPr>
      <w:r w:rsidRPr="00131EED">
        <w:rPr>
          <w:rFonts w:eastAsia="Arial Narrow" w:cs="Arial Narrow"/>
          <w:b/>
          <w:i/>
        </w:rPr>
        <w:t>Importancia arqueológica y cultural</w:t>
      </w:r>
    </w:p>
    <w:p w14:paraId="20777F7B" w14:textId="77777777" w:rsidR="008A326C" w:rsidRPr="00131EED" w:rsidRDefault="008A326C" w:rsidP="008A326C">
      <w:pPr>
        <w:pStyle w:val="ListParagraph"/>
        <w:spacing w:after="0"/>
        <w:ind w:left="0"/>
        <w:rPr>
          <w:sz w:val="24"/>
          <w:szCs w:val="24"/>
        </w:rPr>
      </w:pPr>
    </w:p>
    <w:p w14:paraId="2362502D" w14:textId="77777777" w:rsidR="008A326C" w:rsidRPr="00131EED" w:rsidRDefault="008A326C" w:rsidP="008A326C">
      <w:pPr>
        <w:pStyle w:val="ListParagraph"/>
        <w:spacing w:after="0"/>
        <w:ind w:left="0"/>
        <w:rPr>
          <w:sz w:val="24"/>
          <w:szCs w:val="24"/>
        </w:rPr>
      </w:pPr>
      <w:r w:rsidRPr="00131EED">
        <w:rPr>
          <w:sz w:val="24"/>
          <w:szCs w:val="24"/>
        </w:rPr>
        <w:t xml:space="preserve">Los enclaves subxerófitos de la región de la Sabana de Bogotá fueron de suma importancia para la supervivencia de nuestros antepasados, por lo cual ellos son fuente de vestigios que permiten datar la transformación del clima y del paisaje; para el caso particular del valle del río Checua en Nemocón, se han encontrado restos de animales (molares y huesos) como venados y mastodontes dispersos por estas zonas (Correal, 1981; Cortés et, al 2007). </w:t>
      </w:r>
    </w:p>
    <w:p w14:paraId="0DAA948F" w14:textId="77777777" w:rsidR="008A326C" w:rsidRPr="00131EED" w:rsidRDefault="008A326C" w:rsidP="008A326C">
      <w:pPr>
        <w:pStyle w:val="ListParagraph"/>
        <w:spacing w:after="0"/>
        <w:ind w:left="0"/>
        <w:rPr>
          <w:rFonts w:eastAsiaTheme="minorEastAsia"/>
          <w:sz w:val="24"/>
          <w:szCs w:val="24"/>
        </w:rPr>
      </w:pPr>
    </w:p>
    <w:p w14:paraId="6411ECFE" w14:textId="77777777" w:rsidR="008A326C" w:rsidRPr="00131EED" w:rsidRDefault="008A326C" w:rsidP="008A326C">
      <w:pPr>
        <w:pStyle w:val="ListParagraph"/>
        <w:spacing w:after="0"/>
        <w:ind w:left="0"/>
        <w:rPr>
          <w:sz w:val="24"/>
          <w:szCs w:val="24"/>
        </w:rPr>
      </w:pPr>
      <w:r w:rsidRPr="00131EED">
        <w:rPr>
          <w:rFonts w:eastAsiaTheme="minorEastAsia"/>
          <w:sz w:val="24"/>
          <w:szCs w:val="24"/>
        </w:rPr>
        <w:t>Los mastodontes convivieron con los primeros pobladores del altiplano de Bogotá y al efectuarse los cambios climáticos que condujeron al Holoceno o época actual hace 10.000 años, quedaron restringidos espacialmente a zonas secas como la del valle alto del río Checua, donde la vegetación baja les favorecía para sus desplazamientos, por lo que se considera la zona de gran riqueza para la documentación paleontológica (</w:t>
      </w:r>
      <w:r w:rsidRPr="00131EED">
        <w:rPr>
          <w:sz w:val="24"/>
          <w:szCs w:val="24"/>
        </w:rPr>
        <w:t>Cortés et, al 2007).</w:t>
      </w:r>
    </w:p>
    <w:p w14:paraId="1EBDAB36" w14:textId="77777777" w:rsidR="008A326C" w:rsidRPr="00131EED" w:rsidRDefault="008A326C" w:rsidP="008A326C">
      <w:pPr>
        <w:pStyle w:val="ListParagraph"/>
        <w:spacing w:after="0"/>
        <w:ind w:left="0"/>
        <w:rPr>
          <w:rFonts w:eastAsiaTheme="minorEastAsia"/>
          <w:sz w:val="24"/>
          <w:szCs w:val="24"/>
        </w:rPr>
      </w:pPr>
    </w:p>
    <w:p w14:paraId="6D5DEF69" w14:textId="77777777" w:rsidR="008A326C" w:rsidRPr="00131EED" w:rsidRDefault="008A326C" w:rsidP="008A326C">
      <w:pPr>
        <w:pStyle w:val="ListParagraph"/>
        <w:spacing w:after="0"/>
        <w:ind w:left="0"/>
        <w:rPr>
          <w:rFonts w:eastAsiaTheme="minorEastAsia"/>
          <w:sz w:val="24"/>
          <w:szCs w:val="24"/>
        </w:rPr>
      </w:pPr>
      <w:r w:rsidRPr="00131EED">
        <w:rPr>
          <w:rFonts w:eastAsiaTheme="minorEastAsia"/>
          <w:sz w:val="24"/>
          <w:szCs w:val="24"/>
        </w:rPr>
        <w:t>Los primeros pobladores del altiplano de Bogotá frecuentaban estas zonas ricas en fauna y frutos silvestres y se establecieron en viviendas temporales para efecto de cacería y en viviendas permanentes para su supervivencia día a día, conformando con el transcurrir del tiempo un territorio por el cual se desplazaban, vivían y enterraban a sus muertos (Cortés et, al 2007).</w:t>
      </w:r>
    </w:p>
    <w:p w14:paraId="47B68335" w14:textId="77777777" w:rsidR="008A326C" w:rsidRPr="00131EED" w:rsidRDefault="008A326C" w:rsidP="008A326C">
      <w:pPr>
        <w:pStyle w:val="ListParagraph"/>
        <w:spacing w:after="0"/>
        <w:ind w:left="0"/>
        <w:rPr>
          <w:rFonts w:eastAsiaTheme="minorEastAsia"/>
          <w:sz w:val="24"/>
          <w:szCs w:val="24"/>
        </w:rPr>
      </w:pPr>
    </w:p>
    <w:p w14:paraId="3FD47008" w14:textId="77777777" w:rsidR="008A326C" w:rsidRPr="00131EED" w:rsidRDefault="008A326C" w:rsidP="008A326C">
      <w:pPr>
        <w:pStyle w:val="ListParagraph"/>
        <w:spacing w:after="0"/>
        <w:ind w:left="0"/>
        <w:rPr>
          <w:rFonts w:eastAsiaTheme="minorEastAsia"/>
          <w:sz w:val="24"/>
          <w:szCs w:val="24"/>
        </w:rPr>
      </w:pPr>
      <w:r w:rsidRPr="00131EED">
        <w:rPr>
          <w:rFonts w:eastAsiaTheme="minorEastAsia"/>
          <w:sz w:val="24"/>
          <w:szCs w:val="24"/>
        </w:rPr>
        <w:t>En los abrigos rocosos presentes en la zona y los vestigios culturales encontrados han permitido reconstruir un momento muy importante en la forma de vida de nuestros primeros pobladores entre 9.000 y 6.000 años antes del presente, grupos humanos de cazadores y recolectores que hicieron del valle alto del río Checua su hogar y ejercieron una apropiación territorial de la zona por miles de años. El hallazgo de sus instrumentos de trabajo elaborados en piedra y hueso, el hallazgo de una flauta de hueso que corresponde al instrumento de viento más antiguo hallado en América y restos de huesos de los animales que comían (Cortés et, al 2007).</w:t>
      </w:r>
    </w:p>
    <w:p w14:paraId="53DAAC56" w14:textId="77777777" w:rsidR="008A326C" w:rsidRPr="00131EED" w:rsidRDefault="008A326C" w:rsidP="008A326C">
      <w:pPr>
        <w:pStyle w:val="ListParagraph"/>
        <w:spacing w:after="0"/>
        <w:ind w:left="0"/>
        <w:rPr>
          <w:rFonts w:eastAsiaTheme="minorEastAsia"/>
          <w:sz w:val="24"/>
          <w:szCs w:val="24"/>
        </w:rPr>
      </w:pPr>
    </w:p>
    <w:p w14:paraId="2722141D" w14:textId="77777777" w:rsidR="004065CA" w:rsidRPr="00131EED" w:rsidRDefault="004065CA" w:rsidP="008A326C">
      <w:pPr>
        <w:pStyle w:val="ListParagraph"/>
        <w:spacing w:after="0"/>
        <w:ind w:left="0"/>
        <w:rPr>
          <w:rFonts w:eastAsiaTheme="minorEastAsia"/>
          <w:sz w:val="24"/>
          <w:szCs w:val="24"/>
        </w:rPr>
      </w:pPr>
    </w:p>
    <w:p w14:paraId="4BE49734" w14:textId="77777777" w:rsidR="004065CA" w:rsidRPr="00131EED" w:rsidRDefault="004065CA" w:rsidP="008A326C">
      <w:pPr>
        <w:pStyle w:val="ListParagraph"/>
        <w:spacing w:after="0"/>
        <w:ind w:left="0"/>
        <w:rPr>
          <w:rFonts w:eastAsiaTheme="minorEastAsia"/>
          <w:sz w:val="24"/>
          <w:szCs w:val="24"/>
        </w:rPr>
      </w:pPr>
    </w:p>
    <w:p w14:paraId="0421442E" w14:textId="77777777" w:rsidR="004065CA" w:rsidRPr="00131EED" w:rsidRDefault="004065CA" w:rsidP="008A326C">
      <w:pPr>
        <w:pStyle w:val="ListParagraph"/>
        <w:spacing w:after="0"/>
        <w:ind w:left="0"/>
        <w:rPr>
          <w:rFonts w:eastAsiaTheme="minorEastAsia"/>
          <w:sz w:val="24"/>
          <w:szCs w:val="24"/>
        </w:rPr>
      </w:pPr>
    </w:p>
    <w:p w14:paraId="62B8A33F" w14:textId="77777777" w:rsidR="004065CA" w:rsidRPr="00131EED" w:rsidRDefault="004065CA" w:rsidP="008A326C">
      <w:pPr>
        <w:pStyle w:val="ListParagraph"/>
        <w:spacing w:after="0"/>
        <w:ind w:left="0"/>
        <w:rPr>
          <w:rFonts w:eastAsiaTheme="minorEastAsia"/>
          <w:sz w:val="24"/>
          <w:szCs w:val="24"/>
        </w:rPr>
      </w:pPr>
    </w:p>
    <w:p w14:paraId="33FF320D" w14:textId="289A6070" w:rsidR="004065CA" w:rsidRPr="00131EED" w:rsidRDefault="004065CA" w:rsidP="008A326C">
      <w:pPr>
        <w:pStyle w:val="ListParagraph"/>
        <w:spacing w:after="0"/>
        <w:ind w:left="0"/>
        <w:rPr>
          <w:rFonts w:eastAsiaTheme="minorEastAsia"/>
          <w:sz w:val="24"/>
          <w:szCs w:val="24"/>
        </w:rPr>
      </w:pPr>
    </w:p>
    <w:p w14:paraId="024D9762" w14:textId="77777777" w:rsidR="005C7849" w:rsidRPr="00131EED" w:rsidRDefault="005C7849" w:rsidP="008A326C">
      <w:pPr>
        <w:rPr>
          <w:rFonts w:ascii="Baskerville" w:eastAsia="Arial Narrow" w:hAnsi="Baskerville" w:cs="Arial Narrow"/>
        </w:rPr>
      </w:pPr>
    </w:p>
    <w:p w14:paraId="7C7EF5B1" w14:textId="6B66A274" w:rsidR="008A326C" w:rsidRPr="00131EED" w:rsidRDefault="00B87A61" w:rsidP="00E53FE3">
      <w:pPr>
        <w:pStyle w:val="Caption"/>
        <w:jc w:val="center"/>
      </w:pPr>
      <w:bookmarkStart w:id="92" w:name="_Toc216468791"/>
      <w:r w:rsidRPr="00131EED">
        <w:t xml:space="preserve">Ilustración </w:t>
      </w:r>
      <w:r w:rsidRPr="00131EED">
        <w:fldChar w:fldCharType="begin"/>
      </w:r>
      <w:r w:rsidRPr="00131EED">
        <w:instrText>SEQ Ilustración \* ARABIC</w:instrText>
      </w:r>
      <w:r w:rsidRPr="00131EED">
        <w:fldChar w:fldCharType="separate"/>
      </w:r>
      <w:r w:rsidR="00CE096F">
        <w:rPr>
          <w:noProof/>
        </w:rPr>
        <w:t>26</w:t>
      </w:r>
      <w:r w:rsidRPr="00131EED">
        <w:fldChar w:fldCharType="end"/>
      </w:r>
      <w:r w:rsidRPr="00131EED">
        <w:t xml:space="preserve"> </w:t>
      </w:r>
      <w:r w:rsidR="008A326C" w:rsidRPr="00131EED">
        <w:t>Espacialización de la distribución del ecosistema Subxerofítico Andino en la Sabana de Bogotá y sus estados de conservación según análisis de integridad ecológica.</w:t>
      </w:r>
      <w:bookmarkEnd w:id="92"/>
    </w:p>
    <w:p w14:paraId="2DA49391" w14:textId="534F81EA" w:rsidR="008A326C" w:rsidRPr="00131EED" w:rsidRDefault="33F7D280" w:rsidP="00FE02EC">
      <w:pPr>
        <w:jc w:val="center"/>
      </w:pPr>
      <w:r w:rsidRPr="00131EED">
        <w:rPr>
          <w:noProof/>
          <w:lang w:eastAsia="en-US"/>
        </w:rPr>
        <w:drawing>
          <wp:inline distT="0" distB="0" distL="0" distR="0" wp14:anchorId="0355F989" wp14:editId="37310C4E">
            <wp:extent cx="4465787" cy="6318501"/>
            <wp:effectExtent l="0" t="0" r="0" b="6350"/>
            <wp:docPr id="212381148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811483"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470108" cy="6324615"/>
                    </a:xfrm>
                    <a:prstGeom prst="rect">
                      <a:avLst/>
                    </a:prstGeom>
                  </pic:spPr>
                </pic:pic>
              </a:graphicData>
            </a:graphic>
          </wp:inline>
        </w:drawing>
      </w:r>
    </w:p>
    <w:p w14:paraId="1DBDFCB7" w14:textId="77777777" w:rsidR="008A326C" w:rsidRPr="00131EED" w:rsidRDefault="008A326C" w:rsidP="008A326C">
      <w:pPr>
        <w:jc w:val="center"/>
        <w:rPr>
          <w:sz w:val="20"/>
          <w:szCs w:val="20"/>
        </w:rPr>
      </w:pPr>
      <w:r w:rsidRPr="00131EED">
        <w:rPr>
          <w:sz w:val="20"/>
          <w:szCs w:val="20"/>
        </w:rPr>
        <w:t>Fuente: IDEAM, 2024.</w:t>
      </w:r>
    </w:p>
    <w:p w14:paraId="5FCCDC11" w14:textId="77777777" w:rsidR="00E742EA" w:rsidRPr="00131EED" w:rsidRDefault="00E742EA" w:rsidP="008A326C">
      <w:pPr>
        <w:pStyle w:val="Caption"/>
        <w:spacing w:after="0"/>
        <w:rPr>
          <w:rFonts w:ascii="Baskerville" w:hAnsi="Baskerville"/>
        </w:rPr>
      </w:pPr>
    </w:p>
    <w:p w14:paraId="6E970575" w14:textId="77777777" w:rsidR="00E742EA" w:rsidRPr="00131EED" w:rsidRDefault="00E742EA" w:rsidP="008A326C">
      <w:pPr>
        <w:pStyle w:val="Caption"/>
        <w:spacing w:after="0"/>
        <w:rPr>
          <w:rFonts w:ascii="Baskerville" w:hAnsi="Baskerville"/>
        </w:rPr>
      </w:pPr>
    </w:p>
    <w:p w14:paraId="2F7C3F89" w14:textId="77777777" w:rsidR="008216F8" w:rsidRPr="00131EED" w:rsidRDefault="008216F8" w:rsidP="008216F8">
      <w:pPr>
        <w:pStyle w:val="ListParagraph"/>
        <w:spacing w:after="0"/>
        <w:ind w:left="0"/>
        <w:rPr>
          <w:rFonts w:eastAsiaTheme="minorEastAsia"/>
          <w:sz w:val="24"/>
          <w:szCs w:val="24"/>
        </w:rPr>
      </w:pPr>
      <w:r w:rsidRPr="00131EED">
        <w:rPr>
          <w:rFonts w:eastAsiaTheme="minorEastAsia"/>
          <w:sz w:val="24"/>
          <w:szCs w:val="24"/>
        </w:rPr>
        <w:t>Aproximadamente, 270 años antes de Cristo, otras generaciones de pobladores que a la par de la recolección venían experimentando con especies de plantas para su cultivo, pasan a combinar para su subsistencia  la agricultura y la cacería de especies menores como el curí y el venado y, se establecen algunas familias donde queda actualmente la salina de Nemocón, mientras que otras permanecen en el valle alto  del río Checua, cuyos descendientes son registrados en los documentos escritos de la Colonia española. En esta zona se ubicaba la parcialidad indígena de Tasgata de la etnia muisca, cuyas familias contribuyeron con la explotación maderera   para la elaboración de la sal en las salinas prehispánicas y coloniales de Nemocón. En la colonia la producción de sal de Nemocón fue la más grande de la Nueva Granada (Cortés et, al 2007).</w:t>
      </w:r>
    </w:p>
    <w:p w14:paraId="4C9E297C" w14:textId="77777777" w:rsidR="008216F8" w:rsidRPr="00131EED" w:rsidRDefault="008216F8" w:rsidP="008216F8">
      <w:pPr>
        <w:pStyle w:val="ListParagraph"/>
        <w:spacing w:after="0"/>
        <w:ind w:left="0"/>
        <w:rPr>
          <w:rFonts w:eastAsiaTheme="minorEastAsia"/>
          <w:sz w:val="24"/>
          <w:szCs w:val="24"/>
        </w:rPr>
      </w:pPr>
    </w:p>
    <w:p w14:paraId="6AAA5528" w14:textId="77777777" w:rsidR="008216F8" w:rsidRPr="00131EED" w:rsidRDefault="008216F8" w:rsidP="008216F8">
      <w:pPr>
        <w:pStyle w:val="ListParagraph"/>
        <w:spacing w:after="0"/>
        <w:ind w:left="0"/>
        <w:rPr>
          <w:sz w:val="24"/>
          <w:szCs w:val="24"/>
        </w:rPr>
      </w:pPr>
      <w:r w:rsidRPr="00131EED">
        <w:rPr>
          <w:sz w:val="24"/>
          <w:szCs w:val="24"/>
        </w:rPr>
        <w:t>Lo anterior resalta la importancia paleontológica, arqueológica, cultural e histórica de los enclaves secos de la región.</w:t>
      </w:r>
    </w:p>
    <w:p w14:paraId="2391DAF1" w14:textId="77777777" w:rsidR="008216F8" w:rsidRPr="00131EED" w:rsidRDefault="008216F8" w:rsidP="008216F8">
      <w:pPr>
        <w:pStyle w:val="ListParagraph"/>
        <w:spacing w:after="0"/>
        <w:rPr>
          <w:sz w:val="24"/>
          <w:szCs w:val="24"/>
        </w:rPr>
      </w:pPr>
    </w:p>
    <w:p w14:paraId="2D89093F" w14:textId="77777777" w:rsidR="008216F8" w:rsidRPr="00131EED" w:rsidRDefault="008216F8" w:rsidP="008216F8">
      <w:pPr>
        <w:rPr>
          <w:rFonts w:eastAsia="Arial Narrow" w:cs="Arial Narrow"/>
          <w:b/>
          <w:i/>
        </w:rPr>
      </w:pPr>
      <w:r w:rsidRPr="00131EED">
        <w:rPr>
          <w:rFonts w:eastAsia="Arial Narrow" w:cs="Arial Narrow"/>
          <w:b/>
          <w:i/>
        </w:rPr>
        <w:t xml:space="preserve">Contexto regional </w:t>
      </w:r>
    </w:p>
    <w:p w14:paraId="7D348A7A" w14:textId="77777777" w:rsidR="008216F8" w:rsidRPr="00131EED" w:rsidRDefault="008216F8" w:rsidP="008216F8">
      <w:pPr>
        <w:rPr>
          <w:rFonts w:eastAsia="Arial Narrow" w:cs="Arial Narrow"/>
          <w:b/>
          <w:i/>
        </w:rPr>
      </w:pPr>
    </w:p>
    <w:p w14:paraId="63B16D4B" w14:textId="100D5394" w:rsidR="008216F8" w:rsidRPr="00131EED" w:rsidRDefault="008216F8" w:rsidP="008216F8">
      <w:pPr>
        <w:rPr>
          <w:rFonts w:eastAsia="Arial Narrow" w:cs="Arial Narrow"/>
        </w:rPr>
      </w:pPr>
      <w:r w:rsidRPr="00131EED">
        <w:rPr>
          <w:rFonts w:eastAsia="Arial Narrow" w:cs="Arial Narrow"/>
        </w:rPr>
        <w:t xml:space="preserve">De acuerdo con el mapa de ecosistemas terrestres, marinos y costeros generado por el IDEAM a escala 1:100.000 en el año 2024, en la Sabana de Bogotá se encuentran un total de 14.817 hectáreas, de los cuales 1.411 hectáreas cuentan con una integridad ecológica muy baja (10%) del total del ecosistema y 6.303 hectáreas (42%) con integridad ecológica baja, </w:t>
      </w:r>
      <w:r w:rsidR="003A7820" w:rsidRPr="00131EED">
        <w:rPr>
          <w:rFonts w:eastAsia="Arial Narrow" w:cs="Arial Narrow"/>
        </w:rPr>
        <w:t xml:space="preserve">(ver </w:t>
      </w:r>
      <w:r w:rsidR="003A7820" w:rsidRPr="00131EED">
        <w:rPr>
          <w:rFonts w:eastAsia="Arial Narrow" w:cs="Arial Narrow"/>
        </w:rPr>
        <w:fldChar w:fldCharType="begin"/>
      </w:r>
      <w:r w:rsidR="003A7820" w:rsidRPr="00131EED">
        <w:rPr>
          <w:rFonts w:eastAsia="Arial Narrow" w:cs="Arial Narrow"/>
        </w:rPr>
        <w:instrText xml:space="preserve"> REF _Ref210993981 \h </w:instrText>
      </w:r>
      <w:r w:rsidR="003A7820" w:rsidRPr="00131EED">
        <w:rPr>
          <w:rFonts w:eastAsia="Arial Narrow" w:cs="Arial Narrow"/>
        </w:rPr>
      </w:r>
      <w:r w:rsidR="003A7820" w:rsidRPr="00131EED">
        <w:rPr>
          <w:rFonts w:eastAsia="Arial Narrow" w:cs="Arial Narrow"/>
        </w:rPr>
        <w:fldChar w:fldCharType="separate"/>
      </w:r>
      <w:r w:rsidR="00CE096F" w:rsidRPr="00131EED">
        <w:t xml:space="preserve">Ilustración </w:t>
      </w:r>
      <w:r w:rsidR="00CE096F">
        <w:rPr>
          <w:noProof/>
        </w:rPr>
        <w:t>27</w:t>
      </w:r>
      <w:r w:rsidR="003A7820" w:rsidRPr="00131EED">
        <w:rPr>
          <w:rFonts w:eastAsia="Arial Narrow" w:cs="Arial Narrow"/>
        </w:rPr>
        <w:fldChar w:fldCharType="end"/>
      </w:r>
      <w:r w:rsidR="003A7820" w:rsidRPr="00131EED">
        <w:rPr>
          <w:rFonts w:eastAsia="Arial Narrow" w:cs="Arial Narrow"/>
        </w:rPr>
        <w:t xml:space="preserve">), </w:t>
      </w:r>
      <w:r w:rsidR="004C4561" w:rsidRPr="00131EED">
        <w:rPr>
          <w:rFonts w:eastAsia="Arial Narrow" w:cs="Arial Narrow"/>
        </w:rPr>
        <w:t xml:space="preserve">así mismo, </w:t>
      </w:r>
      <w:r w:rsidRPr="00131EED">
        <w:rPr>
          <w:rFonts w:eastAsia="Arial Narrow" w:cs="Arial Narrow"/>
        </w:rPr>
        <w:t>según estudio realizado por el Instituto Alexander von Humboldt,</w:t>
      </w:r>
      <w:r w:rsidR="003A7820" w:rsidRPr="00131EED">
        <w:rPr>
          <w:rFonts w:eastAsia="Arial Narrow" w:cs="Arial Narrow"/>
        </w:rPr>
        <w:t xml:space="preserve"> </w:t>
      </w:r>
      <w:r w:rsidRPr="00131EED">
        <w:rPr>
          <w:rFonts w:eastAsia="Arial Narrow" w:cs="Arial Narrow"/>
        </w:rPr>
        <w:t>indica que cerca del 50% de la distribución potencial de este ecosistema ha sido altamente transformado</w:t>
      </w:r>
      <w:r w:rsidR="003A7820" w:rsidRPr="00131EED">
        <w:rPr>
          <w:rFonts w:eastAsia="Arial Narrow" w:cs="Arial Narrow"/>
        </w:rPr>
        <w:t xml:space="preserve">, </w:t>
      </w:r>
      <w:r w:rsidRPr="00131EED">
        <w:rPr>
          <w:rFonts w:eastAsia="Arial Narrow" w:cs="Arial Narrow"/>
        </w:rPr>
        <w:t xml:space="preserve"> y se requiere con urgencia medidas para su conservación. </w:t>
      </w:r>
    </w:p>
    <w:p w14:paraId="4743B299" w14:textId="03F23117" w:rsidR="009620C8" w:rsidRPr="00131EED" w:rsidRDefault="009620C8" w:rsidP="008216F8">
      <w:pPr>
        <w:rPr>
          <w:rFonts w:eastAsia="Arial Narrow" w:cs="Arial Narrow"/>
        </w:rPr>
      </w:pPr>
    </w:p>
    <w:p w14:paraId="3DCCB5FF" w14:textId="77777777" w:rsidR="009620C8" w:rsidRPr="00131EED" w:rsidRDefault="009620C8" w:rsidP="009620C8">
      <w:pPr>
        <w:rPr>
          <w:b/>
        </w:rPr>
      </w:pPr>
      <w:r w:rsidRPr="00131EED">
        <w:rPr>
          <w:b/>
        </w:rPr>
        <w:t>Comunidades vegetales, endemismos y especies amenazadas</w:t>
      </w:r>
    </w:p>
    <w:p w14:paraId="716EBF0A" w14:textId="77777777" w:rsidR="009620C8" w:rsidRPr="00131EED" w:rsidRDefault="009620C8" w:rsidP="009620C8">
      <w:pPr>
        <w:rPr>
          <w:rFonts w:eastAsia="Verdana" w:cs="Verdana"/>
          <w:sz w:val="18"/>
          <w:szCs w:val="18"/>
        </w:rPr>
      </w:pPr>
    </w:p>
    <w:p w14:paraId="40A3E6CE" w14:textId="77777777" w:rsidR="009620C8" w:rsidRPr="00131EED" w:rsidRDefault="009620C8" w:rsidP="009620C8">
      <w:pPr>
        <w:rPr>
          <w:b/>
        </w:rPr>
      </w:pPr>
      <w:r w:rsidRPr="00131EED">
        <w:rPr>
          <w:b/>
        </w:rPr>
        <w:t>Enclave seco del valle del río Checua</w:t>
      </w:r>
    </w:p>
    <w:p w14:paraId="6ADA568F" w14:textId="77777777" w:rsidR="009620C8" w:rsidRPr="00131EED" w:rsidRDefault="009620C8" w:rsidP="009620C8">
      <w:pPr>
        <w:rPr>
          <w:rFonts w:eastAsia="Verdana" w:cs="Verdana"/>
        </w:rPr>
      </w:pPr>
      <w:r w:rsidRPr="00131EED">
        <w:rPr>
          <w:rFonts w:eastAsia="Verdana" w:cs="Verdana"/>
        </w:rPr>
        <w:t xml:space="preserve">La flora y la fauna del enclave seco del valle del río Checua presenta un número apreciable de endemismos y posee ciertas especies afines o idénticas con las comunidades análogas de Ecuador, Perú y Bolivia (Hernández </w:t>
      </w:r>
      <w:r w:rsidRPr="00131EED">
        <w:rPr>
          <w:rFonts w:eastAsia="Verdana" w:cs="Verdana"/>
          <w:i/>
        </w:rPr>
        <w:t>et al.</w:t>
      </w:r>
      <w:r w:rsidRPr="00131EED">
        <w:rPr>
          <w:rFonts w:eastAsia="Verdana" w:cs="Verdana"/>
        </w:rPr>
        <w:t xml:space="preserve"> 1995). El Fundador del Jardín Botánico, Enrique Pérez-Arbeláez denominó estos ecosistemas “islas de sequía”, este concepto a la luz actual de la fitogeografía cobra mayor importancia, por presentar una diversidad única que ha permanecido “aislada” desde los tempranos tiempos del Pleistoceno (tomado de Cortés et al 2007).</w:t>
      </w:r>
    </w:p>
    <w:p w14:paraId="7D5200FD" w14:textId="77777777" w:rsidR="009620C8" w:rsidRPr="00131EED" w:rsidRDefault="009620C8" w:rsidP="009620C8">
      <w:pPr>
        <w:rPr>
          <w:rFonts w:eastAsia="Arial Narrow"/>
        </w:rPr>
      </w:pPr>
    </w:p>
    <w:p w14:paraId="28BAC391" w14:textId="77777777" w:rsidR="008216F8" w:rsidRPr="00131EED" w:rsidRDefault="008216F8" w:rsidP="009620C8">
      <w:pPr>
        <w:rPr>
          <w:rFonts w:eastAsia="Arial Narrow"/>
        </w:rPr>
      </w:pPr>
    </w:p>
    <w:p w14:paraId="160B172F" w14:textId="3B917351" w:rsidR="00E742EA" w:rsidRPr="00131EED" w:rsidRDefault="00E742EA" w:rsidP="009620C8">
      <w:pPr>
        <w:rPr>
          <w:lang w:eastAsia="en-US"/>
        </w:rPr>
      </w:pPr>
    </w:p>
    <w:p w14:paraId="5601AEFC" w14:textId="77777777" w:rsidR="0033180B" w:rsidRPr="00131EED" w:rsidRDefault="0033180B" w:rsidP="009620C8">
      <w:pPr>
        <w:rPr>
          <w:lang w:eastAsia="en-US"/>
        </w:rPr>
      </w:pPr>
    </w:p>
    <w:p w14:paraId="02785982" w14:textId="77777777" w:rsidR="00E742EA" w:rsidRPr="00131EED" w:rsidRDefault="00E742EA" w:rsidP="009620C8"/>
    <w:p w14:paraId="5767E7DB" w14:textId="2D1B65D2" w:rsidR="009620C8" w:rsidRPr="00131EED" w:rsidRDefault="009620C8" w:rsidP="009620C8"/>
    <w:p w14:paraId="0F1DEE27" w14:textId="2BC335E0" w:rsidR="009620C8" w:rsidRPr="00131EED" w:rsidRDefault="009620C8" w:rsidP="009620C8"/>
    <w:p w14:paraId="7AF68A0B" w14:textId="19D8439B" w:rsidR="009620C8" w:rsidRPr="00131EED" w:rsidRDefault="009620C8" w:rsidP="009620C8"/>
    <w:p w14:paraId="18A66348" w14:textId="77777777" w:rsidR="009620C8" w:rsidRPr="00131EED" w:rsidRDefault="009620C8" w:rsidP="009620C8"/>
    <w:p w14:paraId="4C8435F8" w14:textId="743C3007" w:rsidR="008A326C" w:rsidRPr="00131EED" w:rsidRDefault="001C72F6" w:rsidP="001C72F6">
      <w:pPr>
        <w:pStyle w:val="Caption"/>
      </w:pPr>
      <w:bookmarkStart w:id="93" w:name="_Ref210993981"/>
      <w:bookmarkStart w:id="94" w:name="_Toc216468792"/>
      <w:r w:rsidRPr="00131EED">
        <w:t xml:space="preserve">Ilustración </w:t>
      </w:r>
      <w:fldSimple w:instr=" SEQ Ilustración \* ARABIC ">
        <w:r w:rsidR="00CE096F">
          <w:rPr>
            <w:noProof/>
          </w:rPr>
          <w:t>27</w:t>
        </w:r>
      </w:fldSimple>
      <w:bookmarkEnd w:id="93"/>
      <w:r w:rsidR="0033180B" w:rsidRPr="00131EED">
        <w:t xml:space="preserve"> </w:t>
      </w:r>
      <w:r w:rsidR="008A326C" w:rsidRPr="00131EED">
        <w:t>Análisis de integridad ecológica sobre los ecosistemas subxerofíticos de la Sabana de Bogotá.</w:t>
      </w:r>
      <w:bookmarkEnd w:id="94"/>
    </w:p>
    <w:p w14:paraId="58C3A0CD" w14:textId="6374291E" w:rsidR="499744F2" w:rsidRPr="00131EED" w:rsidRDefault="499744F2" w:rsidP="45144A3D">
      <w:pPr>
        <w:jc w:val="center"/>
        <w:rPr>
          <w:rFonts w:eastAsia="Arial" w:cs="Arial"/>
          <w:sz w:val="22"/>
          <w:szCs w:val="22"/>
        </w:rPr>
      </w:pPr>
      <w:r w:rsidRPr="00131EED">
        <w:rPr>
          <w:noProof/>
          <w:lang w:eastAsia="en-US"/>
        </w:rPr>
        <w:drawing>
          <wp:inline distT="0" distB="0" distL="0" distR="0" wp14:anchorId="332BCE22" wp14:editId="57E9352D">
            <wp:extent cx="3786221" cy="5357004"/>
            <wp:effectExtent l="0" t="0" r="5080" b="0"/>
            <wp:docPr id="12488047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804796" nam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790465" cy="5363009"/>
                    </a:xfrm>
                    <a:prstGeom prst="rect">
                      <a:avLst/>
                    </a:prstGeom>
                  </pic:spPr>
                </pic:pic>
              </a:graphicData>
            </a:graphic>
          </wp:inline>
        </w:drawing>
      </w:r>
    </w:p>
    <w:p w14:paraId="26262F2F" w14:textId="73AD74C5" w:rsidR="008A326C" w:rsidRPr="00131EED" w:rsidRDefault="008A326C" w:rsidP="688DDAAE">
      <w:pPr>
        <w:jc w:val="center"/>
        <w:rPr>
          <w:rFonts w:eastAsia="Arial" w:cs="Arial"/>
          <w:sz w:val="20"/>
          <w:szCs w:val="20"/>
        </w:rPr>
      </w:pPr>
      <w:r w:rsidRPr="00131EED">
        <w:rPr>
          <w:rFonts w:eastAsia="Arial" w:cs="Arial"/>
          <w:sz w:val="20"/>
          <w:szCs w:val="20"/>
        </w:rPr>
        <w:t>Fuente: MinAmbiente con base en IDEAM (</w:t>
      </w:r>
      <w:r w:rsidR="58C2392C" w:rsidRPr="00131EED">
        <w:rPr>
          <w:rFonts w:eastAsia="Arial" w:cs="Arial"/>
          <w:sz w:val="20"/>
          <w:szCs w:val="20"/>
        </w:rPr>
        <w:t>20</w:t>
      </w:r>
      <w:r w:rsidR="4D58C187" w:rsidRPr="00131EED">
        <w:rPr>
          <w:rFonts w:eastAsia="Arial" w:cs="Arial"/>
          <w:sz w:val="20"/>
          <w:szCs w:val="20"/>
        </w:rPr>
        <w:t>24</w:t>
      </w:r>
      <w:r w:rsidRPr="00131EED">
        <w:rPr>
          <w:rFonts w:eastAsia="Arial" w:cs="Arial"/>
          <w:sz w:val="20"/>
          <w:szCs w:val="20"/>
        </w:rPr>
        <w:t>) e IAVH (2022)</w:t>
      </w:r>
    </w:p>
    <w:p w14:paraId="5E4DB020" w14:textId="77777777" w:rsidR="00EE78E9" w:rsidRPr="00131EED" w:rsidRDefault="00EE78E9" w:rsidP="008A326C">
      <w:pPr>
        <w:rPr>
          <w:rFonts w:ascii="Baskerville" w:hAnsi="Baskerville"/>
          <w:b/>
          <w:bCs/>
        </w:rPr>
      </w:pPr>
    </w:p>
    <w:p w14:paraId="5C3EA945" w14:textId="77777777" w:rsidR="008A326C" w:rsidRPr="00131EED" w:rsidRDefault="008A326C" w:rsidP="008A326C">
      <w:pPr>
        <w:rPr>
          <w:rFonts w:eastAsia="Verdana" w:cs="Verdana"/>
        </w:rPr>
      </w:pPr>
      <w:r w:rsidRPr="00131EED">
        <w:rPr>
          <w:rFonts w:eastAsia="Verdana" w:cs="Verdana"/>
        </w:rPr>
        <w:t>En cuanto a la fauna algunas especies dependen principalmente de las zonas abiertas que ofrecen pajonales, herbazales y escarpes como sitios de anidación y cacería como es el caso de la perdiz de montaña (</w:t>
      </w:r>
      <w:r w:rsidRPr="00131EED">
        <w:rPr>
          <w:rFonts w:eastAsia="Verdana" w:cs="Verdana"/>
          <w:i/>
        </w:rPr>
        <w:t>Colinus cristatus</w:t>
      </w:r>
      <w:r w:rsidRPr="00131EED">
        <w:rPr>
          <w:rFonts w:eastAsia="Verdana" w:cs="Verdana"/>
        </w:rPr>
        <w:t xml:space="preserve"> subespecie </w:t>
      </w:r>
      <w:r w:rsidRPr="00131EED">
        <w:rPr>
          <w:rFonts w:eastAsia="Verdana" w:cs="Verdana"/>
          <w:i/>
        </w:rPr>
        <w:t>bogotensis</w:t>
      </w:r>
      <w:r w:rsidRPr="00131EED">
        <w:rPr>
          <w:rFonts w:eastAsia="Verdana" w:cs="Verdana"/>
        </w:rPr>
        <w:t>) y la dormilona piquipinta (</w:t>
      </w:r>
      <w:r w:rsidRPr="00131EED">
        <w:rPr>
          <w:rFonts w:eastAsia="Verdana" w:cs="Verdana"/>
          <w:i/>
        </w:rPr>
        <w:t>Muscisaxicola maculirostris</w:t>
      </w:r>
      <w:r w:rsidRPr="00131EED">
        <w:rPr>
          <w:rFonts w:eastAsia="Verdana" w:cs="Verdana"/>
        </w:rPr>
        <w:t xml:space="preserve"> subespecie </w:t>
      </w:r>
      <w:r w:rsidRPr="00131EED">
        <w:rPr>
          <w:rFonts w:eastAsia="Verdana" w:cs="Verdana"/>
          <w:i/>
        </w:rPr>
        <w:t>niceforoi</w:t>
      </w:r>
      <w:r w:rsidRPr="00131EED">
        <w:rPr>
          <w:rFonts w:eastAsia="Verdana" w:cs="Verdana"/>
        </w:rPr>
        <w:t>) cuya distribución se restringe a zonas secas y abiertas o como la alondra cornuda (</w:t>
      </w:r>
      <w:r w:rsidRPr="00131EED">
        <w:rPr>
          <w:rFonts w:eastAsia="Verdana" w:cs="Verdana"/>
          <w:i/>
        </w:rPr>
        <w:t>Eremophila alpestris</w:t>
      </w:r>
      <w:r w:rsidRPr="00131EED">
        <w:rPr>
          <w:rFonts w:eastAsia="Verdana" w:cs="Verdana"/>
        </w:rPr>
        <w:t>) cuya única población aislada en la Cordillera Oriental se presenta en este enclave seco (ABO 2000, Hilty y Brown 2001 citado en Rivera 2004), (tomado de Cortés et al 2007).</w:t>
      </w:r>
    </w:p>
    <w:p w14:paraId="6AF0B5F9" w14:textId="77777777" w:rsidR="008A326C" w:rsidRPr="00131EED" w:rsidRDefault="008A326C" w:rsidP="008A326C">
      <w:pPr>
        <w:rPr>
          <w:rFonts w:eastAsia="Verdana" w:cs="Verdana"/>
        </w:rPr>
      </w:pPr>
    </w:p>
    <w:p w14:paraId="2F81FF9A" w14:textId="77777777" w:rsidR="008A326C" w:rsidRPr="00131EED" w:rsidRDefault="008A326C" w:rsidP="008A326C">
      <w:pPr>
        <w:rPr>
          <w:rFonts w:eastAsia="Verdana" w:cs="Verdana"/>
        </w:rPr>
      </w:pPr>
      <w:r w:rsidRPr="00131EED">
        <w:rPr>
          <w:rFonts w:eastAsia="Verdana" w:cs="Verdana"/>
        </w:rPr>
        <w:t xml:space="preserve">En cuanto a la flora Peñaloza y Fdez.-A.  (2002) registran 415 especies y Fdez-A. (2007) cita 450 y a medida que se realizan más trabajos de campo en la zona este número de especies va creciendo, registrando incluso nuevas especies para la ciencia como ocurrió con especies como </w:t>
      </w:r>
      <w:r w:rsidRPr="00131EED">
        <w:rPr>
          <w:rFonts w:eastAsia="Verdana" w:cs="Verdana"/>
          <w:i/>
        </w:rPr>
        <w:t>Condalia thomasiana</w:t>
      </w:r>
      <w:r w:rsidRPr="00131EED">
        <w:rPr>
          <w:rFonts w:eastAsia="Verdana" w:cs="Verdana"/>
        </w:rPr>
        <w:t xml:space="preserve"> (gurrumay), </w:t>
      </w:r>
      <w:r w:rsidRPr="00131EED">
        <w:rPr>
          <w:rFonts w:eastAsia="Verdana" w:cs="Verdana"/>
          <w:i/>
        </w:rPr>
        <w:t>Zephyranthes susatana</w:t>
      </w:r>
      <w:r w:rsidRPr="00131EED">
        <w:rPr>
          <w:rFonts w:eastAsia="Verdana" w:cs="Verdana"/>
        </w:rPr>
        <w:t xml:space="preserve"> Fdez.-A. &amp; Groenendijk (lirio de las lluvias), </w:t>
      </w:r>
      <w:r w:rsidRPr="00131EED">
        <w:rPr>
          <w:rFonts w:eastAsia="Verdana" w:cs="Verdana"/>
          <w:i/>
        </w:rPr>
        <w:t>Eragrostis intermedia</w:t>
      </w:r>
      <w:r w:rsidRPr="00131EED">
        <w:rPr>
          <w:rFonts w:eastAsia="Verdana" w:cs="Verdana"/>
        </w:rPr>
        <w:t xml:space="preserve"> A. Hitchc. y </w:t>
      </w:r>
      <w:r w:rsidRPr="00131EED">
        <w:rPr>
          <w:rFonts w:eastAsia="Verdana" w:cs="Verdana"/>
          <w:i/>
        </w:rPr>
        <w:t>E. polytrichia</w:t>
      </w:r>
      <w:r w:rsidRPr="00131EED">
        <w:rPr>
          <w:rFonts w:eastAsia="Verdana" w:cs="Verdana"/>
        </w:rPr>
        <w:t xml:space="preserve"> Nees y los hallazgos de especies que indican endemismos regionales y ambientales como </w:t>
      </w:r>
      <w:r w:rsidRPr="00131EED">
        <w:rPr>
          <w:rFonts w:eastAsia="Verdana" w:cs="Verdana"/>
          <w:i/>
        </w:rPr>
        <w:t xml:space="preserve">Tillandsia suescana </w:t>
      </w:r>
      <w:r w:rsidRPr="00131EED">
        <w:rPr>
          <w:rFonts w:eastAsia="Verdana" w:cs="Verdana"/>
        </w:rPr>
        <w:t>L.B.Sm</w:t>
      </w:r>
      <w:r w:rsidRPr="00131EED">
        <w:rPr>
          <w:rFonts w:eastAsia="Verdana" w:cs="Verdana"/>
          <w:i/>
        </w:rPr>
        <w:t>., Tillandsia chartacea</w:t>
      </w:r>
      <w:r w:rsidRPr="00131EED">
        <w:rPr>
          <w:rFonts w:eastAsia="Verdana" w:cs="Verdana"/>
        </w:rPr>
        <w:t xml:space="preserve"> L.B.Sm. y </w:t>
      </w:r>
      <w:r w:rsidRPr="00131EED">
        <w:rPr>
          <w:rFonts w:eastAsia="Verdana" w:cs="Verdana"/>
          <w:i/>
        </w:rPr>
        <w:t xml:space="preserve">Peperomia ubate-susanensis </w:t>
      </w:r>
      <w:r w:rsidRPr="00131EED">
        <w:rPr>
          <w:rFonts w:eastAsia="Verdana" w:cs="Verdana"/>
        </w:rPr>
        <w:t>Yunck (Cortés, 2007) y</w:t>
      </w:r>
      <w:r w:rsidRPr="00131EED">
        <w:rPr>
          <w:rFonts w:eastAsia="Verdana" w:cs="Verdana"/>
          <w:b/>
          <w:i/>
        </w:rPr>
        <w:t xml:space="preserve"> </w:t>
      </w:r>
      <w:r w:rsidRPr="00131EED">
        <w:rPr>
          <w:rFonts w:eastAsia="Verdana" w:cs="Verdana"/>
          <w:i/>
        </w:rPr>
        <w:t>Mammillaria columbiana</w:t>
      </w:r>
      <w:r w:rsidRPr="00131EED">
        <w:rPr>
          <w:rFonts w:eastAsia="Verdana" w:cs="Verdana"/>
        </w:rPr>
        <w:t xml:space="preserve"> Salm-Dyck (Cactus, buchito), Según este estudio la flora que se encuentra en estos matorrales y bosquetes del gurrumay está representando valores cercanos al 30% de la riqueza de especies de la flora regional inscrita en el enclave seco del valle del Río Checua (Cortés, 2007)</w:t>
      </w:r>
    </w:p>
    <w:p w14:paraId="29379163" w14:textId="77777777" w:rsidR="008A326C" w:rsidRPr="00131EED" w:rsidRDefault="008A326C" w:rsidP="008A326C">
      <w:pPr>
        <w:rPr>
          <w:rFonts w:eastAsia="Verdana" w:cs="Verdana"/>
        </w:rPr>
      </w:pPr>
    </w:p>
    <w:p w14:paraId="53D13FA8" w14:textId="77777777" w:rsidR="008A326C" w:rsidRPr="00131EED" w:rsidRDefault="008A326C" w:rsidP="008A326C">
      <w:pPr>
        <w:rPr>
          <w:rFonts w:eastAsia="Verdana" w:cs="Verdana"/>
        </w:rPr>
      </w:pPr>
      <w:r w:rsidRPr="00131EED">
        <w:rPr>
          <w:rFonts w:eastAsia="Verdana" w:cs="Verdana"/>
        </w:rPr>
        <w:t xml:space="preserve">Para el caso de </w:t>
      </w:r>
      <w:r w:rsidRPr="00131EED">
        <w:rPr>
          <w:rFonts w:eastAsia="Verdana" w:cs="Verdana"/>
          <w:i/>
        </w:rPr>
        <w:t>Condalia thomasiana</w:t>
      </w:r>
      <w:r w:rsidRPr="00131EED">
        <w:rPr>
          <w:rFonts w:eastAsia="Verdana" w:cs="Verdana"/>
        </w:rPr>
        <w:t xml:space="preserve"> (gurrumay) los análisis de viabilidad de las poblaciones, no son alentadores, se pueden calificar como bajos, con la presencia de individuos longevos adultos y muy pocos juveniles y plántulas (Jaimes, 2007). Se estableció una extensión de presencia para la especie de 27Km²  (ver mapa , línea roja) mientras que el área de ocupación total de </w:t>
      </w:r>
      <w:r w:rsidRPr="00131EED">
        <w:rPr>
          <w:rFonts w:eastAsia="Verdana" w:cs="Verdana"/>
          <w:i/>
        </w:rPr>
        <w:t>C. thomasiana</w:t>
      </w:r>
      <w:r w:rsidRPr="00131EED">
        <w:rPr>
          <w:rFonts w:eastAsia="Verdana" w:cs="Verdana"/>
        </w:rPr>
        <w:t xml:space="preserve">  es de 1,06 Km² (Sarmiento, 2007), en hábitat con algún grado de calidad ambiental pero rodeados y en contacto directo con sectores altamente deteriorados, donde la especie está presentando bastante herbívora, ataque de hongos, invasión de líquenes, bajo vigor y predación de semillas entre otros (ver fotos), estos resultados hacen aún más crítico el riesgo de extinción para la especie, (tomado de Cortés et al 2007), sin embargo pese a lo anterior esta especies no ha sido incluida en el listado nacional de especies amenazadas.</w:t>
      </w:r>
    </w:p>
    <w:p w14:paraId="1D83EED1" w14:textId="77777777" w:rsidR="008A326C" w:rsidRPr="00131EED" w:rsidRDefault="008A326C" w:rsidP="008A326C">
      <w:pPr>
        <w:rPr>
          <w:rFonts w:eastAsia="Verdana" w:cs="Verdana"/>
        </w:rPr>
      </w:pPr>
    </w:p>
    <w:p w14:paraId="696D9925" w14:textId="77777777" w:rsidR="008A326C" w:rsidRPr="00131EED" w:rsidRDefault="008A326C" w:rsidP="008A326C">
      <w:pPr>
        <w:rPr>
          <w:rFonts w:eastAsia="Verdana" w:cs="Verdana"/>
        </w:rPr>
      </w:pPr>
      <w:r w:rsidRPr="00131EED">
        <w:rPr>
          <w:rFonts w:eastAsia="Verdana" w:cs="Verdana"/>
        </w:rPr>
        <w:t>Por otra parte, la flora que se encuentra en estos matorrales y bosquetes del gurrumay está representando valores cercanos al 30% de la riqueza de especies de la flora regional inscrita en el enclave seco del valle del Río Checua (Cortés, 2007), (tomado de Cortés et al, 2007)</w:t>
      </w:r>
    </w:p>
    <w:p w14:paraId="2C991CC0" w14:textId="77777777" w:rsidR="008A326C" w:rsidRPr="00131EED" w:rsidRDefault="008A326C" w:rsidP="008A326C">
      <w:pPr>
        <w:rPr>
          <w:rFonts w:eastAsia="Verdana" w:cs="Verdana"/>
        </w:rPr>
      </w:pPr>
    </w:p>
    <w:p w14:paraId="08F0B258" w14:textId="77777777" w:rsidR="008A326C" w:rsidRPr="00131EED" w:rsidRDefault="008A326C" w:rsidP="008A326C">
      <w:pPr>
        <w:rPr>
          <w:rFonts w:eastAsia="Verdana" w:cs="Verdana"/>
        </w:rPr>
      </w:pPr>
      <w:r w:rsidRPr="00131EED">
        <w:rPr>
          <w:rFonts w:eastAsia="Verdana" w:cs="Verdana"/>
        </w:rPr>
        <w:t>De igual manera, para el enclave subxerofítico del sur de Bogotá, se han reportado 27 especies endémicas de Colombia, de las cuales 23 son endémicas del Altiplano Cundiboyacense que incluyen especies de las familias asteraceae (7), rubiaceae (3), orquidiaceae, apocinácea, agaves asparagaceae y verbenaceae (2) (Corporación Geoambiental Terrae, 2021)</w:t>
      </w:r>
    </w:p>
    <w:p w14:paraId="14F67D1D" w14:textId="77777777" w:rsidR="008A326C" w:rsidRPr="00131EED" w:rsidRDefault="008A326C" w:rsidP="008A326C">
      <w:pPr>
        <w:rPr>
          <w:rFonts w:eastAsia="Verdana" w:cs="Verdana"/>
        </w:rPr>
      </w:pPr>
    </w:p>
    <w:p w14:paraId="4F2A7C47" w14:textId="77777777" w:rsidR="008A326C" w:rsidRPr="00131EED" w:rsidRDefault="008A326C" w:rsidP="008A326C">
      <w:pPr>
        <w:rPr>
          <w:b/>
        </w:rPr>
      </w:pPr>
      <w:r w:rsidRPr="00131EED">
        <w:rPr>
          <w:b/>
        </w:rPr>
        <w:t>Formaciones vegetales suxerófitas actuales de la cuenca alta del rio Bogotá (Cortés, 2008a; Cortés, 2008b; Cortés 2016)</w:t>
      </w:r>
    </w:p>
    <w:p w14:paraId="2BEE9938" w14:textId="77777777" w:rsidR="008A326C" w:rsidRPr="00131EED" w:rsidRDefault="008A326C" w:rsidP="008A326C">
      <w:pPr>
        <w:rPr>
          <w:rFonts w:eastAsia="Arial" w:cs="Arial"/>
          <w:b/>
          <w:sz w:val="20"/>
          <w:szCs w:val="20"/>
          <w:u w:val="single"/>
        </w:rPr>
      </w:pPr>
    </w:p>
    <w:p w14:paraId="7B78C29F" w14:textId="77777777" w:rsidR="008A326C" w:rsidRPr="00131EED" w:rsidRDefault="008A326C" w:rsidP="008A326C">
      <w:pPr>
        <w:rPr>
          <w:rFonts w:eastAsia="Arial" w:cs="Arial"/>
          <w:szCs w:val="20"/>
          <w:u w:val="single"/>
        </w:rPr>
      </w:pPr>
      <w:r w:rsidRPr="00131EED">
        <w:rPr>
          <w:rFonts w:eastAsia="Arial" w:cs="Arial"/>
          <w:b/>
          <w:szCs w:val="20"/>
          <w:u w:val="single"/>
        </w:rPr>
        <w:t>Bosques y matorrales subxerofíticos de base de montaña y ladera baja (2500 y 2800 m)</w:t>
      </w:r>
      <w:r w:rsidRPr="00131EED">
        <w:rPr>
          <w:rFonts w:eastAsia="Arial" w:cs="Arial"/>
          <w:szCs w:val="20"/>
          <w:u w:val="single"/>
        </w:rPr>
        <w:t>.</w:t>
      </w:r>
    </w:p>
    <w:p w14:paraId="62CF4053" w14:textId="77777777" w:rsidR="008A326C" w:rsidRPr="00131EED" w:rsidRDefault="008A326C" w:rsidP="008A326C"/>
    <w:p w14:paraId="43E3A604" w14:textId="77777777" w:rsidR="008A326C" w:rsidRPr="00131EED" w:rsidRDefault="008A326C" w:rsidP="008A326C">
      <w:pPr>
        <w:rPr>
          <w:rFonts w:eastAsia="Verdana" w:cs="Verdana"/>
        </w:rPr>
      </w:pPr>
      <w:r w:rsidRPr="00131EED">
        <w:rPr>
          <w:rFonts w:eastAsia="Verdana" w:cs="Verdana"/>
        </w:rPr>
        <w:t>Este tipo de vegetación se presenta en enclaves secos de la sabana de Bogotá al sur y al norte de la región; al sur se presentan de manera muy extendida en la ciudad de Bogotá en las localidades de Ciudad Bolívar, occidente de Usme y valle del río Tunjuelo y en los municipios de Soacha, Mosquera, Madrid y límite oriental de Bojacá; al norte se presentan en los municipios de Suesca, Nemocón, Tausa y Guatavita. Estos enclaves secos tienen montos de precipitación anual entre 500 y 800 mm y aunque el comportamiento de las lluvias es bimodal, los periodos de sequía son más largos acompañados por las temperaturas más altas de estas zonas frías que pueden oscilar entre 10 y 16ºC, se presentan suelos tipo alfisol, entisol e inceptisol, actualmente su apariencia es desértica a lo cual históricamente contribuyó el clima y posteriormente la agricultura y la ganadería, actividades que han hecho estos terrenos altamente susceptibles a la erosión que se expresa en cárcavas profundas. Condiciones ambientales tan particulares han hecho que a lo largo del tiempo especies de flora y fauna se hayan adaptado a estas condiciones, convirtiendo estas zonas en núcleos de endemismos constituyendo así zonas importantes para la conservación (Cortés, 2008).</w:t>
      </w:r>
    </w:p>
    <w:p w14:paraId="0F64B695" w14:textId="77777777" w:rsidR="008A326C" w:rsidRPr="00131EED" w:rsidRDefault="008A326C" w:rsidP="008A326C">
      <w:pPr>
        <w:rPr>
          <w:rFonts w:eastAsia="Verdana" w:cs="Verdana"/>
        </w:rPr>
      </w:pPr>
    </w:p>
    <w:p w14:paraId="25BD1E6A" w14:textId="77777777" w:rsidR="008A326C" w:rsidRPr="00131EED" w:rsidRDefault="008A326C" w:rsidP="008A326C">
      <w:pPr>
        <w:rPr>
          <w:rFonts w:eastAsia="Verdana" w:cs="Verdana"/>
        </w:rPr>
      </w:pPr>
      <w:r w:rsidRPr="00131EED">
        <w:rPr>
          <w:rFonts w:eastAsia="Verdana" w:cs="Verdana"/>
        </w:rPr>
        <w:t>En la siguiente tabla se presenta la síntesis de formaciones vegetales encontradas en estos ecosistemas secos de la Sabana de Bogotá.</w:t>
      </w:r>
    </w:p>
    <w:p w14:paraId="63448965" w14:textId="77777777" w:rsidR="008A326C" w:rsidRPr="00131EED" w:rsidRDefault="008A326C" w:rsidP="008A326C">
      <w:pPr>
        <w:rPr>
          <w:rFonts w:ascii="Baskerville" w:hAnsi="Baskerville"/>
          <w:b/>
          <w:bCs/>
        </w:rPr>
      </w:pPr>
    </w:p>
    <w:p w14:paraId="5757CD11" w14:textId="1DAB5120" w:rsidR="008A326C" w:rsidRPr="00131EED" w:rsidRDefault="008A326C" w:rsidP="00E53FE3">
      <w:pPr>
        <w:pStyle w:val="Caption"/>
        <w:jc w:val="center"/>
      </w:pPr>
      <w:bookmarkStart w:id="95" w:name="_Toc216468925"/>
      <w:r w:rsidRPr="00131EED">
        <w:t xml:space="preserve">Tabla </w:t>
      </w:r>
      <w:r w:rsidRPr="00131EED">
        <w:fldChar w:fldCharType="begin"/>
      </w:r>
      <w:r w:rsidRPr="00131EED">
        <w:instrText>SEQ Tabla \* ARABIC</w:instrText>
      </w:r>
      <w:r w:rsidRPr="00131EED">
        <w:fldChar w:fldCharType="separate"/>
      </w:r>
      <w:r w:rsidR="00CE096F">
        <w:rPr>
          <w:noProof/>
        </w:rPr>
        <w:t>15</w:t>
      </w:r>
      <w:r w:rsidRPr="00131EED">
        <w:fldChar w:fldCharType="end"/>
      </w:r>
      <w:r w:rsidRPr="00131EED">
        <w:t>. Síntesis de la sintaxonomía regional-enclaves subxerofíticos en sabana de Bogotá</w:t>
      </w:r>
      <w:bookmarkEnd w:id="95"/>
    </w:p>
    <w:tbl>
      <w:tblPr>
        <w:tblStyle w:val="TableGrid"/>
        <w:tblW w:w="0" w:type="auto"/>
        <w:tblLayout w:type="fixed"/>
        <w:tblLook w:val="04A0" w:firstRow="1" w:lastRow="0" w:firstColumn="1" w:lastColumn="0" w:noHBand="0" w:noVBand="1"/>
      </w:tblPr>
      <w:tblGrid>
        <w:gridCol w:w="1975"/>
        <w:gridCol w:w="6271"/>
      </w:tblGrid>
      <w:tr w:rsidR="008A326C" w:rsidRPr="00131EED" w14:paraId="7916827B" w14:textId="77777777" w:rsidTr="007F4C43">
        <w:trPr>
          <w:trHeight w:val="288"/>
          <w:tblHeader/>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5E62FC29" w14:textId="77777777" w:rsidR="008A326C" w:rsidRPr="00131EED" w:rsidRDefault="061E56AE" w:rsidP="567C331E">
            <w:pPr>
              <w:rPr>
                <w:rFonts w:eastAsia="Baskerville Old Face" w:cs="Baskerville Old Face"/>
                <w:sz w:val="20"/>
                <w:szCs w:val="20"/>
              </w:rPr>
            </w:pPr>
            <w:r w:rsidRPr="00131EED">
              <w:rPr>
                <w:rFonts w:eastAsia="Baskerville Old Face" w:cs="Baskerville Old Face"/>
                <w:b/>
                <w:sz w:val="20"/>
                <w:szCs w:val="20"/>
              </w:rPr>
              <w:t>REGIÓN Y FRANJA DE VIDA</w:t>
            </w:r>
          </w:p>
        </w:tc>
        <w:tc>
          <w:tcPr>
            <w:tcW w:w="6271" w:type="dxa"/>
            <w:tcBorders>
              <w:top w:val="single" w:sz="8" w:space="0" w:color="auto"/>
              <w:left w:val="single" w:sz="8" w:space="0" w:color="auto"/>
              <w:bottom w:val="single" w:sz="8" w:space="0" w:color="auto"/>
              <w:right w:val="single" w:sz="8" w:space="0" w:color="auto"/>
            </w:tcBorders>
            <w:tcMar>
              <w:left w:w="108" w:type="dxa"/>
              <w:right w:w="108" w:type="dxa"/>
            </w:tcMar>
          </w:tcPr>
          <w:p w14:paraId="16709BD2" w14:textId="77777777" w:rsidR="008A326C" w:rsidRPr="00131EED" w:rsidRDefault="061E56AE" w:rsidP="567C331E">
            <w:pPr>
              <w:rPr>
                <w:rFonts w:eastAsia="Baskerville Old Face" w:cs="Baskerville Old Face"/>
                <w:sz w:val="20"/>
                <w:szCs w:val="20"/>
              </w:rPr>
            </w:pPr>
            <w:r w:rsidRPr="00131EED">
              <w:rPr>
                <w:rFonts w:eastAsia="Baskerville Old Face" w:cs="Baskerville Old Face"/>
                <w:b/>
                <w:sz w:val="20"/>
                <w:szCs w:val="20"/>
              </w:rPr>
              <w:t>SINTAXONOMÍA</w:t>
            </w:r>
          </w:p>
        </w:tc>
      </w:tr>
      <w:tr w:rsidR="008A326C" w:rsidRPr="00131EED" w14:paraId="57FC586C" w14:textId="77777777" w:rsidTr="007F4C43">
        <w:trPr>
          <w:trHeight w:val="288"/>
        </w:trPr>
        <w:tc>
          <w:tcPr>
            <w:tcW w:w="1975"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98958D" w14:textId="77777777" w:rsidR="008A326C" w:rsidRPr="00131EED" w:rsidRDefault="061E56AE" w:rsidP="567C331E">
            <w:pPr>
              <w:rPr>
                <w:rFonts w:eastAsia="Baskerville Old Face" w:cs="Baskerville Old Face"/>
                <w:sz w:val="20"/>
                <w:szCs w:val="20"/>
              </w:rPr>
            </w:pPr>
            <w:r w:rsidRPr="00131EED">
              <w:rPr>
                <w:rFonts w:eastAsia="Baskerville Old Face" w:cs="Baskerville Old Face"/>
                <w:b/>
                <w:sz w:val="20"/>
                <w:szCs w:val="20"/>
              </w:rPr>
              <w:t>Región de vida andina-franja andina baja (2500-2800m)</w:t>
            </w:r>
          </w:p>
          <w:p w14:paraId="4BAE3F94" w14:textId="77777777" w:rsidR="008A326C" w:rsidRPr="00131EED" w:rsidRDefault="061E56AE" w:rsidP="567C331E">
            <w:pPr>
              <w:rPr>
                <w:rFonts w:eastAsia="Baskerville Old Face" w:cs="Baskerville Old Face"/>
                <w:sz w:val="20"/>
                <w:szCs w:val="20"/>
              </w:rPr>
            </w:pPr>
            <w:r w:rsidRPr="00131EED">
              <w:rPr>
                <w:rFonts w:eastAsia="Baskerville Old Face" w:cs="Baskerville Old Face"/>
                <w:b/>
                <w:sz w:val="20"/>
                <w:szCs w:val="20"/>
              </w:rPr>
              <w:t xml:space="preserve"> </w:t>
            </w:r>
          </w:p>
        </w:tc>
        <w:tc>
          <w:tcPr>
            <w:tcW w:w="6271" w:type="dxa"/>
            <w:tcBorders>
              <w:top w:val="single" w:sz="8" w:space="0" w:color="auto"/>
              <w:left w:val="single" w:sz="8" w:space="0" w:color="auto"/>
              <w:bottom w:val="single" w:sz="8" w:space="0" w:color="auto"/>
              <w:right w:val="single" w:sz="8" w:space="0" w:color="auto"/>
            </w:tcBorders>
            <w:tcMar>
              <w:left w:w="108" w:type="dxa"/>
              <w:right w:w="108" w:type="dxa"/>
            </w:tcMar>
          </w:tcPr>
          <w:p w14:paraId="76C9E641" w14:textId="77777777" w:rsidR="008A326C" w:rsidRPr="00131EED" w:rsidRDefault="061E56AE" w:rsidP="567C331E">
            <w:pPr>
              <w:rPr>
                <w:rFonts w:eastAsia="Baskerville Old Face" w:cs="Baskerville Old Face"/>
                <w:sz w:val="20"/>
                <w:szCs w:val="20"/>
              </w:rPr>
            </w:pPr>
            <w:r w:rsidRPr="00131EED">
              <w:rPr>
                <w:rFonts w:eastAsia="Baskerville Old Face" w:cs="Baskerville Old Face"/>
                <w:sz w:val="20"/>
                <w:szCs w:val="20"/>
              </w:rPr>
              <w:t>ORDEN: Myrciantho leucoxylae-Miconietalia squamulosae</w:t>
            </w:r>
          </w:p>
          <w:p w14:paraId="3A93557B" w14:textId="77777777" w:rsidR="008A326C" w:rsidRPr="00131EED" w:rsidRDefault="061E56AE" w:rsidP="567C331E">
            <w:pPr>
              <w:rPr>
                <w:rFonts w:eastAsia="Baskerville Old Face" w:cs="Baskerville Old Face"/>
                <w:sz w:val="20"/>
                <w:szCs w:val="20"/>
              </w:rPr>
            </w:pPr>
            <w:r w:rsidRPr="00131EED">
              <w:rPr>
                <w:rFonts w:eastAsia="Baskerville Old Face" w:cs="Baskerville Old Face"/>
                <w:sz w:val="20"/>
                <w:szCs w:val="20"/>
              </w:rPr>
              <w:t xml:space="preserve">Alianza Condalion thomasianae                                                                                            Asociación </w:t>
            </w:r>
            <w:r w:rsidRPr="00131EED">
              <w:rPr>
                <w:rFonts w:eastAsia="Baskerville Old Face" w:cs="Baskerville Old Face"/>
                <w:i/>
                <w:sz w:val="20"/>
                <w:szCs w:val="20"/>
              </w:rPr>
              <w:t>Xylosmo spiculiferae-Condalietum thomasianae</w:t>
            </w:r>
            <w:r w:rsidRPr="00131EED">
              <w:rPr>
                <w:rFonts w:eastAsia="Baskerville Old Face" w:cs="Baskerville Old Face"/>
                <w:sz w:val="20"/>
                <w:szCs w:val="20"/>
              </w:rPr>
              <w:t xml:space="preserve">                                                            Asociación </w:t>
            </w:r>
            <w:r w:rsidRPr="00131EED">
              <w:rPr>
                <w:rFonts w:eastAsia="Baskerville Old Face" w:cs="Baskerville Old Face"/>
                <w:i/>
                <w:sz w:val="20"/>
                <w:szCs w:val="20"/>
              </w:rPr>
              <w:t>Peperomio ubate-susanensis-Condalietum thomasianae</w:t>
            </w:r>
            <w:r w:rsidRPr="00131EED">
              <w:rPr>
                <w:rFonts w:eastAsia="Baskerville Old Face" w:cs="Baskerville Old Face"/>
                <w:sz w:val="20"/>
                <w:szCs w:val="20"/>
              </w:rPr>
              <w:t xml:space="preserve">                                                  </w:t>
            </w:r>
          </w:p>
          <w:p w14:paraId="414331EA" w14:textId="77777777" w:rsidR="008A326C" w:rsidRPr="00131EED" w:rsidRDefault="061E56AE" w:rsidP="567C331E">
            <w:pPr>
              <w:rPr>
                <w:rFonts w:eastAsia="Baskerville Old Face" w:cs="Baskerville Old Face"/>
                <w:sz w:val="20"/>
                <w:szCs w:val="20"/>
              </w:rPr>
            </w:pPr>
            <w:r w:rsidRPr="00131EED">
              <w:rPr>
                <w:rFonts w:eastAsia="Baskerville Old Face" w:cs="Baskerville Old Face"/>
                <w:sz w:val="20"/>
                <w:szCs w:val="20"/>
              </w:rPr>
              <w:t xml:space="preserve">Alianza (prov.) Daphnopsio caracasanae- Oreoanicion floribundi                                             </w:t>
            </w:r>
          </w:p>
          <w:p w14:paraId="49DEBCDE" w14:textId="77777777" w:rsidR="008A326C" w:rsidRPr="00131EED" w:rsidRDefault="061E56AE" w:rsidP="567C331E">
            <w:pPr>
              <w:rPr>
                <w:rFonts w:eastAsia="Baskerville Old Face" w:cs="Baskerville Old Face"/>
                <w:sz w:val="20"/>
                <w:szCs w:val="20"/>
              </w:rPr>
            </w:pPr>
            <w:r w:rsidRPr="00131EED">
              <w:rPr>
                <w:rFonts w:eastAsia="Baskerville Old Face" w:cs="Baskerville Old Face"/>
                <w:sz w:val="20"/>
                <w:szCs w:val="20"/>
              </w:rPr>
              <w:t xml:space="preserve">Asociación </w:t>
            </w:r>
            <w:r w:rsidRPr="00131EED">
              <w:rPr>
                <w:rFonts w:eastAsia="Baskerville Old Face" w:cs="Baskerville Old Face"/>
                <w:i/>
                <w:sz w:val="20"/>
                <w:szCs w:val="20"/>
              </w:rPr>
              <w:t>Daphnopsio caracasanae-Xylosmetum spiculiferae</w:t>
            </w:r>
            <w:r w:rsidRPr="00131EED">
              <w:rPr>
                <w:rFonts w:eastAsia="Baskerville Old Face" w:cs="Baskerville Old Face"/>
                <w:sz w:val="20"/>
                <w:szCs w:val="20"/>
              </w:rPr>
              <w:t xml:space="preserve">                                                    </w:t>
            </w:r>
          </w:p>
          <w:p w14:paraId="07C2D1EE" w14:textId="0E893B16" w:rsidR="008A326C" w:rsidRPr="00131EED" w:rsidRDefault="061E56AE" w:rsidP="567C331E">
            <w:pPr>
              <w:rPr>
                <w:rFonts w:eastAsia="Baskerville Old Face" w:cs="Baskerville Old Face"/>
                <w:sz w:val="20"/>
                <w:szCs w:val="20"/>
              </w:rPr>
            </w:pPr>
            <w:r w:rsidRPr="00131EED">
              <w:rPr>
                <w:rFonts w:eastAsia="Baskerville Old Face" w:cs="Baskerville Old Face"/>
                <w:sz w:val="20"/>
                <w:szCs w:val="20"/>
              </w:rPr>
              <w:t xml:space="preserve">Otras comunidades:                                                             Comunidad de </w:t>
            </w:r>
            <w:r w:rsidRPr="00131EED">
              <w:rPr>
                <w:rFonts w:eastAsia="Baskerville Old Face" w:cs="Baskerville Old Face"/>
                <w:i/>
                <w:sz w:val="20"/>
                <w:szCs w:val="20"/>
              </w:rPr>
              <w:t xml:space="preserve">Condalia thomasiana </w:t>
            </w:r>
            <w:r w:rsidRPr="00131EED">
              <w:rPr>
                <w:rFonts w:eastAsia="Baskerville Old Face" w:cs="Baskerville Old Face"/>
                <w:sz w:val="20"/>
                <w:szCs w:val="20"/>
              </w:rPr>
              <w:t>y</w:t>
            </w:r>
            <w:r w:rsidRPr="00131EED">
              <w:rPr>
                <w:rFonts w:eastAsia="Baskerville Old Face" w:cs="Baskerville Old Face"/>
                <w:i/>
                <w:sz w:val="20"/>
                <w:szCs w:val="20"/>
              </w:rPr>
              <w:t xml:space="preserve"> DIchondra repens</w:t>
            </w:r>
            <w:r w:rsidRPr="00131EED">
              <w:rPr>
                <w:rFonts w:eastAsia="Baskerville Old Face" w:cs="Baskerville Old Face"/>
                <w:sz w:val="20"/>
                <w:szCs w:val="20"/>
              </w:rPr>
              <w:t xml:space="preserve">                              </w:t>
            </w:r>
          </w:p>
        </w:tc>
      </w:tr>
      <w:tr w:rsidR="008A326C" w:rsidRPr="00131EED" w14:paraId="1D55A512" w14:textId="77777777" w:rsidTr="007F4C43">
        <w:trPr>
          <w:trHeight w:val="288"/>
        </w:trPr>
        <w:tc>
          <w:tcPr>
            <w:tcW w:w="1975" w:type="dxa"/>
            <w:vMerge/>
            <w:vAlign w:val="center"/>
          </w:tcPr>
          <w:p w14:paraId="06D91F16" w14:textId="77777777" w:rsidR="008A326C" w:rsidRPr="00131EED" w:rsidRDefault="008A326C" w:rsidP="002D7F18">
            <w:pPr>
              <w:rPr>
                <w:sz w:val="20"/>
                <w:szCs w:val="20"/>
              </w:rPr>
            </w:pPr>
          </w:p>
        </w:tc>
        <w:tc>
          <w:tcPr>
            <w:tcW w:w="6271" w:type="dxa"/>
            <w:tcBorders>
              <w:top w:val="single" w:sz="8" w:space="0" w:color="auto"/>
              <w:left w:val="nil"/>
              <w:bottom w:val="single" w:sz="8" w:space="0" w:color="auto"/>
              <w:right w:val="single" w:sz="8" w:space="0" w:color="auto"/>
            </w:tcBorders>
            <w:tcMar>
              <w:left w:w="108" w:type="dxa"/>
              <w:right w:w="108" w:type="dxa"/>
            </w:tcMar>
          </w:tcPr>
          <w:p w14:paraId="528A43BE" w14:textId="77777777" w:rsidR="008A326C" w:rsidRPr="00131EED" w:rsidRDefault="061E56AE" w:rsidP="567C331E">
            <w:pPr>
              <w:rPr>
                <w:rFonts w:eastAsia="Baskerville Old Face" w:cs="Baskerville Old Face"/>
                <w:sz w:val="20"/>
                <w:szCs w:val="20"/>
              </w:rPr>
            </w:pPr>
            <w:r w:rsidRPr="00131EED">
              <w:rPr>
                <w:rFonts w:eastAsia="Baskerville Old Face" w:cs="Baskerville Old Face"/>
                <w:sz w:val="20"/>
                <w:szCs w:val="20"/>
              </w:rPr>
              <w:t>ORDEN: Cupheo-Dodonetalia viscoseae                                                                         Alianza</w:t>
            </w:r>
            <w:r w:rsidRPr="00131EED">
              <w:rPr>
                <w:rFonts w:eastAsia="Baskerville Old Face" w:cs="Baskerville Old Face"/>
                <w:smallCaps/>
                <w:sz w:val="20"/>
                <w:szCs w:val="20"/>
              </w:rPr>
              <w:t xml:space="preserve"> </w:t>
            </w:r>
            <w:r w:rsidRPr="00131EED">
              <w:rPr>
                <w:rFonts w:eastAsia="Baskerville Old Face" w:cs="Baskerville Old Face"/>
                <w:sz w:val="20"/>
                <w:szCs w:val="20"/>
              </w:rPr>
              <w:t xml:space="preserve">Stevio lucidae-Dodonaeion viscosae                                                                 Asociación: Baccharido rupicolae-Dodonaeetum viscosae                                                         </w:t>
            </w:r>
          </w:p>
        </w:tc>
      </w:tr>
      <w:tr w:rsidR="008A326C" w:rsidRPr="00131EED" w14:paraId="2A3EE042" w14:textId="77777777" w:rsidTr="007F4C43">
        <w:trPr>
          <w:trHeight w:val="288"/>
        </w:trPr>
        <w:tc>
          <w:tcPr>
            <w:tcW w:w="1975" w:type="dxa"/>
            <w:vMerge/>
            <w:vAlign w:val="center"/>
          </w:tcPr>
          <w:p w14:paraId="79AA5D3B" w14:textId="77777777" w:rsidR="008A326C" w:rsidRPr="00131EED" w:rsidRDefault="008A326C" w:rsidP="002D7F18">
            <w:pPr>
              <w:rPr>
                <w:sz w:val="20"/>
                <w:szCs w:val="20"/>
              </w:rPr>
            </w:pPr>
          </w:p>
        </w:tc>
        <w:tc>
          <w:tcPr>
            <w:tcW w:w="6271" w:type="dxa"/>
            <w:tcBorders>
              <w:top w:val="single" w:sz="8" w:space="0" w:color="auto"/>
              <w:left w:val="nil"/>
              <w:bottom w:val="single" w:sz="8" w:space="0" w:color="auto"/>
              <w:right w:val="single" w:sz="8" w:space="0" w:color="auto"/>
            </w:tcBorders>
            <w:tcMar>
              <w:left w:w="108" w:type="dxa"/>
              <w:right w:w="108" w:type="dxa"/>
            </w:tcMar>
          </w:tcPr>
          <w:p w14:paraId="17C79B65" w14:textId="77777777" w:rsidR="008A326C" w:rsidRPr="00131EED" w:rsidRDefault="061E56AE" w:rsidP="567C331E">
            <w:pPr>
              <w:rPr>
                <w:rFonts w:eastAsia="Baskerville Old Face" w:cs="Baskerville Old Face"/>
                <w:sz w:val="20"/>
                <w:szCs w:val="20"/>
              </w:rPr>
            </w:pPr>
            <w:r w:rsidRPr="00131EED">
              <w:rPr>
                <w:rFonts w:eastAsia="Baskerville Old Face" w:cs="Baskerville Old Face"/>
                <w:sz w:val="20"/>
                <w:szCs w:val="20"/>
              </w:rPr>
              <w:t xml:space="preserve">ORDEN Y ALIANZA incertae sedis                                                                                      Otras comunidades:                                                              Matorrales de </w:t>
            </w:r>
            <w:r w:rsidRPr="00131EED">
              <w:rPr>
                <w:rFonts w:eastAsia="Baskerville Old Face" w:cs="Baskerville Old Face"/>
                <w:i/>
                <w:sz w:val="20"/>
                <w:szCs w:val="20"/>
              </w:rPr>
              <w:t xml:space="preserve">Salvia bogotensis </w:t>
            </w:r>
            <w:r w:rsidRPr="00131EED">
              <w:rPr>
                <w:rFonts w:eastAsia="Baskerville Old Face" w:cs="Baskerville Old Face"/>
                <w:sz w:val="20"/>
                <w:szCs w:val="20"/>
              </w:rPr>
              <w:t>y</w:t>
            </w:r>
            <w:r w:rsidRPr="00131EED">
              <w:rPr>
                <w:rFonts w:eastAsia="Baskerville Old Face" w:cs="Baskerville Old Face"/>
                <w:i/>
                <w:sz w:val="20"/>
                <w:szCs w:val="20"/>
              </w:rPr>
              <w:t xml:space="preserve"> Dodonaea viscosa                                                        </w:t>
            </w:r>
            <w:r w:rsidRPr="00131EED">
              <w:rPr>
                <w:rFonts w:eastAsia="Baskerville Old Face" w:cs="Baskerville Old Face"/>
                <w:sz w:val="20"/>
                <w:szCs w:val="20"/>
              </w:rPr>
              <w:t xml:space="preserve">Matorral rosetal subxerófilo de </w:t>
            </w:r>
            <w:r w:rsidRPr="00131EED">
              <w:rPr>
                <w:rFonts w:eastAsia="Baskerville Old Face" w:cs="Baskerville Old Face"/>
                <w:i/>
                <w:sz w:val="20"/>
                <w:szCs w:val="20"/>
              </w:rPr>
              <w:t xml:space="preserve">Furcraea cf. humboldtii </w:t>
            </w:r>
          </w:p>
          <w:p w14:paraId="5FA12803" w14:textId="77777777" w:rsidR="008A326C" w:rsidRPr="00131EED" w:rsidRDefault="061E56AE" w:rsidP="567C331E">
            <w:pPr>
              <w:rPr>
                <w:rFonts w:eastAsia="Baskerville Old Face" w:cs="Baskerville Old Face"/>
                <w:sz w:val="20"/>
                <w:szCs w:val="20"/>
              </w:rPr>
            </w:pPr>
            <w:r w:rsidRPr="00131EED">
              <w:rPr>
                <w:rFonts w:eastAsia="Baskerville Old Face" w:cs="Baskerville Old Face"/>
                <w:sz w:val="20"/>
                <w:szCs w:val="20"/>
              </w:rPr>
              <w:t xml:space="preserve">Matorral rosetoso subxerófito de </w:t>
            </w:r>
            <w:r w:rsidRPr="00131EED">
              <w:rPr>
                <w:rFonts w:eastAsia="Baskerville Old Face" w:cs="Baskerville Old Face"/>
                <w:i/>
                <w:sz w:val="20"/>
                <w:szCs w:val="20"/>
              </w:rPr>
              <w:t xml:space="preserve">Furcraea cf cabuya                                                                  </w:t>
            </w:r>
            <w:r w:rsidRPr="00131EED">
              <w:rPr>
                <w:rFonts w:eastAsia="Baskerville Old Face" w:cs="Baskerville Old Face"/>
                <w:sz w:val="20"/>
                <w:szCs w:val="20"/>
              </w:rPr>
              <w:t xml:space="preserve">Matorral rosetal subxerófilo de </w:t>
            </w:r>
            <w:r w:rsidRPr="00131EED">
              <w:rPr>
                <w:rFonts w:eastAsia="Baskerville Old Face" w:cs="Baskerville Old Face"/>
                <w:i/>
                <w:sz w:val="20"/>
                <w:szCs w:val="20"/>
              </w:rPr>
              <w:t>Agave</w:t>
            </w:r>
            <w:r w:rsidRPr="00131EED">
              <w:rPr>
                <w:rFonts w:eastAsia="Baskerville Old Face" w:cs="Baskerville Old Face"/>
                <w:sz w:val="20"/>
                <w:szCs w:val="20"/>
              </w:rPr>
              <w:t xml:space="preserve"> sp.                                                                           Matorral subxerófilo de </w:t>
            </w:r>
            <w:r w:rsidRPr="00131EED">
              <w:rPr>
                <w:rFonts w:eastAsia="Baskerville Old Face" w:cs="Baskerville Old Face"/>
                <w:i/>
                <w:sz w:val="20"/>
                <w:szCs w:val="20"/>
              </w:rPr>
              <w:t>Opuntia schumannii</w:t>
            </w:r>
            <w:r w:rsidRPr="00131EED">
              <w:rPr>
                <w:rFonts w:eastAsia="Baskerville Old Face" w:cs="Baskerville Old Face"/>
                <w:sz w:val="20"/>
                <w:szCs w:val="20"/>
              </w:rPr>
              <w:t xml:space="preserve">                                                                              Matorral xerofítico y pastizal de </w:t>
            </w:r>
            <w:r w:rsidRPr="00131EED">
              <w:rPr>
                <w:rFonts w:eastAsia="Baskerville Old Face" w:cs="Baskerville Old Face"/>
                <w:i/>
                <w:sz w:val="20"/>
                <w:szCs w:val="20"/>
              </w:rPr>
              <w:t>Chromolaena leivensis</w:t>
            </w:r>
            <w:r w:rsidRPr="00131EED">
              <w:rPr>
                <w:rFonts w:eastAsia="Baskerville Old Face" w:cs="Baskerville Old Face"/>
                <w:sz w:val="20"/>
                <w:szCs w:val="20"/>
              </w:rPr>
              <w:t xml:space="preserve"> y </w:t>
            </w:r>
            <w:r w:rsidRPr="00131EED">
              <w:rPr>
                <w:rFonts w:eastAsia="Baskerville Old Face" w:cs="Baskerville Old Face"/>
                <w:i/>
                <w:sz w:val="20"/>
                <w:szCs w:val="20"/>
              </w:rPr>
              <w:t>Aristida laxa</w:t>
            </w:r>
            <w:r w:rsidRPr="00131EED">
              <w:rPr>
                <w:rFonts w:eastAsia="Baskerville Old Face" w:cs="Baskerville Old Face"/>
                <w:sz w:val="20"/>
                <w:szCs w:val="20"/>
              </w:rPr>
              <w:t xml:space="preserve">                                                           Matorral Cardonal de </w:t>
            </w:r>
            <w:r w:rsidRPr="00131EED">
              <w:rPr>
                <w:rFonts w:eastAsia="Baskerville Old Face" w:cs="Baskerville Old Face"/>
                <w:i/>
                <w:sz w:val="20"/>
                <w:szCs w:val="20"/>
              </w:rPr>
              <w:t>Wigginsia vorwerkiana</w:t>
            </w:r>
            <w:r w:rsidRPr="00131EED">
              <w:rPr>
                <w:rFonts w:eastAsia="Baskerville Old Face" w:cs="Baskerville Old Face"/>
                <w:sz w:val="20"/>
                <w:szCs w:val="20"/>
              </w:rPr>
              <w:t xml:space="preserve"> y </w:t>
            </w:r>
            <w:r w:rsidRPr="00131EED">
              <w:rPr>
                <w:rFonts w:eastAsia="Baskerville Old Face" w:cs="Baskerville Old Face"/>
                <w:i/>
                <w:sz w:val="20"/>
                <w:szCs w:val="20"/>
              </w:rPr>
              <w:t>Dodonaea viscosa</w:t>
            </w:r>
            <w:r w:rsidRPr="00131EED">
              <w:rPr>
                <w:rFonts w:eastAsia="Baskerville Old Face" w:cs="Baskerville Old Face"/>
                <w:sz w:val="20"/>
                <w:szCs w:val="20"/>
              </w:rPr>
              <w:t xml:space="preserve"> </w:t>
            </w:r>
          </w:p>
          <w:p w14:paraId="4488EF61" w14:textId="77777777" w:rsidR="008A326C" w:rsidRPr="00131EED" w:rsidRDefault="061E56AE" w:rsidP="567C331E">
            <w:pPr>
              <w:rPr>
                <w:rFonts w:eastAsia="Baskerville Old Face" w:cs="Baskerville Old Face"/>
                <w:sz w:val="20"/>
                <w:szCs w:val="20"/>
              </w:rPr>
            </w:pPr>
            <w:r w:rsidRPr="00131EED">
              <w:rPr>
                <w:rFonts w:eastAsia="Baskerville Old Face" w:cs="Baskerville Old Face"/>
                <w:sz w:val="20"/>
                <w:szCs w:val="20"/>
              </w:rPr>
              <w:t xml:space="preserve">Matorral bajo de </w:t>
            </w:r>
            <w:r w:rsidRPr="00131EED">
              <w:rPr>
                <w:rFonts w:eastAsia="Baskerville Old Face" w:cs="Baskerville Old Face"/>
                <w:i/>
                <w:sz w:val="20"/>
                <w:szCs w:val="20"/>
              </w:rPr>
              <w:t>Dodonaea viscosa y Chromolaena leivensis.</w:t>
            </w:r>
          </w:p>
          <w:p w14:paraId="5454327B" w14:textId="77777777" w:rsidR="008A326C" w:rsidRPr="00131EED" w:rsidRDefault="061E56AE" w:rsidP="567C331E">
            <w:pPr>
              <w:rPr>
                <w:rFonts w:eastAsia="Baskerville Old Face" w:cs="Baskerville Old Face"/>
                <w:sz w:val="20"/>
                <w:szCs w:val="20"/>
              </w:rPr>
            </w:pPr>
            <w:r w:rsidRPr="00131EED">
              <w:rPr>
                <w:rFonts w:eastAsia="Baskerville Old Face" w:cs="Baskerville Old Face"/>
                <w:sz w:val="20"/>
                <w:szCs w:val="20"/>
              </w:rPr>
              <w:t xml:space="preserve">Matorral bajo de </w:t>
            </w:r>
            <w:r w:rsidRPr="00131EED">
              <w:rPr>
                <w:rFonts w:eastAsia="Baskerville Old Face" w:cs="Baskerville Old Face"/>
                <w:i/>
                <w:sz w:val="20"/>
                <w:szCs w:val="20"/>
              </w:rPr>
              <w:t>Elleanthus sp. - Chromolaena leivensis</w:t>
            </w:r>
          </w:p>
          <w:p w14:paraId="3D217525" w14:textId="77777777" w:rsidR="008A326C" w:rsidRPr="00131EED" w:rsidRDefault="061E56AE" w:rsidP="567C331E">
            <w:pPr>
              <w:rPr>
                <w:rFonts w:eastAsia="Baskerville Old Face" w:cs="Baskerville Old Face"/>
                <w:sz w:val="20"/>
                <w:szCs w:val="20"/>
              </w:rPr>
            </w:pPr>
            <w:r w:rsidRPr="00131EED">
              <w:rPr>
                <w:rFonts w:eastAsia="Baskerville Old Face" w:cs="Baskerville Old Face"/>
                <w:sz w:val="20"/>
                <w:szCs w:val="20"/>
              </w:rPr>
              <w:t xml:space="preserve">Matorral bajo de </w:t>
            </w:r>
            <w:r w:rsidRPr="00131EED">
              <w:rPr>
                <w:rFonts w:eastAsia="Baskerville Old Face" w:cs="Baskerville Old Face"/>
                <w:i/>
                <w:sz w:val="20"/>
                <w:szCs w:val="20"/>
              </w:rPr>
              <w:t>Dodonaea viscosa y Hesperomeles obtusifolia</w:t>
            </w:r>
          </w:p>
          <w:p w14:paraId="4797EBD3" w14:textId="77777777" w:rsidR="008A326C" w:rsidRPr="00131EED" w:rsidRDefault="061E56AE" w:rsidP="567C331E">
            <w:pPr>
              <w:rPr>
                <w:rFonts w:eastAsia="Baskerville Old Face" w:cs="Baskerville Old Face"/>
                <w:sz w:val="20"/>
                <w:szCs w:val="20"/>
              </w:rPr>
            </w:pPr>
            <w:r w:rsidRPr="00131EED">
              <w:rPr>
                <w:rFonts w:eastAsia="Baskerville Old Face" w:cs="Baskerville Old Face"/>
                <w:sz w:val="20"/>
                <w:szCs w:val="20"/>
              </w:rPr>
              <w:t xml:space="preserve">Matorral bajo de </w:t>
            </w:r>
            <w:r w:rsidRPr="00131EED">
              <w:rPr>
                <w:rFonts w:eastAsia="Baskerville Old Face" w:cs="Baskerville Old Face"/>
                <w:i/>
                <w:sz w:val="20"/>
                <w:szCs w:val="20"/>
              </w:rPr>
              <w:t>Opuntia schumannii y Chromolaena leivensis</w:t>
            </w:r>
            <w:r w:rsidRPr="00131EED">
              <w:rPr>
                <w:rFonts w:eastAsia="Baskerville Old Face" w:cs="Baskerville Old Face"/>
                <w:sz w:val="20"/>
                <w:szCs w:val="20"/>
              </w:rPr>
              <w:t xml:space="preserve">                                         </w:t>
            </w:r>
          </w:p>
        </w:tc>
      </w:tr>
      <w:tr w:rsidR="008A326C" w:rsidRPr="00131EED" w14:paraId="487C88C9" w14:textId="77777777" w:rsidTr="007F4C43">
        <w:trPr>
          <w:trHeight w:val="288"/>
        </w:trPr>
        <w:tc>
          <w:tcPr>
            <w:tcW w:w="1975" w:type="dxa"/>
            <w:vMerge/>
            <w:vAlign w:val="center"/>
          </w:tcPr>
          <w:p w14:paraId="492E1F50" w14:textId="77777777" w:rsidR="008A326C" w:rsidRPr="00131EED" w:rsidRDefault="008A326C" w:rsidP="002D7F18">
            <w:pPr>
              <w:rPr>
                <w:sz w:val="20"/>
                <w:szCs w:val="20"/>
              </w:rPr>
            </w:pPr>
          </w:p>
        </w:tc>
        <w:tc>
          <w:tcPr>
            <w:tcW w:w="6271" w:type="dxa"/>
            <w:tcBorders>
              <w:top w:val="single" w:sz="8" w:space="0" w:color="auto"/>
              <w:left w:val="nil"/>
              <w:bottom w:val="single" w:sz="8" w:space="0" w:color="auto"/>
              <w:right w:val="single" w:sz="8" w:space="0" w:color="auto"/>
            </w:tcBorders>
            <w:tcMar>
              <w:left w:w="108" w:type="dxa"/>
              <w:right w:w="108" w:type="dxa"/>
            </w:tcMar>
          </w:tcPr>
          <w:p w14:paraId="09742A04" w14:textId="77777777" w:rsidR="008A326C" w:rsidRPr="00131EED" w:rsidRDefault="061E56AE" w:rsidP="567C331E">
            <w:pPr>
              <w:rPr>
                <w:rFonts w:eastAsia="Baskerville Old Face" w:cs="Baskerville Old Face"/>
                <w:sz w:val="20"/>
                <w:szCs w:val="20"/>
              </w:rPr>
            </w:pPr>
            <w:r w:rsidRPr="00131EED">
              <w:rPr>
                <w:rFonts w:eastAsia="Baskerville Old Face" w:cs="Baskerville Old Face"/>
                <w:sz w:val="20"/>
                <w:szCs w:val="20"/>
              </w:rPr>
              <w:t>ORDEN Y ALIANZA: Incertae sedis                                                                              Asociación Chaetolepido microphyllae-Espeletiopsietum corymbosae                                Subasociación puyetosum lineatae                                                                                  Subasociación hypericetosum mexicanae</w:t>
            </w:r>
          </w:p>
        </w:tc>
      </w:tr>
    </w:tbl>
    <w:p w14:paraId="6C985CBC" w14:textId="77777777" w:rsidR="008A326C" w:rsidRPr="00131EED" w:rsidRDefault="008A326C" w:rsidP="00E742EA">
      <w:pPr>
        <w:jc w:val="center"/>
        <w:rPr>
          <w:sz w:val="20"/>
          <w:szCs w:val="20"/>
        </w:rPr>
      </w:pPr>
      <w:r w:rsidRPr="00131EED">
        <w:rPr>
          <w:sz w:val="20"/>
          <w:szCs w:val="20"/>
        </w:rPr>
        <w:t>Fuente: Adaptado de Cortés 2016.</w:t>
      </w:r>
    </w:p>
    <w:p w14:paraId="2C2A90B5" w14:textId="77777777" w:rsidR="008A326C" w:rsidRPr="00131EED" w:rsidRDefault="008A326C" w:rsidP="008A326C">
      <w:pPr>
        <w:rPr>
          <w:rFonts w:ascii="Baskerville" w:hAnsi="Baskerville"/>
        </w:rPr>
      </w:pPr>
    </w:p>
    <w:p w14:paraId="77FE45B2" w14:textId="77777777" w:rsidR="008A326C" w:rsidRPr="00131EED" w:rsidRDefault="008A326C" w:rsidP="008A326C">
      <w:r w:rsidRPr="00131EED">
        <w:t>En sectores del sur de Bogotá se han descrito adicionalmente las siguientes formaciones vegetales:</w:t>
      </w:r>
    </w:p>
    <w:p w14:paraId="4469F3E2" w14:textId="77777777" w:rsidR="00E44EBC" w:rsidRPr="00131EED" w:rsidRDefault="00E44EBC" w:rsidP="008A326C"/>
    <w:p w14:paraId="42EC0B0E" w14:textId="77777777" w:rsidR="008A326C" w:rsidRPr="00131EED" w:rsidRDefault="008A326C" w:rsidP="008A326C">
      <w:pPr>
        <w:rPr>
          <w:i/>
        </w:rPr>
      </w:pPr>
      <w:r w:rsidRPr="00131EED">
        <w:rPr>
          <w:b/>
        </w:rPr>
        <w:t>Bosques ribereños •</w:t>
      </w:r>
      <w:r w:rsidRPr="00131EED">
        <w:t xml:space="preserve"> Bosque de </w:t>
      </w:r>
      <w:r w:rsidRPr="00131EED">
        <w:rPr>
          <w:i/>
        </w:rPr>
        <w:t>Escallonia paniculata, Abatia parviflora y Cordia cylindrostachya</w:t>
      </w:r>
    </w:p>
    <w:p w14:paraId="7470E0D7" w14:textId="77777777" w:rsidR="008A326C" w:rsidRPr="00131EED" w:rsidRDefault="008A326C" w:rsidP="008A326C"/>
    <w:p w14:paraId="296E8042" w14:textId="77777777" w:rsidR="008A326C" w:rsidRPr="00131EED" w:rsidRDefault="008A326C" w:rsidP="008A326C">
      <w:r w:rsidRPr="00131EED">
        <w:t xml:space="preserve">Bosque denso en la ronda de quebradas; lo conforman cuatro estratos: el rasante, que presenta variedad de hierbas y musgos con coberturas cercanas al 40 por ciento; el herbáceo, que es el menos denso con valores de cobertura cercanos al 20 por ciento y representación de arbustos bajos como </w:t>
      </w:r>
      <w:r w:rsidRPr="00131EED">
        <w:rPr>
          <w:i/>
        </w:rPr>
        <w:t xml:space="preserve">Monochaetum myrtoideum, Salvia sp., Psychotria boqueronensis </w:t>
      </w:r>
      <w:r w:rsidRPr="00131EED">
        <w:t>y</w:t>
      </w:r>
      <w:r w:rsidRPr="00131EED">
        <w:rPr>
          <w:i/>
        </w:rPr>
        <w:t xml:space="preserve"> Baccharis latifolia</w:t>
      </w:r>
      <w:r w:rsidRPr="00131EED">
        <w:t xml:space="preserve">, entre otros; el arbustivo, que es el de mayor cobertura (50-100%) con presencia abundante de </w:t>
      </w:r>
      <w:r w:rsidRPr="00131EED">
        <w:rPr>
          <w:i/>
        </w:rPr>
        <w:t xml:space="preserve">Chusquea scandens </w:t>
      </w:r>
      <w:r w:rsidRPr="00131EED">
        <w:t>junto con</w:t>
      </w:r>
      <w:r w:rsidRPr="00131EED">
        <w:rPr>
          <w:i/>
        </w:rPr>
        <w:t xml:space="preserve"> Myrcianthes leucoxyla, Miconia squamulosa, Barnadesia spinosa, Holodiscus argenteus </w:t>
      </w:r>
      <w:r w:rsidRPr="00131EED">
        <w:t>y</w:t>
      </w:r>
      <w:r w:rsidRPr="00131EED">
        <w:rPr>
          <w:i/>
        </w:rPr>
        <w:t xml:space="preserve"> Abatia parviflora</w:t>
      </w:r>
      <w:r w:rsidRPr="00131EED">
        <w:t xml:space="preserve">; y el subarbóreo con coberturas cercanas al 20 por ciento, con </w:t>
      </w:r>
      <w:r w:rsidRPr="00131EED">
        <w:rPr>
          <w:i/>
        </w:rPr>
        <w:t>Escallonia paniculata</w:t>
      </w:r>
      <w:r w:rsidRPr="00131EED">
        <w:t xml:space="preserve">, </w:t>
      </w:r>
      <w:r w:rsidRPr="00131EED">
        <w:rPr>
          <w:i/>
        </w:rPr>
        <w:t>Cordia cylindrostachya</w:t>
      </w:r>
      <w:r w:rsidRPr="00131EED">
        <w:t xml:space="preserve"> y </w:t>
      </w:r>
      <w:r w:rsidRPr="00131EED">
        <w:rPr>
          <w:i/>
        </w:rPr>
        <w:t>Xylosma spiculifera</w:t>
      </w:r>
      <w:r w:rsidRPr="00131EED">
        <w:t>.</w:t>
      </w:r>
    </w:p>
    <w:p w14:paraId="0F3B2A0A" w14:textId="77777777" w:rsidR="008A326C" w:rsidRPr="00131EED" w:rsidRDefault="008A326C" w:rsidP="008A326C"/>
    <w:p w14:paraId="6BC86EBD" w14:textId="77777777" w:rsidR="008A326C" w:rsidRPr="00131EED" w:rsidRDefault="008A326C" w:rsidP="008A326C">
      <w:r w:rsidRPr="00131EED">
        <w:rPr>
          <w:b/>
        </w:rPr>
        <w:t>Pastizales Herbazales subxerófitos</w:t>
      </w:r>
      <w:r w:rsidRPr="00131EED">
        <w:t xml:space="preserve"> </w:t>
      </w:r>
    </w:p>
    <w:p w14:paraId="034D2FD7" w14:textId="77777777" w:rsidR="008A326C" w:rsidRPr="00131EED" w:rsidRDefault="008A326C" w:rsidP="008A326C"/>
    <w:p w14:paraId="4331033A" w14:textId="77777777" w:rsidR="008A326C" w:rsidRPr="00131EED" w:rsidRDefault="008A326C" w:rsidP="008A326C">
      <w:r w:rsidRPr="00131EED">
        <w:t xml:space="preserve">Este tipo de formaciones vegetales se desarrollan sobre cimas y laderas escarpadas y de pendientes de moderadas a fuertes, en algunos sectores fríos y secos de Bogotá y presentan una importante diversidad de especies; sus características comunitarias aún están por definir, por lo cual a continuación se presenta una descripción general de este tipo de pastizales. Se presentan estratos rasante y herbáceo. Florísticamente predominan en cobertura las gramíneas que llegan a conformar valores superiores al 80 por ciento, con especies como </w:t>
      </w:r>
      <w:r w:rsidRPr="00131EED">
        <w:rPr>
          <w:i/>
        </w:rPr>
        <w:t>Aegopogon cenchroides, Aristida laxa, Jarava ichu</w:t>
      </w:r>
      <w:r w:rsidRPr="00131EED">
        <w:t xml:space="preserve"> y otras de los géneros </w:t>
      </w:r>
      <w:r w:rsidRPr="00131EED">
        <w:rPr>
          <w:i/>
        </w:rPr>
        <w:t>Andropogon, Agrostis, Calamagrostis y Bromus</w:t>
      </w:r>
      <w:r w:rsidRPr="00131EED">
        <w:t xml:space="preserve">, en compañía de especies de las familias </w:t>
      </w:r>
      <w:r w:rsidRPr="00131EED">
        <w:rPr>
          <w:i/>
        </w:rPr>
        <w:t>Asteraceae, Sapindaceae y Lythraceae,</w:t>
      </w:r>
      <w:r w:rsidRPr="00131EED">
        <w:t xml:space="preserve"> que se presentan en menor porcentaje. En cuanto a riqueza se registraron como valores máximos por muestreo 12 familias, 20 géneros y 22 especies, siendo la familia Poaceae la dominante.</w:t>
      </w:r>
    </w:p>
    <w:p w14:paraId="4A55A3C9" w14:textId="77777777" w:rsidR="008A326C" w:rsidRPr="00131EED" w:rsidRDefault="008A326C" w:rsidP="008A326C"/>
    <w:p w14:paraId="52792D16" w14:textId="77777777" w:rsidR="008A326C" w:rsidRPr="00131EED" w:rsidRDefault="008A326C" w:rsidP="008A326C">
      <w:r w:rsidRPr="00131EED">
        <w:t xml:space="preserve">Vegetación de páramos secos, sector de microcuenca del río Tunjuelo• Pajonal rosetal de </w:t>
      </w:r>
      <w:r w:rsidRPr="00131EED">
        <w:rPr>
          <w:i/>
        </w:rPr>
        <w:t xml:space="preserve">Puya nitida </w:t>
      </w:r>
      <w:r w:rsidRPr="00131EED">
        <w:t>y</w:t>
      </w:r>
      <w:r w:rsidRPr="00131EED">
        <w:rPr>
          <w:i/>
        </w:rPr>
        <w:t xml:space="preserve"> Calamagrostis effusa (Cortés 2008a)</w:t>
      </w:r>
      <w:r w:rsidRPr="00131EED">
        <w:t>:</w:t>
      </w:r>
    </w:p>
    <w:p w14:paraId="0DC38162" w14:textId="77777777" w:rsidR="008A326C" w:rsidRPr="00131EED" w:rsidRDefault="008A326C" w:rsidP="008A326C"/>
    <w:p w14:paraId="20473EA8" w14:textId="77777777" w:rsidR="008A326C" w:rsidRPr="00131EED" w:rsidRDefault="008A326C" w:rsidP="008A326C">
      <w:r w:rsidRPr="00131EED">
        <w:t xml:space="preserve">Presenta dos estratos: el herbáceo (55%), que es el dominante, y el rasante (45%). La parte del área cubierta en este levantamiento presenta afloramientos rocosos que empiezan a ser colonizados por algunas hierbas, las cuales fueron precedidas por líquenes y musgos. El estrato rasante está dominado por variedades de gramíneas, especialmente </w:t>
      </w:r>
      <w:r w:rsidRPr="00131EED">
        <w:rPr>
          <w:i/>
        </w:rPr>
        <w:t>Calamagrostis effusa</w:t>
      </w:r>
      <w:r w:rsidRPr="00131EED">
        <w:t xml:space="preserve">, y por juveniles de </w:t>
      </w:r>
      <w:r w:rsidRPr="00131EED">
        <w:rPr>
          <w:i/>
        </w:rPr>
        <w:t>Puya nitida</w:t>
      </w:r>
      <w:r w:rsidRPr="00131EED">
        <w:t xml:space="preserve">; el herbáceo muestra amplio dominio de los elementos maduros de Puya nítida acompañados por arbustos de </w:t>
      </w:r>
      <w:r w:rsidRPr="00131EED">
        <w:rPr>
          <w:i/>
        </w:rPr>
        <w:t>Gaiadendrum punctatum</w:t>
      </w:r>
      <w:r w:rsidRPr="00131EED">
        <w:t xml:space="preserve">, especies del género </w:t>
      </w:r>
      <w:r w:rsidRPr="00131EED">
        <w:rPr>
          <w:i/>
        </w:rPr>
        <w:t xml:space="preserve">Hypericum, Syphocampylus columnae </w:t>
      </w:r>
      <w:r w:rsidRPr="00131EED">
        <w:t>y</w:t>
      </w:r>
      <w:r w:rsidRPr="00131EED">
        <w:rPr>
          <w:i/>
        </w:rPr>
        <w:t xml:space="preserve"> Miconia ligustrina</w:t>
      </w:r>
      <w:r w:rsidRPr="00131EED">
        <w:t xml:space="preserve"> y se destaca la presencia esporádica de </w:t>
      </w:r>
      <w:r w:rsidRPr="00131EED">
        <w:rPr>
          <w:i/>
        </w:rPr>
        <w:t>Espeletiopsis corymbosa</w:t>
      </w:r>
      <w:r w:rsidRPr="00131EED">
        <w:t>. Esta formación vegetal presenta fuerte similitud con formaciones vegetales descritas para sectores de las serranías de Cota y Chía.</w:t>
      </w:r>
    </w:p>
    <w:p w14:paraId="683B7364" w14:textId="77777777" w:rsidR="008A326C" w:rsidRPr="00131EED" w:rsidRDefault="008A326C" w:rsidP="008A326C"/>
    <w:p w14:paraId="4BC6C4A7" w14:textId="77777777" w:rsidR="008A326C" w:rsidRPr="00131EED" w:rsidRDefault="008A326C" w:rsidP="008A326C">
      <w:pPr>
        <w:pStyle w:val="BodyText"/>
        <w:spacing w:after="0"/>
        <w:ind w:right="49"/>
        <w:rPr>
          <w:rFonts w:ascii="Baskerville Old Face" w:hAnsi="Baskerville Old Face"/>
          <w:sz w:val="24"/>
          <w:szCs w:val="24"/>
        </w:rPr>
      </w:pPr>
      <w:r w:rsidRPr="00131EED">
        <w:rPr>
          <w:rFonts w:ascii="Baskerville Old Face" w:hAnsi="Baskerville Old Face"/>
          <w:sz w:val="24"/>
          <w:szCs w:val="24"/>
        </w:rPr>
        <w:t>Entre los listados florísticos más relevantes sobre las plantas vasculares y no vasculares de algunos</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sectores de la subxerofitia del altiplano se cuentan los de Fernández-Alonso (1997) para Checua-</w:t>
      </w:r>
      <w:r w:rsidRPr="00131EED">
        <w:rPr>
          <w:rFonts w:ascii="Baskerville Old Face" w:hAnsi="Baskerville Old Face"/>
          <w:spacing w:val="1"/>
          <w:sz w:val="24"/>
          <w:szCs w:val="24"/>
        </w:rPr>
        <w:t xml:space="preserve"> </w:t>
      </w:r>
      <w:r w:rsidRPr="00131EED">
        <w:rPr>
          <w:rFonts w:ascii="Baskerville Old Face" w:hAnsi="Baskerville Old Face"/>
          <w:spacing w:val="-1"/>
          <w:sz w:val="24"/>
          <w:szCs w:val="24"/>
        </w:rPr>
        <w:t>Nemocón;</w:t>
      </w:r>
      <w:r w:rsidRPr="00131EED">
        <w:rPr>
          <w:rFonts w:ascii="Baskerville Old Face" w:hAnsi="Baskerville Old Face"/>
          <w:spacing w:val="-10"/>
          <w:sz w:val="24"/>
          <w:szCs w:val="24"/>
        </w:rPr>
        <w:t xml:space="preserve"> </w:t>
      </w:r>
      <w:r w:rsidRPr="00131EED">
        <w:rPr>
          <w:rFonts w:ascii="Baskerville Old Face" w:hAnsi="Baskerville Old Face"/>
          <w:spacing w:val="-1"/>
          <w:sz w:val="24"/>
          <w:szCs w:val="24"/>
        </w:rPr>
        <w:t>Pinzón</w:t>
      </w:r>
      <w:r w:rsidRPr="00131EED">
        <w:rPr>
          <w:rFonts w:ascii="Baskerville Old Face" w:hAnsi="Baskerville Old Face"/>
          <w:spacing w:val="-11"/>
          <w:sz w:val="24"/>
          <w:szCs w:val="24"/>
        </w:rPr>
        <w:t xml:space="preserve"> </w:t>
      </w:r>
      <w:r w:rsidRPr="00131EED">
        <w:rPr>
          <w:rFonts w:ascii="Baskerville Old Face" w:hAnsi="Baskerville Old Face"/>
          <w:spacing w:val="-1"/>
          <w:sz w:val="24"/>
          <w:szCs w:val="24"/>
        </w:rPr>
        <w:t>&amp;</w:t>
      </w:r>
      <w:r w:rsidRPr="00131EED">
        <w:rPr>
          <w:rFonts w:ascii="Baskerville Old Face" w:hAnsi="Baskerville Old Face"/>
          <w:spacing w:val="-11"/>
          <w:sz w:val="24"/>
          <w:szCs w:val="24"/>
        </w:rPr>
        <w:t xml:space="preserve"> </w:t>
      </w:r>
      <w:r w:rsidRPr="00131EED">
        <w:rPr>
          <w:rFonts w:ascii="Baskerville Old Face" w:hAnsi="Baskerville Old Face"/>
          <w:spacing w:val="-1"/>
          <w:sz w:val="24"/>
          <w:szCs w:val="24"/>
        </w:rPr>
        <w:t>Linares</w:t>
      </w:r>
      <w:r w:rsidRPr="00131EED">
        <w:rPr>
          <w:rFonts w:ascii="Baskerville Old Face" w:hAnsi="Baskerville Old Face"/>
          <w:spacing w:val="-11"/>
          <w:sz w:val="24"/>
          <w:szCs w:val="24"/>
        </w:rPr>
        <w:t xml:space="preserve"> </w:t>
      </w:r>
      <w:r w:rsidRPr="00131EED">
        <w:rPr>
          <w:rFonts w:ascii="Baskerville Old Face" w:hAnsi="Baskerville Old Face"/>
          <w:spacing w:val="-1"/>
          <w:sz w:val="24"/>
          <w:szCs w:val="24"/>
        </w:rPr>
        <w:t>(2001,</w:t>
      </w:r>
      <w:r w:rsidRPr="00131EED">
        <w:rPr>
          <w:rFonts w:ascii="Baskerville Old Face" w:hAnsi="Baskerville Old Face"/>
          <w:spacing w:val="-10"/>
          <w:sz w:val="24"/>
          <w:szCs w:val="24"/>
        </w:rPr>
        <w:t xml:space="preserve"> </w:t>
      </w:r>
      <w:r w:rsidRPr="00131EED">
        <w:rPr>
          <w:rFonts w:ascii="Baskerville Old Face" w:hAnsi="Baskerville Old Face"/>
          <w:spacing w:val="-1"/>
          <w:sz w:val="24"/>
          <w:szCs w:val="24"/>
        </w:rPr>
        <w:t>2006)</w:t>
      </w:r>
      <w:r w:rsidRPr="00131EED">
        <w:rPr>
          <w:rFonts w:ascii="Baskerville Old Face" w:hAnsi="Baskerville Old Face"/>
          <w:spacing w:val="-9"/>
          <w:sz w:val="24"/>
          <w:szCs w:val="24"/>
        </w:rPr>
        <w:t xml:space="preserve"> </w:t>
      </w:r>
      <w:r w:rsidRPr="00131EED">
        <w:rPr>
          <w:rFonts w:ascii="Baskerville Old Face" w:hAnsi="Baskerville Old Face"/>
          <w:spacing w:val="-1"/>
          <w:sz w:val="24"/>
          <w:szCs w:val="24"/>
        </w:rPr>
        <w:t>para</w:t>
      </w:r>
      <w:r w:rsidRPr="00131EED">
        <w:rPr>
          <w:rFonts w:ascii="Baskerville Old Face" w:hAnsi="Baskerville Old Face"/>
          <w:spacing w:val="-10"/>
          <w:sz w:val="24"/>
          <w:szCs w:val="24"/>
        </w:rPr>
        <w:t xml:space="preserve"> </w:t>
      </w:r>
      <w:r w:rsidRPr="00131EED">
        <w:rPr>
          <w:rFonts w:ascii="Baskerville Old Face" w:hAnsi="Baskerville Old Face"/>
          <w:spacing w:val="-1"/>
          <w:sz w:val="24"/>
          <w:szCs w:val="24"/>
        </w:rPr>
        <w:t>La</w:t>
      </w:r>
      <w:r w:rsidRPr="00131EED">
        <w:rPr>
          <w:rFonts w:ascii="Baskerville Old Face" w:hAnsi="Baskerville Old Face"/>
          <w:spacing w:val="-10"/>
          <w:sz w:val="24"/>
          <w:szCs w:val="24"/>
        </w:rPr>
        <w:t xml:space="preserve"> </w:t>
      </w:r>
      <w:r w:rsidRPr="00131EED">
        <w:rPr>
          <w:rFonts w:ascii="Baskerville Old Face" w:hAnsi="Baskerville Old Face"/>
          <w:spacing w:val="-1"/>
          <w:sz w:val="24"/>
          <w:szCs w:val="24"/>
        </w:rPr>
        <w:t>Herrera-Mosquera;</w:t>
      </w:r>
      <w:r w:rsidRPr="00131EED">
        <w:rPr>
          <w:rFonts w:ascii="Baskerville Old Face" w:hAnsi="Baskerville Old Face"/>
          <w:spacing w:val="-10"/>
          <w:sz w:val="24"/>
          <w:szCs w:val="24"/>
        </w:rPr>
        <w:t xml:space="preserve"> </w:t>
      </w:r>
      <w:r w:rsidRPr="00131EED">
        <w:rPr>
          <w:rFonts w:ascii="Baskerville Old Face" w:hAnsi="Baskerville Old Face"/>
          <w:sz w:val="24"/>
          <w:szCs w:val="24"/>
        </w:rPr>
        <w:t>Avellaneda-Cadena</w:t>
      </w:r>
      <w:r w:rsidRPr="00131EED">
        <w:rPr>
          <w:rFonts w:ascii="Baskerville Old Face" w:hAnsi="Baskerville Old Face"/>
          <w:spacing w:val="-11"/>
          <w:sz w:val="24"/>
          <w:szCs w:val="24"/>
        </w:rPr>
        <w:t xml:space="preserve"> </w:t>
      </w:r>
      <w:r w:rsidRPr="00131EED">
        <w:rPr>
          <w:rFonts w:ascii="Baskerville Old Face" w:hAnsi="Baskerville Old Face"/>
          <w:sz w:val="24"/>
          <w:szCs w:val="24"/>
        </w:rPr>
        <w:t>&amp;</w:t>
      </w:r>
      <w:r w:rsidRPr="00131EED">
        <w:rPr>
          <w:rFonts w:ascii="Baskerville Old Face" w:hAnsi="Baskerville Old Face"/>
          <w:spacing w:val="-11"/>
          <w:sz w:val="24"/>
          <w:szCs w:val="24"/>
        </w:rPr>
        <w:t xml:space="preserve"> </w:t>
      </w:r>
      <w:r w:rsidRPr="00131EED">
        <w:rPr>
          <w:rFonts w:ascii="Baskerville Old Face" w:hAnsi="Baskerville Old Face"/>
          <w:sz w:val="24"/>
          <w:szCs w:val="24"/>
        </w:rPr>
        <w:t>Betancur</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(2007)</w:t>
      </w:r>
      <w:r w:rsidRPr="00131EED">
        <w:rPr>
          <w:rFonts w:ascii="Baskerville Old Face" w:hAnsi="Baskerville Old Face"/>
          <w:spacing w:val="-8"/>
          <w:sz w:val="24"/>
          <w:szCs w:val="24"/>
        </w:rPr>
        <w:t xml:space="preserve"> </w:t>
      </w:r>
      <w:r w:rsidRPr="00131EED">
        <w:rPr>
          <w:rFonts w:ascii="Baskerville Old Face" w:hAnsi="Baskerville Old Face"/>
          <w:sz w:val="24"/>
          <w:szCs w:val="24"/>
        </w:rPr>
        <w:t>para</w:t>
      </w:r>
      <w:r w:rsidRPr="00131EED">
        <w:rPr>
          <w:rFonts w:ascii="Baskerville Old Face" w:hAnsi="Baskerville Old Face"/>
          <w:spacing w:val="-8"/>
          <w:sz w:val="24"/>
          <w:szCs w:val="24"/>
        </w:rPr>
        <w:t xml:space="preserve"> </w:t>
      </w:r>
      <w:r w:rsidRPr="00131EED">
        <w:rPr>
          <w:rFonts w:ascii="Baskerville Old Face" w:hAnsi="Baskerville Old Face"/>
          <w:sz w:val="24"/>
          <w:szCs w:val="24"/>
        </w:rPr>
        <w:t>Suesca;</w:t>
      </w:r>
      <w:r w:rsidRPr="00131EED">
        <w:rPr>
          <w:rFonts w:ascii="Baskerville Old Face" w:hAnsi="Baskerville Old Face"/>
          <w:spacing w:val="-8"/>
          <w:sz w:val="24"/>
          <w:szCs w:val="24"/>
        </w:rPr>
        <w:t xml:space="preserve"> </w:t>
      </w:r>
      <w:r w:rsidRPr="00131EED">
        <w:rPr>
          <w:rFonts w:ascii="Baskerville Old Face" w:hAnsi="Baskerville Old Face"/>
          <w:sz w:val="24"/>
          <w:szCs w:val="24"/>
        </w:rPr>
        <w:t>Fernández-Alonso &amp; Rivera-Díaz (2002) y Giraldo-Pastrana &amp; Alcázar-Caicedo</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(2008),</w:t>
      </w:r>
      <w:r w:rsidRPr="00131EED">
        <w:rPr>
          <w:rFonts w:ascii="Baskerville Old Face" w:hAnsi="Baskerville Old Face"/>
          <w:spacing w:val="-10"/>
          <w:sz w:val="24"/>
          <w:szCs w:val="24"/>
        </w:rPr>
        <w:t xml:space="preserve"> </w:t>
      </w:r>
      <w:r w:rsidRPr="00131EED">
        <w:rPr>
          <w:rFonts w:ascii="Baskerville Old Face" w:hAnsi="Baskerville Old Face"/>
          <w:sz w:val="24"/>
          <w:szCs w:val="24"/>
        </w:rPr>
        <w:t>mientras</w:t>
      </w:r>
      <w:r w:rsidRPr="00131EED">
        <w:rPr>
          <w:rFonts w:ascii="Baskerville Old Face" w:hAnsi="Baskerville Old Face"/>
          <w:spacing w:val="-11"/>
          <w:sz w:val="24"/>
          <w:szCs w:val="24"/>
        </w:rPr>
        <w:t xml:space="preserve"> </w:t>
      </w:r>
      <w:r w:rsidRPr="00131EED">
        <w:rPr>
          <w:rFonts w:ascii="Baskerville Old Face" w:hAnsi="Baskerville Old Face"/>
          <w:sz w:val="24"/>
          <w:szCs w:val="24"/>
        </w:rPr>
        <w:t>que</w:t>
      </w:r>
      <w:r w:rsidRPr="00131EED">
        <w:rPr>
          <w:rFonts w:ascii="Baskerville Old Face" w:hAnsi="Baskerville Old Face"/>
          <w:spacing w:val="-10"/>
          <w:sz w:val="24"/>
          <w:szCs w:val="24"/>
        </w:rPr>
        <w:t xml:space="preserve"> </w:t>
      </w:r>
      <w:r w:rsidRPr="00131EED">
        <w:rPr>
          <w:rFonts w:ascii="Baskerville Old Face" w:hAnsi="Baskerville Old Face"/>
          <w:sz w:val="24"/>
          <w:szCs w:val="24"/>
        </w:rPr>
        <w:t>Giraldo-Cañas</w:t>
      </w:r>
      <w:r w:rsidRPr="00131EED">
        <w:rPr>
          <w:rFonts w:ascii="Baskerville Old Face" w:hAnsi="Baskerville Old Face"/>
          <w:spacing w:val="-11"/>
          <w:sz w:val="24"/>
          <w:szCs w:val="24"/>
        </w:rPr>
        <w:t xml:space="preserve"> </w:t>
      </w:r>
      <w:r w:rsidRPr="00131EED">
        <w:rPr>
          <w:rFonts w:ascii="Baskerville Old Face" w:hAnsi="Baskerville Old Face"/>
          <w:sz w:val="24"/>
          <w:szCs w:val="24"/>
        </w:rPr>
        <w:t>(2020)</w:t>
      </w:r>
      <w:r w:rsidRPr="00131EED">
        <w:rPr>
          <w:rFonts w:ascii="Baskerville Old Face" w:hAnsi="Baskerville Old Face"/>
          <w:spacing w:val="-10"/>
          <w:sz w:val="24"/>
          <w:szCs w:val="24"/>
        </w:rPr>
        <w:t xml:space="preserve"> </w:t>
      </w:r>
      <w:r w:rsidRPr="00131EED">
        <w:rPr>
          <w:rFonts w:ascii="Baskerville Old Face" w:hAnsi="Baskerville Old Face"/>
          <w:sz w:val="24"/>
          <w:szCs w:val="24"/>
        </w:rPr>
        <w:t>proporcionó</w:t>
      </w:r>
      <w:r w:rsidRPr="00131EED">
        <w:rPr>
          <w:rFonts w:ascii="Baskerville Old Face" w:hAnsi="Baskerville Old Face"/>
          <w:spacing w:val="-11"/>
          <w:sz w:val="24"/>
          <w:szCs w:val="24"/>
        </w:rPr>
        <w:t xml:space="preserve"> </w:t>
      </w:r>
      <w:r w:rsidRPr="00131EED">
        <w:rPr>
          <w:rFonts w:ascii="Baskerville Old Face" w:hAnsi="Baskerville Old Face"/>
          <w:sz w:val="24"/>
          <w:szCs w:val="24"/>
        </w:rPr>
        <w:t>anotaciones</w:t>
      </w:r>
      <w:r w:rsidRPr="00131EED">
        <w:rPr>
          <w:rFonts w:ascii="Baskerville Old Face" w:hAnsi="Baskerville Old Face"/>
          <w:spacing w:val="-10"/>
          <w:sz w:val="24"/>
          <w:szCs w:val="24"/>
        </w:rPr>
        <w:t xml:space="preserve"> </w:t>
      </w:r>
      <w:r w:rsidRPr="00131EED">
        <w:rPr>
          <w:rFonts w:ascii="Baskerville Old Face" w:hAnsi="Baskerville Old Face"/>
          <w:sz w:val="24"/>
          <w:szCs w:val="24"/>
        </w:rPr>
        <w:t>sobre</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el</w:t>
      </w:r>
      <w:r w:rsidRPr="00131EED">
        <w:rPr>
          <w:rFonts w:ascii="Baskerville Old Face" w:hAnsi="Baskerville Old Face"/>
          <w:spacing w:val="-9"/>
          <w:sz w:val="24"/>
          <w:szCs w:val="24"/>
        </w:rPr>
        <w:t xml:space="preserve"> </w:t>
      </w:r>
      <w:r w:rsidRPr="00131EED">
        <w:rPr>
          <w:rFonts w:ascii="Baskerville Old Face" w:hAnsi="Baskerville Old Face"/>
          <w:sz w:val="24"/>
          <w:szCs w:val="24"/>
        </w:rPr>
        <w:t>entorno</w:t>
      </w:r>
      <w:r w:rsidRPr="00131EED">
        <w:rPr>
          <w:rFonts w:ascii="Baskerville Old Face" w:hAnsi="Baskerville Old Face"/>
          <w:spacing w:val="-8"/>
          <w:sz w:val="24"/>
          <w:szCs w:val="24"/>
        </w:rPr>
        <w:t xml:space="preserve"> </w:t>
      </w:r>
      <w:r w:rsidRPr="00131EED">
        <w:rPr>
          <w:rFonts w:ascii="Baskerville Old Face" w:hAnsi="Baskerville Old Face"/>
          <w:sz w:val="24"/>
          <w:szCs w:val="24"/>
        </w:rPr>
        <w:t>en</w:t>
      </w:r>
      <w:r w:rsidRPr="00131EED">
        <w:rPr>
          <w:rFonts w:ascii="Baskerville Old Face" w:hAnsi="Baskerville Old Face"/>
          <w:spacing w:val="-8"/>
          <w:sz w:val="24"/>
          <w:szCs w:val="24"/>
        </w:rPr>
        <w:t xml:space="preserve"> </w:t>
      </w:r>
      <w:r w:rsidRPr="00131EED">
        <w:rPr>
          <w:rFonts w:ascii="Baskerville Old Face" w:hAnsi="Baskerville Old Face"/>
          <w:sz w:val="24"/>
          <w:szCs w:val="24"/>
        </w:rPr>
        <w:t>el</w:t>
      </w:r>
      <w:r w:rsidRPr="00131EED">
        <w:rPr>
          <w:rFonts w:ascii="Baskerville Old Face" w:hAnsi="Baskerville Old Face"/>
          <w:spacing w:val="-8"/>
          <w:sz w:val="24"/>
          <w:szCs w:val="24"/>
        </w:rPr>
        <w:t xml:space="preserve"> </w:t>
      </w:r>
      <w:r w:rsidRPr="00131EED">
        <w:rPr>
          <w:rFonts w:ascii="Baskerville Old Face" w:hAnsi="Baskerville Old Face"/>
          <w:sz w:val="24"/>
          <w:szCs w:val="24"/>
        </w:rPr>
        <w:t>que</w:t>
      </w:r>
      <w:r w:rsidRPr="00131EED">
        <w:rPr>
          <w:rFonts w:ascii="Baskerville Old Face" w:hAnsi="Baskerville Old Face"/>
          <w:spacing w:val="-9"/>
          <w:sz w:val="24"/>
          <w:szCs w:val="24"/>
        </w:rPr>
        <w:t xml:space="preserve"> </w:t>
      </w:r>
      <w:r w:rsidRPr="00131EED">
        <w:rPr>
          <w:rFonts w:ascii="Baskerville Old Face" w:hAnsi="Baskerville Old Face"/>
          <w:sz w:val="24"/>
          <w:szCs w:val="24"/>
        </w:rPr>
        <w:t>crece</w:t>
      </w:r>
      <w:r w:rsidRPr="00131EED">
        <w:rPr>
          <w:rFonts w:ascii="Baskerville Old Face" w:hAnsi="Baskerville Old Face"/>
          <w:spacing w:val="-9"/>
          <w:sz w:val="24"/>
          <w:szCs w:val="24"/>
        </w:rPr>
        <w:t xml:space="preserve"> </w:t>
      </w:r>
      <w:r w:rsidRPr="00131EED">
        <w:rPr>
          <w:rFonts w:ascii="Baskerville Old Face" w:hAnsi="Baskerville Old Face"/>
          <w:i/>
          <w:sz w:val="24"/>
          <w:szCs w:val="24"/>
        </w:rPr>
        <w:t>Agave</w:t>
      </w:r>
      <w:r w:rsidRPr="00131EED">
        <w:rPr>
          <w:rFonts w:ascii="Baskerville Old Face" w:hAnsi="Baskerville Old Face"/>
          <w:i/>
          <w:spacing w:val="-8"/>
          <w:sz w:val="24"/>
          <w:szCs w:val="24"/>
        </w:rPr>
        <w:t xml:space="preserve"> </w:t>
      </w:r>
      <w:r w:rsidRPr="00131EED">
        <w:rPr>
          <w:rFonts w:ascii="Baskerville Old Face" w:hAnsi="Baskerville Old Face"/>
          <w:i/>
          <w:sz w:val="24"/>
          <w:szCs w:val="24"/>
        </w:rPr>
        <w:t>sylvesteriana</w:t>
      </w:r>
      <w:r w:rsidRPr="00131EED">
        <w:rPr>
          <w:rFonts w:ascii="Baskerville Old Face" w:hAnsi="Baskerville Old Face"/>
          <w:i/>
          <w:spacing w:val="-8"/>
          <w:sz w:val="24"/>
          <w:szCs w:val="24"/>
        </w:rPr>
        <w:t xml:space="preserve"> </w:t>
      </w:r>
      <w:r w:rsidRPr="00131EED">
        <w:rPr>
          <w:rFonts w:ascii="Baskerville Old Face" w:hAnsi="Baskerville Old Face"/>
          <w:sz w:val="24"/>
          <w:szCs w:val="24"/>
        </w:rPr>
        <w:t>Giraldo-Cañas,</w:t>
      </w:r>
      <w:r w:rsidRPr="00131EED">
        <w:rPr>
          <w:rFonts w:ascii="Baskerville Old Face" w:hAnsi="Baskerville Old Face"/>
          <w:spacing w:val="-7"/>
          <w:sz w:val="24"/>
          <w:szCs w:val="24"/>
        </w:rPr>
        <w:t xml:space="preserve"> </w:t>
      </w:r>
      <w:r w:rsidRPr="00131EED">
        <w:rPr>
          <w:rFonts w:ascii="Baskerville Old Face" w:hAnsi="Baskerville Old Face"/>
          <w:sz w:val="24"/>
          <w:szCs w:val="24"/>
        </w:rPr>
        <w:t>especie</w:t>
      </w:r>
      <w:r w:rsidRPr="00131EED">
        <w:rPr>
          <w:rFonts w:ascii="Baskerville Old Face" w:hAnsi="Baskerville Old Face"/>
          <w:spacing w:val="-8"/>
          <w:sz w:val="24"/>
          <w:szCs w:val="24"/>
        </w:rPr>
        <w:t xml:space="preserve"> </w:t>
      </w:r>
      <w:r w:rsidRPr="00131EED">
        <w:rPr>
          <w:rFonts w:ascii="Baskerville Old Face" w:hAnsi="Baskerville Old Face"/>
          <w:sz w:val="24"/>
          <w:szCs w:val="24"/>
        </w:rPr>
        <w:t>descrita</w:t>
      </w:r>
      <w:r w:rsidRPr="00131EED">
        <w:rPr>
          <w:rFonts w:ascii="Baskerville Old Face" w:hAnsi="Baskerville Old Face"/>
          <w:spacing w:val="-8"/>
          <w:sz w:val="24"/>
          <w:szCs w:val="24"/>
        </w:rPr>
        <w:t xml:space="preserve"> </w:t>
      </w:r>
      <w:r w:rsidRPr="00131EED">
        <w:rPr>
          <w:rFonts w:ascii="Baskerville Old Face" w:hAnsi="Baskerville Old Face"/>
          <w:sz w:val="24"/>
          <w:szCs w:val="24"/>
        </w:rPr>
        <w:t>para</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el</w:t>
      </w:r>
      <w:r w:rsidRPr="00131EED">
        <w:rPr>
          <w:rFonts w:ascii="Baskerville Old Face" w:hAnsi="Baskerville Old Face"/>
          <w:spacing w:val="-2"/>
          <w:sz w:val="24"/>
          <w:szCs w:val="24"/>
        </w:rPr>
        <w:t xml:space="preserve"> </w:t>
      </w:r>
      <w:r w:rsidRPr="00131EED">
        <w:rPr>
          <w:rFonts w:ascii="Baskerville Old Face" w:hAnsi="Baskerville Old Face"/>
          <w:sz w:val="24"/>
          <w:szCs w:val="24"/>
        </w:rPr>
        <w:t>sector</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Piedra</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del</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Indio</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en</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Cerro</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Seco. Sus pastizales y herbazales constituyen a su vez uno de los últimos hábitats conocidos de aves (Corporación Geoambiental Terrae, 2021).</w:t>
      </w:r>
    </w:p>
    <w:p w14:paraId="23732824" w14:textId="77777777" w:rsidR="008A326C" w:rsidRPr="00131EED" w:rsidRDefault="008A326C" w:rsidP="008A326C">
      <w:pPr>
        <w:pStyle w:val="BodyText"/>
        <w:spacing w:after="0"/>
        <w:ind w:right="49"/>
        <w:rPr>
          <w:rFonts w:ascii="Baskerville Old Face" w:hAnsi="Baskerville Old Face"/>
          <w:sz w:val="24"/>
          <w:szCs w:val="24"/>
        </w:rPr>
      </w:pPr>
    </w:p>
    <w:p w14:paraId="13D7AF05" w14:textId="77777777" w:rsidR="008A326C" w:rsidRPr="00131EED" w:rsidRDefault="008A326C" w:rsidP="008A326C">
      <w:pPr>
        <w:pStyle w:val="ListParagraph"/>
        <w:widowControl w:val="0"/>
        <w:tabs>
          <w:tab w:val="left" w:pos="0"/>
        </w:tabs>
        <w:autoSpaceDE w:val="0"/>
        <w:autoSpaceDN w:val="0"/>
        <w:spacing w:after="0"/>
        <w:ind w:left="0" w:right="49"/>
        <w:contextualSpacing w:val="0"/>
        <w:rPr>
          <w:rFonts w:cs="Arial"/>
          <w:sz w:val="24"/>
          <w:szCs w:val="24"/>
        </w:rPr>
      </w:pPr>
      <w:r w:rsidRPr="00131EED">
        <w:rPr>
          <w:rFonts w:cs="Arial"/>
          <w:sz w:val="24"/>
          <w:szCs w:val="24"/>
        </w:rPr>
        <w:t xml:space="preserve">Un caso puntual de la alta importancia de este </w:t>
      </w:r>
      <w:r w:rsidRPr="00131EED">
        <w:rPr>
          <w:rFonts w:cs="Arial"/>
          <w:spacing w:val="-5"/>
          <w:sz w:val="24"/>
          <w:szCs w:val="24"/>
        </w:rPr>
        <w:t>tipo de ecosistemas por su papel de amortiguación y conectividad ofreciendo una transición ecosistémica única entre los enclaves secos del altiplano y las laderas húmedas paramunas; es en el relicto que aún permanece en Soacha y la Franja de la localidad de Ciudad Bolívar y de Sibaté. Esta área conocida como Cerro Seco, evidencia la presencia de 338 taxones de plantas (304 vasculares, 34 no vasculares), incluyendo 270 angiospermas, 35 helechos, 4 licofitas, 12 musgos, 1 hepática y 16 líquenes. El 8% de su flora es endémico: Cerro Seco es el hábitat de al menos 27 especies</w:t>
      </w:r>
      <w:r w:rsidRPr="00131EED">
        <w:rPr>
          <w:rFonts w:cs="Arial"/>
          <w:spacing w:val="-6"/>
          <w:sz w:val="24"/>
          <w:szCs w:val="24"/>
        </w:rPr>
        <w:t xml:space="preserve"> </w:t>
      </w:r>
      <w:r w:rsidRPr="00131EED">
        <w:rPr>
          <w:rFonts w:cs="Arial"/>
          <w:sz w:val="24"/>
          <w:szCs w:val="24"/>
        </w:rPr>
        <w:t>endémicas</w:t>
      </w:r>
      <w:r w:rsidRPr="00131EED">
        <w:rPr>
          <w:rFonts w:cs="Arial"/>
          <w:spacing w:val="1"/>
          <w:sz w:val="24"/>
          <w:szCs w:val="24"/>
        </w:rPr>
        <w:t xml:space="preserve"> </w:t>
      </w:r>
      <w:r w:rsidRPr="00131EED">
        <w:rPr>
          <w:rFonts w:cs="Arial"/>
          <w:sz w:val="24"/>
          <w:szCs w:val="24"/>
        </w:rPr>
        <w:t>de Colombia (23) o del Altiplano Cundiboyacense (4), incluyendo compuestas (7), rubiáceas (3),</w:t>
      </w:r>
      <w:r w:rsidRPr="00131EED">
        <w:rPr>
          <w:rFonts w:cs="Arial"/>
          <w:spacing w:val="1"/>
          <w:sz w:val="24"/>
          <w:szCs w:val="24"/>
        </w:rPr>
        <w:t xml:space="preserve"> </w:t>
      </w:r>
      <w:r w:rsidRPr="00131EED">
        <w:rPr>
          <w:rFonts w:cs="Arial"/>
          <w:sz w:val="24"/>
          <w:szCs w:val="24"/>
        </w:rPr>
        <w:t>orquídeas,</w:t>
      </w:r>
      <w:r w:rsidRPr="00131EED">
        <w:rPr>
          <w:rFonts w:cs="Arial"/>
          <w:spacing w:val="-2"/>
          <w:sz w:val="24"/>
          <w:szCs w:val="24"/>
        </w:rPr>
        <w:t xml:space="preserve"> </w:t>
      </w:r>
      <w:r w:rsidRPr="00131EED">
        <w:rPr>
          <w:rFonts w:cs="Arial"/>
          <w:sz w:val="24"/>
          <w:szCs w:val="24"/>
        </w:rPr>
        <w:t>apocináceas,</w:t>
      </w:r>
      <w:r w:rsidRPr="00131EED">
        <w:rPr>
          <w:rFonts w:cs="Arial"/>
          <w:spacing w:val="-1"/>
          <w:sz w:val="24"/>
          <w:szCs w:val="24"/>
        </w:rPr>
        <w:t xml:space="preserve"> </w:t>
      </w:r>
      <w:r w:rsidRPr="00131EED">
        <w:rPr>
          <w:rFonts w:cs="Arial"/>
          <w:sz w:val="24"/>
          <w:szCs w:val="24"/>
        </w:rPr>
        <w:t>ágaves</w:t>
      </w:r>
      <w:r w:rsidRPr="00131EED">
        <w:rPr>
          <w:rFonts w:cs="Arial"/>
          <w:spacing w:val="-1"/>
          <w:sz w:val="24"/>
          <w:szCs w:val="24"/>
        </w:rPr>
        <w:t xml:space="preserve"> </w:t>
      </w:r>
      <w:r w:rsidRPr="00131EED">
        <w:rPr>
          <w:rFonts w:cs="Arial"/>
          <w:sz w:val="24"/>
          <w:szCs w:val="24"/>
        </w:rPr>
        <w:t>y</w:t>
      </w:r>
      <w:r w:rsidRPr="00131EED">
        <w:rPr>
          <w:rFonts w:cs="Arial"/>
          <w:spacing w:val="-1"/>
          <w:sz w:val="24"/>
          <w:szCs w:val="24"/>
        </w:rPr>
        <w:t xml:space="preserve"> </w:t>
      </w:r>
      <w:r w:rsidRPr="00131EED">
        <w:rPr>
          <w:rFonts w:cs="Arial"/>
          <w:sz w:val="24"/>
          <w:szCs w:val="24"/>
        </w:rPr>
        <w:t>verbenáceas</w:t>
      </w:r>
      <w:r w:rsidRPr="00131EED">
        <w:rPr>
          <w:rFonts w:cs="Arial"/>
          <w:spacing w:val="-2"/>
          <w:sz w:val="24"/>
          <w:szCs w:val="24"/>
        </w:rPr>
        <w:t xml:space="preserve"> </w:t>
      </w:r>
      <w:r w:rsidRPr="00131EED">
        <w:rPr>
          <w:rFonts w:cs="Arial"/>
          <w:sz w:val="24"/>
          <w:szCs w:val="24"/>
        </w:rPr>
        <w:t>(2). El</w:t>
      </w:r>
      <w:r w:rsidRPr="00131EED">
        <w:rPr>
          <w:rFonts w:cs="Arial"/>
          <w:spacing w:val="-6"/>
          <w:sz w:val="24"/>
          <w:szCs w:val="24"/>
        </w:rPr>
        <w:t xml:space="preserve"> </w:t>
      </w:r>
      <w:r w:rsidRPr="00131EED">
        <w:rPr>
          <w:rFonts w:cs="Arial"/>
          <w:sz w:val="24"/>
          <w:szCs w:val="24"/>
        </w:rPr>
        <w:t>2%</w:t>
      </w:r>
      <w:r w:rsidRPr="00131EED">
        <w:rPr>
          <w:rFonts w:cs="Arial"/>
          <w:spacing w:val="-6"/>
          <w:sz w:val="24"/>
          <w:szCs w:val="24"/>
        </w:rPr>
        <w:t xml:space="preserve"> </w:t>
      </w:r>
      <w:r w:rsidRPr="00131EED">
        <w:rPr>
          <w:rFonts w:cs="Arial"/>
          <w:sz w:val="24"/>
          <w:szCs w:val="24"/>
        </w:rPr>
        <w:t>de</w:t>
      </w:r>
      <w:r w:rsidRPr="00131EED">
        <w:rPr>
          <w:rFonts w:cs="Arial"/>
          <w:spacing w:val="-5"/>
          <w:sz w:val="24"/>
          <w:szCs w:val="24"/>
        </w:rPr>
        <w:t xml:space="preserve"> </w:t>
      </w:r>
      <w:r w:rsidRPr="00131EED">
        <w:rPr>
          <w:rFonts w:cs="Arial"/>
          <w:sz w:val="24"/>
          <w:szCs w:val="24"/>
        </w:rPr>
        <w:t>su</w:t>
      </w:r>
      <w:r w:rsidRPr="00131EED">
        <w:rPr>
          <w:rFonts w:cs="Arial"/>
          <w:spacing w:val="-5"/>
          <w:sz w:val="24"/>
          <w:szCs w:val="24"/>
        </w:rPr>
        <w:t xml:space="preserve"> </w:t>
      </w:r>
      <w:r w:rsidRPr="00131EED">
        <w:rPr>
          <w:rFonts w:cs="Arial"/>
          <w:sz w:val="24"/>
          <w:szCs w:val="24"/>
        </w:rPr>
        <w:t>flora</w:t>
      </w:r>
      <w:r w:rsidRPr="00131EED">
        <w:rPr>
          <w:rFonts w:cs="Arial"/>
          <w:spacing w:val="-6"/>
          <w:sz w:val="24"/>
          <w:szCs w:val="24"/>
        </w:rPr>
        <w:t xml:space="preserve"> </w:t>
      </w:r>
      <w:r w:rsidRPr="00131EED">
        <w:rPr>
          <w:rFonts w:cs="Arial"/>
          <w:sz w:val="24"/>
          <w:szCs w:val="24"/>
        </w:rPr>
        <w:t>enfrenta</w:t>
      </w:r>
      <w:r w:rsidRPr="00131EED">
        <w:rPr>
          <w:rFonts w:cs="Arial"/>
          <w:spacing w:val="-5"/>
          <w:sz w:val="24"/>
          <w:szCs w:val="24"/>
        </w:rPr>
        <w:t xml:space="preserve"> </w:t>
      </w:r>
      <w:r w:rsidRPr="00131EED">
        <w:rPr>
          <w:rFonts w:cs="Arial"/>
          <w:sz w:val="24"/>
          <w:szCs w:val="24"/>
        </w:rPr>
        <w:t>amenaza</w:t>
      </w:r>
      <w:r w:rsidRPr="00131EED">
        <w:rPr>
          <w:rFonts w:cs="Arial"/>
          <w:spacing w:val="-5"/>
          <w:sz w:val="24"/>
          <w:szCs w:val="24"/>
        </w:rPr>
        <w:t xml:space="preserve"> </w:t>
      </w:r>
      <w:r w:rsidRPr="00131EED">
        <w:rPr>
          <w:rFonts w:cs="Arial"/>
          <w:sz w:val="24"/>
          <w:szCs w:val="24"/>
        </w:rPr>
        <w:t>inminente</w:t>
      </w:r>
      <w:r w:rsidRPr="00131EED">
        <w:rPr>
          <w:rFonts w:cs="Arial"/>
          <w:spacing w:val="-6"/>
          <w:sz w:val="24"/>
          <w:szCs w:val="24"/>
        </w:rPr>
        <w:t xml:space="preserve"> </w:t>
      </w:r>
      <w:r w:rsidRPr="00131EED">
        <w:rPr>
          <w:rFonts w:cs="Arial"/>
          <w:sz w:val="24"/>
          <w:szCs w:val="24"/>
        </w:rPr>
        <w:t>de</w:t>
      </w:r>
      <w:r w:rsidRPr="00131EED">
        <w:rPr>
          <w:rFonts w:cs="Arial"/>
          <w:spacing w:val="-5"/>
          <w:sz w:val="24"/>
          <w:szCs w:val="24"/>
        </w:rPr>
        <w:t xml:space="preserve"> </w:t>
      </w:r>
      <w:r w:rsidRPr="00131EED">
        <w:rPr>
          <w:rFonts w:cs="Arial"/>
          <w:sz w:val="24"/>
          <w:szCs w:val="24"/>
        </w:rPr>
        <w:t>extinción:</w:t>
      </w:r>
      <w:r w:rsidRPr="00131EED">
        <w:rPr>
          <w:rFonts w:cs="Arial"/>
          <w:spacing w:val="-5"/>
          <w:sz w:val="24"/>
          <w:szCs w:val="24"/>
        </w:rPr>
        <w:t xml:space="preserve"> </w:t>
      </w:r>
      <w:r w:rsidRPr="00131EED">
        <w:rPr>
          <w:rFonts w:cs="Arial"/>
          <w:sz w:val="24"/>
          <w:szCs w:val="24"/>
        </w:rPr>
        <w:t>los</w:t>
      </w:r>
      <w:r w:rsidRPr="00131EED">
        <w:rPr>
          <w:rFonts w:cs="Arial"/>
          <w:spacing w:val="-5"/>
          <w:sz w:val="24"/>
          <w:szCs w:val="24"/>
        </w:rPr>
        <w:t xml:space="preserve"> </w:t>
      </w:r>
      <w:r w:rsidRPr="00131EED">
        <w:rPr>
          <w:rFonts w:cs="Arial"/>
          <w:sz w:val="24"/>
          <w:szCs w:val="24"/>
        </w:rPr>
        <w:t>ágaves</w:t>
      </w:r>
      <w:r w:rsidRPr="00131EED">
        <w:rPr>
          <w:rFonts w:cs="Arial"/>
          <w:spacing w:val="-6"/>
          <w:sz w:val="24"/>
          <w:szCs w:val="24"/>
        </w:rPr>
        <w:t xml:space="preserve"> </w:t>
      </w:r>
      <w:r w:rsidRPr="00131EED">
        <w:rPr>
          <w:rFonts w:cs="Arial"/>
          <w:sz w:val="24"/>
          <w:szCs w:val="24"/>
        </w:rPr>
        <w:t>de</w:t>
      </w:r>
      <w:r w:rsidRPr="00131EED">
        <w:rPr>
          <w:rFonts w:cs="Arial"/>
          <w:spacing w:val="-5"/>
          <w:sz w:val="24"/>
          <w:szCs w:val="24"/>
        </w:rPr>
        <w:t xml:space="preserve"> </w:t>
      </w:r>
      <w:r w:rsidRPr="00131EED">
        <w:rPr>
          <w:rFonts w:cs="Arial"/>
          <w:sz w:val="24"/>
          <w:szCs w:val="24"/>
        </w:rPr>
        <w:t>Cundinamarca</w:t>
      </w:r>
      <w:r w:rsidRPr="00131EED">
        <w:rPr>
          <w:rFonts w:cs="Arial"/>
          <w:spacing w:val="-5"/>
          <w:sz w:val="24"/>
          <w:szCs w:val="24"/>
        </w:rPr>
        <w:t xml:space="preserve"> </w:t>
      </w:r>
      <w:r w:rsidRPr="00131EED">
        <w:rPr>
          <w:rFonts w:cs="Arial"/>
          <w:sz w:val="24"/>
          <w:szCs w:val="24"/>
        </w:rPr>
        <w:t>y</w:t>
      </w:r>
      <w:r w:rsidRPr="00131EED">
        <w:rPr>
          <w:rFonts w:cs="Arial"/>
          <w:spacing w:val="-47"/>
          <w:sz w:val="24"/>
          <w:szCs w:val="24"/>
        </w:rPr>
        <w:t xml:space="preserve"> </w:t>
      </w:r>
      <w:r w:rsidRPr="00131EED">
        <w:rPr>
          <w:rFonts w:cs="Arial"/>
          <w:sz w:val="24"/>
          <w:szCs w:val="24"/>
        </w:rPr>
        <w:t>de Sylvester, sus dos ágaves endémicos, se encuentran En Peligro Crítico (CR) y En Peligro (EN),</w:t>
      </w:r>
      <w:r w:rsidRPr="00131EED">
        <w:rPr>
          <w:rFonts w:cs="Arial"/>
          <w:spacing w:val="1"/>
          <w:sz w:val="24"/>
          <w:szCs w:val="24"/>
        </w:rPr>
        <w:t xml:space="preserve"> </w:t>
      </w:r>
      <w:r w:rsidRPr="00131EED">
        <w:rPr>
          <w:rFonts w:cs="Arial"/>
          <w:sz w:val="24"/>
          <w:szCs w:val="24"/>
        </w:rPr>
        <w:t>respectivamente. Una de sus orquídeas (</w:t>
      </w:r>
      <w:r w:rsidRPr="00131EED">
        <w:rPr>
          <w:rFonts w:cs="Arial"/>
          <w:i/>
          <w:sz w:val="24"/>
          <w:szCs w:val="24"/>
        </w:rPr>
        <w:t xml:space="preserve">Cyrtochilum revolutum </w:t>
      </w:r>
      <w:r w:rsidRPr="00131EED">
        <w:rPr>
          <w:rFonts w:cs="Arial"/>
          <w:sz w:val="24"/>
          <w:szCs w:val="24"/>
        </w:rPr>
        <w:t>(Lindl.) Dalström) y una labiada</w:t>
      </w:r>
      <w:r w:rsidRPr="00131EED">
        <w:rPr>
          <w:rFonts w:cs="Arial"/>
          <w:spacing w:val="1"/>
          <w:sz w:val="24"/>
          <w:szCs w:val="24"/>
        </w:rPr>
        <w:t xml:space="preserve"> </w:t>
      </w:r>
      <w:r w:rsidRPr="00131EED">
        <w:rPr>
          <w:rFonts w:cs="Arial"/>
          <w:sz w:val="24"/>
          <w:szCs w:val="24"/>
        </w:rPr>
        <w:t>(</w:t>
      </w:r>
      <w:r w:rsidRPr="00131EED">
        <w:rPr>
          <w:rFonts w:cs="Arial"/>
          <w:i/>
          <w:sz w:val="24"/>
          <w:szCs w:val="24"/>
        </w:rPr>
        <w:t xml:space="preserve">Salvia rubescens </w:t>
      </w:r>
      <w:r w:rsidRPr="00131EED">
        <w:rPr>
          <w:rFonts w:cs="Arial"/>
          <w:sz w:val="24"/>
          <w:szCs w:val="24"/>
        </w:rPr>
        <w:t>Kunth) son Vulnerables (VU). (Corporación Geoambiental Terrae, 2021, pg. 80).</w:t>
      </w:r>
    </w:p>
    <w:p w14:paraId="5462004C" w14:textId="77777777" w:rsidR="008A326C" w:rsidRPr="00131EED" w:rsidRDefault="008A326C" w:rsidP="008A326C">
      <w:pPr>
        <w:pStyle w:val="ListParagraph"/>
        <w:widowControl w:val="0"/>
        <w:tabs>
          <w:tab w:val="left" w:pos="0"/>
        </w:tabs>
        <w:autoSpaceDE w:val="0"/>
        <w:autoSpaceDN w:val="0"/>
        <w:spacing w:after="0"/>
        <w:ind w:left="0" w:right="49"/>
        <w:contextualSpacing w:val="0"/>
        <w:rPr>
          <w:rFonts w:cs="Arial"/>
          <w:sz w:val="24"/>
          <w:szCs w:val="24"/>
        </w:rPr>
      </w:pPr>
    </w:p>
    <w:p w14:paraId="4EB24743" w14:textId="77777777" w:rsidR="008A326C" w:rsidRPr="00131EED" w:rsidRDefault="008A326C" w:rsidP="008A326C">
      <w:pPr>
        <w:rPr>
          <w:rFonts w:cs="Arial"/>
          <w:shd w:val="clear" w:color="auto" w:fill="FEFEFE"/>
        </w:rPr>
      </w:pPr>
      <w:r w:rsidRPr="00131EED">
        <w:rPr>
          <w:rFonts w:cs="Arial"/>
          <w:shd w:val="clear" w:color="auto" w:fill="FEFEFE"/>
        </w:rPr>
        <w:t xml:space="preserve">Sin embargo, estos ecosistemas han sido altamente transformados, asociados principalmente a áreas de explotación minera o actividades productivas, sin tener el suficiente reconocimiento en el ordenamiento de la Sabana de Bogotá, razón por la cual se evidencia que de 16.071 hectáreas identificadas con este ecosistema, solo se han incluido dentro del SINAP y OMEC 36 hectáreas. </w:t>
      </w:r>
    </w:p>
    <w:p w14:paraId="2864C582" w14:textId="77777777" w:rsidR="008A326C" w:rsidRPr="00131EED" w:rsidRDefault="008A326C" w:rsidP="008A326C">
      <w:pPr>
        <w:rPr>
          <w:rFonts w:cs="Arial"/>
          <w:shd w:val="clear" w:color="auto" w:fill="FEFEFE"/>
        </w:rPr>
      </w:pPr>
    </w:p>
    <w:p w14:paraId="3CF9E2D8" w14:textId="77777777" w:rsidR="008A326C" w:rsidRPr="00131EED" w:rsidRDefault="008A326C" w:rsidP="008A326C">
      <w:pPr>
        <w:rPr>
          <w:rFonts w:cs="Arial"/>
          <w:shd w:val="clear" w:color="auto" w:fill="FEFEFE"/>
        </w:rPr>
      </w:pPr>
      <w:r w:rsidRPr="00131EED">
        <w:rPr>
          <w:rFonts w:cs="Arial"/>
          <w:shd w:val="clear" w:color="auto" w:fill="FEFEFE"/>
        </w:rPr>
        <w:t>En complemento con lo anteriormente indicado, se resalta que se observan 1.558 hectáreas de áreas subxerofíticas con integridad ecológica muy baja y 4.947 hectáreas con integridad ecológica baja, lo que demuestra que aproximadamente el 40% de estos ecosistemas se encuentran en condiciones de transformación extremas.</w:t>
      </w:r>
    </w:p>
    <w:p w14:paraId="59805168" w14:textId="77777777" w:rsidR="008A326C" w:rsidRPr="00131EED" w:rsidRDefault="008A326C" w:rsidP="008A326C">
      <w:pPr>
        <w:rPr>
          <w:rFonts w:cs="Arial"/>
          <w:b/>
          <w:shd w:val="clear" w:color="auto" w:fill="FEFEFE"/>
        </w:rPr>
      </w:pPr>
    </w:p>
    <w:p w14:paraId="7DF6C546" w14:textId="66E065E1" w:rsidR="00264B72" w:rsidRPr="00131EED" w:rsidRDefault="00896762" w:rsidP="00264B72">
      <w:pPr>
        <w:rPr>
          <w:b/>
          <w:bCs/>
        </w:rPr>
      </w:pPr>
      <w:r w:rsidRPr="00131EED">
        <w:rPr>
          <w:b/>
          <w:bCs/>
        </w:rPr>
        <w:t xml:space="preserve">Representatividad de </w:t>
      </w:r>
      <w:r w:rsidR="00264B72" w:rsidRPr="00131EED">
        <w:rPr>
          <w:b/>
          <w:bCs/>
        </w:rPr>
        <w:t>l</w:t>
      </w:r>
      <w:r w:rsidRPr="00131EED">
        <w:rPr>
          <w:b/>
          <w:bCs/>
        </w:rPr>
        <w:t>os</w:t>
      </w:r>
      <w:r w:rsidR="00264B72" w:rsidRPr="00131EED">
        <w:rPr>
          <w:b/>
          <w:bCs/>
        </w:rPr>
        <w:t xml:space="preserve"> ecosistema</w:t>
      </w:r>
      <w:r w:rsidRPr="00131EED">
        <w:rPr>
          <w:b/>
          <w:bCs/>
        </w:rPr>
        <w:t>s</w:t>
      </w:r>
      <w:r w:rsidR="00264B72" w:rsidRPr="00131EED">
        <w:rPr>
          <w:b/>
          <w:bCs/>
        </w:rPr>
        <w:t xml:space="preserve"> subxerofítico</w:t>
      </w:r>
      <w:r w:rsidRPr="00131EED">
        <w:rPr>
          <w:b/>
          <w:bCs/>
        </w:rPr>
        <w:t>s en el SINAP</w:t>
      </w:r>
    </w:p>
    <w:p w14:paraId="525AD771" w14:textId="77777777" w:rsidR="00264B72" w:rsidRPr="00131EED" w:rsidRDefault="00264B72" w:rsidP="008A326C">
      <w:pPr>
        <w:rPr>
          <w:rFonts w:cs="Arial"/>
          <w:b/>
          <w:bCs/>
          <w:shd w:val="clear" w:color="auto" w:fill="FEFEFE"/>
        </w:rPr>
      </w:pPr>
    </w:p>
    <w:p w14:paraId="70E7C978" w14:textId="0F45D3DD" w:rsidR="00AD3EEE" w:rsidRPr="00131EED" w:rsidRDefault="00AD3EEE" w:rsidP="00AD3EEE">
      <w:pPr>
        <w:rPr>
          <w:rFonts w:cs="Arial"/>
        </w:rPr>
      </w:pPr>
      <w:r w:rsidRPr="00131EED">
        <w:rPr>
          <w:rFonts w:cs="Arial"/>
        </w:rPr>
        <w:t>Derivado del ejercicio elaborado por Parques Naturales Nacionales de Colombia, asociado a la representatividad ecosistémica en el SINAP, para Sabana de Bogotá se evidencia que los ecosistemas Orobioma Andino Altoandino cordillera oriental, Orobioma Azonal Andino Altoandino cordillera oriental se encuentran en condición de baja representatividad dentro del SINAP, lo cual se constituye en un reto de gestión con las autoridades ambientales, aumentar la representatividad de acuerdo con los compromisos internacionales del país para contar con mayor representatividad en el SINAP, lo que incluye tanto los ecosistemas de subxerofitia andina como los humedales de la Sabana de Bogotá.</w:t>
      </w:r>
    </w:p>
    <w:p w14:paraId="04DD801C" w14:textId="592B978D" w:rsidR="008A2614" w:rsidRPr="00131EED" w:rsidRDefault="008A2614" w:rsidP="00AD3EEE">
      <w:pPr>
        <w:rPr>
          <w:rFonts w:cs="Arial"/>
        </w:rPr>
      </w:pPr>
    </w:p>
    <w:p w14:paraId="08A55404" w14:textId="032ADBF8" w:rsidR="00AD3EEE" w:rsidRPr="00131EED" w:rsidRDefault="00AD3EEE" w:rsidP="00646E27">
      <w:pPr>
        <w:pStyle w:val="Caption"/>
        <w:jc w:val="center"/>
      </w:pPr>
      <w:bookmarkStart w:id="96" w:name="_Toc216468793"/>
      <w:r w:rsidRPr="00131EED">
        <w:t xml:space="preserve">Ilustración </w:t>
      </w:r>
      <w:r w:rsidRPr="00131EED">
        <w:fldChar w:fldCharType="begin"/>
      </w:r>
      <w:r w:rsidRPr="00131EED">
        <w:instrText>SEQ Ilustración \* ARABIC</w:instrText>
      </w:r>
      <w:r w:rsidRPr="00131EED">
        <w:fldChar w:fldCharType="separate"/>
      </w:r>
      <w:r w:rsidR="00CE096F">
        <w:rPr>
          <w:noProof/>
        </w:rPr>
        <w:t>28</w:t>
      </w:r>
      <w:r w:rsidRPr="00131EED">
        <w:fldChar w:fldCharType="end"/>
      </w:r>
      <w:r w:rsidRPr="00131EED">
        <w:t xml:space="preserve"> Incorporación de ecosistemas de subxerofitia andina en áreas del SINAP y en OMEC</w:t>
      </w:r>
      <w:bookmarkEnd w:id="96"/>
    </w:p>
    <w:p w14:paraId="4994D5A6" w14:textId="22AC61C6" w:rsidR="00AD3EEE" w:rsidRPr="00131EED" w:rsidRDefault="00AD3EEE" w:rsidP="00AD3EEE">
      <w:pPr>
        <w:jc w:val="center"/>
        <w:rPr>
          <w:rFonts w:ascii="Baskerville" w:hAnsi="Baskerville" w:cs="Arial"/>
        </w:rPr>
      </w:pPr>
      <w:r w:rsidRPr="00131EED">
        <w:rPr>
          <w:rFonts w:ascii="Baskerville" w:hAnsi="Baskerville" w:cs="Arial"/>
          <w:noProof/>
          <w:lang w:eastAsia="en-US"/>
        </w:rPr>
        <w:drawing>
          <wp:inline distT="0" distB="0" distL="0" distR="0" wp14:anchorId="2D6D976A" wp14:editId="73A15714">
            <wp:extent cx="4304581" cy="5570635"/>
            <wp:effectExtent l="0" t="0" r="1270" b="0"/>
            <wp:docPr id="1474823173" name="Imagen 1474823173" descr="C:\Users\Dalila\Downloads\SubxerofitiaEnAreasProtegida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alila\Downloads\SubxerofitiaEnAreasProtegidas2.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325341" cy="5597500"/>
                    </a:xfrm>
                    <a:prstGeom prst="rect">
                      <a:avLst/>
                    </a:prstGeom>
                    <a:noFill/>
                    <a:ln>
                      <a:noFill/>
                    </a:ln>
                  </pic:spPr>
                </pic:pic>
              </a:graphicData>
            </a:graphic>
          </wp:inline>
        </w:drawing>
      </w:r>
    </w:p>
    <w:p w14:paraId="6DD523FC" w14:textId="77777777" w:rsidR="00AD3EEE" w:rsidRPr="00131EED" w:rsidRDefault="00AD3EEE" w:rsidP="00AD3EEE">
      <w:pPr>
        <w:jc w:val="center"/>
        <w:rPr>
          <w:rFonts w:cs="Arial"/>
          <w:sz w:val="20"/>
          <w:szCs w:val="20"/>
        </w:rPr>
      </w:pPr>
      <w:r w:rsidRPr="00131EED">
        <w:rPr>
          <w:rFonts w:cs="Arial"/>
          <w:sz w:val="20"/>
          <w:szCs w:val="20"/>
        </w:rPr>
        <w:t>Fuente: MinAmbiente a partir de información RUNAP.</w:t>
      </w:r>
    </w:p>
    <w:p w14:paraId="24D25CDB" w14:textId="77777777" w:rsidR="00AD3EEE" w:rsidRPr="00131EED" w:rsidRDefault="00AD3EEE" w:rsidP="00AD3EEE">
      <w:pPr>
        <w:rPr>
          <w:rFonts w:ascii="Baskerville" w:hAnsi="Baskerville" w:cs="Arial"/>
          <w:sz w:val="20"/>
          <w:szCs w:val="20"/>
        </w:rPr>
      </w:pPr>
    </w:p>
    <w:p w14:paraId="3540FD06" w14:textId="77777777" w:rsidR="00AD3EEE" w:rsidRPr="00131EED" w:rsidRDefault="00AD3EEE" w:rsidP="00AD3EEE">
      <w:pPr>
        <w:rPr>
          <w:rFonts w:ascii="Baskerville" w:hAnsi="Baskerville" w:cs="Arial"/>
        </w:rPr>
      </w:pPr>
    </w:p>
    <w:p w14:paraId="3AEBE577" w14:textId="77777777" w:rsidR="00E00A1D" w:rsidRPr="00131EED" w:rsidRDefault="00E00A1D">
      <w:pPr>
        <w:spacing w:after="200" w:line="276" w:lineRule="auto"/>
        <w:jc w:val="left"/>
        <w:rPr>
          <w:rFonts w:ascii="Arial" w:eastAsia="Calibri" w:hAnsi="Arial" w:cs="Arial"/>
          <w:i/>
          <w:iCs/>
          <w:color w:val="44546A"/>
          <w:sz w:val="18"/>
          <w:szCs w:val="18"/>
          <w:lang w:eastAsia="en-US"/>
        </w:rPr>
      </w:pPr>
      <w:r w:rsidRPr="00131EED">
        <w:br w:type="page"/>
      </w:r>
    </w:p>
    <w:p w14:paraId="21F1CDD8" w14:textId="7DDAD4C7" w:rsidR="00AD3EEE" w:rsidRPr="00131EED" w:rsidRDefault="00AD3EEE" w:rsidP="00646E27">
      <w:pPr>
        <w:pStyle w:val="Caption"/>
        <w:jc w:val="center"/>
      </w:pPr>
      <w:bookmarkStart w:id="97" w:name="_Toc216468794"/>
      <w:r w:rsidRPr="00131EED">
        <w:t xml:space="preserve">Ilustración </w:t>
      </w:r>
      <w:r w:rsidRPr="00131EED">
        <w:fldChar w:fldCharType="begin"/>
      </w:r>
      <w:r w:rsidRPr="00131EED">
        <w:instrText>SEQ Ilustración \* ARABIC</w:instrText>
      </w:r>
      <w:r w:rsidRPr="00131EED">
        <w:fldChar w:fldCharType="separate"/>
      </w:r>
      <w:r w:rsidR="00CE096F">
        <w:rPr>
          <w:noProof/>
        </w:rPr>
        <w:t>29</w:t>
      </w:r>
      <w:r w:rsidRPr="00131EED">
        <w:fldChar w:fldCharType="end"/>
      </w:r>
      <w:r w:rsidRPr="00131EED">
        <w:t xml:space="preserve"> Representatividad de ecosistemas</w:t>
      </w:r>
      <w:r w:rsidR="00291F25" w:rsidRPr="00131EED">
        <w:t xml:space="preserve"> andinos</w:t>
      </w:r>
      <w:r w:rsidRPr="00131EED">
        <w:t xml:space="preserve"> en el SINAP, para la Sabana de Bogotá.</w:t>
      </w:r>
      <w:bookmarkEnd w:id="97"/>
    </w:p>
    <w:p w14:paraId="547292BC" w14:textId="3D4FAA25" w:rsidR="00AD3EEE" w:rsidRPr="00131EED" w:rsidRDefault="00AD3EEE" w:rsidP="00AD3EEE">
      <w:pPr>
        <w:jc w:val="center"/>
        <w:rPr>
          <w:rFonts w:ascii="Baskerville" w:hAnsi="Baskerville" w:cs="Arial"/>
        </w:rPr>
      </w:pPr>
      <w:r w:rsidRPr="00131EED">
        <w:rPr>
          <w:rFonts w:ascii="Baskerville" w:hAnsi="Baskerville" w:cs="Arial"/>
          <w:noProof/>
          <w:lang w:eastAsia="en-US"/>
        </w:rPr>
        <w:drawing>
          <wp:inline distT="0" distB="0" distL="0" distR="0" wp14:anchorId="75777D50" wp14:editId="6BB26516">
            <wp:extent cx="4925683" cy="6374412"/>
            <wp:effectExtent l="0" t="0" r="8890" b="7620"/>
            <wp:docPr id="1474823169" name="Imagen 1474823169" descr="C:\Users\Dalila\Downloads\Representatividad ecosistém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lila\Downloads\Representatividad ecosistémica.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933982" cy="6385152"/>
                    </a:xfrm>
                    <a:prstGeom prst="rect">
                      <a:avLst/>
                    </a:prstGeom>
                    <a:noFill/>
                    <a:ln>
                      <a:noFill/>
                    </a:ln>
                  </pic:spPr>
                </pic:pic>
              </a:graphicData>
            </a:graphic>
          </wp:inline>
        </w:drawing>
      </w:r>
    </w:p>
    <w:p w14:paraId="4A742A23" w14:textId="77777777" w:rsidR="00AD3EEE" w:rsidRPr="00131EED" w:rsidRDefault="00AD3EEE" w:rsidP="00AD3EEE">
      <w:pPr>
        <w:jc w:val="center"/>
        <w:rPr>
          <w:rFonts w:cs="Arial"/>
          <w:sz w:val="20"/>
          <w:szCs w:val="20"/>
        </w:rPr>
      </w:pPr>
      <w:r w:rsidRPr="00131EED">
        <w:rPr>
          <w:rFonts w:cs="Arial"/>
          <w:sz w:val="20"/>
          <w:szCs w:val="20"/>
        </w:rPr>
        <w:t>Fuente: MinAmbiente a partir de información de PNN, 2023.</w:t>
      </w:r>
    </w:p>
    <w:p w14:paraId="65815382" w14:textId="77777777" w:rsidR="00AD3EEE" w:rsidRPr="00131EED" w:rsidRDefault="00AD3EEE" w:rsidP="00AD3EEE">
      <w:pPr>
        <w:rPr>
          <w:rFonts w:cs="Arial"/>
          <w:vertAlign w:val="superscript"/>
        </w:rPr>
      </w:pPr>
    </w:p>
    <w:p w14:paraId="4DAAB3AA" w14:textId="77777777" w:rsidR="00AD3EEE" w:rsidRPr="00131EED" w:rsidRDefault="00AD3EEE" w:rsidP="008A326C">
      <w:pPr>
        <w:rPr>
          <w:b/>
          <w:bCs/>
        </w:rPr>
      </w:pPr>
    </w:p>
    <w:p w14:paraId="09A39769" w14:textId="77777777" w:rsidR="00AD3EEE" w:rsidRPr="00131EED" w:rsidRDefault="00AD3EEE" w:rsidP="008A326C">
      <w:pPr>
        <w:rPr>
          <w:b/>
          <w:bCs/>
        </w:rPr>
      </w:pPr>
    </w:p>
    <w:p w14:paraId="2ABFF3ED" w14:textId="5EDAC425" w:rsidR="008A326C" w:rsidRPr="00131EED" w:rsidRDefault="008A326C" w:rsidP="008A326C">
      <w:pPr>
        <w:rPr>
          <w:b/>
        </w:rPr>
      </w:pPr>
      <w:r w:rsidRPr="00131EED">
        <w:rPr>
          <w:b/>
        </w:rPr>
        <w:t>Amenazas al ecosistema subxerofítico</w:t>
      </w:r>
    </w:p>
    <w:p w14:paraId="20FD8937" w14:textId="77777777" w:rsidR="008A326C" w:rsidRPr="00131EED" w:rsidRDefault="008A326C" w:rsidP="008A326C">
      <w:pPr>
        <w:rPr>
          <w:b/>
        </w:rPr>
      </w:pPr>
    </w:p>
    <w:p w14:paraId="3985CCB6" w14:textId="77777777" w:rsidR="008A326C" w:rsidRPr="00131EED" w:rsidRDefault="008A326C" w:rsidP="008A326C">
      <w:r w:rsidRPr="00131EED">
        <w:t>Como insumo a este ítem, fue utilizado el análisis multitemporal realizado por Cortés (2016) mediante imágenes de satélite LANDSAT para un periodo de 38 años, en los cuales se indican que la vegetación subxerófita muestra disminución empezando el registro de cobertura con 7.60%, pasa luego a 4.30%, posteriormente presenta un incremento a 6.39% y posteriormente disminuye a 4.17% en 2015. Este caso es muy particular dado que los ecosistemas secos de la Sabana de Bogotá, por sus condiciones drásticas de clima y pobreza en los suelos son muy susceptibles a la erosión, muchos de estos sectores muestran esos efectos con cárcavas profundas en el suelo.</w:t>
      </w:r>
    </w:p>
    <w:p w14:paraId="5D0B31C4" w14:textId="77777777" w:rsidR="008A326C" w:rsidRPr="00131EED" w:rsidRDefault="008A326C" w:rsidP="008A326C"/>
    <w:p w14:paraId="11810944" w14:textId="7862F3AD" w:rsidR="008A326C" w:rsidRPr="00131EED" w:rsidRDefault="008A326C" w:rsidP="008A326C">
      <w:r w:rsidRPr="00131EED">
        <w:t>Por lo anterior las autoridades ambientales, en razón a las consecuencias que esto ha traído por la pérdida del suelo y los aumentos en los índices de sedimentación de los tributarios del río Bogotá, implementaron entre otros proyectos dirigidos a la labranza mínima, proyectos de reforestación con especies foráneas de bajas exigencias ambientales y de rápido y permanente crecimiento como son las especies Acacia decurrens, Acacia melanoxylon y Eucalyptus globulus. Dicha reforestación inicio en los años 90, pero actualmente dichas acciones se han convertido en uno de los factores a controlar y que amenazan los ecosistemas naturales, ya que Acacia decurrens y Acacia melanoxylon tienen registros de ser especies invasoras por su capacidad de alta dispersión y de conformación de grandes bancos de semillas (Richardson et al, 2011, Gibson et al, 2011, Camelo 2015)</w:t>
      </w:r>
    </w:p>
    <w:p w14:paraId="1E4D401C" w14:textId="77777777" w:rsidR="008A326C" w:rsidRPr="00131EED" w:rsidRDefault="008A326C" w:rsidP="008A326C"/>
    <w:p w14:paraId="14A133D0" w14:textId="77777777" w:rsidR="008A326C" w:rsidRPr="00131EED" w:rsidRDefault="008A326C" w:rsidP="008A326C">
      <w:r w:rsidRPr="00131EED">
        <w:t>Entre las conclusiones del estudio multitemporal de Cortés (2016) se indica que son los matorrales y vegetación subxerófita los que tienen mayores valores de pérdida en sus coberturas en los periodos analizados (1977 a 2015) con valores promedio para los tres periodos analizados de -3.76% y -1.68% respectivamente.</w:t>
      </w:r>
    </w:p>
    <w:p w14:paraId="074D6A8A" w14:textId="77777777" w:rsidR="008A326C" w:rsidRPr="00131EED" w:rsidRDefault="008A326C" w:rsidP="008A326C"/>
    <w:p w14:paraId="3FFCD78C" w14:textId="77777777" w:rsidR="008A326C" w:rsidRPr="00131EED" w:rsidRDefault="008A326C" w:rsidP="008A326C">
      <w:r w:rsidRPr="00131EED">
        <w:t>Adicionalmente en estas áreas se han desarrollado actividades mineras para la explotación de arenas, ya que varias de las áreas compatibles con la minería según las Resoluciones MinAmbiente No 1197 de 2004, 2001 de 2016 y 1499 de 2018, han definido los polígonos en los cuales se pueden realizar actividades mineras, los cuales en su mayor parte se encuentran superpuestos con los ecosistemas subxerofíticos.</w:t>
      </w:r>
    </w:p>
    <w:p w14:paraId="61E5DE2A" w14:textId="77777777" w:rsidR="008A326C" w:rsidRPr="00131EED" w:rsidRDefault="008A326C" w:rsidP="008A326C"/>
    <w:p w14:paraId="4A88D5F6" w14:textId="77777777" w:rsidR="008A326C" w:rsidRPr="00131EED" w:rsidRDefault="008A326C" w:rsidP="008A326C">
      <w:pPr>
        <w:rPr>
          <w:b/>
        </w:rPr>
      </w:pPr>
      <w:r w:rsidRPr="00131EED">
        <w:rPr>
          <w:b/>
        </w:rPr>
        <w:t>Propuestas de manejo para su conservación.</w:t>
      </w:r>
    </w:p>
    <w:p w14:paraId="7E851D00" w14:textId="77777777" w:rsidR="008A326C" w:rsidRPr="00131EED" w:rsidRDefault="008A326C" w:rsidP="008A326C">
      <w:pPr>
        <w:rPr>
          <w:b/>
        </w:rPr>
      </w:pPr>
    </w:p>
    <w:p w14:paraId="53B672A6" w14:textId="063A1FE8" w:rsidR="008A326C" w:rsidRPr="00131EED" w:rsidRDefault="008A326C" w:rsidP="008A326C">
      <w:pPr>
        <w:rPr>
          <w:rFonts w:eastAsia="Arial Narrow" w:cs="Arial Narrow"/>
        </w:rPr>
      </w:pPr>
      <w:r w:rsidRPr="00131EED">
        <w:rPr>
          <w:rFonts w:eastAsia="Arial Narrow" w:cs="Arial Narrow"/>
        </w:rPr>
        <w:t>Dado que las principales presiones de carácter antrópico han modificado de manera significativa la composición y la estructura de los ecosistemas subxerofíticos en la Sabana de Bogotá, existen recomendaciones de manejo para el ecosistema:</w:t>
      </w:r>
    </w:p>
    <w:p w14:paraId="195928A4" w14:textId="77777777" w:rsidR="008A326C" w:rsidRPr="00131EED" w:rsidRDefault="008A326C" w:rsidP="008A326C">
      <w:pPr>
        <w:rPr>
          <w:rFonts w:eastAsia="Arial Narrow" w:cs="Arial Narrow"/>
        </w:rPr>
      </w:pPr>
    </w:p>
    <w:p w14:paraId="0C78E95B" w14:textId="77777777" w:rsidR="008A326C" w:rsidRPr="00131EED" w:rsidRDefault="008A326C" w:rsidP="00410194">
      <w:pPr>
        <w:pStyle w:val="ListParagraph"/>
        <w:numPr>
          <w:ilvl w:val="0"/>
          <w:numId w:val="15"/>
        </w:numPr>
        <w:spacing w:after="0"/>
        <w:rPr>
          <w:rFonts w:eastAsia="Arial Narrow" w:cs="Arial Narrow"/>
          <w:sz w:val="24"/>
          <w:szCs w:val="24"/>
        </w:rPr>
      </w:pPr>
      <w:r w:rsidRPr="00131EED">
        <w:rPr>
          <w:rFonts w:eastAsia="Arial Narrow" w:cs="Arial Narrow"/>
          <w:sz w:val="24"/>
          <w:szCs w:val="24"/>
        </w:rPr>
        <w:t>Identificar las áreas en las mejores condiciones de conservación para que estas puedan ser objeto de declaratoria de áreas protegida como estrategia de conservación de la biodiversidad asociada al ecosistema subxerofítico, con una representatividad suficiente (al menos 17% según acuerdos CDB), para garantizar el desarrollo de procesos ecológicos sostenibles en el tiempo.</w:t>
      </w:r>
    </w:p>
    <w:p w14:paraId="159D105E" w14:textId="77777777" w:rsidR="008A326C" w:rsidRPr="00131EED" w:rsidRDefault="008A326C" w:rsidP="00410194">
      <w:pPr>
        <w:pStyle w:val="ListParagraph"/>
        <w:numPr>
          <w:ilvl w:val="0"/>
          <w:numId w:val="15"/>
        </w:numPr>
        <w:spacing w:after="0"/>
        <w:rPr>
          <w:rFonts w:eastAsia="Arial Narrow" w:cs="Arial Narrow"/>
          <w:sz w:val="24"/>
          <w:szCs w:val="24"/>
        </w:rPr>
      </w:pPr>
      <w:r w:rsidRPr="00131EED">
        <w:rPr>
          <w:rFonts w:eastAsia="Arial Narrow" w:cs="Arial Narrow"/>
          <w:sz w:val="24"/>
          <w:szCs w:val="24"/>
        </w:rPr>
        <w:t>Identificar de manera prioritarias las áreas objeto de restauración ecológica para el control de las invasiones de especies de acacia (</w:t>
      </w:r>
      <w:r w:rsidRPr="00131EED">
        <w:rPr>
          <w:rFonts w:eastAsia="Arial Narrow" w:cs="Arial Narrow"/>
          <w:i/>
          <w:sz w:val="24"/>
          <w:szCs w:val="24"/>
        </w:rPr>
        <w:t>Acacia decurrens, A. melanoxylon</w:t>
      </w:r>
      <w:r w:rsidRPr="00131EED">
        <w:rPr>
          <w:rFonts w:eastAsia="Arial Narrow" w:cs="Arial Narrow"/>
          <w:sz w:val="24"/>
          <w:szCs w:val="24"/>
        </w:rPr>
        <w:t xml:space="preserve">). </w:t>
      </w:r>
    </w:p>
    <w:p w14:paraId="4589A47D" w14:textId="77777777" w:rsidR="008A326C" w:rsidRPr="00131EED" w:rsidRDefault="008A326C" w:rsidP="00410194">
      <w:pPr>
        <w:pStyle w:val="ListParagraph"/>
        <w:numPr>
          <w:ilvl w:val="0"/>
          <w:numId w:val="15"/>
        </w:numPr>
        <w:spacing w:after="0"/>
        <w:rPr>
          <w:rFonts w:eastAsia="Arial Narrow" w:cs="Arial Narrow"/>
          <w:sz w:val="24"/>
          <w:szCs w:val="24"/>
        </w:rPr>
      </w:pPr>
      <w:r w:rsidRPr="00131EED">
        <w:rPr>
          <w:rFonts w:eastAsia="Arial Narrow" w:cs="Arial Narrow"/>
          <w:sz w:val="24"/>
          <w:szCs w:val="24"/>
        </w:rPr>
        <w:t xml:space="preserve">Restringir de manera urgente las ocupaciones de tipo urbanístico y mineras informales. </w:t>
      </w:r>
    </w:p>
    <w:p w14:paraId="4C782E0B" w14:textId="77777777" w:rsidR="008A326C" w:rsidRPr="00131EED" w:rsidRDefault="008A326C" w:rsidP="00410194">
      <w:pPr>
        <w:pStyle w:val="ListParagraph"/>
        <w:numPr>
          <w:ilvl w:val="0"/>
          <w:numId w:val="15"/>
        </w:numPr>
        <w:spacing w:after="0"/>
        <w:rPr>
          <w:rFonts w:eastAsia="Arial Narrow" w:cs="Arial Narrow"/>
          <w:sz w:val="24"/>
          <w:szCs w:val="24"/>
        </w:rPr>
      </w:pPr>
      <w:r w:rsidRPr="00131EED">
        <w:rPr>
          <w:rFonts w:eastAsia="Arial Narrow" w:cs="Arial Narrow"/>
          <w:sz w:val="24"/>
          <w:szCs w:val="24"/>
        </w:rPr>
        <w:t>Generar procesos de educación ambiental y apropiación para la conservación de estos ecosistemas, a partir de las iniciativas ciudadanas y con el fortalecimiento institucional.</w:t>
      </w:r>
    </w:p>
    <w:p w14:paraId="398B45A5" w14:textId="77777777" w:rsidR="008A326C" w:rsidRPr="00131EED" w:rsidRDefault="008A326C" w:rsidP="00410194">
      <w:pPr>
        <w:pStyle w:val="ListParagraph"/>
        <w:numPr>
          <w:ilvl w:val="0"/>
          <w:numId w:val="15"/>
        </w:numPr>
        <w:spacing w:after="0"/>
        <w:rPr>
          <w:rFonts w:eastAsia="Arial Narrow" w:cs="Arial Narrow"/>
          <w:sz w:val="24"/>
          <w:szCs w:val="24"/>
        </w:rPr>
      </w:pPr>
      <w:r w:rsidRPr="00131EED">
        <w:rPr>
          <w:rFonts w:eastAsia="Arial Narrow" w:cs="Arial Narrow"/>
          <w:sz w:val="24"/>
          <w:szCs w:val="24"/>
        </w:rPr>
        <w:t>De igual manera es indispensable hacer un análisis detallado de las poblaciones existentes, especialmente de las especies endémicas, de tal manera que se plantee un monitoreo que permita ahondar más en el conocimiento autoecológico con el fin de que se puedan desarrollar planes coherentes y efectivos de protección de estas especies de interés.</w:t>
      </w:r>
    </w:p>
    <w:p w14:paraId="32857372" w14:textId="51C52C0D" w:rsidR="00BA603C" w:rsidRPr="00131EED" w:rsidRDefault="00BA603C" w:rsidP="008A326C">
      <w:pPr>
        <w:pStyle w:val="ListParagraph"/>
        <w:spacing w:after="0"/>
        <w:ind w:left="360"/>
        <w:rPr>
          <w:rFonts w:ascii="Baskerville" w:eastAsia="Arial Narrow" w:hAnsi="Baskerville" w:cs="Arial Narrow"/>
        </w:rPr>
      </w:pPr>
    </w:p>
    <w:p w14:paraId="3D140944" w14:textId="54F75F50" w:rsidR="00BA603C" w:rsidRPr="00131EED" w:rsidRDefault="00BA603C" w:rsidP="00BA603C">
      <w:pPr>
        <w:pStyle w:val="Heading4"/>
        <w:spacing w:before="0" w:line="240" w:lineRule="auto"/>
        <w:rPr>
          <w:rFonts w:ascii="Baskerville" w:hAnsi="Baskerville"/>
          <w:shd w:val="clear" w:color="auto" w:fill="FEFEFE"/>
        </w:rPr>
      </w:pPr>
      <w:bookmarkStart w:id="98" w:name="_Toc216468695"/>
      <w:r w:rsidRPr="00131EED">
        <w:rPr>
          <w:rFonts w:ascii="Baskerville" w:hAnsi="Baskerville"/>
          <w:shd w:val="clear" w:color="auto" w:fill="FEFEFE"/>
        </w:rPr>
        <w:t>Páramos en la Sabana de Bogotá</w:t>
      </w:r>
      <w:bookmarkEnd w:id="98"/>
    </w:p>
    <w:p w14:paraId="44B449D9" w14:textId="77777777" w:rsidR="00BA603C" w:rsidRPr="00131EED" w:rsidRDefault="00BA603C" w:rsidP="00BA603C">
      <w:pPr>
        <w:rPr>
          <w:rFonts w:eastAsia="Arial Narrow" w:cs="Arial Narrow"/>
          <w:b/>
          <w:bCs/>
          <w:i/>
          <w:iCs/>
        </w:rPr>
      </w:pPr>
    </w:p>
    <w:p w14:paraId="1437D42E" w14:textId="770864A5" w:rsidR="00BA603C" w:rsidRPr="00131EED" w:rsidRDefault="00D547F0" w:rsidP="00D547F0">
      <w:r w:rsidRPr="00131EED">
        <w:rPr>
          <w:rFonts w:eastAsia="Arial Narrow" w:cs="Arial Narrow"/>
        </w:rPr>
        <w:t xml:space="preserve">Los páramos son considerados como ecosistemas estratégicos en concordancia con lo establecido en la Ley 99 de 1993 y la Ley 1930 de 2018, esto principalmente porque el 80% del agua que abastece al país proviene de los ecosistemas de páramo. En Colombia se cuenta con  </w:t>
      </w:r>
      <w:r w:rsidR="00A87199" w:rsidRPr="00131EED">
        <w:t>2.906.136 hectáreas de ecosistemas de páramos, los cuales representan el 2.5 del territorio Nacional.</w:t>
      </w:r>
    </w:p>
    <w:p w14:paraId="7E449681" w14:textId="09AAE20E" w:rsidR="00A87199" w:rsidRPr="00131EED" w:rsidRDefault="00A87199" w:rsidP="00D547F0"/>
    <w:p w14:paraId="7BAEEECD" w14:textId="2E151C1A" w:rsidR="00A87199" w:rsidRPr="00131EED" w:rsidRDefault="00A87199" w:rsidP="00D547F0">
      <w:r w:rsidRPr="00131EED">
        <w:t xml:space="preserve">En el caso de la Sabana de Bogotá, se encuentran cinco complejos de páramos que corresponden a Rabanal – Nacimiento del Río Bogotá, Guerrero, Altiplano,  Chingaza y Cruz Verde – Sumapaz, estos han sido delimitados a través de resoluciones del Ministerio de Ambiente y Desarrollo Sostenible y en el caso de Cruz Verde – Sumapaz se encuentra en proceso de delimitación en atención a fallo judicial frente a la Acción de Tutela 110013337040- 2019-00257-00, se amparó el derecho fundamental a la igualdad, mínimo vital, petición y participación ambiental, por lo cual está en proceso de delimitación en los términos de la </w:t>
      </w:r>
      <w:r w:rsidR="00652598" w:rsidRPr="00131EED">
        <w:t>Sente</w:t>
      </w:r>
      <w:r w:rsidR="003863A1" w:rsidRPr="00131EED">
        <w:t>n</w:t>
      </w:r>
      <w:r w:rsidR="00652598" w:rsidRPr="00131EED">
        <w:t>cia T-361 de 2017.</w:t>
      </w:r>
      <w:r w:rsidR="003863A1" w:rsidRPr="00131EED">
        <w:t xml:space="preserve"> La extensión </w:t>
      </w:r>
      <w:r w:rsidR="00895C58" w:rsidRPr="00131EED">
        <w:t xml:space="preserve">de cada uno de los complejos de páramo </w:t>
      </w:r>
      <w:r w:rsidR="003863A1" w:rsidRPr="00131EED">
        <w:t xml:space="preserve">dentro de la Sabana de los ecosistemas de páramo se encuentran en la </w:t>
      </w:r>
      <w:r w:rsidR="003863A1" w:rsidRPr="00131EED">
        <w:fldChar w:fldCharType="begin"/>
      </w:r>
      <w:r w:rsidR="003863A1" w:rsidRPr="00131EED">
        <w:instrText xml:space="preserve"> REF _Ref211330624 \h </w:instrText>
      </w:r>
      <w:r w:rsidR="003863A1" w:rsidRPr="00131EED">
        <w:fldChar w:fldCharType="separate"/>
      </w:r>
      <w:r w:rsidR="00CE096F" w:rsidRPr="00131EED">
        <w:t xml:space="preserve">Tabla </w:t>
      </w:r>
      <w:r w:rsidR="00CE096F">
        <w:rPr>
          <w:noProof/>
        </w:rPr>
        <w:t>2</w:t>
      </w:r>
      <w:r w:rsidR="003863A1" w:rsidRPr="00131EED">
        <w:fldChar w:fldCharType="end"/>
      </w:r>
      <w:r w:rsidR="00895C58" w:rsidRPr="00131EED">
        <w:t xml:space="preserve"> y en total cubren 66.310 hectáreas que corresponden al 16% de la Sabana de Bogotá</w:t>
      </w:r>
      <w:r w:rsidR="003863A1" w:rsidRPr="00131EED">
        <w:t>.</w:t>
      </w:r>
    </w:p>
    <w:p w14:paraId="432FDE1E" w14:textId="055EC975" w:rsidR="00AD6554" w:rsidRPr="00131EED" w:rsidRDefault="00AD6554" w:rsidP="00D547F0"/>
    <w:p w14:paraId="255C818D" w14:textId="3569437D" w:rsidR="00E431D8" w:rsidRPr="00131EED" w:rsidRDefault="002F5809" w:rsidP="002F5809">
      <w:r w:rsidRPr="00131EED">
        <w:t>Para la sostenibilidad de la Sabana son fundamentales los páramos, ya que el en el páramo de Chingaza suministra agua potable a Bogotá y a diversos municipios aledaños y de la sabana, utilizando el Sistema Chingaza que está compuesto por los embalses San Rafael y Chuza, de donde sale el 70 % del agua potable que se requiere para atender esta demanda. Entre los municipios que se abastecen de este sistema son Soacha, La Calera, Funza, Mosquera, Madrid</w:t>
      </w:r>
      <w:r w:rsidR="00E431D8" w:rsidRPr="00131EED">
        <w:t>, Chía, Zipaquirá, Cajicá, Sopó</w:t>
      </w:r>
      <w:r w:rsidRPr="00131EED">
        <w:t>.</w:t>
      </w:r>
      <w:r w:rsidR="00BD554F" w:rsidRPr="00131EED">
        <w:t xml:space="preserve"> </w:t>
      </w:r>
    </w:p>
    <w:p w14:paraId="0D958DAE" w14:textId="77777777" w:rsidR="00E431D8" w:rsidRPr="00131EED" w:rsidRDefault="00E431D8" w:rsidP="002F5809"/>
    <w:p w14:paraId="20633F7C" w14:textId="661AC9A6" w:rsidR="002F5809" w:rsidRPr="00131EED" w:rsidRDefault="00BD554F" w:rsidP="002F5809">
      <w:r w:rsidRPr="00131EED">
        <w:t xml:space="preserve">Durante el año 2024 como producto de la reducción en las precipitaciones </w:t>
      </w:r>
      <w:r w:rsidR="00D60647" w:rsidRPr="00131EED">
        <w:t xml:space="preserve">en </w:t>
      </w:r>
      <w:r w:rsidR="0033168C" w:rsidRPr="00131EED">
        <w:t>el</w:t>
      </w:r>
      <w:r w:rsidR="00D60647" w:rsidRPr="00131EED">
        <w:t xml:space="preserve"> complejo de páramos</w:t>
      </w:r>
      <w:r w:rsidR="0033168C" w:rsidRPr="00131EED">
        <w:t xml:space="preserve"> de Chingaza en el fenómeno del Niño</w:t>
      </w:r>
      <w:r w:rsidR="00D60647" w:rsidRPr="00131EED">
        <w:t xml:space="preserve">, se llegó al punto de tener el sistema en un 36% de su capacidad </w:t>
      </w:r>
      <w:sdt>
        <w:sdtPr>
          <w:id w:val="1376189549"/>
          <w:citation/>
        </w:sdtPr>
        <w:sdtEndPr/>
        <w:sdtContent>
          <w:r w:rsidR="00D60647" w:rsidRPr="00131EED">
            <w:fldChar w:fldCharType="begin"/>
          </w:r>
          <w:r w:rsidR="00D60647" w:rsidRPr="00131EED">
            <w:instrText xml:space="preserve"> CITATION Bog24 \l 2058 </w:instrText>
          </w:r>
          <w:r w:rsidR="00D60647" w:rsidRPr="00131EED">
            <w:fldChar w:fldCharType="separate"/>
          </w:r>
          <w:r w:rsidRPr="00131EED">
            <w:t>(Bogotá, 2024)</w:t>
          </w:r>
          <w:r w:rsidR="00D60647" w:rsidRPr="00131EED">
            <w:fldChar w:fldCharType="end"/>
          </w:r>
        </w:sdtContent>
      </w:sdt>
      <w:r w:rsidR="00D60647" w:rsidRPr="00131EED">
        <w:t>, razón por la cual fue necesario establecer un racionamiento del suministro de agua en los municipios que se abastecen de este sistema</w:t>
      </w:r>
      <w:r w:rsidR="000F20B7" w:rsidRPr="00131EED">
        <w:t xml:space="preserve"> que tuvo duración entre abril de 2024 a abril de 2025, lo que generó impactos en los modos de vida de los habitantes de la Sabana, orientados al ahorro y uso eficiente de agua, </w:t>
      </w:r>
      <w:r w:rsidR="001A209D" w:rsidRPr="00131EED">
        <w:t>tanto para el consumo humano como para los usos industriales, comerciales, indicando la necesidad de reducir consumos hasta en el 50% en sectores empresariales.</w:t>
      </w:r>
      <w:sdt>
        <w:sdtPr>
          <w:id w:val="-1276792878"/>
          <w:citation/>
        </w:sdtPr>
        <w:sdtEndPr/>
        <w:sdtContent>
          <w:r w:rsidR="008D019D" w:rsidRPr="00131EED">
            <w:fldChar w:fldCharType="begin"/>
          </w:r>
          <w:r w:rsidR="00557862" w:rsidRPr="00131EED">
            <w:instrText xml:space="preserve">CITATION Sab25 \l 2058 </w:instrText>
          </w:r>
          <w:r w:rsidR="008D019D" w:rsidRPr="00131EED">
            <w:fldChar w:fldCharType="separate"/>
          </w:r>
          <w:r w:rsidRPr="00131EED">
            <w:t xml:space="preserve"> (Sabana Centro Como Vamos, 2025)</w:t>
          </w:r>
          <w:r w:rsidR="008D019D" w:rsidRPr="00131EED">
            <w:fldChar w:fldCharType="end"/>
          </w:r>
        </w:sdtContent>
      </w:sdt>
      <w:r w:rsidR="0033168C" w:rsidRPr="00131EED">
        <w:t>, poniendo en evidencia la vulnerabilidad de la región por los efectos del cambio climático en suministro de agua, como lo había planteado la tercera comunicación del IDEAM,  la cual depende en gran parte de la salud de los páramos.</w:t>
      </w:r>
    </w:p>
    <w:p w14:paraId="2CB6BFE5" w14:textId="0C05ED07" w:rsidR="00351D2F" w:rsidRPr="00131EED" w:rsidRDefault="00351D2F" w:rsidP="002F5809"/>
    <w:p w14:paraId="7A2FC1EF" w14:textId="1AABCA59" w:rsidR="00652598" w:rsidRPr="00131EED" w:rsidRDefault="00351D2F" w:rsidP="00D547F0">
      <w:pPr>
        <w:rPr>
          <w:rFonts w:eastAsia="Arial Narrow"/>
        </w:rPr>
      </w:pPr>
      <w:r w:rsidRPr="00131EED">
        <w:t>Por otra parte, también se llama la atención que en la Sabana de Bogotá se encuentran los dos sistemas de páramos más transformados del país que corresponden a Altiplano y Guerrero</w:t>
      </w:r>
      <w:r w:rsidR="00810D84" w:rsidRPr="00131EED">
        <w:t xml:space="preserve">, los cuales cuentan con un 78%  y 47% con  áreas agrícolas y pastos respectivamente </w:t>
      </w:r>
      <w:sdt>
        <w:sdtPr>
          <w:id w:val="-1754888978"/>
          <w:citation/>
        </w:sdtPr>
        <w:sdtEndPr/>
        <w:sdtContent>
          <w:r w:rsidR="009D799F" w:rsidRPr="00131EED">
            <w:fldChar w:fldCharType="begin"/>
          </w:r>
          <w:r w:rsidR="009D799F" w:rsidRPr="00131EED">
            <w:instrText xml:space="preserve"> CITATION Cad15 \l 2058 </w:instrText>
          </w:r>
          <w:r w:rsidR="009D799F" w:rsidRPr="00131EED">
            <w:fldChar w:fldCharType="separate"/>
          </w:r>
          <w:r w:rsidRPr="00131EED">
            <w:t>(Cadena, 2015)</w:t>
          </w:r>
          <w:r w:rsidR="009D799F" w:rsidRPr="00131EED">
            <w:fldChar w:fldCharType="end"/>
          </w:r>
        </w:sdtContent>
      </w:sdt>
      <w:r w:rsidR="00AA442C" w:rsidRPr="00131EED">
        <w:t>, lo que generar retos para su restauración y gestión socioecológica del territorio, para garantizar la conservación y los beneficios ofertados por la naturaleza de estos ecosistemas.</w:t>
      </w:r>
    </w:p>
    <w:p w14:paraId="432C4DC1" w14:textId="59755DAB" w:rsidR="007540C2" w:rsidRPr="00131EED" w:rsidRDefault="007540C2" w:rsidP="00D547F0"/>
    <w:p w14:paraId="0697620F" w14:textId="782EEF41" w:rsidR="007540C2" w:rsidRPr="00131EED" w:rsidRDefault="007540C2" w:rsidP="00D547F0">
      <w:r w:rsidRPr="00131EED">
        <w:t>Finalmente, se identifica la necesidad de realizar restauración ecológica de estos ecosistemas, para su conservación, avanzar en la reconversión productiva en los términos definidos en la ley 1930 de 2018 y</w:t>
      </w:r>
      <w:r w:rsidR="00D73207" w:rsidRPr="00131EED">
        <w:t xml:space="preserve"> la resolución MinAmbiente 249 </w:t>
      </w:r>
      <w:r w:rsidRPr="00131EED">
        <w:t>de 2022</w:t>
      </w:r>
      <w:r w:rsidR="00193D85" w:rsidRPr="00131EED">
        <w:t>, lo cual implica la articulación entre las autoridades ambientales, municipios y actores locales</w:t>
      </w:r>
      <w:r w:rsidRPr="00131EED">
        <w:t>.</w:t>
      </w:r>
    </w:p>
    <w:p w14:paraId="738A4CC7" w14:textId="18B28F18" w:rsidR="00536021" w:rsidRPr="00131EED" w:rsidRDefault="00536021" w:rsidP="00D547F0"/>
    <w:p w14:paraId="152842DE" w14:textId="682A62B2" w:rsidR="00536021" w:rsidRPr="00131EED" w:rsidRDefault="00536021" w:rsidP="00107EC5">
      <w:pPr>
        <w:pStyle w:val="Caption"/>
        <w:jc w:val="center"/>
      </w:pPr>
      <w:bookmarkStart w:id="99" w:name="_Toc216468795"/>
      <w:r w:rsidRPr="00131EED">
        <w:t xml:space="preserve">Ilustración </w:t>
      </w:r>
      <w:fldSimple w:instr=" SEQ Ilustración \* ARABIC ">
        <w:r w:rsidR="00CE096F">
          <w:rPr>
            <w:noProof/>
          </w:rPr>
          <w:t>30</w:t>
        </w:r>
      </w:fldSimple>
      <w:r w:rsidRPr="00131EED">
        <w:t>. Registro fotográfico páramo de Guerrero en el municipio de Tausa, Cundinamarca</w:t>
      </w:r>
      <w:bookmarkEnd w:id="99"/>
    </w:p>
    <w:p w14:paraId="2BC8B4F1" w14:textId="0BA4078C" w:rsidR="00536021" w:rsidRPr="00131EED" w:rsidRDefault="00536021" w:rsidP="00536021">
      <w:pPr>
        <w:jc w:val="center"/>
      </w:pPr>
      <w:r w:rsidRPr="00131EED">
        <w:rPr>
          <w:noProof/>
          <w:lang w:eastAsia="en-US"/>
        </w:rPr>
        <w:drawing>
          <wp:inline distT="0" distB="0" distL="0" distR="0" wp14:anchorId="54FC8555" wp14:editId="52C87F8A">
            <wp:extent cx="4352925" cy="3265510"/>
            <wp:effectExtent l="0" t="0" r="0" b="0"/>
            <wp:docPr id="46" name="Imagen 46" descr="C:\Users\Dalila\Downloads\20240210_07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lila\Downloads\20240210_070028.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354112" cy="3266400"/>
                    </a:xfrm>
                    <a:prstGeom prst="rect">
                      <a:avLst/>
                    </a:prstGeom>
                    <a:noFill/>
                    <a:ln>
                      <a:noFill/>
                    </a:ln>
                  </pic:spPr>
                </pic:pic>
              </a:graphicData>
            </a:graphic>
          </wp:inline>
        </w:drawing>
      </w:r>
    </w:p>
    <w:p w14:paraId="641D736A" w14:textId="6C4E2D58" w:rsidR="007540C2" w:rsidRPr="00131EED" w:rsidRDefault="00536021" w:rsidP="00536021">
      <w:pPr>
        <w:jc w:val="center"/>
      </w:pPr>
      <w:r w:rsidRPr="00131EED">
        <w:t>Fuente: Camelo, D, 2024</w:t>
      </w:r>
    </w:p>
    <w:p w14:paraId="42BFADFA" w14:textId="24FA3D40" w:rsidR="00AA442C" w:rsidRPr="00131EED" w:rsidRDefault="00AA442C" w:rsidP="00D547F0"/>
    <w:p w14:paraId="2F0C78BF" w14:textId="6CA3300E" w:rsidR="00AA442C" w:rsidRPr="00131EED" w:rsidRDefault="00AA442C" w:rsidP="00D547F0">
      <w:pPr>
        <w:rPr>
          <w:rFonts w:eastAsia="Arial Narrow" w:cs="Arial Narrow"/>
        </w:rPr>
      </w:pPr>
    </w:p>
    <w:p w14:paraId="079416D5" w14:textId="77777777" w:rsidR="008A326C" w:rsidRPr="00131EED" w:rsidRDefault="008A326C" w:rsidP="00410194">
      <w:pPr>
        <w:pStyle w:val="Heading3"/>
        <w:numPr>
          <w:ilvl w:val="2"/>
          <w:numId w:val="31"/>
        </w:numPr>
      </w:pPr>
      <w:bookmarkStart w:id="100" w:name="_Toc216468696"/>
      <w:r w:rsidRPr="00131EED">
        <w:t>Aumento de especies en riesgo de extinción por motores de pérdida de biodiversidad</w:t>
      </w:r>
      <w:bookmarkEnd w:id="100"/>
    </w:p>
    <w:p w14:paraId="573C9390" w14:textId="77777777" w:rsidR="008A326C" w:rsidRPr="00131EED" w:rsidRDefault="008A326C" w:rsidP="008A326C">
      <w:pPr>
        <w:rPr>
          <w:rFonts w:ascii="Baskerville" w:hAnsi="Baskerville" w:cs="Arial"/>
          <w:szCs w:val="20"/>
        </w:rPr>
      </w:pPr>
    </w:p>
    <w:p w14:paraId="49F5DF44" w14:textId="0A272340" w:rsidR="008A326C" w:rsidRPr="00131EED" w:rsidRDefault="008A326C" w:rsidP="008A326C">
      <w:pPr>
        <w:rPr>
          <w:rFonts w:cs="Arial"/>
          <w:szCs w:val="20"/>
        </w:rPr>
      </w:pPr>
      <w:r w:rsidRPr="00131EED">
        <w:rPr>
          <w:rFonts w:cs="Arial"/>
          <w:szCs w:val="20"/>
        </w:rPr>
        <w:t xml:space="preserve">A partir de la Información aportada por los institutos de investigación se ha identificado para la sabana de Bogotá 1’170.766 registros de presencia de especies, publicados a través del SiB Colombia. Estos registros representan 3.032 especies de animales y 5.223 de plantas, de estas cifras, se puede resaltar la presencia de 623 especies endémicas y 12 especies invasoras. </w:t>
      </w:r>
    </w:p>
    <w:p w14:paraId="1A801416" w14:textId="77777777" w:rsidR="00DB61ED" w:rsidRPr="00131EED" w:rsidRDefault="00DB61ED" w:rsidP="008A326C">
      <w:pPr>
        <w:rPr>
          <w:rFonts w:ascii="Baskerville" w:hAnsi="Baskerville" w:cs="Arial"/>
          <w:szCs w:val="20"/>
        </w:rPr>
      </w:pPr>
    </w:p>
    <w:p w14:paraId="78831961" w14:textId="511635DF" w:rsidR="008A326C" w:rsidRPr="00131EED" w:rsidRDefault="008A326C" w:rsidP="00646E27">
      <w:pPr>
        <w:pStyle w:val="Caption"/>
        <w:jc w:val="center"/>
      </w:pPr>
      <w:bookmarkStart w:id="101" w:name="_Toc216468926"/>
      <w:r w:rsidRPr="00131EED">
        <w:t xml:space="preserve">Tabla </w:t>
      </w:r>
      <w:r w:rsidRPr="00131EED">
        <w:fldChar w:fldCharType="begin"/>
      </w:r>
      <w:r w:rsidRPr="00131EED">
        <w:instrText>SEQ Tabla \* ARABIC</w:instrText>
      </w:r>
      <w:r w:rsidRPr="00131EED">
        <w:fldChar w:fldCharType="separate"/>
      </w:r>
      <w:r w:rsidR="00CE096F">
        <w:rPr>
          <w:noProof/>
        </w:rPr>
        <w:t>16</w:t>
      </w:r>
      <w:r w:rsidRPr="00131EED">
        <w:fldChar w:fldCharType="end"/>
      </w:r>
      <w:r w:rsidRPr="00131EED">
        <w:t xml:space="preserve"> Registros de presencia de especies en la sabana de Bogotá</w:t>
      </w:r>
      <w:bookmarkEnd w:id="101"/>
    </w:p>
    <w:tbl>
      <w:tblPr>
        <w:tblStyle w:val="PlainTable2"/>
        <w:tblW w:w="8948" w:type="dxa"/>
        <w:jc w:val="center"/>
        <w:tblLook w:val="04A0" w:firstRow="1" w:lastRow="0" w:firstColumn="1" w:lastColumn="0" w:noHBand="0" w:noVBand="1"/>
      </w:tblPr>
      <w:tblGrid>
        <w:gridCol w:w="1491"/>
        <w:gridCol w:w="1491"/>
        <w:gridCol w:w="1491"/>
        <w:gridCol w:w="1491"/>
        <w:gridCol w:w="1492"/>
        <w:gridCol w:w="1492"/>
      </w:tblGrid>
      <w:tr w:rsidR="008A326C" w:rsidRPr="00131EED" w14:paraId="65B3C23D" w14:textId="77777777" w:rsidTr="00053167">
        <w:trPr>
          <w:cnfStyle w:val="100000000000" w:firstRow="1" w:lastRow="0" w:firstColumn="0" w:lastColumn="0" w:oddVBand="0" w:evenVBand="0" w:oddHBand="0" w:evenHBand="0" w:firstRowFirstColumn="0" w:firstRowLastColumn="0" w:lastRowFirstColumn="0" w:lastRowLastColumn="0"/>
          <w:trHeight w:val="603"/>
          <w:jc w:val="center"/>
        </w:trPr>
        <w:tc>
          <w:tcPr>
            <w:cnfStyle w:val="001000000000" w:firstRow="0" w:lastRow="0" w:firstColumn="1" w:lastColumn="0" w:oddVBand="0" w:evenVBand="0" w:oddHBand="0" w:evenHBand="0" w:firstRowFirstColumn="0" w:firstRowLastColumn="0" w:lastRowFirstColumn="0" w:lastRowLastColumn="0"/>
            <w:tcW w:w="1491" w:type="dxa"/>
          </w:tcPr>
          <w:p w14:paraId="58718ABC" w14:textId="77777777" w:rsidR="008A326C" w:rsidRPr="00131EED" w:rsidRDefault="008A326C" w:rsidP="002D7F18">
            <w:pPr>
              <w:autoSpaceDE w:val="0"/>
              <w:autoSpaceDN w:val="0"/>
              <w:adjustRightInd w:val="0"/>
              <w:rPr>
                <w:rFonts w:cs="Arial"/>
                <w:b w:val="0"/>
                <w:sz w:val="20"/>
                <w:szCs w:val="20"/>
              </w:rPr>
            </w:pPr>
            <w:r w:rsidRPr="00131EED">
              <w:rPr>
                <w:rFonts w:cs="Arial"/>
                <w:sz w:val="20"/>
                <w:szCs w:val="20"/>
              </w:rPr>
              <w:t>Grupo biológico</w:t>
            </w:r>
          </w:p>
        </w:tc>
        <w:tc>
          <w:tcPr>
            <w:tcW w:w="1491" w:type="dxa"/>
          </w:tcPr>
          <w:p w14:paraId="16E428BD" w14:textId="77777777" w:rsidR="008A326C" w:rsidRPr="00131EED" w:rsidRDefault="008A326C" w:rsidP="002D7F18">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131EED">
              <w:rPr>
                <w:rFonts w:cs="Arial"/>
                <w:sz w:val="20"/>
                <w:szCs w:val="20"/>
              </w:rPr>
              <w:t>Número de</w:t>
            </w:r>
          </w:p>
          <w:p w14:paraId="49FB975A" w14:textId="77777777" w:rsidR="008A326C" w:rsidRPr="00131EED" w:rsidRDefault="008A326C" w:rsidP="002D7F18">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131EED">
              <w:rPr>
                <w:rFonts w:cs="Arial"/>
                <w:sz w:val="20"/>
                <w:szCs w:val="20"/>
              </w:rPr>
              <w:t>registros</w:t>
            </w:r>
          </w:p>
        </w:tc>
        <w:tc>
          <w:tcPr>
            <w:tcW w:w="1491" w:type="dxa"/>
          </w:tcPr>
          <w:p w14:paraId="53EA367B" w14:textId="77777777" w:rsidR="008A326C" w:rsidRPr="00131EED" w:rsidRDefault="008A326C" w:rsidP="002D7F18">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131EED">
              <w:rPr>
                <w:rFonts w:cs="Arial"/>
                <w:sz w:val="20"/>
                <w:szCs w:val="20"/>
              </w:rPr>
              <w:t>Número de</w:t>
            </w:r>
          </w:p>
          <w:p w14:paraId="5B38DDE8" w14:textId="77777777" w:rsidR="008A326C" w:rsidRPr="00131EED" w:rsidRDefault="008A326C" w:rsidP="002D7F18">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131EED">
              <w:rPr>
                <w:rFonts w:cs="Arial"/>
                <w:sz w:val="20"/>
                <w:szCs w:val="20"/>
              </w:rPr>
              <w:t>especies</w:t>
            </w:r>
          </w:p>
        </w:tc>
        <w:tc>
          <w:tcPr>
            <w:tcW w:w="1491" w:type="dxa"/>
          </w:tcPr>
          <w:p w14:paraId="2FA5E33A" w14:textId="77777777" w:rsidR="008A326C" w:rsidRPr="00131EED" w:rsidRDefault="008A326C" w:rsidP="002D7F18">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131EED">
              <w:rPr>
                <w:rFonts w:cs="Arial"/>
                <w:sz w:val="20"/>
                <w:szCs w:val="20"/>
              </w:rPr>
              <w:t>Especies</w:t>
            </w:r>
          </w:p>
          <w:p w14:paraId="0A0AE8AA" w14:textId="77777777" w:rsidR="008A326C" w:rsidRPr="00131EED" w:rsidRDefault="008A326C" w:rsidP="002D7F18">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131EED">
              <w:rPr>
                <w:rFonts w:cs="Arial"/>
                <w:sz w:val="20"/>
                <w:szCs w:val="20"/>
              </w:rPr>
              <w:t>Endémicas</w:t>
            </w:r>
          </w:p>
        </w:tc>
        <w:tc>
          <w:tcPr>
            <w:tcW w:w="1492" w:type="dxa"/>
          </w:tcPr>
          <w:p w14:paraId="5F8C64E6" w14:textId="77777777" w:rsidR="008A326C" w:rsidRPr="00131EED" w:rsidRDefault="008A326C" w:rsidP="002D7F18">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131EED">
              <w:rPr>
                <w:rFonts w:cs="Arial"/>
                <w:sz w:val="20"/>
                <w:szCs w:val="20"/>
              </w:rPr>
              <w:t>Especies</w:t>
            </w:r>
          </w:p>
          <w:p w14:paraId="2807ACAA" w14:textId="77777777" w:rsidR="008A326C" w:rsidRPr="00131EED" w:rsidRDefault="008A326C" w:rsidP="002D7F18">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131EED">
              <w:rPr>
                <w:rFonts w:cs="Arial"/>
                <w:sz w:val="20"/>
                <w:szCs w:val="20"/>
              </w:rPr>
              <w:t>invasoras</w:t>
            </w:r>
          </w:p>
        </w:tc>
        <w:tc>
          <w:tcPr>
            <w:tcW w:w="1492" w:type="dxa"/>
          </w:tcPr>
          <w:p w14:paraId="4977B8D2" w14:textId="77777777" w:rsidR="008A326C" w:rsidRPr="00131EED" w:rsidRDefault="008A326C" w:rsidP="002D7F18">
            <w:pPr>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131EED">
              <w:rPr>
                <w:rFonts w:cs="Arial"/>
                <w:sz w:val="20"/>
                <w:szCs w:val="20"/>
              </w:rPr>
              <w:t>Especies</w:t>
            </w:r>
          </w:p>
          <w:p w14:paraId="10FA1992" w14:textId="77777777" w:rsidR="008A326C" w:rsidRPr="00131EED" w:rsidRDefault="008A326C" w:rsidP="002D7F18">
            <w:pPr>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131EED">
              <w:rPr>
                <w:rFonts w:cs="Arial"/>
                <w:sz w:val="20"/>
                <w:szCs w:val="20"/>
              </w:rPr>
              <w:t>exóticas</w:t>
            </w:r>
          </w:p>
        </w:tc>
      </w:tr>
      <w:tr w:rsidR="008A326C" w:rsidRPr="00131EED" w14:paraId="4B31B9DC" w14:textId="77777777" w:rsidTr="00053167">
        <w:trPr>
          <w:cnfStyle w:val="000000100000" w:firstRow="0" w:lastRow="0" w:firstColumn="0" w:lastColumn="0" w:oddVBand="0" w:evenVBand="0" w:oddHBand="1" w:evenHBand="0" w:firstRowFirstColumn="0" w:firstRowLastColumn="0" w:lastRowFirstColumn="0" w:lastRowLastColumn="0"/>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3C2F93F3" w14:textId="77777777" w:rsidR="008A326C" w:rsidRPr="00131EED" w:rsidRDefault="008A326C" w:rsidP="002D7F18">
            <w:pPr>
              <w:rPr>
                <w:rFonts w:cs="Arial"/>
                <w:sz w:val="20"/>
                <w:szCs w:val="20"/>
              </w:rPr>
            </w:pPr>
            <w:r w:rsidRPr="00131EED">
              <w:rPr>
                <w:rFonts w:cs="Arial"/>
                <w:sz w:val="20"/>
                <w:szCs w:val="20"/>
              </w:rPr>
              <w:t>Anfibios</w:t>
            </w:r>
          </w:p>
        </w:tc>
        <w:tc>
          <w:tcPr>
            <w:tcW w:w="1491" w:type="dxa"/>
          </w:tcPr>
          <w:p w14:paraId="084B9970"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4131</w:t>
            </w:r>
          </w:p>
        </w:tc>
        <w:tc>
          <w:tcPr>
            <w:tcW w:w="1491" w:type="dxa"/>
          </w:tcPr>
          <w:p w14:paraId="574A0E17"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64</w:t>
            </w:r>
          </w:p>
        </w:tc>
        <w:tc>
          <w:tcPr>
            <w:tcW w:w="1491" w:type="dxa"/>
          </w:tcPr>
          <w:p w14:paraId="4F0B6F3B"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21</w:t>
            </w:r>
          </w:p>
        </w:tc>
        <w:tc>
          <w:tcPr>
            <w:tcW w:w="1492" w:type="dxa"/>
          </w:tcPr>
          <w:p w14:paraId="04B71356"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1</w:t>
            </w:r>
          </w:p>
        </w:tc>
        <w:tc>
          <w:tcPr>
            <w:tcW w:w="1492" w:type="dxa"/>
          </w:tcPr>
          <w:p w14:paraId="7E6D891B"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0</w:t>
            </w:r>
          </w:p>
        </w:tc>
      </w:tr>
      <w:tr w:rsidR="008A326C" w:rsidRPr="00131EED" w14:paraId="3D46E698" w14:textId="77777777" w:rsidTr="00053167">
        <w:trPr>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4DB3F9DF" w14:textId="77777777" w:rsidR="008A326C" w:rsidRPr="00131EED" w:rsidRDefault="008A326C" w:rsidP="002D7F18">
            <w:pPr>
              <w:rPr>
                <w:rFonts w:cs="Arial"/>
                <w:sz w:val="20"/>
                <w:szCs w:val="20"/>
              </w:rPr>
            </w:pPr>
            <w:r w:rsidRPr="00131EED">
              <w:rPr>
                <w:rFonts w:cs="Arial"/>
                <w:sz w:val="20"/>
                <w:szCs w:val="20"/>
              </w:rPr>
              <w:t>Arañas</w:t>
            </w:r>
          </w:p>
        </w:tc>
        <w:tc>
          <w:tcPr>
            <w:tcW w:w="1491" w:type="dxa"/>
          </w:tcPr>
          <w:p w14:paraId="0C85CEC2"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3658</w:t>
            </w:r>
          </w:p>
        </w:tc>
        <w:tc>
          <w:tcPr>
            <w:tcW w:w="1491" w:type="dxa"/>
          </w:tcPr>
          <w:p w14:paraId="0459ADCA"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116</w:t>
            </w:r>
          </w:p>
        </w:tc>
        <w:tc>
          <w:tcPr>
            <w:tcW w:w="1491" w:type="dxa"/>
          </w:tcPr>
          <w:p w14:paraId="7F6CD288"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w:t>
            </w:r>
          </w:p>
        </w:tc>
        <w:tc>
          <w:tcPr>
            <w:tcW w:w="1492" w:type="dxa"/>
          </w:tcPr>
          <w:p w14:paraId="0CD5956F"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w:t>
            </w:r>
          </w:p>
        </w:tc>
        <w:tc>
          <w:tcPr>
            <w:tcW w:w="1492" w:type="dxa"/>
          </w:tcPr>
          <w:p w14:paraId="78D277B2"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w:t>
            </w:r>
          </w:p>
        </w:tc>
      </w:tr>
      <w:tr w:rsidR="008A326C" w:rsidRPr="00131EED" w14:paraId="3970991B" w14:textId="77777777" w:rsidTr="00053167">
        <w:trPr>
          <w:cnfStyle w:val="000000100000" w:firstRow="0" w:lastRow="0" w:firstColumn="0" w:lastColumn="0" w:oddVBand="0" w:evenVBand="0" w:oddHBand="1" w:evenHBand="0" w:firstRowFirstColumn="0" w:firstRowLastColumn="0" w:lastRowFirstColumn="0" w:lastRowLastColumn="0"/>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640923AB" w14:textId="77777777" w:rsidR="008A326C" w:rsidRPr="00131EED" w:rsidRDefault="008A326C" w:rsidP="002D7F18">
            <w:pPr>
              <w:rPr>
                <w:rFonts w:cs="Arial"/>
                <w:sz w:val="20"/>
                <w:szCs w:val="20"/>
              </w:rPr>
            </w:pPr>
            <w:r w:rsidRPr="00131EED">
              <w:rPr>
                <w:rFonts w:cs="Arial"/>
                <w:sz w:val="20"/>
                <w:szCs w:val="20"/>
              </w:rPr>
              <w:t>Arqueas</w:t>
            </w:r>
          </w:p>
        </w:tc>
        <w:tc>
          <w:tcPr>
            <w:tcW w:w="1491" w:type="dxa"/>
          </w:tcPr>
          <w:p w14:paraId="4DAA37C7"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5</w:t>
            </w:r>
          </w:p>
        </w:tc>
        <w:tc>
          <w:tcPr>
            <w:tcW w:w="1491" w:type="dxa"/>
          </w:tcPr>
          <w:p w14:paraId="162AB346"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5</w:t>
            </w:r>
          </w:p>
        </w:tc>
        <w:tc>
          <w:tcPr>
            <w:tcW w:w="1491" w:type="dxa"/>
          </w:tcPr>
          <w:p w14:paraId="7F2C4012"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0</w:t>
            </w:r>
          </w:p>
        </w:tc>
        <w:tc>
          <w:tcPr>
            <w:tcW w:w="1492" w:type="dxa"/>
          </w:tcPr>
          <w:p w14:paraId="5FA2E2DB"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0</w:t>
            </w:r>
          </w:p>
        </w:tc>
        <w:tc>
          <w:tcPr>
            <w:tcW w:w="1492" w:type="dxa"/>
          </w:tcPr>
          <w:p w14:paraId="06E5D031"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0</w:t>
            </w:r>
          </w:p>
        </w:tc>
      </w:tr>
      <w:tr w:rsidR="008A326C" w:rsidRPr="00131EED" w14:paraId="51D13C76" w14:textId="77777777" w:rsidTr="00053167">
        <w:trPr>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2FAE6837" w14:textId="77777777" w:rsidR="008A326C" w:rsidRPr="00131EED" w:rsidRDefault="008A326C" w:rsidP="002D7F18">
            <w:pPr>
              <w:rPr>
                <w:rFonts w:cs="Arial"/>
                <w:sz w:val="20"/>
                <w:szCs w:val="20"/>
              </w:rPr>
            </w:pPr>
            <w:r w:rsidRPr="00131EED">
              <w:rPr>
                <w:rFonts w:cs="Arial"/>
                <w:sz w:val="20"/>
                <w:szCs w:val="20"/>
              </w:rPr>
              <w:t>Aves</w:t>
            </w:r>
          </w:p>
        </w:tc>
        <w:tc>
          <w:tcPr>
            <w:tcW w:w="1491" w:type="dxa"/>
          </w:tcPr>
          <w:p w14:paraId="50E0E3CA"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833748</w:t>
            </w:r>
          </w:p>
        </w:tc>
        <w:tc>
          <w:tcPr>
            <w:tcW w:w="1491" w:type="dxa"/>
          </w:tcPr>
          <w:p w14:paraId="5E8FA61B"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958</w:t>
            </w:r>
          </w:p>
        </w:tc>
        <w:tc>
          <w:tcPr>
            <w:tcW w:w="1491" w:type="dxa"/>
          </w:tcPr>
          <w:p w14:paraId="47E43EF6"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24</w:t>
            </w:r>
          </w:p>
        </w:tc>
        <w:tc>
          <w:tcPr>
            <w:tcW w:w="1492" w:type="dxa"/>
          </w:tcPr>
          <w:p w14:paraId="1A504573"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1</w:t>
            </w:r>
          </w:p>
        </w:tc>
        <w:tc>
          <w:tcPr>
            <w:tcW w:w="1492" w:type="dxa"/>
          </w:tcPr>
          <w:p w14:paraId="14851DB4"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7</w:t>
            </w:r>
          </w:p>
        </w:tc>
      </w:tr>
      <w:tr w:rsidR="008A326C" w:rsidRPr="00131EED" w14:paraId="6A1C8BD9" w14:textId="77777777" w:rsidTr="00053167">
        <w:trPr>
          <w:cnfStyle w:val="000000100000" w:firstRow="0" w:lastRow="0" w:firstColumn="0" w:lastColumn="0" w:oddVBand="0" w:evenVBand="0" w:oddHBand="1" w:evenHBand="0" w:firstRowFirstColumn="0" w:firstRowLastColumn="0" w:lastRowFirstColumn="0" w:lastRowLastColumn="0"/>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63094BF0" w14:textId="77777777" w:rsidR="008A326C" w:rsidRPr="00131EED" w:rsidRDefault="008A326C" w:rsidP="002D7F18">
            <w:pPr>
              <w:rPr>
                <w:rFonts w:cs="Arial"/>
                <w:sz w:val="20"/>
                <w:szCs w:val="20"/>
              </w:rPr>
            </w:pPr>
            <w:r w:rsidRPr="00131EED">
              <w:rPr>
                <w:rFonts w:cs="Arial"/>
                <w:sz w:val="20"/>
                <w:szCs w:val="20"/>
              </w:rPr>
              <w:t>Bacterias</w:t>
            </w:r>
          </w:p>
        </w:tc>
        <w:tc>
          <w:tcPr>
            <w:tcW w:w="1491" w:type="dxa"/>
          </w:tcPr>
          <w:p w14:paraId="76B3248E"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4058</w:t>
            </w:r>
          </w:p>
        </w:tc>
        <w:tc>
          <w:tcPr>
            <w:tcW w:w="1491" w:type="dxa"/>
          </w:tcPr>
          <w:p w14:paraId="518E4AC7"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40</w:t>
            </w:r>
          </w:p>
        </w:tc>
        <w:tc>
          <w:tcPr>
            <w:tcW w:w="1491" w:type="dxa"/>
          </w:tcPr>
          <w:p w14:paraId="5AD7A369"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0</w:t>
            </w:r>
          </w:p>
        </w:tc>
        <w:tc>
          <w:tcPr>
            <w:tcW w:w="1492" w:type="dxa"/>
          </w:tcPr>
          <w:p w14:paraId="1DA4DB4C"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0</w:t>
            </w:r>
          </w:p>
        </w:tc>
        <w:tc>
          <w:tcPr>
            <w:tcW w:w="1492" w:type="dxa"/>
          </w:tcPr>
          <w:p w14:paraId="587DB884"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0</w:t>
            </w:r>
          </w:p>
        </w:tc>
      </w:tr>
      <w:tr w:rsidR="008A326C" w:rsidRPr="00131EED" w14:paraId="6A1D9AAC" w14:textId="77777777" w:rsidTr="00053167">
        <w:trPr>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642DF340" w14:textId="77777777" w:rsidR="008A326C" w:rsidRPr="00131EED" w:rsidRDefault="008A326C" w:rsidP="002D7F18">
            <w:pPr>
              <w:rPr>
                <w:rFonts w:cs="Arial"/>
                <w:sz w:val="20"/>
                <w:szCs w:val="20"/>
              </w:rPr>
            </w:pPr>
            <w:r w:rsidRPr="00131EED">
              <w:rPr>
                <w:rFonts w:cs="Arial"/>
                <w:sz w:val="20"/>
                <w:szCs w:val="20"/>
              </w:rPr>
              <w:t>Cocodrilos</w:t>
            </w:r>
          </w:p>
        </w:tc>
        <w:tc>
          <w:tcPr>
            <w:tcW w:w="1491" w:type="dxa"/>
          </w:tcPr>
          <w:p w14:paraId="51D9BBE9"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10</w:t>
            </w:r>
          </w:p>
        </w:tc>
        <w:tc>
          <w:tcPr>
            <w:tcW w:w="1491" w:type="dxa"/>
          </w:tcPr>
          <w:p w14:paraId="290AB56F"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w:t>
            </w:r>
          </w:p>
        </w:tc>
        <w:tc>
          <w:tcPr>
            <w:tcW w:w="1491" w:type="dxa"/>
          </w:tcPr>
          <w:p w14:paraId="1ADF2A5C"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w:t>
            </w:r>
          </w:p>
        </w:tc>
        <w:tc>
          <w:tcPr>
            <w:tcW w:w="1492" w:type="dxa"/>
          </w:tcPr>
          <w:p w14:paraId="7E68C663"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w:t>
            </w:r>
          </w:p>
        </w:tc>
        <w:tc>
          <w:tcPr>
            <w:tcW w:w="1492" w:type="dxa"/>
          </w:tcPr>
          <w:p w14:paraId="148FC24C"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1</w:t>
            </w:r>
          </w:p>
        </w:tc>
      </w:tr>
      <w:tr w:rsidR="008A326C" w:rsidRPr="00131EED" w14:paraId="46F9545E" w14:textId="77777777" w:rsidTr="00053167">
        <w:trPr>
          <w:cnfStyle w:val="000000100000" w:firstRow="0" w:lastRow="0" w:firstColumn="0" w:lastColumn="0" w:oddVBand="0" w:evenVBand="0" w:oddHBand="1" w:evenHBand="0" w:firstRowFirstColumn="0" w:firstRowLastColumn="0" w:lastRowFirstColumn="0" w:lastRowLastColumn="0"/>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0CC3BA1D" w14:textId="77777777" w:rsidR="008A326C" w:rsidRPr="00131EED" w:rsidRDefault="008A326C" w:rsidP="002D7F18">
            <w:pPr>
              <w:rPr>
                <w:rFonts w:cs="Arial"/>
                <w:sz w:val="20"/>
                <w:szCs w:val="20"/>
              </w:rPr>
            </w:pPr>
            <w:r w:rsidRPr="00131EED">
              <w:rPr>
                <w:rFonts w:cs="Arial"/>
                <w:sz w:val="20"/>
                <w:szCs w:val="20"/>
              </w:rPr>
              <w:t>Hongos</w:t>
            </w:r>
          </w:p>
        </w:tc>
        <w:tc>
          <w:tcPr>
            <w:tcW w:w="1491" w:type="dxa"/>
          </w:tcPr>
          <w:p w14:paraId="4BC7A727"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18004</w:t>
            </w:r>
          </w:p>
        </w:tc>
        <w:tc>
          <w:tcPr>
            <w:tcW w:w="1491" w:type="dxa"/>
          </w:tcPr>
          <w:p w14:paraId="45645AFC"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567</w:t>
            </w:r>
          </w:p>
        </w:tc>
        <w:tc>
          <w:tcPr>
            <w:tcW w:w="1491" w:type="dxa"/>
          </w:tcPr>
          <w:p w14:paraId="36034AE4"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27</w:t>
            </w:r>
          </w:p>
        </w:tc>
        <w:tc>
          <w:tcPr>
            <w:tcW w:w="1492" w:type="dxa"/>
          </w:tcPr>
          <w:p w14:paraId="375CE266"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0</w:t>
            </w:r>
          </w:p>
        </w:tc>
        <w:tc>
          <w:tcPr>
            <w:tcW w:w="1492" w:type="dxa"/>
          </w:tcPr>
          <w:p w14:paraId="0166272B"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0</w:t>
            </w:r>
          </w:p>
        </w:tc>
      </w:tr>
      <w:tr w:rsidR="008A326C" w:rsidRPr="00131EED" w14:paraId="1A15FE0F" w14:textId="77777777" w:rsidTr="00053167">
        <w:trPr>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66267962" w14:textId="77777777" w:rsidR="008A326C" w:rsidRPr="00131EED" w:rsidRDefault="008A326C" w:rsidP="002D7F18">
            <w:pPr>
              <w:rPr>
                <w:rFonts w:cs="Arial"/>
                <w:sz w:val="20"/>
                <w:szCs w:val="20"/>
              </w:rPr>
            </w:pPr>
            <w:r w:rsidRPr="00131EED">
              <w:rPr>
                <w:rFonts w:cs="Arial"/>
                <w:sz w:val="20"/>
                <w:szCs w:val="20"/>
              </w:rPr>
              <w:t>Insectos</w:t>
            </w:r>
          </w:p>
        </w:tc>
        <w:tc>
          <w:tcPr>
            <w:tcW w:w="1491" w:type="dxa"/>
          </w:tcPr>
          <w:p w14:paraId="6D0B84BB"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31739</w:t>
            </w:r>
          </w:p>
        </w:tc>
        <w:tc>
          <w:tcPr>
            <w:tcW w:w="1491" w:type="dxa"/>
          </w:tcPr>
          <w:p w14:paraId="6DEFFBDB"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1404</w:t>
            </w:r>
          </w:p>
        </w:tc>
        <w:tc>
          <w:tcPr>
            <w:tcW w:w="1491" w:type="dxa"/>
          </w:tcPr>
          <w:p w14:paraId="2A9DFF90"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13</w:t>
            </w:r>
          </w:p>
        </w:tc>
        <w:tc>
          <w:tcPr>
            <w:tcW w:w="1492" w:type="dxa"/>
          </w:tcPr>
          <w:p w14:paraId="0A620CA9"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w:t>
            </w:r>
          </w:p>
        </w:tc>
        <w:tc>
          <w:tcPr>
            <w:tcW w:w="1492" w:type="dxa"/>
          </w:tcPr>
          <w:p w14:paraId="6E8C5E99"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6</w:t>
            </w:r>
          </w:p>
        </w:tc>
      </w:tr>
      <w:tr w:rsidR="008A326C" w:rsidRPr="00131EED" w14:paraId="56ADB059" w14:textId="77777777" w:rsidTr="00053167">
        <w:trPr>
          <w:cnfStyle w:val="000000100000" w:firstRow="0" w:lastRow="0" w:firstColumn="0" w:lastColumn="0" w:oddVBand="0" w:evenVBand="0" w:oddHBand="1" w:evenHBand="0" w:firstRowFirstColumn="0" w:firstRowLastColumn="0" w:lastRowFirstColumn="0" w:lastRowLastColumn="0"/>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58C03D45" w14:textId="77777777" w:rsidR="008A326C" w:rsidRPr="00131EED" w:rsidRDefault="008A326C" w:rsidP="002D7F18">
            <w:pPr>
              <w:rPr>
                <w:rFonts w:cs="Arial"/>
                <w:sz w:val="20"/>
                <w:szCs w:val="20"/>
              </w:rPr>
            </w:pPr>
            <w:r w:rsidRPr="00131EED">
              <w:rPr>
                <w:rFonts w:cs="Arial"/>
                <w:sz w:val="20"/>
                <w:szCs w:val="20"/>
              </w:rPr>
              <w:t>Mamíferos</w:t>
            </w:r>
          </w:p>
        </w:tc>
        <w:tc>
          <w:tcPr>
            <w:tcW w:w="1491" w:type="dxa"/>
          </w:tcPr>
          <w:p w14:paraId="61FB6644"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13568</w:t>
            </w:r>
          </w:p>
        </w:tc>
        <w:tc>
          <w:tcPr>
            <w:tcW w:w="1491" w:type="dxa"/>
          </w:tcPr>
          <w:p w14:paraId="048F359E"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137</w:t>
            </w:r>
          </w:p>
        </w:tc>
        <w:tc>
          <w:tcPr>
            <w:tcW w:w="1491" w:type="dxa"/>
          </w:tcPr>
          <w:p w14:paraId="0508ABFE"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9</w:t>
            </w:r>
          </w:p>
        </w:tc>
        <w:tc>
          <w:tcPr>
            <w:tcW w:w="1492" w:type="dxa"/>
          </w:tcPr>
          <w:p w14:paraId="38BAEE97"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0</w:t>
            </w:r>
          </w:p>
        </w:tc>
        <w:tc>
          <w:tcPr>
            <w:tcW w:w="1492" w:type="dxa"/>
          </w:tcPr>
          <w:p w14:paraId="765FDCFC"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3</w:t>
            </w:r>
          </w:p>
        </w:tc>
      </w:tr>
      <w:tr w:rsidR="008A326C" w:rsidRPr="00131EED" w14:paraId="064A4FE7" w14:textId="77777777" w:rsidTr="00053167">
        <w:trPr>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60532976" w14:textId="77777777" w:rsidR="008A326C" w:rsidRPr="00131EED" w:rsidRDefault="008A326C" w:rsidP="002D7F18">
            <w:pPr>
              <w:rPr>
                <w:rFonts w:cs="Arial"/>
                <w:sz w:val="20"/>
                <w:szCs w:val="20"/>
              </w:rPr>
            </w:pPr>
            <w:r w:rsidRPr="00131EED">
              <w:rPr>
                <w:rFonts w:cs="Arial"/>
                <w:sz w:val="20"/>
                <w:szCs w:val="20"/>
              </w:rPr>
              <w:t>Microalgas</w:t>
            </w:r>
          </w:p>
        </w:tc>
        <w:tc>
          <w:tcPr>
            <w:tcW w:w="1491" w:type="dxa"/>
          </w:tcPr>
          <w:p w14:paraId="716A799E"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275</w:t>
            </w:r>
          </w:p>
        </w:tc>
        <w:tc>
          <w:tcPr>
            <w:tcW w:w="1491" w:type="dxa"/>
          </w:tcPr>
          <w:p w14:paraId="1CC895DE"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5</w:t>
            </w:r>
          </w:p>
        </w:tc>
        <w:tc>
          <w:tcPr>
            <w:tcW w:w="1491" w:type="dxa"/>
          </w:tcPr>
          <w:p w14:paraId="562A15AD"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w:t>
            </w:r>
          </w:p>
        </w:tc>
        <w:tc>
          <w:tcPr>
            <w:tcW w:w="1492" w:type="dxa"/>
          </w:tcPr>
          <w:p w14:paraId="278E783F"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w:t>
            </w:r>
          </w:p>
        </w:tc>
        <w:tc>
          <w:tcPr>
            <w:tcW w:w="1492" w:type="dxa"/>
          </w:tcPr>
          <w:p w14:paraId="1FA7E008"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w:t>
            </w:r>
          </w:p>
        </w:tc>
      </w:tr>
      <w:tr w:rsidR="008A326C" w:rsidRPr="00131EED" w14:paraId="6986FAAD" w14:textId="77777777" w:rsidTr="00053167">
        <w:trPr>
          <w:cnfStyle w:val="000000100000" w:firstRow="0" w:lastRow="0" w:firstColumn="0" w:lastColumn="0" w:oddVBand="0" w:evenVBand="0" w:oddHBand="1" w:evenHBand="0" w:firstRowFirstColumn="0" w:firstRowLastColumn="0" w:lastRowFirstColumn="0" w:lastRowLastColumn="0"/>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6BE7FED9" w14:textId="77777777" w:rsidR="008A326C" w:rsidRPr="00131EED" w:rsidRDefault="008A326C" w:rsidP="002D7F18">
            <w:pPr>
              <w:rPr>
                <w:rFonts w:cs="Arial"/>
                <w:sz w:val="20"/>
                <w:szCs w:val="20"/>
              </w:rPr>
            </w:pPr>
            <w:r w:rsidRPr="00131EED">
              <w:rPr>
                <w:rFonts w:cs="Arial"/>
                <w:sz w:val="20"/>
                <w:szCs w:val="20"/>
              </w:rPr>
              <w:t>Peces</w:t>
            </w:r>
          </w:p>
        </w:tc>
        <w:tc>
          <w:tcPr>
            <w:tcW w:w="1491" w:type="dxa"/>
          </w:tcPr>
          <w:p w14:paraId="3E28B1EF"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515</w:t>
            </w:r>
          </w:p>
        </w:tc>
        <w:tc>
          <w:tcPr>
            <w:tcW w:w="1491" w:type="dxa"/>
          </w:tcPr>
          <w:p w14:paraId="3A3EF544"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26</w:t>
            </w:r>
          </w:p>
        </w:tc>
        <w:tc>
          <w:tcPr>
            <w:tcW w:w="1491" w:type="dxa"/>
          </w:tcPr>
          <w:p w14:paraId="1C540A92"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10</w:t>
            </w:r>
          </w:p>
        </w:tc>
        <w:tc>
          <w:tcPr>
            <w:tcW w:w="1492" w:type="dxa"/>
          </w:tcPr>
          <w:p w14:paraId="5F2646D9"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3</w:t>
            </w:r>
          </w:p>
        </w:tc>
        <w:tc>
          <w:tcPr>
            <w:tcW w:w="1492" w:type="dxa"/>
          </w:tcPr>
          <w:p w14:paraId="5A78DB6E"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0</w:t>
            </w:r>
          </w:p>
        </w:tc>
      </w:tr>
      <w:tr w:rsidR="008A326C" w:rsidRPr="00131EED" w14:paraId="029E4A24" w14:textId="77777777" w:rsidTr="00053167">
        <w:trPr>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7A4BB861" w14:textId="77777777" w:rsidR="008A326C" w:rsidRPr="00131EED" w:rsidRDefault="008A326C" w:rsidP="002D7F18">
            <w:pPr>
              <w:rPr>
                <w:rFonts w:cs="Arial"/>
                <w:sz w:val="20"/>
                <w:szCs w:val="20"/>
              </w:rPr>
            </w:pPr>
            <w:r w:rsidRPr="00131EED">
              <w:rPr>
                <w:rFonts w:cs="Arial"/>
                <w:sz w:val="20"/>
                <w:szCs w:val="20"/>
              </w:rPr>
              <w:t>Plantas</w:t>
            </w:r>
          </w:p>
        </w:tc>
        <w:tc>
          <w:tcPr>
            <w:tcW w:w="1491" w:type="dxa"/>
          </w:tcPr>
          <w:p w14:paraId="45ED52E8"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253673</w:t>
            </w:r>
          </w:p>
        </w:tc>
        <w:tc>
          <w:tcPr>
            <w:tcW w:w="1491" w:type="dxa"/>
          </w:tcPr>
          <w:p w14:paraId="3C9256E3"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5223</w:t>
            </w:r>
          </w:p>
        </w:tc>
        <w:tc>
          <w:tcPr>
            <w:tcW w:w="1491" w:type="dxa"/>
          </w:tcPr>
          <w:p w14:paraId="551C1CAD"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519</w:t>
            </w:r>
          </w:p>
        </w:tc>
        <w:tc>
          <w:tcPr>
            <w:tcW w:w="1492" w:type="dxa"/>
          </w:tcPr>
          <w:p w14:paraId="32850D5D"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w:t>
            </w:r>
          </w:p>
        </w:tc>
        <w:tc>
          <w:tcPr>
            <w:tcW w:w="1492" w:type="dxa"/>
          </w:tcPr>
          <w:p w14:paraId="355E6D92"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55</w:t>
            </w:r>
          </w:p>
        </w:tc>
      </w:tr>
      <w:tr w:rsidR="008A326C" w:rsidRPr="00131EED" w14:paraId="3B3BF424" w14:textId="77777777" w:rsidTr="00053167">
        <w:trPr>
          <w:cnfStyle w:val="000000100000" w:firstRow="0" w:lastRow="0" w:firstColumn="0" w:lastColumn="0" w:oddVBand="0" w:evenVBand="0" w:oddHBand="1" w:evenHBand="0" w:firstRowFirstColumn="0" w:firstRowLastColumn="0" w:lastRowFirstColumn="0" w:lastRowLastColumn="0"/>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0D8F013A" w14:textId="77777777" w:rsidR="008A326C" w:rsidRPr="00131EED" w:rsidRDefault="008A326C" w:rsidP="002D7F18">
            <w:pPr>
              <w:rPr>
                <w:rFonts w:cs="Arial"/>
                <w:sz w:val="20"/>
                <w:szCs w:val="20"/>
              </w:rPr>
            </w:pPr>
            <w:r w:rsidRPr="00131EED">
              <w:rPr>
                <w:rFonts w:cs="Arial"/>
                <w:sz w:val="20"/>
                <w:szCs w:val="20"/>
              </w:rPr>
              <w:t>Protozoos</w:t>
            </w:r>
          </w:p>
        </w:tc>
        <w:tc>
          <w:tcPr>
            <w:tcW w:w="1491" w:type="dxa"/>
          </w:tcPr>
          <w:p w14:paraId="422EBFC0"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2727</w:t>
            </w:r>
          </w:p>
        </w:tc>
        <w:tc>
          <w:tcPr>
            <w:tcW w:w="1491" w:type="dxa"/>
          </w:tcPr>
          <w:p w14:paraId="167F03A4"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27</w:t>
            </w:r>
          </w:p>
        </w:tc>
        <w:tc>
          <w:tcPr>
            <w:tcW w:w="1491" w:type="dxa"/>
          </w:tcPr>
          <w:p w14:paraId="21BB6AB8"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0</w:t>
            </w:r>
          </w:p>
        </w:tc>
        <w:tc>
          <w:tcPr>
            <w:tcW w:w="1492" w:type="dxa"/>
          </w:tcPr>
          <w:p w14:paraId="2DF9DAE7"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0</w:t>
            </w:r>
          </w:p>
        </w:tc>
        <w:tc>
          <w:tcPr>
            <w:tcW w:w="1492" w:type="dxa"/>
          </w:tcPr>
          <w:p w14:paraId="654FA363"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0</w:t>
            </w:r>
          </w:p>
        </w:tc>
      </w:tr>
      <w:tr w:rsidR="008A326C" w:rsidRPr="00131EED" w14:paraId="3CD8F4EA" w14:textId="77777777" w:rsidTr="00053167">
        <w:trPr>
          <w:trHeight w:val="462"/>
          <w:jc w:val="center"/>
        </w:trPr>
        <w:tc>
          <w:tcPr>
            <w:cnfStyle w:val="001000000000" w:firstRow="0" w:lastRow="0" w:firstColumn="1" w:lastColumn="0" w:oddVBand="0" w:evenVBand="0" w:oddHBand="0" w:evenHBand="0" w:firstRowFirstColumn="0" w:firstRowLastColumn="0" w:lastRowFirstColumn="0" w:lastRowLastColumn="0"/>
            <w:tcW w:w="1491" w:type="dxa"/>
          </w:tcPr>
          <w:p w14:paraId="0611E77E" w14:textId="77777777" w:rsidR="008A326C" w:rsidRPr="00131EED" w:rsidRDefault="008A326C" w:rsidP="002D7F18">
            <w:pPr>
              <w:rPr>
                <w:rFonts w:cs="Arial"/>
                <w:sz w:val="20"/>
                <w:szCs w:val="20"/>
              </w:rPr>
            </w:pPr>
            <w:r w:rsidRPr="00131EED">
              <w:rPr>
                <w:rFonts w:cs="Arial"/>
                <w:sz w:val="20"/>
                <w:szCs w:val="20"/>
              </w:rPr>
              <w:t>Serpientes y Reptiles</w:t>
            </w:r>
          </w:p>
        </w:tc>
        <w:tc>
          <w:tcPr>
            <w:tcW w:w="1491" w:type="dxa"/>
          </w:tcPr>
          <w:p w14:paraId="77EA7B27"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2291</w:t>
            </w:r>
          </w:p>
        </w:tc>
        <w:tc>
          <w:tcPr>
            <w:tcW w:w="1491" w:type="dxa"/>
          </w:tcPr>
          <w:p w14:paraId="798371B6"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80</w:t>
            </w:r>
          </w:p>
        </w:tc>
        <w:tc>
          <w:tcPr>
            <w:tcW w:w="1491" w:type="dxa"/>
          </w:tcPr>
          <w:p w14:paraId="42AE5EB5"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w:t>
            </w:r>
          </w:p>
        </w:tc>
        <w:tc>
          <w:tcPr>
            <w:tcW w:w="1492" w:type="dxa"/>
          </w:tcPr>
          <w:p w14:paraId="36742EE1"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w:t>
            </w:r>
          </w:p>
        </w:tc>
        <w:tc>
          <w:tcPr>
            <w:tcW w:w="1492" w:type="dxa"/>
          </w:tcPr>
          <w:p w14:paraId="22374183"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1</w:t>
            </w:r>
          </w:p>
        </w:tc>
      </w:tr>
      <w:tr w:rsidR="008A326C" w:rsidRPr="00131EED" w14:paraId="3042F2E1" w14:textId="77777777" w:rsidTr="00053167">
        <w:trPr>
          <w:cnfStyle w:val="000000100000" w:firstRow="0" w:lastRow="0" w:firstColumn="0" w:lastColumn="0" w:oddVBand="0" w:evenVBand="0" w:oddHBand="1" w:evenHBand="0" w:firstRowFirstColumn="0" w:firstRowLastColumn="0" w:lastRowFirstColumn="0" w:lastRowLastColumn="0"/>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6A3882EE" w14:textId="77777777" w:rsidR="008A326C" w:rsidRPr="00131EED" w:rsidRDefault="008A326C" w:rsidP="002D7F18">
            <w:pPr>
              <w:rPr>
                <w:rFonts w:cs="Arial"/>
                <w:sz w:val="20"/>
                <w:szCs w:val="20"/>
              </w:rPr>
            </w:pPr>
            <w:r w:rsidRPr="00131EED">
              <w:rPr>
                <w:rFonts w:cs="Arial"/>
                <w:sz w:val="20"/>
                <w:szCs w:val="20"/>
              </w:rPr>
              <w:t>Tortugas</w:t>
            </w:r>
          </w:p>
        </w:tc>
        <w:tc>
          <w:tcPr>
            <w:tcW w:w="1491" w:type="dxa"/>
          </w:tcPr>
          <w:p w14:paraId="1503E112"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72</w:t>
            </w:r>
          </w:p>
        </w:tc>
        <w:tc>
          <w:tcPr>
            <w:tcW w:w="1491" w:type="dxa"/>
          </w:tcPr>
          <w:p w14:paraId="50DE25A3"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8</w:t>
            </w:r>
          </w:p>
        </w:tc>
        <w:tc>
          <w:tcPr>
            <w:tcW w:w="1491" w:type="dxa"/>
          </w:tcPr>
          <w:p w14:paraId="7556BD98"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0</w:t>
            </w:r>
          </w:p>
        </w:tc>
        <w:tc>
          <w:tcPr>
            <w:tcW w:w="1492" w:type="dxa"/>
          </w:tcPr>
          <w:p w14:paraId="1BB47931"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0</w:t>
            </w:r>
          </w:p>
        </w:tc>
        <w:tc>
          <w:tcPr>
            <w:tcW w:w="1492" w:type="dxa"/>
          </w:tcPr>
          <w:p w14:paraId="759A01C6"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sz w:val="20"/>
                <w:szCs w:val="20"/>
              </w:rPr>
              <w:t>1</w:t>
            </w:r>
          </w:p>
        </w:tc>
      </w:tr>
      <w:tr w:rsidR="008A326C" w:rsidRPr="00131EED" w14:paraId="633B4D57" w14:textId="77777777" w:rsidTr="00053167">
        <w:trPr>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136C7596" w14:textId="77777777" w:rsidR="008A326C" w:rsidRPr="00131EED" w:rsidRDefault="008A326C" w:rsidP="002D7F18">
            <w:pPr>
              <w:rPr>
                <w:rFonts w:cs="Arial"/>
                <w:sz w:val="20"/>
                <w:szCs w:val="20"/>
              </w:rPr>
            </w:pPr>
            <w:r w:rsidRPr="00131EED">
              <w:rPr>
                <w:rFonts w:cs="Arial"/>
                <w:sz w:val="20"/>
                <w:szCs w:val="20"/>
              </w:rPr>
              <w:t>Otros</w:t>
            </w:r>
          </w:p>
        </w:tc>
        <w:tc>
          <w:tcPr>
            <w:tcW w:w="1491" w:type="dxa"/>
          </w:tcPr>
          <w:p w14:paraId="42E7B8C9"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2292</w:t>
            </w:r>
          </w:p>
        </w:tc>
        <w:tc>
          <w:tcPr>
            <w:tcW w:w="1491" w:type="dxa"/>
          </w:tcPr>
          <w:p w14:paraId="4EA8C0D3"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237</w:t>
            </w:r>
          </w:p>
        </w:tc>
        <w:tc>
          <w:tcPr>
            <w:tcW w:w="1491" w:type="dxa"/>
          </w:tcPr>
          <w:p w14:paraId="3AFA3545"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w:t>
            </w:r>
          </w:p>
        </w:tc>
        <w:tc>
          <w:tcPr>
            <w:tcW w:w="1492" w:type="dxa"/>
          </w:tcPr>
          <w:p w14:paraId="2BDA7102"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3</w:t>
            </w:r>
          </w:p>
        </w:tc>
        <w:tc>
          <w:tcPr>
            <w:tcW w:w="1492" w:type="dxa"/>
          </w:tcPr>
          <w:p w14:paraId="762E2481" w14:textId="77777777" w:rsidR="008A326C" w:rsidRPr="00131EED" w:rsidRDefault="008A326C" w:rsidP="000448A3">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5</w:t>
            </w:r>
          </w:p>
        </w:tc>
      </w:tr>
      <w:tr w:rsidR="008A326C" w:rsidRPr="00131EED" w14:paraId="16752DB0" w14:textId="77777777" w:rsidTr="00053167">
        <w:trPr>
          <w:cnfStyle w:val="000000100000" w:firstRow="0" w:lastRow="0" w:firstColumn="0" w:lastColumn="0" w:oddVBand="0" w:evenVBand="0" w:oddHBand="1" w:evenHBand="0" w:firstRowFirstColumn="0" w:firstRowLastColumn="0" w:lastRowFirstColumn="0" w:lastRowLastColumn="0"/>
          <w:trHeight w:val="301"/>
          <w:jc w:val="center"/>
        </w:trPr>
        <w:tc>
          <w:tcPr>
            <w:cnfStyle w:val="001000000000" w:firstRow="0" w:lastRow="0" w:firstColumn="1" w:lastColumn="0" w:oddVBand="0" w:evenVBand="0" w:oddHBand="0" w:evenHBand="0" w:firstRowFirstColumn="0" w:firstRowLastColumn="0" w:lastRowFirstColumn="0" w:lastRowLastColumn="0"/>
            <w:tcW w:w="1491" w:type="dxa"/>
          </w:tcPr>
          <w:p w14:paraId="7512F2C5" w14:textId="77777777" w:rsidR="008A326C" w:rsidRPr="00131EED" w:rsidRDefault="008A326C" w:rsidP="002D7F18">
            <w:pPr>
              <w:rPr>
                <w:rFonts w:cs="Arial"/>
                <w:sz w:val="20"/>
                <w:szCs w:val="20"/>
              </w:rPr>
            </w:pPr>
            <w:r w:rsidRPr="00131EED">
              <w:rPr>
                <w:rFonts w:cs="Arial"/>
                <w:sz w:val="20"/>
                <w:szCs w:val="20"/>
              </w:rPr>
              <w:t>Total</w:t>
            </w:r>
          </w:p>
        </w:tc>
        <w:tc>
          <w:tcPr>
            <w:tcW w:w="1491" w:type="dxa"/>
          </w:tcPr>
          <w:p w14:paraId="72F86C8B"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b/>
                <w:sz w:val="20"/>
                <w:szCs w:val="20"/>
              </w:rPr>
              <w:t>1170766</w:t>
            </w:r>
          </w:p>
        </w:tc>
        <w:tc>
          <w:tcPr>
            <w:tcW w:w="1491" w:type="dxa"/>
          </w:tcPr>
          <w:p w14:paraId="3F690FCD"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b/>
                <w:sz w:val="20"/>
                <w:szCs w:val="20"/>
              </w:rPr>
              <w:t>8899</w:t>
            </w:r>
          </w:p>
        </w:tc>
        <w:tc>
          <w:tcPr>
            <w:tcW w:w="1491" w:type="dxa"/>
          </w:tcPr>
          <w:p w14:paraId="3C8FF654"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b/>
                <w:sz w:val="20"/>
                <w:szCs w:val="20"/>
              </w:rPr>
              <w:t>623</w:t>
            </w:r>
          </w:p>
        </w:tc>
        <w:tc>
          <w:tcPr>
            <w:tcW w:w="1492" w:type="dxa"/>
          </w:tcPr>
          <w:p w14:paraId="79E9B999"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b/>
                <w:sz w:val="20"/>
                <w:szCs w:val="20"/>
              </w:rPr>
              <w:t>12</w:t>
            </w:r>
          </w:p>
        </w:tc>
        <w:tc>
          <w:tcPr>
            <w:tcW w:w="1492" w:type="dxa"/>
          </w:tcPr>
          <w:p w14:paraId="16820E8E" w14:textId="77777777" w:rsidR="008A326C" w:rsidRPr="00131EED" w:rsidRDefault="008A326C" w:rsidP="000448A3">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131EED">
              <w:rPr>
                <w:rFonts w:cs="Arial"/>
                <w:b/>
                <w:sz w:val="20"/>
                <w:szCs w:val="20"/>
              </w:rPr>
              <w:t>577</w:t>
            </w:r>
          </w:p>
        </w:tc>
      </w:tr>
    </w:tbl>
    <w:p w14:paraId="28667315" w14:textId="75C9236A" w:rsidR="008A326C" w:rsidRPr="00131EED" w:rsidRDefault="008A326C" w:rsidP="001B4633">
      <w:pPr>
        <w:jc w:val="center"/>
        <w:rPr>
          <w:rFonts w:cs="Arial"/>
          <w:sz w:val="20"/>
          <w:szCs w:val="20"/>
        </w:rPr>
      </w:pPr>
      <w:r w:rsidRPr="00131EED">
        <w:rPr>
          <w:rStyle w:val="FootnoteReference"/>
          <w:rFonts w:cs="Arial"/>
          <w:sz w:val="20"/>
          <w:szCs w:val="20"/>
          <w:vertAlign w:val="baseline"/>
        </w:rPr>
        <w:t>Fuente: MinAmbiente con información IAVH, 2024</w:t>
      </w:r>
    </w:p>
    <w:p w14:paraId="7D59C4AB" w14:textId="77777777" w:rsidR="008A326C" w:rsidRPr="00131EED" w:rsidRDefault="008A326C" w:rsidP="008A326C">
      <w:pPr>
        <w:autoSpaceDE w:val="0"/>
        <w:autoSpaceDN w:val="0"/>
        <w:adjustRightInd w:val="0"/>
        <w:rPr>
          <w:rFonts w:ascii="Baskerville" w:hAnsi="Baskerville" w:cs="Arial"/>
        </w:rPr>
      </w:pPr>
    </w:p>
    <w:p w14:paraId="77DABE5E" w14:textId="77777777" w:rsidR="008A326C" w:rsidRPr="00131EED" w:rsidRDefault="008A326C" w:rsidP="008A326C">
      <w:pPr>
        <w:autoSpaceDE w:val="0"/>
        <w:autoSpaceDN w:val="0"/>
        <w:adjustRightInd w:val="0"/>
        <w:rPr>
          <w:rFonts w:cs="Arial"/>
        </w:rPr>
      </w:pPr>
      <w:r w:rsidRPr="00131EED">
        <w:rPr>
          <w:rFonts w:cs="Arial"/>
        </w:rPr>
        <w:t>A partir de los registros obtenidos para la zona, se identificaron las especies que se encuentran en alguna categoría de amenaza según la Resolución 0126 de 2024 expedida por el Ministerio de Ambiente y Desarrollo Sostenible</w:t>
      </w:r>
      <w:r w:rsidRPr="00131EED">
        <w:rPr>
          <w:rFonts w:cs="Arial"/>
          <w:i/>
        </w:rPr>
        <w:t xml:space="preserve">, “Por la cual se establece el listado oficial de las especies silvestres amenazadas de la diversidad biológica colombiana continental y marino costera, se actualiza el Comité Coordinador de Categorización de las Especies Silvestres Amenazadas en el territorio nacional y se dictan otras disposiciones” </w:t>
      </w:r>
      <w:r w:rsidRPr="00131EED">
        <w:rPr>
          <w:rFonts w:cs="Arial"/>
        </w:rPr>
        <w:t>los cuales se presentan por categorías de amenaza y por grupos biológicos según la Resolución 0126 de 2024.</w:t>
      </w:r>
    </w:p>
    <w:p w14:paraId="51C216E5" w14:textId="77777777" w:rsidR="008A326C" w:rsidRPr="00131EED" w:rsidRDefault="008A326C" w:rsidP="008A326C">
      <w:pPr>
        <w:autoSpaceDE w:val="0"/>
        <w:autoSpaceDN w:val="0"/>
        <w:adjustRightInd w:val="0"/>
        <w:rPr>
          <w:rFonts w:ascii="Baskerville" w:hAnsi="Baskerville" w:cs="Arial"/>
          <w:szCs w:val="20"/>
        </w:rPr>
      </w:pPr>
    </w:p>
    <w:p w14:paraId="1DF52177" w14:textId="1D570D6E" w:rsidR="008A326C" w:rsidRPr="00131EED" w:rsidRDefault="008A326C" w:rsidP="00107EC5">
      <w:pPr>
        <w:pStyle w:val="Caption"/>
        <w:jc w:val="center"/>
      </w:pPr>
      <w:bookmarkStart w:id="102" w:name="_Toc216468927"/>
      <w:r w:rsidRPr="00131EED">
        <w:t xml:space="preserve">Tabla </w:t>
      </w:r>
      <w:r w:rsidRPr="00131EED">
        <w:fldChar w:fldCharType="begin"/>
      </w:r>
      <w:r w:rsidRPr="00131EED">
        <w:instrText>SEQ Tabla \* ARABIC</w:instrText>
      </w:r>
      <w:r w:rsidRPr="00131EED">
        <w:fldChar w:fldCharType="separate"/>
      </w:r>
      <w:r w:rsidR="00CE096F">
        <w:rPr>
          <w:noProof/>
        </w:rPr>
        <w:t>17</w:t>
      </w:r>
      <w:r w:rsidRPr="00131EED">
        <w:fldChar w:fldCharType="end"/>
      </w:r>
      <w:r w:rsidRPr="00131EED">
        <w:t xml:space="preserve"> Número de especies con alguna categoría de amenaza en la Sabana de Bogotá, según criterios de la UICN y el Ministerio de Ambiente y Desarrollo Sostenible</w:t>
      </w:r>
      <w:bookmarkEnd w:id="102"/>
    </w:p>
    <w:tbl>
      <w:tblPr>
        <w:tblStyle w:val="TableGrid"/>
        <w:tblW w:w="0" w:type="auto"/>
        <w:jc w:val="center"/>
        <w:tblLook w:val="0420" w:firstRow="1" w:lastRow="0" w:firstColumn="0" w:lastColumn="0" w:noHBand="0" w:noVBand="1"/>
      </w:tblPr>
      <w:tblGrid>
        <w:gridCol w:w="1413"/>
        <w:gridCol w:w="1559"/>
        <w:gridCol w:w="3407"/>
      </w:tblGrid>
      <w:tr w:rsidR="008A326C" w:rsidRPr="00131EED" w14:paraId="00880DF7" w14:textId="77777777" w:rsidTr="00053167">
        <w:trPr>
          <w:jc w:val="center"/>
        </w:trPr>
        <w:tc>
          <w:tcPr>
            <w:tcW w:w="1413" w:type="dxa"/>
          </w:tcPr>
          <w:p w14:paraId="601196A3" w14:textId="77777777" w:rsidR="008A326C" w:rsidRPr="00131EED" w:rsidRDefault="008A326C" w:rsidP="002D7F18">
            <w:pPr>
              <w:autoSpaceDE w:val="0"/>
              <w:autoSpaceDN w:val="0"/>
              <w:adjustRightInd w:val="0"/>
              <w:rPr>
                <w:rFonts w:cs="Arial"/>
                <w:b/>
                <w:sz w:val="20"/>
                <w:szCs w:val="20"/>
              </w:rPr>
            </w:pPr>
            <w:r w:rsidRPr="00131EED">
              <w:rPr>
                <w:rFonts w:cs="Arial"/>
                <w:b/>
                <w:sz w:val="20"/>
                <w:szCs w:val="20"/>
              </w:rPr>
              <w:t>Categoría</w:t>
            </w:r>
          </w:p>
        </w:tc>
        <w:tc>
          <w:tcPr>
            <w:tcW w:w="1559" w:type="dxa"/>
          </w:tcPr>
          <w:p w14:paraId="1DCCE533" w14:textId="77777777" w:rsidR="008A326C" w:rsidRPr="00131EED" w:rsidRDefault="008A326C" w:rsidP="000448A3">
            <w:pPr>
              <w:autoSpaceDE w:val="0"/>
              <w:autoSpaceDN w:val="0"/>
              <w:adjustRightInd w:val="0"/>
              <w:jc w:val="center"/>
              <w:rPr>
                <w:rFonts w:cs="Arial"/>
                <w:b/>
                <w:sz w:val="20"/>
                <w:szCs w:val="20"/>
              </w:rPr>
            </w:pPr>
            <w:r w:rsidRPr="00131EED">
              <w:rPr>
                <w:rFonts w:cs="Arial"/>
                <w:b/>
                <w:sz w:val="20"/>
                <w:szCs w:val="20"/>
              </w:rPr>
              <w:t>UICN</w:t>
            </w:r>
          </w:p>
        </w:tc>
        <w:tc>
          <w:tcPr>
            <w:tcW w:w="3407" w:type="dxa"/>
          </w:tcPr>
          <w:p w14:paraId="5881A447" w14:textId="77777777" w:rsidR="008A326C" w:rsidRPr="00131EED" w:rsidRDefault="008A326C" w:rsidP="000448A3">
            <w:pPr>
              <w:autoSpaceDE w:val="0"/>
              <w:autoSpaceDN w:val="0"/>
              <w:adjustRightInd w:val="0"/>
              <w:jc w:val="center"/>
              <w:rPr>
                <w:rFonts w:cs="Arial"/>
                <w:b/>
                <w:sz w:val="20"/>
                <w:szCs w:val="20"/>
              </w:rPr>
            </w:pPr>
            <w:r w:rsidRPr="00131EED">
              <w:rPr>
                <w:rFonts w:cs="Arial"/>
                <w:b/>
                <w:sz w:val="20"/>
                <w:szCs w:val="20"/>
              </w:rPr>
              <w:t>Resolución MinAmbiente 2024</w:t>
            </w:r>
          </w:p>
        </w:tc>
      </w:tr>
      <w:tr w:rsidR="008A326C" w:rsidRPr="00131EED" w14:paraId="40B45509" w14:textId="77777777" w:rsidTr="00053167">
        <w:trPr>
          <w:jc w:val="center"/>
        </w:trPr>
        <w:tc>
          <w:tcPr>
            <w:tcW w:w="1413" w:type="dxa"/>
          </w:tcPr>
          <w:p w14:paraId="7E8C6BDB" w14:textId="77777777" w:rsidR="008A326C" w:rsidRPr="00131EED" w:rsidRDefault="008A326C" w:rsidP="002D7F18">
            <w:pPr>
              <w:autoSpaceDE w:val="0"/>
              <w:autoSpaceDN w:val="0"/>
              <w:adjustRightInd w:val="0"/>
              <w:rPr>
                <w:rFonts w:cs="Arial"/>
                <w:sz w:val="20"/>
                <w:szCs w:val="20"/>
              </w:rPr>
            </w:pPr>
            <w:r w:rsidRPr="00131EED">
              <w:rPr>
                <w:rFonts w:cs="Arial"/>
                <w:sz w:val="20"/>
                <w:szCs w:val="20"/>
              </w:rPr>
              <w:t>CR</w:t>
            </w:r>
          </w:p>
        </w:tc>
        <w:tc>
          <w:tcPr>
            <w:tcW w:w="1559" w:type="dxa"/>
          </w:tcPr>
          <w:p w14:paraId="6C12BA6D"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14</w:t>
            </w:r>
          </w:p>
        </w:tc>
        <w:tc>
          <w:tcPr>
            <w:tcW w:w="3407" w:type="dxa"/>
          </w:tcPr>
          <w:p w14:paraId="2586D55F" w14:textId="49F06530" w:rsidR="008A326C" w:rsidRPr="00131EED" w:rsidRDefault="008A326C" w:rsidP="000448A3">
            <w:pPr>
              <w:autoSpaceDE w:val="0"/>
              <w:autoSpaceDN w:val="0"/>
              <w:adjustRightInd w:val="0"/>
              <w:jc w:val="center"/>
              <w:rPr>
                <w:rFonts w:cs="Arial"/>
                <w:sz w:val="20"/>
                <w:szCs w:val="20"/>
              </w:rPr>
            </w:pPr>
            <w:r w:rsidRPr="00131EED">
              <w:rPr>
                <w:rFonts w:cs="Arial"/>
                <w:sz w:val="20"/>
                <w:szCs w:val="20"/>
              </w:rPr>
              <w:t>31</w:t>
            </w:r>
          </w:p>
        </w:tc>
      </w:tr>
      <w:tr w:rsidR="008A326C" w:rsidRPr="00131EED" w14:paraId="3C2DA62D" w14:textId="77777777" w:rsidTr="00053167">
        <w:trPr>
          <w:jc w:val="center"/>
        </w:trPr>
        <w:tc>
          <w:tcPr>
            <w:tcW w:w="1413" w:type="dxa"/>
          </w:tcPr>
          <w:p w14:paraId="612F0499" w14:textId="77777777" w:rsidR="008A326C" w:rsidRPr="00131EED" w:rsidRDefault="008A326C" w:rsidP="002D7F18">
            <w:pPr>
              <w:autoSpaceDE w:val="0"/>
              <w:autoSpaceDN w:val="0"/>
              <w:adjustRightInd w:val="0"/>
              <w:rPr>
                <w:rFonts w:cs="Arial"/>
                <w:sz w:val="20"/>
                <w:szCs w:val="20"/>
              </w:rPr>
            </w:pPr>
            <w:r w:rsidRPr="00131EED">
              <w:rPr>
                <w:rFonts w:cs="Arial"/>
                <w:sz w:val="20"/>
                <w:szCs w:val="20"/>
              </w:rPr>
              <w:t>EN</w:t>
            </w:r>
          </w:p>
        </w:tc>
        <w:tc>
          <w:tcPr>
            <w:tcW w:w="1559" w:type="dxa"/>
          </w:tcPr>
          <w:p w14:paraId="63D0429D"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43</w:t>
            </w:r>
          </w:p>
        </w:tc>
        <w:tc>
          <w:tcPr>
            <w:tcW w:w="3407" w:type="dxa"/>
          </w:tcPr>
          <w:p w14:paraId="4798637E"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64</w:t>
            </w:r>
          </w:p>
        </w:tc>
      </w:tr>
      <w:tr w:rsidR="008A326C" w:rsidRPr="00131EED" w14:paraId="3254A49F" w14:textId="77777777" w:rsidTr="00053167">
        <w:trPr>
          <w:jc w:val="center"/>
        </w:trPr>
        <w:tc>
          <w:tcPr>
            <w:tcW w:w="1413" w:type="dxa"/>
          </w:tcPr>
          <w:p w14:paraId="3E4CD82D" w14:textId="77777777" w:rsidR="008A326C" w:rsidRPr="00131EED" w:rsidRDefault="008A326C" w:rsidP="002D7F18">
            <w:pPr>
              <w:autoSpaceDE w:val="0"/>
              <w:autoSpaceDN w:val="0"/>
              <w:adjustRightInd w:val="0"/>
              <w:rPr>
                <w:rFonts w:cs="Arial"/>
                <w:sz w:val="20"/>
                <w:szCs w:val="20"/>
              </w:rPr>
            </w:pPr>
            <w:r w:rsidRPr="00131EED">
              <w:rPr>
                <w:rFonts w:cs="Arial"/>
                <w:sz w:val="20"/>
                <w:szCs w:val="20"/>
              </w:rPr>
              <w:t>VU</w:t>
            </w:r>
          </w:p>
        </w:tc>
        <w:tc>
          <w:tcPr>
            <w:tcW w:w="1559" w:type="dxa"/>
          </w:tcPr>
          <w:p w14:paraId="250E094C"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67</w:t>
            </w:r>
          </w:p>
        </w:tc>
        <w:tc>
          <w:tcPr>
            <w:tcW w:w="3407" w:type="dxa"/>
          </w:tcPr>
          <w:p w14:paraId="26875F02"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96</w:t>
            </w:r>
          </w:p>
        </w:tc>
      </w:tr>
      <w:tr w:rsidR="008A326C" w:rsidRPr="00131EED" w14:paraId="24D76E98" w14:textId="77777777" w:rsidTr="00053167">
        <w:trPr>
          <w:jc w:val="center"/>
        </w:trPr>
        <w:tc>
          <w:tcPr>
            <w:tcW w:w="1413" w:type="dxa"/>
          </w:tcPr>
          <w:p w14:paraId="743C39E1" w14:textId="77777777" w:rsidR="008A326C" w:rsidRPr="00131EED" w:rsidRDefault="008A326C" w:rsidP="002D7F18">
            <w:pPr>
              <w:autoSpaceDE w:val="0"/>
              <w:autoSpaceDN w:val="0"/>
              <w:adjustRightInd w:val="0"/>
              <w:rPr>
                <w:rFonts w:cs="Arial"/>
                <w:b/>
                <w:sz w:val="20"/>
                <w:szCs w:val="20"/>
              </w:rPr>
            </w:pPr>
            <w:r w:rsidRPr="00131EED">
              <w:rPr>
                <w:rFonts w:cs="Arial"/>
                <w:b/>
                <w:sz w:val="20"/>
                <w:szCs w:val="20"/>
              </w:rPr>
              <w:t>Total</w:t>
            </w:r>
          </w:p>
        </w:tc>
        <w:tc>
          <w:tcPr>
            <w:tcW w:w="1559" w:type="dxa"/>
          </w:tcPr>
          <w:p w14:paraId="45856FF0" w14:textId="77777777" w:rsidR="008A326C" w:rsidRPr="00131EED" w:rsidRDefault="008A326C" w:rsidP="000448A3">
            <w:pPr>
              <w:autoSpaceDE w:val="0"/>
              <w:autoSpaceDN w:val="0"/>
              <w:adjustRightInd w:val="0"/>
              <w:jc w:val="center"/>
              <w:rPr>
                <w:rFonts w:cs="Arial"/>
                <w:b/>
                <w:sz w:val="20"/>
                <w:szCs w:val="20"/>
              </w:rPr>
            </w:pPr>
            <w:r w:rsidRPr="00131EED">
              <w:rPr>
                <w:rFonts w:cs="Arial"/>
                <w:b/>
                <w:sz w:val="20"/>
                <w:szCs w:val="20"/>
              </w:rPr>
              <w:t>124</w:t>
            </w:r>
          </w:p>
        </w:tc>
        <w:tc>
          <w:tcPr>
            <w:tcW w:w="3407" w:type="dxa"/>
          </w:tcPr>
          <w:p w14:paraId="2B242620" w14:textId="77777777" w:rsidR="008A326C" w:rsidRPr="00131EED" w:rsidRDefault="008A326C" w:rsidP="000448A3">
            <w:pPr>
              <w:autoSpaceDE w:val="0"/>
              <w:autoSpaceDN w:val="0"/>
              <w:adjustRightInd w:val="0"/>
              <w:jc w:val="center"/>
              <w:rPr>
                <w:rFonts w:cs="Arial"/>
                <w:b/>
                <w:sz w:val="20"/>
                <w:szCs w:val="20"/>
              </w:rPr>
            </w:pPr>
            <w:r w:rsidRPr="00131EED">
              <w:rPr>
                <w:rFonts w:cs="Arial"/>
                <w:b/>
                <w:sz w:val="20"/>
                <w:szCs w:val="20"/>
              </w:rPr>
              <w:t>191</w:t>
            </w:r>
          </w:p>
        </w:tc>
      </w:tr>
    </w:tbl>
    <w:p w14:paraId="77BA964E" w14:textId="77777777" w:rsidR="008A326C" w:rsidRPr="00131EED" w:rsidRDefault="008A326C" w:rsidP="001B4633">
      <w:pPr>
        <w:jc w:val="center"/>
        <w:rPr>
          <w:rFonts w:cs="Arial"/>
          <w:sz w:val="20"/>
          <w:szCs w:val="20"/>
        </w:rPr>
      </w:pPr>
      <w:r w:rsidRPr="00131EED">
        <w:rPr>
          <w:rStyle w:val="FootnoteReference"/>
          <w:rFonts w:cs="Arial"/>
          <w:sz w:val="20"/>
          <w:szCs w:val="20"/>
          <w:vertAlign w:val="baseline"/>
        </w:rPr>
        <w:t>Fuente: MinAmbiente con información IAVH, 2024</w:t>
      </w:r>
    </w:p>
    <w:p w14:paraId="4ACFD4B1" w14:textId="77777777" w:rsidR="00E00A1D" w:rsidRPr="00131EED" w:rsidRDefault="00E00A1D" w:rsidP="001B4633">
      <w:pPr>
        <w:pStyle w:val="Caption"/>
      </w:pPr>
    </w:p>
    <w:p w14:paraId="4C252D6A" w14:textId="60DA3FB5" w:rsidR="008A326C" w:rsidRPr="00131EED" w:rsidRDefault="008A326C" w:rsidP="00107EC5">
      <w:pPr>
        <w:pStyle w:val="Caption"/>
        <w:jc w:val="center"/>
      </w:pPr>
      <w:bookmarkStart w:id="103" w:name="_Toc216468928"/>
      <w:r w:rsidRPr="00131EED">
        <w:t xml:space="preserve">Tabla </w:t>
      </w:r>
      <w:r w:rsidRPr="00131EED">
        <w:fldChar w:fldCharType="begin"/>
      </w:r>
      <w:r w:rsidRPr="00131EED">
        <w:instrText>SEQ Tabla \* ARABIC</w:instrText>
      </w:r>
      <w:r w:rsidRPr="00131EED">
        <w:fldChar w:fldCharType="separate"/>
      </w:r>
      <w:r w:rsidR="00CE096F">
        <w:rPr>
          <w:noProof/>
        </w:rPr>
        <w:t>18</w:t>
      </w:r>
      <w:r w:rsidRPr="00131EED">
        <w:fldChar w:fldCharType="end"/>
      </w:r>
      <w:r w:rsidRPr="00131EED">
        <w:t xml:space="preserve"> Número de especies en la Sabana de Bogotá con alguna categoría de amenaza según la resolución MinAmbiente No 0126 de 2024.</w:t>
      </w:r>
      <w:bookmarkEnd w:id="103"/>
    </w:p>
    <w:tbl>
      <w:tblPr>
        <w:tblStyle w:val="TableGrid"/>
        <w:tblW w:w="0" w:type="auto"/>
        <w:jc w:val="center"/>
        <w:tblLook w:val="0420" w:firstRow="1" w:lastRow="0" w:firstColumn="0" w:lastColumn="0" w:noHBand="0" w:noVBand="1"/>
      </w:tblPr>
      <w:tblGrid>
        <w:gridCol w:w="1696"/>
        <w:gridCol w:w="1985"/>
        <w:gridCol w:w="1843"/>
        <w:gridCol w:w="1701"/>
      </w:tblGrid>
      <w:tr w:rsidR="008A326C" w:rsidRPr="00131EED" w14:paraId="40BF7CDF" w14:textId="77777777" w:rsidTr="00053167">
        <w:trPr>
          <w:jc w:val="center"/>
        </w:trPr>
        <w:tc>
          <w:tcPr>
            <w:tcW w:w="1696" w:type="dxa"/>
          </w:tcPr>
          <w:p w14:paraId="0737C4DF" w14:textId="77777777" w:rsidR="008A326C" w:rsidRPr="00131EED" w:rsidRDefault="008A326C" w:rsidP="002D7F18">
            <w:pPr>
              <w:autoSpaceDE w:val="0"/>
              <w:autoSpaceDN w:val="0"/>
              <w:adjustRightInd w:val="0"/>
              <w:rPr>
                <w:rFonts w:cs="Arial"/>
                <w:b/>
                <w:sz w:val="20"/>
                <w:szCs w:val="20"/>
              </w:rPr>
            </w:pPr>
            <w:r w:rsidRPr="00131EED">
              <w:rPr>
                <w:rFonts w:cs="Arial"/>
                <w:b/>
                <w:sz w:val="20"/>
                <w:szCs w:val="20"/>
              </w:rPr>
              <w:t>Grupo biológico</w:t>
            </w:r>
          </w:p>
        </w:tc>
        <w:tc>
          <w:tcPr>
            <w:tcW w:w="1985" w:type="dxa"/>
          </w:tcPr>
          <w:p w14:paraId="01884142" w14:textId="77777777" w:rsidR="008A326C" w:rsidRPr="00131EED" w:rsidRDefault="008A326C" w:rsidP="000448A3">
            <w:pPr>
              <w:autoSpaceDE w:val="0"/>
              <w:autoSpaceDN w:val="0"/>
              <w:adjustRightInd w:val="0"/>
              <w:jc w:val="center"/>
              <w:rPr>
                <w:rFonts w:cs="Arial"/>
                <w:b/>
                <w:sz w:val="20"/>
                <w:szCs w:val="20"/>
              </w:rPr>
            </w:pPr>
            <w:r w:rsidRPr="00131EED">
              <w:rPr>
                <w:rFonts w:cs="Arial"/>
                <w:b/>
                <w:sz w:val="20"/>
                <w:szCs w:val="20"/>
              </w:rPr>
              <w:t>CR</w:t>
            </w:r>
          </w:p>
        </w:tc>
        <w:tc>
          <w:tcPr>
            <w:tcW w:w="1843" w:type="dxa"/>
          </w:tcPr>
          <w:p w14:paraId="633C34D3" w14:textId="77777777" w:rsidR="008A326C" w:rsidRPr="00131EED" w:rsidRDefault="008A326C" w:rsidP="000448A3">
            <w:pPr>
              <w:autoSpaceDE w:val="0"/>
              <w:autoSpaceDN w:val="0"/>
              <w:adjustRightInd w:val="0"/>
              <w:jc w:val="center"/>
              <w:rPr>
                <w:rFonts w:cs="Arial"/>
                <w:b/>
                <w:sz w:val="20"/>
                <w:szCs w:val="20"/>
              </w:rPr>
            </w:pPr>
            <w:r w:rsidRPr="00131EED">
              <w:rPr>
                <w:rFonts w:cs="Arial"/>
                <w:b/>
                <w:sz w:val="20"/>
                <w:szCs w:val="20"/>
              </w:rPr>
              <w:t>EN</w:t>
            </w:r>
          </w:p>
        </w:tc>
        <w:tc>
          <w:tcPr>
            <w:tcW w:w="1701" w:type="dxa"/>
          </w:tcPr>
          <w:p w14:paraId="17C3772B" w14:textId="77777777" w:rsidR="008A326C" w:rsidRPr="00131EED" w:rsidRDefault="008A326C" w:rsidP="000448A3">
            <w:pPr>
              <w:autoSpaceDE w:val="0"/>
              <w:autoSpaceDN w:val="0"/>
              <w:adjustRightInd w:val="0"/>
              <w:jc w:val="center"/>
              <w:rPr>
                <w:rFonts w:cs="Arial"/>
                <w:b/>
                <w:sz w:val="20"/>
                <w:szCs w:val="20"/>
              </w:rPr>
            </w:pPr>
            <w:r w:rsidRPr="00131EED">
              <w:rPr>
                <w:rFonts w:cs="Arial"/>
                <w:b/>
                <w:sz w:val="20"/>
                <w:szCs w:val="20"/>
              </w:rPr>
              <w:t>VU</w:t>
            </w:r>
          </w:p>
        </w:tc>
      </w:tr>
      <w:tr w:rsidR="008A326C" w:rsidRPr="00131EED" w14:paraId="1C7CA44D" w14:textId="77777777" w:rsidTr="00053167">
        <w:trPr>
          <w:jc w:val="center"/>
        </w:trPr>
        <w:tc>
          <w:tcPr>
            <w:tcW w:w="1696" w:type="dxa"/>
          </w:tcPr>
          <w:p w14:paraId="0D263F19" w14:textId="77777777" w:rsidR="008A326C" w:rsidRPr="00131EED" w:rsidRDefault="008A326C" w:rsidP="002D7F18">
            <w:pPr>
              <w:autoSpaceDE w:val="0"/>
              <w:autoSpaceDN w:val="0"/>
              <w:adjustRightInd w:val="0"/>
              <w:rPr>
                <w:rFonts w:cs="Arial"/>
                <w:sz w:val="20"/>
                <w:szCs w:val="20"/>
              </w:rPr>
            </w:pPr>
            <w:r w:rsidRPr="00131EED">
              <w:rPr>
                <w:rFonts w:cs="Arial"/>
                <w:sz w:val="20"/>
                <w:szCs w:val="20"/>
              </w:rPr>
              <w:t>Hongos</w:t>
            </w:r>
          </w:p>
        </w:tc>
        <w:tc>
          <w:tcPr>
            <w:tcW w:w="1985" w:type="dxa"/>
          </w:tcPr>
          <w:p w14:paraId="0F4F4B85"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8</w:t>
            </w:r>
          </w:p>
        </w:tc>
        <w:tc>
          <w:tcPr>
            <w:tcW w:w="1843" w:type="dxa"/>
          </w:tcPr>
          <w:p w14:paraId="7010F1F3"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1</w:t>
            </w:r>
          </w:p>
        </w:tc>
        <w:tc>
          <w:tcPr>
            <w:tcW w:w="1701" w:type="dxa"/>
          </w:tcPr>
          <w:p w14:paraId="551EDFCD"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2</w:t>
            </w:r>
          </w:p>
        </w:tc>
      </w:tr>
      <w:tr w:rsidR="008A326C" w:rsidRPr="00131EED" w14:paraId="04E39F40" w14:textId="77777777" w:rsidTr="00053167">
        <w:trPr>
          <w:jc w:val="center"/>
        </w:trPr>
        <w:tc>
          <w:tcPr>
            <w:tcW w:w="1696" w:type="dxa"/>
          </w:tcPr>
          <w:p w14:paraId="74B7D5DE" w14:textId="77777777" w:rsidR="008A326C" w:rsidRPr="00131EED" w:rsidRDefault="008A326C" w:rsidP="002D7F18">
            <w:pPr>
              <w:autoSpaceDE w:val="0"/>
              <w:autoSpaceDN w:val="0"/>
              <w:adjustRightInd w:val="0"/>
              <w:rPr>
                <w:rFonts w:cs="Arial"/>
                <w:sz w:val="20"/>
                <w:szCs w:val="20"/>
              </w:rPr>
            </w:pPr>
            <w:r w:rsidRPr="00131EED">
              <w:rPr>
                <w:rFonts w:cs="Arial"/>
                <w:sz w:val="20"/>
                <w:szCs w:val="20"/>
              </w:rPr>
              <w:t>Plantas</w:t>
            </w:r>
          </w:p>
        </w:tc>
        <w:tc>
          <w:tcPr>
            <w:tcW w:w="1985" w:type="dxa"/>
          </w:tcPr>
          <w:p w14:paraId="4B9492D2"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13</w:t>
            </w:r>
          </w:p>
        </w:tc>
        <w:tc>
          <w:tcPr>
            <w:tcW w:w="1843" w:type="dxa"/>
          </w:tcPr>
          <w:p w14:paraId="1DD14ECB"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41</w:t>
            </w:r>
          </w:p>
        </w:tc>
        <w:tc>
          <w:tcPr>
            <w:tcW w:w="1701" w:type="dxa"/>
          </w:tcPr>
          <w:p w14:paraId="01C886AF"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57</w:t>
            </w:r>
          </w:p>
        </w:tc>
      </w:tr>
      <w:tr w:rsidR="008A326C" w:rsidRPr="00131EED" w14:paraId="4206B053" w14:textId="77777777" w:rsidTr="00053167">
        <w:trPr>
          <w:jc w:val="center"/>
        </w:trPr>
        <w:tc>
          <w:tcPr>
            <w:tcW w:w="1696" w:type="dxa"/>
          </w:tcPr>
          <w:p w14:paraId="2B610C28" w14:textId="77777777" w:rsidR="008A326C" w:rsidRPr="00131EED" w:rsidRDefault="008A326C" w:rsidP="002D7F18">
            <w:pPr>
              <w:autoSpaceDE w:val="0"/>
              <w:autoSpaceDN w:val="0"/>
              <w:adjustRightInd w:val="0"/>
              <w:rPr>
                <w:rFonts w:cs="Arial"/>
                <w:sz w:val="20"/>
                <w:szCs w:val="20"/>
              </w:rPr>
            </w:pPr>
            <w:r w:rsidRPr="00131EED">
              <w:rPr>
                <w:rFonts w:cs="Arial"/>
                <w:sz w:val="20"/>
                <w:szCs w:val="20"/>
              </w:rPr>
              <w:t>Anfibios</w:t>
            </w:r>
          </w:p>
        </w:tc>
        <w:tc>
          <w:tcPr>
            <w:tcW w:w="1985" w:type="dxa"/>
          </w:tcPr>
          <w:p w14:paraId="451C23F4"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3</w:t>
            </w:r>
          </w:p>
        </w:tc>
        <w:tc>
          <w:tcPr>
            <w:tcW w:w="1843" w:type="dxa"/>
          </w:tcPr>
          <w:p w14:paraId="639C1288"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4</w:t>
            </w:r>
          </w:p>
        </w:tc>
        <w:tc>
          <w:tcPr>
            <w:tcW w:w="1701" w:type="dxa"/>
          </w:tcPr>
          <w:p w14:paraId="757FC71E"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3</w:t>
            </w:r>
          </w:p>
        </w:tc>
      </w:tr>
      <w:tr w:rsidR="008A326C" w:rsidRPr="00131EED" w14:paraId="2EF316A1" w14:textId="77777777" w:rsidTr="00053167">
        <w:trPr>
          <w:jc w:val="center"/>
        </w:trPr>
        <w:tc>
          <w:tcPr>
            <w:tcW w:w="1696" w:type="dxa"/>
          </w:tcPr>
          <w:p w14:paraId="15A745AF" w14:textId="77777777" w:rsidR="008A326C" w:rsidRPr="00131EED" w:rsidRDefault="008A326C" w:rsidP="002D7F18">
            <w:pPr>
              <w:autoSpaceDE w:val="0"/>
              <w:autoSpaceDN w:val="0"/>
              <w:adjustRightInd w:val="0"/>
              <w:rPr>
                <w:rFonts w:cs="Arial"/>
                <w:sz w:val="20"/>
                <w:szCs w:val="20"/>
              </w:rPr>
            </w:pPr>
            <w:r w:rsidRPr="00131EED">
              <w:rPr>
                <w:rFonts w:cs="Arial"/>
                <w:sz w:val="20"/>
                <w:szCs w:val="20"/>
              </w:rPr>
              <w:t>Arañas</w:t>
            </w:r>
          </w:p>
        </w:tc>
        <w:tc>
          <w:tcPr>
            <w:tcW w:w="1985" w:type="dxa"/>
          </w:tcPr>
          <w:p w14:paraId="4D2902C5"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0</w:t>
            </w:r>
          </w:p>
        </w:tc>
        <w:tc>
          <w:tcPr>
            <w:tcW w:w="1843" w:type="dxa"/>
          </w:tcPr>
          <w:p w14:paraId="395C223F"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2</w:t>
            </w:r>
          </w:p>
        </w:tc>
        <w:tc>
          <w:tcPr>
            <w:tcW w:w="1701" w:type="dxa"/>
          </w:tcPr>
          <w:p w14:paraId="1E9AAD32"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3</w:t>
            </w:r>
          </w:p>
        </w:tc>
      </w:tr>
      <w:tr w:rsidR="008A326C" w:rsidRPr="00131EED" w14:paraId="6F8F0FDC" w14:textId="77777777" w:rsidTr="00053167">
        <w:trPr>
          <w:jc w:val="center"/>
        </w:trPr>
        <w:tc>
          <w:tcPr>
            <w:tcW w:w="1696" w:type="dxa"/>
          </w:tcPr>
          <w:p w14:paraId="3EB7F28F" w14:textId="77777777" w:rsidR="008A326C" w:rsidRPr="00131EED" w:rsidRDefault="008A326C" w:rsidP="002D7F18">
            <w:pPr>
              <w:autoSpaceDE w:val="0"/>
              <w:autoSpaceDN w:val="0"/>
              <w:adjustRightInd w:val="0"/>
              <w:rPr>
                <w:rFonts w:cs="Arial"/>
                <w:sz w:val="20"/>
                <w:szCs w:val="20"/>
              </w:rPr>
            </w:pPr>
            <w:r w:rsidRPr="00131EED">
              <w:rPr>
                <w:rFonts w:cs="Arial"/>
                <w:sz w:val="20"/>
                <w:szCs w:val="20"/>
              </w:rPr>
              <w:t>Aves</w:t>
            </w:r>
          </w:p>
        </w:tc>
        <w:tc>
          <w:tcPr>
            <w:tcW w:w="1985" w:type="dxa"/>
          </w:tcPr>
          <w:p w14:paraId="31E12A26"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4</w:t>
            </w:r>
          </w:p>
        </w:tc>
        <w:tc>
          <w:tcPr>
            <w:tcW w:w="1843" w:type="dxa"/>
          </w:tcPr>
          <w:p w14:paraId="261AB13F"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13</w:t>
            </w:r>
          </w:p>
        </w:tc>
        <w:tc>
          <w:tcPr>
            <w:tcW w:w="1701" w:type="dxa"/>
          </w:tcPr>
          <w:p w14:paraId="690E95A0"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16</w:t>
            </w:r>
          </w:p>
        </w:tc>
      </w:tr>
      <w:tr w:rsidR="008A326C" w:rsidRPr="00131EED" w14:paraId="62304549" w14:textId="77777777" w:rsidTr="00053167">
        <w:trPr>
          <w:jc w:val="center"/>
        </w:trPr>
        <w:tc>
          <w:tcPr>
            <w:tcW w:w="1696" w:type="dxa"/>
          </w:tcPr>
          <w:p w14:paraId="5E606AF9" w14:textId="77777777" w:rsidR="008A326C" w:rsidRPr="00131EED" w:rsidRDefault="008A326C" w:rsidP="002D7F18">
            <w:pPr>
              <w:autoSpaceDE w:val="0"/>
              <w:autoSpaceDN w:val="0"/>
              <w:adjustRightInd w:val="0"/>
              <w:rPr>
                <w:rFonts w:cs="Arial"/>
                <w:sz w:val="20"/>
                <w:szCs w:val="20"/>
              </w:rPr>
            </w:pPr>
            <w:r w:rsidRPr="00131EED">
              <w:rPr>
                <w:rFonts w:cs="Arial"/>
                <w:sz w:val="20"/>
                <w:szCs w:val="20"/>
              </w:rPr>
              <w:t>Insectos</w:t>
            </w:r>
          </w:p>
        </w:tc>
        <w:tc>
          <w:tcPr>
            <w:tcW w:w="1985" w:type="dxa"/>
          </w:tcPr>
          <w:p w14:paraId="33F4BCA2"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0</w:t>
            </w:r>
          </w:p>
        </w:tc>
        <w:tc>
          <w:tcPr>
            <w:tcW w:w="1843" w:type="dxa"/>
          </w:tcPr>
          <w:p w14:paraId="4EF55516"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0</w:t>
            </w:r>
          </w:p>
        </w:tc>
        <w:tc>
          <w:tcPr>
            <w:tcW w:w="1701" w:type="dxa"/>
          </w:tcPr>
          <w:p w14:paraId="34CE1CB6"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2</w:t>
            </w:r>
          </w:p>
        </w:tc>
      </w:tr>
      <w:tr w:rsidR="008A326C" w:rsidRPr="00131EED" w14:paraId="65D2F04C" w14:textId="77777777" w:rsidTr="00053167">
        <w:trPr>
          <w:jc w:val="center"/>
        </w:trPr>
        <w:tc>
          <w:tcPr>
            <w:tcW w:w="1696" w:type="dxa"/>
          </w:tcPr>
          <w:p w14:paraId="70DEF32F" w14:textId="77777777" w:rsidR="008A326C" w:rsidRPr="00131EED" w:rsidRDefault="008A326C" w:rsidP="002D7F18">
            <w:pPr>
              <w:autoSpaceDE w:val="0"/>
              <w:autoSpaceDN w:val="0"/>
              <w:adjustRightInd w:val="0"/>
              <w:rPr>
                <w:rFonts w:cs="Arial"/>
                <w:sz w:val="20"/>
                <w:szCs w:val="20"/>
              </w:rPr>
            </w:pPr>
            <w:r w:rsidRPr="00131EED">
              <w:rPr>
                <w:rFonts w:cs="Arial"/>
                <w:sz w:val="20"/>
                <w:szCs w:val="20"/>
              </w:rPr>
              <w:t>Mamíferos</w:t>
            </w:r>
          </w:p>
        </w:tc>
        <w:tc>
          <w:tcPr>
            <w:tcW w:w="1985" w:type="dxa"/>
          </w:tcPr>
          <w:p w14:paraId="342440F8"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1</w:t>
            </w:r>
          </w:p>
        </w:tc>
        <w:tc>
          <w:tcPr>
            <w:tcW w:w="1843" w:type="dxa"/>
          </w:tcPr>
          <w:p w14:paraId="6DDD3D56"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1</w:t>
            </w:r>
          </w:p>
        </w:tc>
        <w:tc>
          <w:tcPr>
            <w:tcW w:w="1701" w:type="dxa"/>
          </w:tcPr>
          <w:p w14:paraId="5B8704E0"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9</w:t>
            </w:r>
          </w:p>
        </w:tc>
      </w:tr>
      <w:tr w:rsidR="008A326C" w:rsidRPr="00131EED" w14:paraId="26F69598" w14:textId="77777777" w:rsidTr="00053167">
        <w:trPr>
          <w:jc w:val="center"/>
        </w:trPr>
        <w:tc>
          <w:tcPr>
            <w:tcW w:w="1696" w:type="dxa"/>
          </w:tcPr>
          <w:p w14:paraId="6859752A" w14:textId="77777777" w:rsidR="008A326C" w:rsidRPr="00131EED" w:rsidRDefault="008A326C" w:rsidP="002D7F18">
            <w:pPr>
              <w:autoSpaceDE w:val="0"/>
              <w:autoSpaceDN w:val="0"/>
              <w:adjustRightInd w:val="0"/>
              <w:rPr>
                <w:rFonts w:cs="Arial"/>
                <w:sz w:val="20"/>
                <w:szCs w:val="20"/>
              </w:rPr>
            </w:pPr>
            <w:r w:rsidRPr="00131EED">
              <w:rPr>
                <w:rFonts w:cs="Arial"/>
                <w:sz w:val="20"/>
                <w:szCs w:val="20"/>
              </w:rPr>
              <w:t>Serpientes y reptiles</w:t>
            </w:r>
          </w:p>
        </w:tc>
        <w:tc>
          <w:tcPr>
            <w:tcW w:w="1985" w:type="dxa"/>
          </w:tcPr>
          <w:p w14:paraId="4AF0B921"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1</w:t>
            </w:r>
          </w:p>
        </w:tc>
        <w:tc>
          <w:tcPr>
            <w:tcW w:w="1843" w:type="dxa"/>
          </w:tcPr>
          <w:p w14:paraId="0FFAFDE9"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0</w:t>
            </w:r>
          </w:p>
        </w:tc>
        <w:tc>
          <w:tcPr>
            <w:tcW w:w="1701" w:type="dxa"/>
          </w:tcPr>
          <w:p w14:paraId="2AEB7BBC"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1</w:t>
            </w:r>
          </w:p>
        </w:tc>
      </w:tr>
      <w:tr w:rsidR="008A326C" w:rsidRPr="00131EED" w14:paraId="0D6552CD" w14:textId="77777777" w:rsidTr="00053167">
        <w:trPr>
          <w:jc w:val="center"/>
        </w:trPr>
        <w:tc>
          <w:tcPr>
            <w:tcW w:w="1696" w:type="dxa"/>
          </w:tcPr>
          <w:p w14:paraId="5CD5A7D5" w14:textId="77777777" w:rsidR="008A326C" w:rsidRPr="00131EED" w:rsidRDefault="008A326C" w:rsidP="002D7F18">
            <w:pPr>
              <w:autoSpaceDE w:val="0"/>
              <w:autoSpaceDN w:val="0"/>
              <w:adjustRightInd w:val="0"/>
              <w:rPr>
                <w:rFonts w:cs="Arial"/>
                <w:sz w:val="20"/>
                <w:szCs w:val="20"/>
              </w:rPr>
            </w:pPr>
            <w:r w:rsidRPr="00131EED">
              <w:rPr>
                <w:rFonts w:cs="Arial"/>
                <w:sz w:val="20"/>
                <w:szCs w:val="20"/>
              </w:rPr>
              <w:t>Tortugas</w:t>
            </w:r>
          </w:p>
        </w:tc>
        <w:tc>
          <w:tcPr>
            <w:tcW w:w="1985" w:type="dxa"/>
          </w:tcPr>
          <w:p w14:paraId="0B947863"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0</w:t>
            </w:r>
          </w:p>
        </w:tc>
        <w:tc>
          <w:tcPr>
            <w:tcW w:w="1843" w:type="dxa"/>
          </w:tcPr>
          <w:p w14:paraId="59DB37EB"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1</w:t>
            </w:r>
          </w:p>
        </w:tc>
        <w:tc>
          <w:tcPr>
            <w:tcW w:w="1701" w:type="dxa"/>
          </w:tcPr>
          <w:p w14:paraId="49FD16ED"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0</w:t>
            </w:r>
          </w:p>
        </w:tc>
      </w:tr>
      <w:tr w:rsidR="008A326C" w:rsidRPr="00131EED" w14:paraId="238CE7E8" w14:textId="77777777" w:rsidTr="00053167">
        <w:trPr>
          <w:jc w:val="center"/>
        </w:trPr>
        <w:tc>
          <w:tcPr>
            <w:tcW w:w="1696" w:type="dxa"/>
          </w:tcPr>
          <w:p w14:paraId="032627A4" w14:textId="77777777" w:rsidR="008A326C" w:rsidRPr="00131EED" w:rsidRDefault="008A326C" w:rsidP="002D7F18">
            <w:pPr>
              <w:autoSpaceDE w:val="0"/>
              <w:autoSpaceDN w:val="0"/>
              <w:adjustRightInd w:val="0"/>
              <w:rPr>
                <w:rFonts w:cs="Arial"/>
                <w:sz w:val="20"/>
                <w:szCs w:val="20"/>
              </w:rPr>
            </w:pPr>
            <w:r w:rsidRPr="00131EED">
              <w:rPr>
                <w:rFonts w:cs="Arial"/>
                <w:sz w:val="20"/>
                <w:szCs w:val="20"/>
              </w:rPr>
              <w:t>Peces</w:t>
            </w:r>
          </w:p>
        </w:tc>
        <w:tc>
          <w:tcPr>
            <w:tcW w:w="1985" w:type="dxa"/>
          </w:tcPr>
          <w:p w14:paraId="69CB75A6"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0</w:t>
            </w:r>
          </w:p>
        </w:tc>
        <w:tc>
          <w:tcPr>
            <w:tcW w:w="1843" w:type="dxa"/>
          </w:tcPr>
          <w:p w14:paraId="3D6D4E8E"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0</w:t>
            </w:r>
          </w:p>
        </w:tc>
        <w:tc>
          <w:tcPr>
            <w:tcW w:w="1701" w:type="dxa"/>
          </w:tcPr>
          <w:p w14:paraId="256B619F"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1</w:t>
            </w:r>
          </w:p>
        </w:tc>
      </w:tr>
      <w:tr w:rsidR="008A326C" w:rsidRPr="00131EED" w14:paraId="11AB3ED6" w14:textId="77777777" w:rsidTr="00053167">
        <w:trPr>
          <w:jc w:val="center"/>
        </w:trPr>
        <w:tc>
          <w:tcPr>
            <w:tcW w:w="1696" w:type="dxa"/>
          </w:tcPr>
          <w:p w14:paraId="6FA96C45" w14:textId="77777777" w:rsidR="008A326C" w:rsidRPr="00131EED" w:rsidRDefault="008A326C" w:rsidP="002D7F18">
            <w:pPr>
              <w:autoSpaceDE w:val="0"/>
              <w:autoSpaceDN w:val="0"/>
              <w:adjustRightInd w:val="0"/>
              <w:rPr>
                <w:rFonts w:cs="Arial"/>
                <w:sz w:val="20"/>
                <w:szCs w:val="20"/>
              </w:rPr>
            </w:pPr>
            <w:r w:rsidRPr="00131EED">
              <w:rPr>
                <w:rFonts w:cs="Arial"/>
                <w:sz w:val="20"/>
                <w:szCs w:val="20"/>
              </w:rPr>
              <w:t>Moluscos</w:t>
            </w:r>
          </w:p>
        </w:tc>
        <w:tc>
          <w:tcPr>
            <w:tcW w:w="1985" w:type="dxa"/>
          </w:tcPr>
          <w:p w14:paraId="51AB8DB9"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1</w:t>
            </w:r>
          </w:p>
        </w:tc>
        <w:tc>
          <w:tcPr>
            <w:tcW w:w="1843" w:type="dxa"/>
          </w:tcPr>
          <w:p w14:paraId="3D68D962"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0</w:t>
            </w:r>
          </w:p>
        </w:tc>
        <w:tc>
          <w:tcPr>
            <w:tcW w:w="1701" w:type="dxa"/>
          </w:tcPr>
          <w:p w14:paraId="7A686302"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0</w:t>
            </w:r>
          </w:p>
        </w:tc>
      </w:tr>
      <w:tr w:rsidR="008A326C" w:rsidRPr="00131EED" w14:paraId="409485DA" w14:textId="77777777" w:rsidTr="00053167">
        <w:trPr>
          <w:jc w:val="center"/>
        </w:trPr>
        <w:tc>
          <w:tcPr>
            <w:tcW w:w="1696" w:type="dxa"/>
          </w:tcPr>
          <w:p w14:paraId="71965C00" w14:textId="77777777" w:rsidR="008A326C" w:rsidRPr="00131EED" w:rsidRDefault="008A326C" w:rsidP="002D7F18">
            <w:pPr>
              <w:autoSpaceDE w:val="0"/>
              <w:autoSpaceDN w:val="0"/>
              <w:adjustRightInd w:val="0"/>
              <w:rPr>
                <w:rFonts w:cs="Arial"/>
                <w:sz w:val="20"/>
                <w:szCs w:val="20"/>
              </w:rPr>
            </w:pPr>
            <w:r w:rsidRPr="00131EED">
              <w:rPr>
                <w:rFonts w:cs="Arial"/>
                <w:sz w:val="20"/>
                <w:szCs w:val="20"/>
              </w:rPr>
              <w:t>Crustáceos</w:t>
            </w:r>
          </w:p>
        </w:tc>
        <w:tc>
          <w:tcPr>
            <w:tcW w:w="1985" w:type="dxa"/>
          </w:tcPr>
          <w:p w14:paraId="3054580C"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0</w:t>
            </w:r>
          </w:p>
        </w:tc>
        <w:tc>
          <w:tcPr>
            <w:tcW w:w="1843" w:type="dxa"/>
          </w:tcPr>
          <w:p w14:paraId="2EC29B81"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1</w:t>
            </w:r>
          </w:p>
        </w:tc>
        <w:tc>
          <w:tcPr>
            <w:tcW w:w="1701" w:type="dxa"/>
          </w:tcPr>
          <w:p w14:paraId="7AD460DA" w14:textId="77777777" w:rsidR="008A326C" w:rsidRPr="00131EED" w:rsidRDefault="008A326C" w:rsidP="000448A3">
            <w:pPr>
              <w:autoSpaceDE w:val="0"/>
              <w:autoSpaceDN w:val="0"/>
              <w:adjustRightInd w:val="0"/>
              <w:jc w:val="center"/>
              <w:rPr>
                <w:rFonts w:cs="Arial"/>
                <w:sz w:val="20"/>
                <w:szCs w:val="20"/>
              </w:rPr>
            </w:pPr>
            <w:r w:rsidRPr="00131EED">
              <w:rPr>
                <w:rFonts w:cs="Arial"/>
                <w:sz w:val="20"/>
                <w:szCs w:val="20"/>
              </w:rPr>
              <w:t>2</w:t>
            </w:r>
          </w:p>
        </w:tc>
      </w:tr>
      <w:tr w:rsidR="008A326C" w:rsidRPr="00131EED" w14:paraId="7BA56AB9" w14:textId="77777777" w:rsidTr="00053167">
        <w:trPr>
          <w:jc w:val="center"/>
        </w:trPr>
        <w:tc>
          <w:tcPr>
            <w:tcW w:w="1696" w:type="dxa"/>
          </w:tcPr>
          <w:p w14:paraId="1CDFE360" w14:textId="77777777" w:rsidR="008A326C" w:rsidRPr="00131EED" w:rsidRDefault="008A326C" w:rsidP="002D7F18">
            <w:pPr>
              <w:autoSpaceDE w:val="0"/>
              <w:autoSpaceDN w:val="0"/>
              <w:adjustRightInd w:val="0"/>
              <w:rPr>
                <w:rFonts w:cs="Arial"/>
                <w:b/>
                <w:sz w:val="20"/>
                <w:szCs w:val="20"/>
              </w:rPr>
            </w:pPr>
            <w:r w:rsidRPr="00131EED">
              <w:rPr>
                <w:rFonts w:cs="Arial"/>
                <w:b/>
                <w:sz w:val="20"/>
                <w:szCs w:val="20"/>
              </w:rPr>
              <w:t>Total</w:t>
            </w:r>
          </w:p>
        </w:tc>
        <w:tc>
          <w:tcPr>
            <w:tcW w:w="1985" w:type="dxa"/>
          </w:tcPr>
          <w:p w14:paraId="542291EC" w14:textId="77777777" w:rsidR="008A326C" w:rsidRPr="00131EED" w:rsidRDefault="008A326C" w:rsidP="000448A3">
            <w:pPr>
              <w:autoSpaceDE w:val="0"/>
              <w:autoSpaceDN w:val="0"/>
              <w:adjustRightInd w:val="0"/>
              <w:jc w:val="center"/>
              <w:rPr>
                <w:rFonts w:cs="Arial"/>
                <w:b/>
                <w:sz w:val="20"/>
                <w:szCs w:val="20"/>
              </w:rPr>
            </w:pPr>
            <w:r w:rsidRPr="00131EED">
              <w:rPr>
                <w:rFonts w:cs="Arial"/>
                <w:b/>
                <w:sz w:val="20"/>
                <w:szCs w:val="20"/>
              </w:rPr>
              <w:t>31</w:t>
            </w:r>
          </w:p>
        </w:tc>
        <w:tc>
          <w:tcPr>
            <w:tcW w:w="1843" w:type="dxa"/>
          </w:tcPr>
          <w:p w14:paraId="4D44DF7A" w14:textId="77777777" w:rsidR="008A326C" w:rsidRPr="00131EED" w:rsidRDefault="008A326C" w:rsidP="000448A3">
            <w:pPr>
              <w:autoSpaceDE w:val="0"/>
              <w:autoSpaceDN w:val="0"/>
              <w:adjustRightInd w:val="0"/>
              <w:jc w:val="center"/>
              <w:rPr>
                <w:rFonts w:cs="Arial"/>
                <w:b/>
                <w:sz w:val="20"/>
                <w:szCs w:val="20"/>
              </w:rPr>
            </w:pPr>
            <w:r w:rsidRPr="00131EED">
              <w:rPr>
                <w:rFonts w:cs="Arial"/>
                <w:b/>
                <w:sz w:val="20"/>
                <w:szCs w:val="20"/>
              </w:rPr>
              <w:t>34</w:t>
            </w:r>
          </w:p>
        </w:tc>
        <w:tc>
          <w:tcPr>
            <w:tcW w:w="1701" w:type="dxa"/>
          </w:tcPr>
          <w:p w14:paraId="663E35DE" w14:textId="77777777" w:rsidR="008A326C" w:rsidRPr="00131EED" w:rsidRDefault="008A326C" w:rsidP="000448A3">
            <w:pPr>
              <w:autoSpaceDE w:val="0"/>
              <w:autoSpaceDN w:val="0"/>
              <w:adjustRightInd w:val="0"/>
              <w:jc w:val="center"/>
              <w:rPr>
                <w:rFonts w:cs="Arial"/>
                <w:b/>
                <w:sz w:val="20"/>
                <w:szCs w:val="20"/>
              </w:rPr>
            </w:pPr>
            <w:r w:rsidRPr="00131EED">
              <w:rPr>
                <w:rFonts w:cs="Arial"/>
                <w:b/>
                <w:sz w:val="20"/>
                <w:szCs w:val="20"/>
              </w:rPr>
              <w:t>96</w:t>
            </w:r>
          </w:p>
        </w:tc>
      </w:tr>
    </w:tbl>
    <w:p w14:paraId="13FC3CB0" w14:textId="77777777" w:rsidR="008A326C" w:rsidRPr="00131EED" w:rsidRDefault="008A326C" w:rsidP="001B4633">
      <w:pPr>
        <w:jc w:val="center"/>
        <w:rPr>
          <w:rFonts w:cs="Arial"/>
          <w:sz w:val="20"/>
          <w:szCs w:val="20"/>
        </w:rPr>
      </w:pPr>
      <w:r w:rsidRPr="00131EED">
        <w:rPr>
          <w:rStyle w:val="FootnoteReference"/>
          <w:rFonts w:cs="Arial"/>
          <w:sz w:val="20"/>
          <w:szCs w:val="20"/>
          <w:vertAlign w:val="baseline"/>
        </w:rPr>
        <w:t>Fuente: MinAmbiente con información IAVH, 2024</w:t>
      </w:r>
    </w:p>
    <w:p w14:paraId="4EB0DA9E" w14:textId="77777777" w:rsidR="008A326C" w:rsidRPr="00131EED" w:rsidRDefault="008A326C" w:rsidP="001B4633">
      <w:pPr>
        <w:autoSpaceDE w:val="0"/>
        <w:autoSpaceDN w:val="0"/>
        <w:adjustRightInd w:val="0"/>
        <w:jc w:val="center"/>
        <w:rPr>
          <w:rFonts w:cs="Arial"/>
          <w:szCs w:val="20"/>
        </w:rPr>
      </w:pPr>
    </w:p>
    <w:p w14:paraId="71BFBF74" w14:textId="77777777" w:rsidR="008A326C" w:rsidRPr="00131EED" w:rsidRDefault="008A326C" w:rsidP="008A326C">
      <w:pPr>
        <w:autoSpaceDE w:val="0"/>
        <w:autoSpaceDN w:val="0"/>
        <w:adjustRightInd w:val="0"/>
        <w:rPr>
          <w:rFonts w:cs="Arial"/>
          <w:szCs w:val="20"/>
        </w:rPr>
      </w:pPr>
      <w:r w:rsidRPr="00131EED">
        <w:rPr>
          <w:rFonts w:cs="Arial"/>
          <w:szCs w:val="20"/>
        </w:rPr>
        <w:t>Frente a la información es dado mencionar que las presiones que se ejercen sobre el hábitat de la biodiversidad y especialmente sobre plantas y animales silvestres es alta, a pesar de que en la actualidad subsisten remanentes de hábitat natural conservado y corredores biológicos, la educación ambiental, el uso sostenible y el sentido de pertenencia por parte de la comunidad, son determinantes para garantizar tanto la conservación de los hábitats naturales como la de las poblaciones de especies.</w:t>
      </w:r>
    </w:p>
    <w:p w14:paraId="4E9017C5" w14:textId="77777777" w:rsidR="00434991" w:rsidRPr="00131EED" w:rsidRDefault="00434991" w:rsidP="00434991">
      <w:pPr>
        <w:pStyle w:val="Heading4"/>
        <w:rPr>
          <w:rFonts w:ascii="Baskerville Old Face" w:hAnsi="Baskerville Old Face"/>
        </w:rPr>
      </w:pPr>
      <w:bookmarkStart w:id="104" w:name="_Toc216468697"/>
      <w:r w:rsidRPr="00131EED">
        <w:rPr>
          <w:rFonts w:ascii="Baskerville Old Face" w:hAnsi="Baskerville Old Face"/>
        </w:rPr>
        <w:t>La importancia del tigrillo lanudo</w:t>
      </w:r>
      <w:bookmarkEnd w:id="104"/>
      <w:r w:rsidRPr="00131EED">
        <w:rPr>
          <w:rFonts w:ascii="Baskerville Old Face" w:hAnsi="Baskerville Old Face"/>
        </w:rPr>
        <w:t xml:space="preserve"> </w:t>
      </w:r>
    </w:p>
    <w:p w14:paraId="08ECB41D" w14:textId="77777777" w:rsidR="00434991" w:rsidRPr="00131EED" w:rsidRDefault="00434991" w:rsidP="00434991"/>
    <w:p w14:paraId="7BC68450" w14:textId="5DBE533A" w:rsidR="00434991" w:rsidRPr="00131EED" w:rsidRDefault="00434991" w:rsidP="00434991">
      <w:r w:rsidRPr="00131EED">
        <w:t>El Tigrillo lanudo u oncilla (</w:t>
      </w:r>
      <w:r w:rsidRPr="00131EED">
        <w:rPr>
          <w:i/>
        </w:rPr>
        <w:t>Leopardus tigrinus</w:t>
      </w:r>
      <w:r w:rsidRPr="00131EED">
        <w:t xml:space="preserve">) es el felino más pequeño de Colombia, por lo cual, se asemeja al tamaño de un gato domestico común, pues no supera los 20 a 25 cm de altura, su cuerpo tiene una longitud de 40 a 60 cm, mientras que, su cola puede medir de 20 a 40 cm, lo que se considera larga respecto al tamaño del cuerpo. </w:t>
      </w:r>
      <w:sdt>
        <w:sdtPr>
          <w:id w:val="-1347098078"/>
          <w:citation/>
        </w:sdtPr>
        <w:sdtEndPr/>
        <w:sdtContent>
          <w:r w:rsidRPr="00131EED">
            <w:fldChar w:fldCharType="begin"/>
          </w:r>
          <w:r w:rsidRPr="00131EED">
            <w:instrText xml:space="preserve">CITATION CAR191 \l 2058 </w:instrText>
          </w:r>
          <w:r w:rsidRPr="00131EED">
            <w:fldChar w:fldCharType="separate"/>
          </w:r>
          <w:r w:rsidRPr="00131EED">
            <w:t>(Corporación Autónoma Regional de Cundinamarca, CAR, 2019)</w:t>
          </w:r>
          <w:r w:rsidRPr="00131EED">
            <w:fldChar w:fldCharType="end"/>
          </w:r>
        </w:sdtContent>
      </w:sdt>
      <w:r w:rsidRPr="00131EED">
        <w:t>.</w:t>
      </w:r>
    </w:p>
    <w:p w14:paraId="09CEF1B8" w14:textId="77777777" w:rsidR="00434991" w:rsidRPr="00131EED" w:rsidRDefault="00434991" w:rsidP="00434991"/>
    <w:p w14:paraId="631BCEAC" w14:textId="2C5D313B" w:rsidR="00434991" w:rsidRPr="00131EED" w:rsidRDefault="00434991" w:rsidP="00434991">
      <w:r w:rsidRPr="00131EED">
        <w:t xml:space="preserve">Este felino se encuentra asociado a ecosistemas que se encuentran entre los 1.500 y 3.000 metros sobre el nivel del mar, en ecosistemas como páramos y bosques de niebla o bosque altoandino. En la Sabana de Bogotá ha sido reportada mediante cámaras de foto trampeo y avistamientos directos en zonas como los cerros orientales cerca a Bogotá y en zona boscosa del municipio de Guatavita </w:t>
      </w:r>
      <w:sdt>
        <w:sdtPr>
          <w:id w:val="1051112420"/>
          <w:citation/>
        </w:sdtPr>
        <w:sdtEndPr/>
        <w:sdtContent>
          <w:r w:rsidRPr="00131EED">
            <w:fldChar w:fldCharType="begin"/>
          </w:r>
          <w:r w:rsidRPr="00131EED">
            <w:instrText xml:space="preserve"> CITATION CAR191 \l 2058 </w:instrText>
          </w:r>
          <w:r w:rsidRPr="00131EED">
            <w:fldChar w:fldCharType="separate"/>
          </w:r>
          <w:r w:rsidRPr="00131EED">
            <w:t>(Corporación Autónoma Regional de Cundinamarca, CAR, 2019)</w:t>
          </w:r>
          <w:r w:rsidRPr="00131EED">
            <w:fldChar w:fldCharType="end"/>
          </w:r>
        </w:sdtContent>
      </w:sdt>
      <w:r w:rsidRPr="00131EED">
        <w:t xml:space="preserve">. De acuerdo con la CAR Cundinamarca la distribución potencial en la Sabana es sobre las cadenas montañosas que en los bosques altoandino y subpáramo como se puede observar en la </w:t>
      </w:r>
      <w:r w:rsidR="00423C76" w:rsidRPr="00131EED">
        <w:fldChar w:fldCharType="begin"/>
      </w:r>
      <w:r w:rsidR="00423C76" w:rsidRPr="00131EED">
        <w:instrText xml:space="preserve"> REF _Ref210927824 \h </w:instrText>
      </w:r>
      <w:r w:rsidR="00423C76" w:rsidRPr="00131EED">
        <w:fldChar w:fldCharType="separate"/>
      </w:r>
      <w:r w:rsidR="00CE096F" w:rsidRPr="00131EED">
        <w:t xml:space="preserve">Ilustración </w:t>
      </w:r>
      <w:r w:rsidR="00423C76" w:rsidRPr="00131EED">
        <w:fldChar w:fldCharType="end"/>
      </w:r>
    </w:p>
    <w:p w14:paraId="3CD48A7B" w14:textId="77777777" w:rsidR="00434991" w:rsidRPr="00131EED" w:rsidRDefault="00434991" w:rsidP="00434991"/>
    <w:p w14:paraId="40D15D09" w14:textId="0784F1A1" w:rsidR="00434991" w:rsidRPr="00131EED" w:rsidRDefault="00434991" w:rsidP="00434991">
      <w:r w:rsidRPr="00131EED">
        <w:t xml:space="preserve">De acuerdo con encuestas de habitantes de la zona e investigaciones , el tigrillo lanudo utiliza los cerros orientales como sendero para desplazarse entre el norte y sur del departamento de Cundinamarca. A su vez, se evidencia un corredor biológico para la especie, el cual se localiza entre los cerros orientales de Bogotá y la zona rural del municipio de Guatavita, en límites con el Parque Natural Chingaza </w:t>
      </w:r>
      <w:sdt>
        <w:sdtPr>
          <w:id w:val="-298461397"/>
          <w:citation/>
        </w:sdtPr>
        <w:sdtEndPr/>
        <w:sdtContent>
          <w:r w:rsidRPr="00131EED">
            <w:fldChar w:fldCharType="begin"/>
          </w:r>
          <w:r w:rsidRPr="00131EED">
            <w:instrText xml:space="preserve"> CITATION CAR191 \l 2058 </w:instrText>
          </w:r>
          <w:r w:rsidRPr="00131EED">
            <w:fldChar w:fldCharType="separate"/>
          </w:r>
          <w:r w:rsidRPr="00131EED">
            <w:t>(Corporación Autónoma Regional de Cundinamarca, CAR, 2019)</w:t>
          </w:r>
          <w:r w:rsidRPr="00131EED">
            <w:fldChar w:fldCharType="end"/>
          </w:r>
        </w:sdtContent>
      </w:sdt>
      <w:r w:rsidRPr="00131EED">
        <w:t>.</w:t>
      </w:r>
    </w:p>
    <w:p w14:paraId="3AEAFFA1" w14:textId="77777777" w:rsidR="00434991" w:rsidRPr="00131EED" w:rsidRDefault="00434991" w:rsidP="00434991"/>
    <w:p w14:paraId="645DA9C3" w14:textId="066AFE79" w:rsidR="00434991" w:rsidRPr="00131EED" w:rsidRDefault="00434991" w:rsidP="00434991">
      <w:r w:rsidRPr="00131EED">
        <w:t xml:space="preserve">En cuanto la reproducción de la especie se destaca que el periodo de gestación dura aproximadamente 75 días y pueden nacer entre 1 y 3 crías, con un periodo de lactancia alrededor de los 12 meses. Estos felinos abren sus ojos alrededor de los 17 días de nacidos, y alcanzan el tamaño adulto a los 11 meses, mientras que, su madurez sexual es alcanzada luego de 2 o 2,5 años de edad. Dada la lenta madurez sexual de esta especie, y los intervalos de tiempo entre hembras y machos (madurez sexual hembras entre 2 o 3 años y machos 3 o incluso 4 años), hace que la generación de nuevas crías sea lenta, ocasionando que este tigrillo sea vulnerable a la reducción acelerada de su tamaño poblacional </w:t>
      </w:r>
      <w:sdt>
        <w:sdtPr>
          <w:id w:val="1202825299"/>
          <w:citation/>
        </w:sdtPr>
        <w:sdtEndPr/>
        <w:sdtContent>
          <w:r w:rsidRPr="00131EED">
            <w:fldChar w:fldCharType="begin"/>
          </w:r>
          <w:r w:rsidRPr="00131EED">
            <w:instrText xml:space="preserve"> CITATION CAR191 \l 2058 </w:instrText>
          </w:r>
          <w:r w:rsidRPr="00131EED">
            <w:fldChar w:fldCharType="separate"/>
          </w:r>
          <w:r w:rsidRPr="00131EED">
            <w:t>(Corporación Autónoma Regional de Cundinamarca, CAR, 2019)</w:t>
          </w:r>
          <w:r w:rsidRPr="00131EED">
            <w:fldChar w:fldCharType="end"/>
          </w:r>
        </w:sdtContent>
      </w:sdt>
      <w:r w:rsidRPr="00131EED">
        <w:t>.</w:t>
      </w:r>
    </w:p>
    <w:p w14:paraId="78469BB7" w14:textId="77777777" w:rsidR="00434991" w:rsidRPr="00131EED" w:rsidRDefault="00434991" w:rsidP="00434991"/>
    <w:p w14:paraId="47D0C1AD" w14:textId="77777777" w:rsidR="00434991" w:rsidRPr="00131EED" w:rsidRDefault="00434991" w:rsidP="00434991">
      <w:r w:rsidRPr="00131EED">
        <w:t>El tigrillo lanudo, es una especie que se encuentra amenazada por las actividades que el ser humano ejerce sobre su ecosistema. Según la Convención sobre el Comercio Internacional de Especies Amenazadas de Fauna y Flora Silvestres CITES, el tigrillo se encuentra en el Apéndice I, en esta categoría se incluyen las especies sobre las que se cierne el mayor grado de peligro (. Así mismo, se encuentra listada por la UICN como Vulnerable (VU-A3c) a nivel global y en Colombia de acuerdo con la Resolución MinAmbiente No 126 de 2024, se encuentra en categoría Vulnerable.</w:t>
      </w:r>
    </w:p>
    <w:p w14:paraId="493F8480" w14:textId="77777777" w:rsidR="00BA038C" w:rsidRPr="00131EED" w:rsidRDefault="00BA038C" w:rsidP="00434991"/>
    <w:p w14:paraId="1B0E5DF8" w14:textId="77777777" w:rsidR="00BA038C" w:rsidRPr="00131EED" w:rsidRDefault="00BA038C" w:rsidP="00434991"/>
    <w:p w14:paraId="2073AFE7" w14:textId="77777777" w:rsidR="00BA038C" w:rsidRPr="00131EED" w:rsidRDefault="00BA038C" w:rsidP="00434991"/>
    <w:p w14:paraId="757C46CF" w14:textId="77777777" w:rsidR="00BA038C" w:rsidRPr="00131EED" w:rsidRDefault="00BA038C" w:rsidP="00434991"/>
    <w:p w14:paraId="395E5C15" w14:textId="77777777" w:rsidR="00BA038C" w:rsidRPr="00131EED" w:rsidRDefault="00BA038C" w:rsidP="00434991"/>
    <w:p w14:paraId="27241F47" w14:textId="77777777" w:rsidR="00BA038C" w:rsidRPr="00131EED" w:rsidRDefault="00BA038C" w:rsidP="00434991"/>
    <w:p w14:paraId="7538E701" w14:textId="77777777" w:rsidR="00BA038C" w:rsidRPr="00131EED" w:rsidRDefault="00BA038C" w:rsidP="00434991"/>
    <w:p w14:paraId="47E27821" w14:textId="77777777" w:rsidR="00BA038C" w:rsidRPr="00131EED" w:rsidRDefault="00BA038C" w:rsidP="00434991"/>
    <w:p w14:paraId="40BA675A" w14:textId="77777777" w:rsidR="00BA038C" w:rsidRPr="00131EED" w:rsidRDefault="00BA038C" w:rsidP="00434991"/>
    <w:p w14:paraId="244728AE" w14:textId="77777777" w:rsidR="00BA038C" w:rsidRPr="00131EED" w:rsidRDefault="00BA038C" w:rsidP="00434991"/>
    <w:p w14:paraId="28021ADF" w14:textId="77777777" w:rsidR="00434991" w:rsidRPr="00131EED" w:rsidRDefault="00434991" w:rsidP="00434991"/>
    <w:p w14:paraId="2EA2EFFA" w14:textId="32F4A7C4" w:rsidR="00434991" w:rsidRPr="00131EED" w:rsidRDefault="00434991" w:rsidP="00E00A1D">
      <w:pPr>
        <w:pStyle w:val="Caption"/>
        <w:jc w:val="center"/>
      </w:pPr>
      <w:bookmarkStart w:id="105" w:name="_Ref210927824"/>
      <w:bookmarkStart w:id="106" w:name="_Toc216468796"/>
      <w:r w:rsidRPr="00131EED">
        <w:t xml:space="preserve">Ilustración </w:t>
      </w:r>
      <w:bookmarkEnd w:id="105"/>
      <w:r w:rsidRPr="00131EED">
        <w:fldChar w:fldCharType="begin"/>
      </w:r>
      <w:r w:rsidRPr="00131EED">
        <w:instrText>SEQ Ilustración \* ARABIC</w:instrText>
      </w:r>
      <w:r w:rsidRPr="00131EED">
        <w:fldChar w:fldCharType="separate"/>
      </w:r>
      <w:r w:rsidR="00CE096F">
        <w:rPr>
          <w:noProof/>
        </w:rPr>
        <w:t>31</w:t>
      </w:r>
      <w:r w:rsidRPr="00131EED">
        <w:fldChar w:fldCharType="end"/>
      </w:r>
      <w:r w:rsidRPr="00131EED">
        <w:t xml:space="preserve"> Distribución potencial del Tigrillo lanudo (Leopardus tigrinus) en Sabana de Bogotá</w:t>
      </w:r>
      <w:bookmarkEnd w:id="106"/>
    </w:p>
    <w:p w14:paraId="3BDD1367" w14:textId="77777777" w:rsidR="00434991" w:rsidRPr="00131EED" w:rsidRDefault="00434991" w:rsidP="00434991">
      <w:pPr>
        <w:jc w:val="center"/>
        <w:rPr>
          <w:rFonts w:ascii="Baskerville" w:hAnsi="Baskerville"/>
        </w:rPr>
      </w:pPr>
      <w:r w:rsidRPr="00131EED">
        <w:rPr>
          <w:rFonts w:ascii="Baskerville" w:hAnsi="Baskerville"/>
          <w:noProof/>
          <w:lang w:eastAsia="en-US"/>
        </w:rPr>
        <w:drawing>
          <wp:inline distT="0" distB="0" distL="0" distR="0" wp14:anchorId="7760A763" wp14:editId="52027F5E">
            <wp:extent cx="5612130" cy="3967701"/>
            <wp:effectExtent l="0" t="0" r="7620" b="0"/>
            <wp:docPr id="1474823174" name="Imagen 1474823174" descr="D:\Back up dalila 20_09_2024\Documentos\Dali\MADS\DIRECCION ORDENAMIENTO\SABANA DE BOGOTA\RECORTES SANTIAGO\DISTRIBUCION TIGIL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Back up dalila 20_09_2024\Documentos\Dali\MADS\DIRECCION ORDENAMIENTO\SABANA DE BOGOTA\RECORTES SANTIAGO\DISTRIBUCION TIGILLO.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612130" cy="3967701"/>
                    </a:xfrm>
                    <a:prstGeom prst="rect">
                      <a:avLst/>
                    </a:prstGeom>
                    <a:noFill/>
                    <a:ln>
                      <a:noFill/>
                    </a:ln>
                  </pic:spPr>
                </pic:pic>
              </a:graphicData>
            </a:graphic>
          </wp:inline>
        </w:drawing>
      </w:r>
    </w:p>
    <w:p w14:paraId="2B3E1822" w14:textId="2B6F1371" w:rsidR="00434991" w:rsidRPr="00131EED" w:rsidRDefault="00434991" w:rsidP="00434991">
      <w:pPr>
        <w:jc w:val="center"/>
        <w:rPr>
          <w:sz w:val="20"/>
          <w:szCs w:val="20"/>
        </w:rPr>
      </w:pPr>
      <w:r w:rsidRPr="00131EED">
        <w:rPr>
          <w:sz w:val="20"/>
          <w:szCs w:val="20"/>
        </w:rPr>
        <w:t xml:space="preserve">Fuente: </w:t>
      </w:r>
      <w:sdt>
        <w:sdtPr>
          <w:rPr>
            <w:sz w:val="20"/>
            <w:szCs w:val="20"/>
          </w:rPr>
          <w:id w:val="553360013"/>
          <w:citation/>
        </w:sdtPr>
        <w:sdtEndPr/>
        <w:sdtContent>
          <w:r w:rsidRPr="00131EED">
            <w:rPr>
              <w:sz w:val="20"/>
              <w:szCs w:val="20"/>
            </w:rPr>
            <w:fldChar w:fldCharType="begin"/>
          </w:r>
          <w:r w:rsidRPr="00131EED">
            <w:rPr>
              <w:sz w:val="20"/>
              <w:szCs w:val="20"/>
            </w:rPr>
            <w:instrText xml:space="preserve"> CITATION CAR191 \l 2058 </w:instrText>
          </w:r>
          <w:r w:rsidRPr="00131EED">
            <w:rPr>
              <w:sz w:val="20"/>
              <w:szCs w:val="20"/>
            </w:rPr>
            <w:fldChar w:fldCharType="separate"/>
          </w:r>
          <w:r w:rsidRPr="00131EED">
            <w:rPr>
              <w:sz w:val="20"/>
              <w:szCs w:val="20"/>
            </w:rPr>
            <w:t>(Corporación Autónoma Regional de Cundinamarca, CAR, 2019)</w:t>
          </w:r>
          <w:r w:rsidRPr="00131EED">
            <w:rPr>
              <w:sz w:val="20"/>
              <w:szCs w:val="20"/>
            </w:rPr>
            <w:fldChar w:fldCharType="end"/>
          </w:r>
        </w:sdtContent>
      </w:sdt>
    </w:p>
    <w:p w14:paraId="08308F4C" w14:textId="77777777" w:rsidR="00434991" w:rsidRPr="00131EED" w:rsidRDefault="00434991" w:rsidP="00434991"/>
    <w:p w14:paraId="49F5F9E6" w14:textId="48375994" w:rsidR="00434991" w:rsidRPr="00131EED" w:rsidRDefault="00434991" w:rsidP="00434991">
      <w:r w:rsidRPr="00131EED">
        <w:t xml:space="preserve">En las inmediaciones de Bogotá hacia el sector de Torca, derivado de reportes realizados por sus habitantes por la desaparición de aves de corral, en el año 2013 la fundación ProCat a través de fototrampeo realizó la identificación de tigrillos lanudos </w:t>
      </w:r>
      <w:r w:rsidRPr="00131EED">
        <w:rPr>
          <w:i/>
        </w:rPr>
        <w:t>Leopardus tigrinus</w:t>
      </w:r>
      <w:r w:rsidRPr="00131EED">
        <w:t xml:space="preserve"> cuyas poblaciones habían sido reducidas drásticamente por cacería </w:t>
      </w:r>
      <w:sdt>
        <w:sdtPr>
          <w:id w:val="-291597381"/>
          <w:citation/>
        </w:sdtPr>
        <w:sdtEndPr/>
        <w:sdtContent>
          <w:r w:rsidRPr="00131EED">
            <w:fldChar w:fldCharType="begin"/>
          </w:r>
          <w:r w:rsidRPr="00131EED">
            <w:instrText xml:space="preserve"> CITATION Alc19 \l 2058 </w:instrText>
          </w:r>
          <w:r w:rsidRPr="00131EED">
            <w:fldChar w:fldCharType="separate"/>
          </w:r>
          <w:r w:rsidRPr="00131EED">
            <w:t>(Alcaldía Mayor de Bogotá, 2019)</w:t>
          </w:r>
          <w:r w:rsidRPr="00131EED">
            <w:fldChar w:fldCharType="end"/>
          </w:r>
        </w:sdtContent>
      </w:sdt>
      <w:r w:rsidRPr="00131EED">
        <w:t>.</w:t>
      </w:r>
    </w:p>
    <w:p w14:paraId="7C80DB98" w14:textId="77777777" w:rsidR="00434991" w:rsidRPr="00131EED" w:rsidRDefault="00434991" w:rsidP="00434991"/>
    <w:p w14:paraId="76755DC3" w14:textId="77777777" w:rsidR="00434991" w:rsidRPr="00131EED" w:rsidRDefault="00434991" w:rsidP="00434991">
      <w:pPr>
        <w:rPr>
          <w:rFonts w:ascii="Baskerville" w:hAnsi="Baskerville"/>
        </w:rPr>
      </w:pPr>
    </w:p>
    <w:p w14:paraId="0F9AF24F" w14:textId="77777777" w:rsidR="00434991" w:rsidRPr="00131EED" w:rsidRDefault="00434991" w:rsidP="00434991">
      <w:pPr>
        <w:rPr>
          <w:rFonts w:ascii="Baskerville" w:hAnsi="Baskerville"/>
        </w:rPr>
      </w:pPr>
    </w:p>
    <w:p w14:paraId="464E8CE7" w14:textId="77777777" w:rsidR="00434991" w:rsidRPr="00131EED" w:rsidRDefault="00434991" w:rsidP="00434991">
      <w:pPr>
        <w:rPr>
          <w:rFonts w:ascii="Baskerville" w:hAnsi="Baskerville"/>
        </w:rPr>
      </w:pPr>
    </w:p>
    <w:p w14:paraId="4E804957" w14:textId="77777777" w:rsidR="00434991" w:rsidRPr="00131EED" w:rsidRDefault="00434991" w:rsidP="00434991">
      <w:pPr>
        <w:rPr>
          <w:rFonts w:ascii="Baskerville" w:hAnsi="Baskerville"/>
        </w:rPr>
      </w:pPr>
    </w:p>
    <w:p w14:paraId="2A8A7D20" w14:textId="77777777" w:rsidR="00434991" w:rsidRPr="00131EED" w:rsidRDefault="00434991" w:rsidP="00434991">
      <w:pPr>
        <w:rPr>
          <w:rFonts w:ascii="Baskerville" w:hAnsi="Baskerville"/>
        </w:rPr>
      </w:pPr>
    </w:p>
    <w:p w14:paraId="1DEF0B65" w14:textId="77777777" w:rsidR="00434991" w:rsidRPr="00131EED" w:rsidRDefault="00434991" w:rsidP="00434991">
      <w:pPr>
        <w:rPr>
          <w:rFonts w:ascii="Baskerville" w:hAnsi="Baskerville"/>
        </w:rPr>
      </w:pPr>
    </w:p>
    <w:p w14:paraId="7694E234" w14:textId="77777777" w:rsidR="00434991" w:rsidRPr="00131EED" w:rsidRDefault="00434991" w:rsidP="00434991">
      <w:pPr>
        <w:rPr>
          <w:rFonts w:ascii="Baskerville" w:hAnsi="Baskerville"/>
        </w:rPr>
      </w:pPr>
    </w:p>
    <w:p w14:paraId="48B6CDCA" w14:textId="77777777" w:rsidR="00434991" w:rsidRPr="00131EED" w:rsidRDefault="00434991" w:rsidP="00434991">
      <w:pPr>
        <w:rPr>
          <w:rFonts w:ascii="Baskerville" w:hAnsi="Baskerville"/>
        </w:rPr>
      </w:pPr>
    </w:p>
    <w:p w14:paraId="2801A39D" w14:textId="77777777" w:rsidR="00434991" w:rsidRPr="00131EED" w:rsidRDefault="00434991" w:rsidP="00434991">
      <w:pPr>
        <w:rPr>
          <w:rFonts w:ascii="Baskerville" w:hAnsi="Baskerville"/>
        </w:rPr>
      </w:pPr>
    </w:p>
    <w:p w14:paraId="756C5B88" w14:textId="5A77BFD8" w:rsidR="00434991" w:rsidRPr="00131EED" w:rsidRDefault="00434991" w:rsidP="00E00A1D">
      <w:pPr>
        <w:pStyle w:val="Caption"/>
        <w:jc w:val="center"/>
      </w:pPr>
      <w:bookmarkStart w:id="107" w:name="_Toc216468797"/>
      <w:r w:rsidRPr="00131EED">
        <w:t xml:space="preserve">Ilustración </w:t>
      </w:r>
      <w:r w:rsidRPr="00131EED">
        <w:fldChar w:fldCharType="begin"/>
      </w:r>
      <w:r w:rsidRPr="00131EED">
        <w:instrText>SEQ Ilustración \* ARABIC</w:instrText>
      </w:r>
      <w:r w:rsidRPr="00131EED">
        <w:fldChar w:fldCharType="separate"/>
      </w:r>
      <w:r w:rsidR="00CE096F">
        <w:rPr>
          <w:noProof/>
        </w:rPr>
        <w:t>32</w:t>
      </w:r>
      <w:r w:rsidRPr="00131EED">
        <w:fldChar w:fldCharType="end"/>
      </w:r>
      <w:r w:rsidRPr="00131EED">
        <w:t>. Áreas Núcleo y corredores del Tigrillo lanudo (Leopardus tigrinus)</w:t>
      </w:r>
      <w:bookmarkEnd w:id="107"/>
    </w:p>
    <w:p w14:paraId="59006452" w14:textId="77777777" w:rsidR="00434991" w:rsidRPr="00131EED" w:rsidRDefault="00434991" w:rsidP="00434991">
      <w:pPr>
        <w:jc w:val="center"/>
        <w:rPr>
          <w:rFonts w:ascii="Baskerville" w:hAnsi="Baskerville"/>
        </w:rPr>
      </w:pPr>
      <w:r w:rsidRPr="00131EED">
        <w:rPr>
          <w:rFonts w:ascii="Baskerville" w:hAnsi="Baskerville"/>
          <w:noProof/>
          <w:lang w:eastAsia="en-US"/>
        </w:rPr>
        <w:drawing>
          <wp:inline distT="0" distB="0" distL="0" distR="0" wp14:anchorId="44DD2379" wp14:editId="72A6A921">
            <wp:extent cx="5239420" cy="4037163"/>
            <wp:effectExtent l="0" t="0" r="0" b="1905"/>
            <wp:docPr id="388333502" name="Imagen 1" descr="A map of the unit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333502" name="Imagen 1" descr="A map of the united states&#10;&#10;AI-generated content may be incorrect."/>
                    <pic:cNvPicPr/>
                  </pic:nvPicPr>
                  <pic:blipFill>
                    <a:blip r:embed="rId68"/>
                    <a:stretch>
                      <a:fillRect/>
                    </a:stretch>
                  </pic:blipFill>
                  <pic:spPr>
                    <a:xfrm>
                      <a:off x="0" y="0"/>
                      <a:ext cx="5243946" cy="4040650"/>
                    </a:xfrm>
                    <a:prstGeom prst="rect">
                      <a:avLst/>
                    </a:prstGeom>
                  </pic:spPr>
                </pic:pic>
              </a:graphicData>
            </a:graphic>
          </wp:inline>
        </w:drawing>
      </w:r>
    </w:p>
    <w:p w14:paraId="7F1577A0" w14:textId="77777777" w:rsidR="00434991" w:rsidRPr="00131EED" w:rsidRDefault="00434991" w:rsidP="00434991">
      <w:pPr>
        <w:jc w:val="center"/>
        <w:rPr>
          <w:rFonts w:ascii="Baskerville" w:hAnsi="Baskerville"/>
          <w:sz w:val="20"/>
          <w:szCs w:val="20"/>
        </w:rPr>
      </w:pPr>
      <w:r w:rsidRPr="00131EED">
        <w:rPr>
          <w:rFonts w:ascii="Baskerville" w:hAnsi="Baskerville"/>
          <w:sz w:val="20"/>
          <w:szCs w:val="20"/>
        </w:rPr>
        <w:t>Fuente ANLA; 2020</w:t>
      </w:r>
    </w:p>
    <w:p w14:paraId="759B2D28" w14:textId="77777777" w:rsidR="00434991" w:rsidRPr="00131EED" w:rsidRDefault="00434991" w:rsidP="00434991">
      <w:pPr>
        <w:jc w:val="center"/>
        <w:rPr>
          <w:rFonts w:ascii="Baskerville" w:hAnsi="Baskerville"/>
        </w:rPr>
      </w:pPr>
    </w:p>
    <w:p w14:paraId="37376445" w14:textId="77777777" w:rsidR="00646E27" w:rsidRPr="00131EED" w:rsidRDefault="00646E27" w:rsidP="00434991"/>
    <w:p w14:paraId="5D20576F" w14:textId="77777777" w:rsidR="00434991" w:rsidRPr="00131EED" w:rsidRDefault="00434991" w:rsidP="00434991">
      <w:r w:rsidRPr="00131EED">
        <w:t xml:space="preserve">El tigrillo lanudo tiene un comportamiento solitario y noctámbulo, caza aves, roedores, zarigüeyas e insectos en los árboles o en el suelo. Los procesos expansivos urbanos tanto en Bogotá como en la Sabana disminuyen las poblaciones de las especies que sirven de alimento al tigrillo. </w:t>
      </w:r>
    </w:p>
    <w:p w14:paraId="3CC71990" w14:textId="77777777" w:rsidR="00434991" w:rsidRPr="00131EED" w:rsidRDefault="00434991" w:rsidP="00434991"/>
    <w:p w14:paraId="3D2C73CB" w14:textId="438A69E4" w:rsidR="00434991" w:rsidRPr="00131EED" w:rsidRDefault="00434991" w:rsidP="00434991">
      <w:r w:rsidRPr="00131EED">
        <w:t xml:space="preserve">De igual manera se ha documentado en inmediaciones de la Reserva Thomas van der Hammen individuos de tigrillo atropellados, que corresponden a poblaciones que residen en los Cerros Orientales y que merodean en conjuntos y fincas en el norte de Bogotá y que buscan movilizarse hacia la parte plana y baja de la Sabana </w:t>
      </w:r>
      <w:sdt>
        <w:sdtPr>
          <w:id w:val="1690572118"/>
          <w:citation/>
        </w:sdtPr>
        <w:sdtEndPr/>
        <w:sdtContent>
          <w:r w:rsidRPr="00131EED">
            <w:fldChar w:fldCharType="begin"/>
          </w:r>
          <w:r w:rsidRPr="00131EED">
            <w:instrText xml:space="preserve"> CITATION Alc19 \l 2058 </w:instrText>
          </w:r>
          <w:r w:rsidRPr="00131EED">
            <w:fldChar w:fldCharType="separate"/>
          </w:r>
          <w:r w:rsidRPr="00131EED">
            <w:t>(Alcaldía Mayor de Bogotá, 2019)</w:t>
          </w:r>
          <w:r w:rsidRPr="00131EED">
            <w:fldChar w:fldCharType="end"/>
          </w:r>
        </w:sdtContent>
      </w:sdt>
      <w:r w:rsidRPr="00131EED">
        <w:t xml:space="preserve">. </w:t>
      </w:r>
    </w:p>
    <w:p w14:paraId="6D62FB59" w14:textId="77777777" w:rsidR="00434991" w:rsidRPr="00131EED" w:rsidRDefault="00434991" w:rsidP="00434991"/>
    <w:p w14:paraId="76CE69DD" w14:textId="4E962E4B" w:rsidR="00CA0BCF" w:rsidRPr="00131EED" w:rsidRDefault="00CA0BCF" w:rsidP="00434991"/>
    <w:p w14:paraId="727AD001" w14:textId="63ED1AA1" w:rsidR="00CA0BCF" w:rsidRPr="00131EED" w:rsidRDefault="00CA0BCF" w:rsidP="00434991"/>
    <w:p w14:paraId="1A23844F" w14:textId="733E7DA7" w:rsidR="00CA0BCF" w:rsidRPr="00131EED" w:rsidRDefault="00CA0BCF" w:rsidP="00434991"/>
    <w:p w14:paraId="3F675C77" w14:textId="5B6937ED" w:rsidR="00CA0BCF" w:rsidRPr="00131EED" w:rsidRDefault="00CA0BCF" w:rsidP="00434991"/>
    <w:p w14:paraId="6E93703D" w14:textId="0BD594D5" w:rsidR="00CA0BCF" w:rsidRPr="00131EED" w:rsidRDefault="00CA0BCF" w:rsidP="00434991"/>
    <w:p w14:paraId="1FE7EE64" w14:textId="6C22A771" w:rsidR="00CA0BCF" w:rsidRPr="00131EED" w:rsidRDefault="00CA0BCF" w:rsidP="00CA0BCF">
      <w:pPr>
        <w:pStyle w:val="Caption"/>
        <w:jc w:val="center"/>
      </w:pPr>
      <w:bookmarkStart w:id="108" w:name="_Toc210967645"/>
      <w:bookmarkStart w:id="109" w:name="_Toc216468798"/>
      <w:r w:rsidRPr="00131EED">
        <w:t xml:space="preserve">Ilustración </w:t>
      </w:r>
      <w:fldSimple w:instr=" SEQ Ilustración \* ARABIC ">
        <w:r w:rsidR="00CE096F">
          <w:rPr>
            <w:noProof/>
          </w:rPr>
          <w:t>33</w:t>
        </w:r>
      </w:fldSimple>
      <w:r w:rsidRPr="00131EED">
        <w:t>. Registro fotográfico del tigrillo lanudo</w:t>
      </w:r>
      <w:bookmarkEnd w:id="108"/>
      <w:bookmarkEnd w:id="109"/>
    </w:p>
    <w:p w14:paraId="3AF2A152" w14:textId="77777777" w:rsidR="00526FEC" w:rsidRPr="00131EED" w:rsidRDefault="00CA0BCF" w:rsidP="00434991">
      <w:pPr>
        <w:jc w:val="center"/>
        <w:rPr>
          <w:rFonts w:ascii="Baskerville" w:hAnsi="Baskerville"/>
        </w:rPr>
      </w:pPr>
      <w:r w:rsidRPr="00131EED">
        <w:rPr>
          <w:noProof/>
          <w:lang w:eastAsia="en-US"/>
        </w:rPr>
        <w:drawing>
          <wp:inline distT="0" distB="0" distL="0" distR="0" wp14:anchorId="654E12A4" wp14:editId="449F4052">
            <wp:extent cx="3881887" cy="2583438"/>
            <wp:effectExtent l="0" t="0" r="4445" b="7620"/>
            <wp:docPr id="1872738308" name="Imagen 1872738308" descr="tigrillo lanudo (Leopardus tigrinus) · NaturaLista Colom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igrillo lanudo (Leopardus tigrinus) · NaturaLista Colombia"/>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891557" cy="2589874"/>
                    </a:xfrm>
                    <a:prstGeom prst="rect">
                      <a:avLst/>
                    </a:prstGeom>
                    <a:noFill/>
                    <a:ln>
                      <a:noFill/>
                    </a:ln>
                  </pic:spPr>
                </pic:pic>
              </a:graphicData>
            </a:graphic>
          </wp:inline>
        </w:drawing>
      </w:r>
    </w:p>
    <w:p w14:paraId="639B892D" w14:textId="77777777" w:rsidR="00CA0BCF" w:rsidRPr="00131EED" w:rsidRDefault="00CA0BCF" w:rsidP="00CA0BCF">
      <w:pPr>
        <w:jc w:val="center"/>
        <w:rPr>
          <w:sz w:val="20"/>
          <w:szCs w:val="20"/>
        </w:rPr>
      </w:pPr>
      <w:r w:rsidRPr="00131EED">
        <w:rPr>
          <w:sz w:val="20"/>
          <w:szCs w:val="20"/>
        </w:rPr>
        <w:t>Fuente: Naturalist Colombia</w:t>
      </w:r>
    </w:p>
    <w:p w14:paraId="4C039BE5" w14:textId="77777777" w:rsidR="00434991" w:rsidRPr="00131EED" w:rsidRDefault="00434991" w:rsidP="00434991"/>
    <w:p w14:paraId="4180704A" w14:textId="77777777" w:rsidR="00434991" w:rsidRPr="00131EED" w:rsidRDefault="00434991" w:rsidP="00434991">
      <w:r w:rsidRPr="00131EED">
        <w:t>El trigrillo tiene un rol fundamental en los ensambles ecológicos dentro de los bosques altoandinos de la Sabana, ya que realiza control de otras poblaciones de pequeños mamíferos como roedores, al igual de anfibios como lagartijas, también contribuye a mantener el equilibrio ecológico en los bosques a los cuales se encuentra asociado, por lo cual es fundamental apalancar las acciones tendientes a su conservación, principalmente el conflicto de atropellamiento y disminución de hábitats en los cuales puede permanecer. Esta es una de las especies de la sabana de Bogotá que de forma particular debe protegerse en el marco de los proyectos viales y de transmisión eléctrica, cuenta con plan de manejo y conservación por parte de la CAR Cundinamarca y ha sido una de las especies amenazadas priorizada por dicha autoridad en el marco del Plan de Gestión Ambiental Regional 2024-2035.</w:t>
      </w:r>
    </w:p>
    <w:p w14:paraId="6420C019" w14:textId="77777777" w:rsidR="008A326C" w:rsidRPr="00131EED" w:rsidRDefault="008A326C" w:rsidP="008A326C">
      <w:pPr>
        <w:autoSpaceDE w:val="0"/>
        <w:autoSpaceDN w:val="0"/>
        <w:adjustRightInd w:val="0"/>
        <w:rPr>
          <w:rFonts w:cs="Arial"/>
          <w:szCs w:val="20"/>
        </w:rPr>
      </w:pPr>
    </w:p>
    <w:p w14:paraId="57765BC4" w14:textId="1F0F73BE" w:rsidR="008A326C" w:rsidRPr="00131EED" w:rsidRDefault="008A326C" w:rsidP="008A326C">
      <w:pPr>
        <w:autoSpaceDE w:val="0"/>
        <w:autoSpaceDN w:val="0"/>
        <w:adjustRightInd w:val="0"/>
        <w:rPr>
          <w:rFonts w:cs="Arial"/>
          <w:szCs w:val="20"/>
        </w:rPr>
      </w:pPr>
      <w:r w:rsidRPr="00131EED">
        <w:rPr>
          <w:rFonts w:cs="Arial"/>
          <w:szCs w:val="20"/>
        </w:rPr>
        <w:t>La biodiversidad en la sabana de Bogotá representa un desafío para las instituciones, organizaciones y la comunidad en general. De igual forma, resulta se identifica una gran responsabilidad por parte de los diferentes actores ya que de las políticas que se formulen y de las acciones que se implementen estará en gran parte determinados los recursos naturales.</w:t>
      </w:r>
    </w:p>
    <w:p w14:paraId="72AB627D" w14:textId="77777777" w:rsidR="008A326C" w:rsidRPr="00131EED" w:rsidRDefault="008A326C" w:rsidP="008A326C">
      <w:pPr>
        <w:autoSpaceDE w:val="0"/>
        <w:autoSpaceDN w:val="0"/>
        <w:adjustRightInd w:val="0"/>
        <w:rPr>
          <w:rFonts w:cs="Arial"/>
          <w:szCs w:val="20"/>
        </w:rPr>
      </w:pPr>
    </w:p>
    <w:p w14:paraId="33EE5204" w14:textId="77777777" w:rsidR="008A326C" w:rsidRPr="00131EED" w:rsidRDefault="008A326C" w:rsidP="008A326C">
      <w:pPr>
        <w:autoSpaceDE w:val="0"/>
        <w:autoSpaceDN w:val="0"/>
        <w:adjustRightInd w:val="0"/>
        <w:rPr>
          <w:rFonts w:cs="Arial"/>
          <w:szCs w:val="20"/>
        </w:rPr>
      </w:pPr>
      <w:r w:rsidRPr="00131EED">
        <w:rPr>
          <w:rFonts w:cs="Arial"/>
          <w:szCs w:val="20"/>
        </w:rPr>
        <w:t xml:space="preserve">Con esta información es clave comprender que cada una de las especies tiene una historia y un rol trascendental en el equilibrio de los ecosistemas. Desde esta mirada, es importante dinamizar procesos de educación ambiental, gestión y manejo de especies amenazadas generando procesos de priorización de especies que enfrenten un alto riesgo de extinción. </w:t>
      </w:r>
    </w:p>
    <w:p w14:paraId="58CD3FFD" w14:textId="77777777" w:rsidR="008A326C" w:rsidRPr="00131EED" w:rsidRDefault="008A326C" w:rsidP="008A326C">
      <w:pPr>
        <w:autoSpaceDE w:val="0"/>
        <w:autoSpaceDN w:val="0"/>
        <w:adjustRightInd w:val="0"/>
        <w:rPr>
          <w:rFonts w:cs="Arial"/>
          <w:szCs w:val="20"/>
        </w:rPr>
      </w:pPr>
    </w:p>
    <w:p w14:paraId="551CB343" w14:textId="21647D85" w:rsidR="008A326C" w:rsidRPr="00131EED" w:rsidRDefault="008A326C" w:rsidP="008A326C">
      <w:pPr>
        <w:autoSpaceDE w:val="0"/>
        <w:autoSpaceDN w:val="0"/>
        <w:adjustRightInd w:val="0"/>
        <w:rPr>
          <w:rFonts w:cs="Arial"/>
          <w:szCs w:val="20"/>
        </w:rPr>
      </w:pPr>
      <w:r w:rsidRPr="00131EED">
        <w:rPr>
          <w:rFonts w:cs="Arial"/>
          <w:szCs w:val="20"/>
        </w:rPr>
        <w:t>A continuación, se muestra un análisis comparativo entre las categorías de amenaza para las especies del listado publicado en 2024 y en 2017 para la sabana de Bogotá, esta información evidencia que ha habido un incremento evidente de las especies amenazadas y que requieren unas medidas de manejo (ver</w:t>
      </w:r>
      <w:r w:rsidR="001B4633" w:rsidRPr="00131EED">
        <w:rPr>
          <w:rFonts w:cs="Arial"/>
          <w:szCs w:val="20"/>
        </w:rPr>
        <w:fldChar w:fldCharType="begin"/>
      </w:r>
      <w:r w:rsidR="001B4633" w:rsidRPr="00131EED">
        <w:rPr>
          <w:rFonts w:cs="Arial"/>
          <w:szCs w:val="20"/>
        </w:rPr>
        <w:instrText xml:space="preserve"> REF _Ref210860127 \h </w:instrText>
      </w:r>
      <w:r w:rsidR="001B4633" w:rsidRPr="00131EED">
        <w:rPr>
          <w:rFonts w:cs="Arial"/>
          <w:szCs w:val="20"/>
        </w:rPr>
      </w:r>
      <w:r w:rsidR="001B4633" w:rsidRPr="00131EED">
        <w:rPr>
          <w:rFonts w:cs="Arial"/>
          <w:szCs w:val="20"/>
        </w:rPr>
        <w:fldChar w:fldCharType="separate"/>
      </w:r>
      <w:r w:rsidR="00CE096F" w:rsidRPr="00131EED">
        <w:t xml:space="preserve">Tabla </w:t>
      </w:r>
      <w:r w:rsidR="001B4633" w:rsidRPr="00131EED">
        <w:rPr>
          <w:rFonts w:cs="Arial"/>
          <w:szCs w:val="20"/>
        </w:rPr>
        <w:fldChar w:fldCharType="end"/>
      </w:r>
      <w:r w:rsidR="00950F07" w:rsidRPr="00131EED">
        <w:rPr>
          <w:rFonts w:cs="Arial"/>
          <w:szCs w:val="20"/>
        </w:rPr>
        <w:t xml:space="preserve"> </w:t>
      </w:r>
      <w:r w:rsidR="00950F07" w:rsidRPr="00131EED">
        <w:rPr>
          <w:rFonts w:cs="Arial"/>
          <w:szCs w:val="20"/>
        </w:rPr>
        <w:fldChar w:fldCharType="begin"/>
      </w:r>
      <w:r w:rsidR="00950F07" w:rsidRPr="00131EED">
        <w:rPr>
          <w:rFonts w:cs="Arial"/>
          <w:szCs w:val="20"/>
        </w:rPr>
        <w:instrText xml:space="preserve"> REF _Ref211005120 \h </w:instrText>
      </w:r>
      <w:r w:rsidR="00950F07" w:rsidRPr="00131EED">
        <w:rPr>
          <w:rFonts w:cs="Arial"/>
          <w:szCs w:val="20"/>
        </w:rPr>
      </w:r>
      <w:r w:rsidR="00950F07" w:rsidRPr="00131EED">
        <w:rPr>
          <w:rFonts w:cs="Arial"/>
          <w:szCs w:val="20"/>
        </w:rPr>
        <w:fldChar w:fldCharType="separate"/>
      </w:r>
      <w:r w:rsidR="00CE096F" w:rsidRPr="00131EED">
        <w:t xml:space="preserve">Tabla </w:t>
      </w:r>
      <w:r w:rsidR="00CE096F">
        <w:rPr>
          <w:noProof/>
        </w:rPr>
        <w:t>19</w:t>
      </w:r>
      <w:r w:rsidR="00950F07" w:rsidRPr="00131EED">
        <w:rPr>
          <w:rFonts w:cs="Arial"/>
          <w:szCs w:val="20"/>
        </w:rPr>
        <w:fldChar w:fldCharType="end"/>
      </w:r>
      <w:r w:rsidRPr="00131EED">
        <w:rPr>
          <w:rFonts w:cs="Arial"/>
          <w:szCs w:val="20"/>
        </w:rPr>
        <w:t xml:space="preserve">). Adicionalmente, se identificó que las especies críticamente amenazadas y con prioridades de conservación: </w:t>
      </w:r>
    </w:p>
    <w:p w14:paraId="4915EFD3" w14:textId="77777777" w:rsidR="008A326C" w:rsidRPr="00131EED" w:rsidRDefault="008A326C" w:rsidP="008A326C">
      <w:pPr>
        <w:autoSpaceDE w:val="0"/>
        <w:autoSpaceDN w:val="0"/>
        <w:adjustRightInd w:val="0"/>
        <w:rPr>
          <w:rFonts w:ascii="Baskerville" w:hAnsi="Baskerville" w:cs="Arial"/>
          <w:szCs w:val="20"/>
        </w:rPr>
      </w:pPr>
    </w:p>
    <w:p w14:paraId="790ACF35" w14:textId="5157A355" w:rsidR="008A326C" w:rsidRPr="00131EED" w:rsidRDefault="008A326C" w:rsidP="00646E27">
      <w:pPr>
        <w:pStyle w:val="Caption"/>
        <w:jc w:val="center"/>
        <w:rPr>
          <w:sz w:val="20"/>
          <w:szCs w:val="20"/>
        </w:rPr>
      </w:pPr>
      <w:bookmarkStart w:id="110" w:name="_Ref210860127"/>
      <w:bookmarkStart w:id="111" w:name="_Ref211005120"/>
      <w:bookmarkStart w:id="112" w:name="_Toc216468929"/>
      <w:r w:rsidRPr="00131EED">
        <w:t xml:space="preserve">Tabla </w:t>
      </w:r>
      <w:bookmarkEnd w:id="110"/>
      <w:r w:rsidRPr="00131EED">
        <w:fldChar w:fldCharType="begin"/>
      </w:r>
      <w:r w:rsidRPr="00131EED">
        <w:instrText xml:space="preserve"> SEQ Tabla \* ARABIC </w:instrText>
      </w:r>
      <w:r w:rsidRPr="00131EED">
        <w:fldChar w:fldCharType="separate"/>
      </w:r>
      <w:r w:rsidR="00CE096F">
        <w:rPr>
          <w:noProof/>
        </w:rPr>
        <w:t>19</w:t>
      </w:r>
      <w:r w:rsidRPr="00131EED">
        <w:fldChar w:fldCharType="end"/>
      </w:r>
      <w:bookmarkEnd w:id="111"/>
      <w:r w:rsidRPr="00131EED">
        <w:t xml:space="preserve"> Análisis del número de especies en la Sabana de Bogotá con alguna categoría de amenaza, según las resoluciones Minambiente No 1912 de 2017 y 0126 de 2024, clasificadas por grupos biológicos.</w:t>
      </w:r>
      <w:bookmarkEnd w:id="112"/>
    </w:p>
    <w:tbl>
      <w:tblPr>
        <w:tblStyle w:val="TableGrid"/>
        <w:tblW w:w="0" w:type="auto"/>
        <w:tblLook w:val="0420" w:firstRow="1" w:lastRow="0" w:firstColumn="0" w:lastColumn="0" w:noHBand="0" w:noVBand="1"/>
      </w:tblPr>
      <w:tblGrid>
        <w:gridCol w:w="1803"/>
        <w:gridCol w:w="1170"/>
        <w:gridCol w:w="1171"/>
        <w:gridCol w:w="1171"/>
        <w:gridCol w:w="1171"/>
        <w:gridCol w:w="1171"/>
        <w:gridCol w:w="1171"/>
      </w:tblGrid>
      <w:tr w:rsidR="008A326C" w:rsidRPr="00131EED" w14:paraId="45B42BD1" w14:textId="77777777" w:rsidTr="00053167">
        <w:trPr>
          <w:trHeight w:val="300"/>
        </w:trPr>
        <w:tc>
          <w:tcPr>
            <w:tcW w:w="1806" w:type="dxa"/>
            <w:noWrap/>
            <w:hideMark/>
          </w:tcPr>
          <w:p w14:paraId="2EBC3012"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rPr>
              <w:t>Categoría de amenaza</w:t>
            </w:r>
          </w:p>
        </w:tc>
        <w:tc>
          <w:tcPr>
            <w:tcW w:w="2344" w:type="dxa"/>
            <w:gridSpan w:val="2"/>
            <w:noWrap/>
            <w:hideMark/>
          </w:tcPr>
          <w:p w14:paraId="048CFA49" w14:textId="77777777" w:rsidR="008A326C" w:rsidRPr="00131EED" w:rsidRDefault="061E56AE" w:rsidP="000448A3">
            <w:pPr>
              <w:autoSpaceDE w:val="0"/>
              <w:autoSpaceDN w:val="0"/>
              <w:adjustRightInd w:val="0"/>
              <w:jc w:val="center"/>
              <w:rPr>
                <w:rFonts w:eastAsia="Baskerville Old Face" w:cs="Baskerville Old Face"/>
                <w:b/>
                <w:sz w:val="20"/>
                <w:szCs w:val="20"/>
              </w:rPr>
            </w:pPr>
            <w:r w:rsidRPr="00131EED">
              <w:rPr>
                <w:rFonts w:eastAsia="Baskerville Old Face" w:cs="Baskerville Old Face"/>
                <w:b/>
                <w:sz w:val="20"/>
                <w:szCs w:val="20"/>
              </w:rPr>
              <w:t>Crítico</w:t>
            </w:r>
          </w:p>
        </w:tc>
        <w:tc>
          <w:tcPr>
            <w:tcW w:w="2344" w:type="dxa"/>
            <w:gridSpan w:val="2"/>
            <w:noWrap/>
            <w:hideMark/>
          </w:tcPr>
          <w:p w14:paraId="2F6A6A88" w14:textId="77777777" w:rsidR="008A326C" w:rsidRPr="00131EED" w:rsidRDefault="061E56AE" w:rsidP="000448A3">
            <w:pPr>
              <w:autoSpaceDE w:val="0"/>
              <w:autoSpaceDN w:val="0"/>
              <w:adjustRightInd w:val="0"/>
              <w:jc w:val="center"/>
              <w:rPr>
                <w:rFonts w:eastAsia="Baskerville Old Face" w:cs="Baskerville Old Face"/>
                <w:b/>
                <w:sz w:val="20"/>
                <w:szCs w:val="20"/>
              </w:rPr>
            </w:pPr>
            <w:r w:rsidRPr="00131EED">
              <w:rPr>
                <w:rFonts w:eastAsia="Baskerville Old Face" w:cs="Baskerville Old Face"/>
                <w:b/>
                <w:sz w:val="20"/>
                <w:szCs w:val="20"/>
              </w:rPr>
              <w:t>En Peligro</w:t>
            </w:r>
          </w:p>
        </w:tc>
        <w:tc>
          <w:tcPr>
            <w:tcW w:w="2344" w:type="dxa"/>
            <w:gridSpan w:val="2"/>
            <w:noWrap/>
            <w:hideMark/>
          </w:tcPr>
          <w:p w14:paraId="2085BD19" w14:textId="77777777" w:rsidR="008A326C" w:rsidRPr="00131EED" w:rsidRDefault="061E56AE" w:rsidP="000448A3">
            <w:pPr>
              <w:autoSpaceDE w:val="0"/>
              <w:autoSpaceDN w:val="0"/>
              <w:adjustRightInd w:val="0"/>
              <w:jc w:val="center"/>
              <w:rPr>
                <w:rFonts w:eastAsia="Baskerville Old Face" w:cs="Baskerville Old Face"/>
                <w:b/>
                <w:sz w:val="20"/>
                <w:szCs w:val="20"/>
              </w:rPr>
            </w:pPr>
            <w:r w:rsidRPr="00131EED">
              <w:rPr>
                <w:rFonts w:eastAsia="Baskerville Old Face" w:cs="Baskerville Old Face"/>
                <w:b/>
                <w:sz w:val="20"/>
                <w:szCs w:val="20"/>
              </w:rPr>
              <w:t>Vulnerable</w:t>
            </w:r>
          </w:p>
        </w:tc>
      </w:tr>
      <w:tr w:rsidR="008A326C" w:rsidRPr="00131EED" w14:paraId="48068B7D" w14:textId="77777777" w:rsidTr="00053167">
        <w:trPr>
          <w:trHeight w:val="300"/>
        </w:trPr>
        <w:tc>
          <w:tcPr>
            <w:tcW w:w="1806" w:type="dxa"/>
            <w:noWrap/>
          </w:tcPr>
          <w:p w14:paraId="2C01D28F"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rPr>
              <w:t>Grupo biológico</w:t>
            </w:r>
          </w:p>
        </w:tc>
        <w:tc>
          <w:tcPr>
            <w:tcW w:w="1172" w:type="dxa"/>
            <w:noWrap/>
          </w:tcPr>
          <w:p w14:paraId="5CF7856C" w14:textId="77777777" w:rsidR="008A326C" w:rsidRPr="00131EED" w:rsidRDefault="061E56AE" w:rsidP="000448A3">
            <w:pPr>
              <w:autoSpaceDE w:val="0"/>
              <w:autoSpaceDN w:val="0"/>
              <w:adjustRightInd w:val="0"/>
              <w:jc w:val="center"/>
              <w:rPr>
                <w:rFonts w:eastAsia="Baskerville Old Face" w:cs="Baskerville Old Face"/>
                <w:b/>
                <w:sz w:val="20"/>
                <w:szCs w:val="20"/>
              </w:rPr>
            </w:pPr>
            <w:r w:rsidRPr="00131EED">
              <w:rPr>
                <w:rFonts w:eastAsia="Baskerville Old Face" w:cs="Baskerville Old Face"/>
                <w:b/>
                <w:sz w:val="20"/>
                <w:szCs w:val="20"/>
              </w:rPr>
              <w:t>Año 2024</w:t>
            </w:r>
          </w:p>
        </w:tc>
        <w:tc>
          <w:tcPr>
            <w:tcW w:w="1172" w:type="dxa"/>
            <w:noWrap/>
          </w:tcPr>
          <w:p w14:paraId="1EC67965" w14:textId="77777777" w:rsidR="008A326C" w:rsidRPr="00131EED" w:rsidRDefault="061E56AE" w:rsidP="000448A3">
            <w:pPr>
              <w:autoSpaceDE w:val="0"/>
              <w:autoSpaceDN w:val="0"/>
              <w:adjustRightInd w:val="0"/>
              <w:jc w:val="center"/>
              <w:rPr>
                <w:rFonts w:eastAsia="Baskerville Old Face" w:cs="Baskerville Old Face"/>
                <w:b/>
                <w:sz w:val="20"/>
                <w:szCs w:val="20"/>
              </w:rPr>
            </w:pPr>
            <w:r w:rsidRPr="00131EED">
              <w:rPr>
                <w:rFonts w:eastAsia="Baskerville Old Face" w:cs="Baskerville Old Face"/>
                <w:b/>
                <w:sz w:val="20"/>
                <w:szCs w:val="20"/>
              </w:rPr>
              <w:t>Año 2017</w:t>
            </w:r>
          </w:p>
        </w:tc>
        <w:tc>
          <w:tcPr>
            <w:tcW w:w="1172" w:type="dxa"/>
            <w:noWrap/>
          </w:tcPr>
          <w:p w14:paraId="3F2BE684" w14:textId="77777777" w:rsidR="008A326C" w:rsidRPr="00131EED" w:rsidRDefault="061E56AE" w:rsidP="000448A3">
            <w:pPr>
              <w:autoSpaceDE w:val="0"/>
              <w:autoSpaceDN w:val="0"/>
              <w:adjustRightInd w:val="0"/>
              <w:jc w:val="center"/>
              <w:rPr>
                <w:rFonts w:eastAsia="Baskerville Old Face" w:cs="Baskerville Old Face"/>
                <w:b/>
                <w:sz w:val="20"/>
                <w:szCs w:val="20"/>
              </w:rPr>
            </w:pPr>
            <w:r w:rsidRPr="00131EED">
              <w:rPr>
                <w:rFonts w:eastAsia="Baskerville Old Face" w:cs="Baskerville Old Face"/>
                <w:b/>
                <w:sz w:val="20"/>
                <w:szCs w:val="20"/>
              </w:rPr>
              <w:t>Año 2024</w:t>
            </w:r>
          </w:p>
        </w:tc>
        <w:tc>
          <w:tcPr>
            <w:tcW w:w="1172" w:type="dxa"/>
            <w:noWrap/>
          </w:tcPr>
          <w:p w14:paraId="12373318" w14:textId="77777777" w:rsidR="008A326C" w:rsidRPr="00131EED" w:rsidRDefault="061E56AE" w:rsidP="000448A3">
            <w:pPr>
              <w:autoSpaceDE w:val="0"/>
              <w:autoSpaceDN w:val="0"/>
              <w:adjustRightInd w:val="0"/>
              <w:jc w:val="center"/>
              <w:rPr>
                <w:rFonts w:eastAsia="Baskerville Old Face" w:cs="Baskerville Old Face"/>
                <w:b/>
                <w:sz w:val="20"/>
                <w:szCs w:val="20"/>
              </w:rPr>
            </w:pPr>
            <w:r w:rsidRPr="00131EED">
              <w:rPr>
                <w:rFonts w:eastAsia="Baskerville Old Face" w:cs="Baskerville Old Face"/>
                <w:b/>
                <w:sz w:val="20"/>
                <w:szCs w:val="20"/>
              </w:rPr>
              <w:t>Año 2017</w:t>
            </w:r>
          </w:p>
        </w:tc>
        <w:tc>
          <w:tcPr>
            <w:tcW w:w="1172" w:type="dxa"/>
            <w:noWrap/>
          </w:tcPr>
          <w:p w14:paraId="6AAFCABA" w14:textId="77777777" w:rsidR="008A326C" w:rsidRPr="00131EED" w:rsidRDefault="061E56AE" w:rsidP="000448A3">
            <w:pPr>
              <w:autoSpaceDE w:val="0"/>
              <w:autoSpaceDN w:val="0"/>
              <w:adjustRightInd w:val="0"/>
              <w:jc w:val="center"/>
              <w:rPr>
                <w:rFonts w:eastAsia="Baskerville Old Face" w:cs="Baskerville Old Face"/>
                <w:b/>
                <w:sz w:val="20"/>
                <w:szCs w:val="20"/>
              </w:rPr>
            </w:pPr>
            <w:r w:rsidRPr="00131EED">
              <w:rPr>
                <w:rFonts w:eastAsia="Baskerville Old Face" w:cs="Baskerville Old Face"/>
                <w:b/>
                <w:sz w:val="20"/>
                <w:szCs w:val="20"/>
              </w:rPr>
              <w:t>Año 2024</w:t>
            </w:r>
          </w:p>
        </w:tc>
        <w:tc>
          <w:tcPr>
            <w:tcW w:w="1172" w:type="dxa"/>
            <w:noWrap/>
          </w:tcPr>
          <w:p w14:paraId="75012572" w14:textId="77777777" w:rsidR="008A326C" w:rsidRPr="00131EED" w:rsidRDefault="061E56AE" w:rsidP="000448A3">
            <w:pPr>
              <w:autoSpaceDE w:val="0"/>
              <w:autoSpaceDN w:val="0"/>
              <w:adjustRightInd w:val="0"/>
              <w:jc w:val="center"/>
              <w:rPr>
                <w:rFonts w:eastAsia="Baskerville Old Face" w:cs="Baskerville Old Face"/>
                <w:b/>
                <w:sz w:val="20"/>
                <w:szCs w:val="20"/>
              </w:rPr>
            </w:pPr>
            <w:r w:rsidRPr="00131EED">
              <w:rPr>
                <w:rFonts w:eastAsia="Baskerville Old Face" w:cs="Baskerville Old Face"/>
                <w:b/>
                <w:sz w:val="20"/>
                <w:szCs w:val="20"/>
              </w:rPr>
              <w:t>Año 2017</w:t>
            </w:r>
          </w:p>
        </w:tc>
      </w:tr>
      <w:tr w:rsidR="008A326C" w:rsidRPr="00131EED" w14:paraId="5A3F16A6" w14:textId="77777777" w:rsidTr="00053167">
        <w:trPr>
          <w:trHeight w:val="300"/>
        </w:trPr>
        <w:tc>
          <w:tcPr>
            <w:tcW w:w="1806" w:type="dxa"/>
            <w:noWrap/>
            <w:hideMark/>
          </w:tcPr>
          <w:p w14:paraId="3E2204AA"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rPr>
              <w:t>Hongos</w:t>
            </w:r>
          </w:p>
        </w:tc>
        <w:tc>
          <w:tcPr>
            <w:tcW w:w="1172" w:type="dxa"/>
            <w:noWrap/>
            <w:hideMark/>
          </w:tcPr>
          <w:p w14:paraId="3A19C7D3"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8</w:t>
            </w:r>
          </w:p>
        </w:tc>
        <w:tc>
          <w:tcPr>
            <w:tcW w:w="1172" w:type="dxa"/>
            <w:noWrap/>
            <w:hideMark/>
          </w:tcPr>
          <w:p w14:paraId="0A13A9DF"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2F6876AD"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w:t>
            </w:r>
          </w:p>
        </w:tc>
        <w:tc>
          <w:tcPr>
            <w:tcW w:w="1172" w:type="dxa"/>
            <w:noWrap/>
            <w:hideMark/>
          </w:tcPr>
          <w:p w14:paraId="559D9A32"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1A3157B8"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2</w:t>
            </w:r>
          </w:p>
        </w:tc>
        <w:tc>
          <w:tcPr>
            <w:tcW w:w="1172" w:type="dxa"/>
            <w:noWrap/>
            <w:hideMark/>
          </w:tcPr>
          <w:p w14:paraId="71FEE25E"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r>
      <w:tr w:rsidR="008A326C" w:rsidRPr="00131EED" w14:paraId="19C04BE4" w14:textId="77777777" w:rsidTr="00053167">
        <w:trPr>
          <w:trHeight w:val="300"/>
        </w:trPr>
        <w:tc>
          <w:tcPr>
            <w:tcW w:w="1806" w:type="dxa"/>
            <w:noWrap/>
            <w:hideMark/>
          </w:tcPr>
          <w:p w14:paraId="4154CABA"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rPr>
              <w:t>Plantas</w:t>
            </w:r>
          </w:p>
        </w:tc>
        <w:tc>
          <w:tcPr>
            <w:tcW w:w="1172" w:type="dxa"/>
            <w:noWrap/>
            <w:hideMark/>
          </w:tcPr>
          <w:p w14:paraId="6CF2150A"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13</w:t>
            </w:r>
          </w:p>
        </w:tc>
        <w:tc>
          <w:tcPr>
            <w:tcW w:w="1172" w:type="dxa"/>
            <w:noWrap/>
            <w:hideMark/>
          </w:tcPr>
          <w:p w14:paraId="1E1E07D0"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8</w:t>
            </w:r>
          </w:p>
        </w:tc>
        <w:tc>
          <w:tcPr>
            <w:tcW w:w="1172" w:type="dxa"/>
            <w:noWrap/>
            <w:hideMark/>
          </w:tcPr>
          <w:p w14:paraId="011E6EB0"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41</w:t>
            </w:r>
          </w:p>
        </w:tc>
        <w:tc>
          <w:tcPr>
            <w:tcW w:w="1172" w:type="dxa"/>
            <w:noWrap/>
            <w:hideMark/>
          </w:tcPr>
          <w:p w14:paraId="07890B4A"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19</w:t>
            </w:r>
          </w:p>
        </w:tc>
        <w:tc>
          <w:tcPr>
            <w:tcW w:w="1172" w:type="dxa"/>
            <w:noWrap/>
            <w:hideMark/>
          </w:tcPr>
          <w:p w14:paraId="2F82D5F3"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57</w:t>
            </w:r>
          </w:p>
        </w:tc>
        <w:tc>
          <w:tcPr>
            <w:tcW w:w="1172" w:type="dxa"/>
            <w:noWrap/>
            <w:hideMark/>
          </w:tcPr>
          <w:p w14:paraId="495695DE"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29</w:t>
            </w:r>
          </w:p>
        </w:tc>
      </w:tr>
      <w:tr w:rsidR="008A326C" w:rsidRPr="00131EED" w14:paraId="4833AF10" w14:textId="77777777" w:rsidTr="00053167">
        <w:trPr>
          <w:trHeight w:val="300"/>
        </w:trPr>
        <w:tc>
          <w:tcPr>
            <w:tcW w:w="1806" w:type="dxa"/>
            <w:noWrap/>
            <w:hideMark/>
          </w:tcPr>
          <w:p w14:paraId="012C2AB8"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rPr>
              <w:t>Anfibios</w:t>
            </w:r>
          </w:p>
        </w:tc>
        <w:tc>
          <w:tcPr>
            <w:tcW w:w="1172" w:type="dxa"/>
            <w:noWrap/>
            <w:hideMark/>
          </w:tcPr>
          <w:p w14:paraId="166F93DC"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3</w:t>
            </w:r>
          </w:p>
        </w:tc>
        <w:tc>
          <w:tcPr>
            <w:tcW w:w="1172" w:type="dxa"/>
            <w:noWrap/>
            <w:hideMark/>
          </w:tcPr>
          <w:p w14:paraId="51882F8C"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3</w:t>
            </w:r>
          </w:p>
        </w:tc>
        <w:tc>
          <w:tcPr>
            <w:tcW w:w="1172" w:type="dxa"/>
            <w:noWrap/>
            <w:hideMark/>
          </w:tcPr>
          <w:p w14:paraId="7094DDEB"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4</w:t>
            </w:r>
          </w:p>
        </w:tc>
        <w:tc>
          <w:tcPr>
            <w:tcW w:w="1172" w:type="dxa"/>
            <w:noWrap/>
            <w:hideMark/>
          </w:tcPr>
          <w:p w14:paraId="1A12709E"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w:t>
            </w:r>
          </w:p>
        </w:tc>
        <w:tc>
          <w:tcPr>
            <w:tcW w:w="1172" w:type="dxa"/>
            <w:noWrap/>
            <w:hideMark/>
          </w:tcPr>
          <w:p w14:paraId="507714C5"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3</w:t>
            </w:r>
          </w:p>
        </w:tc>
        <w:tc>
          <w:tcPr>
            <w:tcW w:w="1172" w:type="dxa"/>
            <w:noWrap/>
            <w:hideMark/>
          </w:tcPr>
          <w:p w14:paraId="0364AC53"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r>
      <w:tr w:rsidR="008A326C" w:rsidRPr="00131EED" w14:paraId="70CE314F" w14:textId="77777777" w:rsidTr="00053167">
        <w:trPr>
          <w:trHeight w:val="300"/>
        </w:trPr>
        <w:tc>
          <w:tcPr>
            <w:tcW w:w="1806" w:type="dxa"/>
            <w:noWrap/>
            <w:hideMark/>
          </w:tcPr>
          <w:p w14:paraId="01CFDA86"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rPr>
              <w:t>Arañas</w:t>
            </w:r>
          </w:p>
        </w:tc>
        <w:tc>
          <w:tcPr>
            <w:tcW w:w="1172" w:type="dxa"/>
            <w:noWrap/>
            <w:hideMark/>
          </w:tcPr>
          <w:p w14:paraId="1DFEF4C3"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5900AB84"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09C0CD29"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2</w:t>
            </w:r>
          </w:p>
        </w:tc>
        <w:tc>
          <w:tcPr>
            <w:tcW w:w="1172" w:type="dxa"/>
            <w:noWrap/>
            <w:hideMark/>
          </w:tcPr>
          <w:p w14:paraId="448B4814"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2</w:t>
            </w:r>
          </w:p>
        </w:tc>
        <w:tc>
          <w:tcPr>
            <w:tcW w:w="1172" w:type="dxa"/>
            <w:noWrap/>
            <w:hideMark/>
          </w:tcPr>
          <w:p w14:paraId="2E590B39"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3</w:t>
            </w:r>
          </w:p>
        </w:tc>
        <w:tc>
          <w:tcPr>
            <w:tcW w:w="1172" w:type="dxa"/>
            <w:noWrap/>
            <w:hideMark/>
          </w:tcPr>
          <w:p w14:paraId="29104906"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3</w:t>
            </w:r>
          </w:p>
        </w:tc>
      </w:tr>
      <w:tr w:rsidR="008A326C" w:rsidRPr="00131EED" w14:paraId="763678B9" w14:textId="77777777" w:rsidTr="00053167">
        <w:trPr>
          <w:trHeight w:val="300"/>
        </w:trPr>
        <w:tc>
          <w:tcPr>
            <w:tcW w:w="1806" w:type="dxa"/>
            <w:noWrap/>
            <w:hideMark/>
          </w:tcPr>
          <w:p w14:paraId="3146A481"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rPr>
              <w:t>Aves</w:t>
            </w:r>
          </w:p>
        </w:tc>
        <w:tc>
          <w:tcPr>
            <w:tcW w:w="1172" w:type="dxa"/>
            <w:noWrap/>
            <w:hideMark/>
          </w:tcPr>
          <w:p w14:paraId="7E21A5A0"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4</w:t>
            </w:r>
          </w:p>
        </w:tc>
        <w:tc>
          <w:tcPr>
            <w:tcW w:w="1172" w:type="dxa"/>
            <w:noWrap/>
            <w:hideMark/>
          </w:tcPr>
          <w:p w14:paraId="6BDBF73D"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4</w:t>
            </w:r>
          </w:p>
        </w:tc>
        <w:tc>
          <w:tcPr>
            <w:tcW w:w="1172" w:type="dxa"/>
            <w:noWrap/>
            <w:hideMark/>
          </w:tcPr>
          <w:p w14:paraId="70A8D2C6"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13</w:t>
            </w:r>
          </w:p>
        </w:tc>
        <w:tc>
          <w:tcPr>
            <w:tcW w:w="1172" w:type="dxa"/>
            <w:noWrap/>
            <w:hideMark/>
          </w:tcPr>
          <w:p w14:paraId="17AADA43"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11</w:t>
            </w:r>
          </w:p>
        </w:tc>
        <w:tc>
          <w:tcPr>
            <w:tcW w:w="1172" w:type="dxa"/>
            <w:noWrap/>
            <w:hideMark/>
          </w:tcPr>
          <w:p w14:paraId="1083F836"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16</w:t>
            </w:r>
          </w:p>
        </w:tc>
        <w:tc>
          <w:tcPr>
            <w:tcW w:w="1172" w:type="dxa"/>
            <w:noWrap/>
            <w:hideMark/>
          </w:tcPr>
          <w:p w14:paraId="31D5E81D"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16</w:t>
            </w:r>
          </w:p>
        </w:tc>
      </w:tr>
      <w:tr w:rsidR="008A326C" w:rsidRPr="00131EED" w14:paraId="50F2FB65" w14:textId="77777777" w:rsidTr="00053167">
        <w:trPr>
          <w:trHeight w:val="300"/>
        </w:trPr>
        <w:tc>
          <w:tcPr>
            <w:tcW w:w="1806" w:type="dxa"/>
            <w:noWrap/>
            <w:hideMark/>
          </w:tcPr>
          <w:p w14:paraId="22C24965"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rPr>
              <w:t>Insectos</w:t>
            </w:r>
          </w:p>
        </w:tc>
        <w:tc>
          <w:tcPr>
            <w:tcW w:w="1172" w:type="dxa"/>
            <w:noWrap/>
            <w:hideMark/>
          </w:tcPr>
          <w:p w14:paraId="128668A8"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4969BB04"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783854F4"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241FFFF1"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w:t>
            </w:r>
          </w:p>
        </w:tc>
        <w:tc>
          <w:tcPr>
            <w:tcW w:w="1172" w:type="dxa"/>
            <w:noWrap/>
            <w:hideMark/>
          </w:tcPr>
          <w:p w14:paraId="7AAA7838"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2</w:t>
            </w:r>
          </w:p>
        </w:tc>
        <w:tc>
          <w:tcPr>
            <w:tcW w:w="1172" w:type="dxa"/>
            <w:noWrap/>
            <w:hideMark/>
          </w:tcPr>
          <w:p w14:paraId="78D2FAF8"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2</w:t>
            </w:r>
          </w:p>
        </w:tc>
      </w:tr>
      <w:tr w:rsidR="008A326C" w:rsidRPr="00131EED" w14:paraId="5B22E176" w14:textId="77777777" w:rsidTr="00053167">
        <w:trPr>
          <w:trHeight w:val="300"/>
        </w:trPr>
        <w:tc>
          <w:tcPr>
            <w:tcW w:w="1806" w:type="dxa"/>
            <w:noWrap/>
            <w:hideMark/>
          </w:tcPr>
          <w:p w14:paraId="14A342E9"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rPr>
              <w:t>Mamíferos</w:t>
            </w:r>
          </w:p>
        </w:tc>
        <w:tc>
          <w:tcPr>
            <w:tcW w:w="1172" w:type="dxa"/>
            <w:noWrap/>
            <w:hideMark/>
          </w:tcPr>
          <w:p w14:paraId="564AA9BA"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w:t>
            </w:r>
          </w:p>
        </w:tc>
        <w:tc>
          <w:tcPr>
            <w:tcW w:w="1172" w:type="dxa"/>
            <w:noWrap/>
            <w:hideMark/>
          </w:tcPr>
          <w:p w14:paraId="095E308C"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7D791484"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w:t>
            </w:r>
          </w:p>
        </w:tc>
        <w:tc>
          <w:tcPr>
            <w:tcW w:w="1172" w:type="dxa"/>
            <w:noWrap/>
            <w:hideMark/>
          </w:tcPr>
          <w:p w14:paraId="29150BDC"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2</w:t>
            </w:r>
          </w:p>
        </w:tc>
        <w:tc>
          <w:tcPr>
            <w:tcW w:w="1172" w:type="dxa"/>
            <w:noWrap/>
            <w:hideMark/>
          </w:tcPr>
          <w:p w14:paraId="2774ACCC"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9</w:t>
            </w:r>
          </w:p>
        </w:tc>
        <w:tc>
          <w:tcPr>
            <w:tcW w:w="1172" w:type="dxa"/>
            <w:noWrap/>
            <w:hideMark/>
          </w:tcPr>
          <w:p w14:paraId="4215D897"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3</w:t>
            </w:r>
          </w:p>
        </w:tc>
      </w:tr>
      <w:tr w:rsidR="008A326C" w:rsidRPr="00131EED" w14:paraId="49A96B29" w14:textId="77777777" w:rsidTr="00053167">
        <w:trPr>
          <w:trHeight w:val="300"/>
        </w:trPr>
        <w:tc>
          <w:tcPr>
            <w:tcW w:w="1806" w:type="dxa"/>
            <w:noWrap/>
            <w:hideMark/>
          </w:tcPr>
          <w:p w14:paraId="64304614"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rPr>
              <w:t>Serpientes y reptiles</w:t>
            </w:r>
          </w:p>
        </w:tc>
        <w:tc>
          <w:tcPr>
            <w:tcW w:w="1172" w:type="dxa"/>
            <w:noWrap/>
            <w:hideMark/>
          </w:tcPr>
          <w:p w14:paraId="2AFD61C8"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w:t>
            </w:r>
          </w:p>
        </w:tc>
        <w:tc>
          <w:tcPr>
            <w:tcW w:w="1172" w:type="dxa"/>
            <w:noWrap/>
            <w:hideMark/>
          </w:tcPr>
          <w:p w14:paraId="559CFA70"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w:t>
            </w:r>
          </w:p>
        </w:tc>
        <w:tc>
          <w:tcPr>
            <w:tcW w:w="1172" w:type="dxa"/>
            <w:noWrap/>
            <w:hideMark/>
          </w:tcPr>
          <w:p w14:paraId="02409127"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020D3F51"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5142B81B"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w:t>
            </w:r>
          </w:p>
        </w:tc>
        <w:tc>
          <w:tcPr>
            <w:tcW w:w="1172" w:type="dxa"/>
            <w:noWrap/>
            <w:hideMark/>
          </w:tcPr>
          <w:p w14:paraId="079DBEB2"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w:t>
            </w:r>
          </w:p>
        </w:tc>
      </w:tr>
      <w:tr w:rsidR="008A326C" w:rsidRPr="00131EED" w14:paraId="6735547C" w14:textId="77777777" w:rsidTr="00053167">
        <w:trPr>
          <w:trHeight w:val="300"/>
        </w:trPr>
        <w:tc>
          <w:tcPr>
            <w:tcW w:w="1806" w:type="dxa"/>
            <w:noWrap/>
            <w:hideMark/>
          </w:tcPr>
          <w:p w14:paraId="0380DC17"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rPr>
              <w:t>Tortugas</w:t>
            </w:r>
          </w:p>
        </w:tc>
        <w:tc>
          <w:tcPr>
            <w:tcW w:w="1172" w:type="dxa"/>
            <w:noWrap/>
            <w:hideMark/>
          </w:tcPr>
          <w:p w14:paraId="018809D1"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5AED57E3"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5E518BD0"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w:t>
            </w:r>
          </w:p>
        </w:tc>
        <w:tc>
          <w:tcPr>
            <w:tcW w:w="1172" w:type="dxa"/>
            <w:noWrap/>
            <w:hideMark/>
          </w:tcPr>
          <w:p w14:paraId="796D8286"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w:t>
            </w:r>
          </w:p>
        </w:tc>
        <w:tc>
          <w:tcPr>
            <w:tcW w:w="1172" w:type="dxa"/>
            <w:noWrap/>
            <w:hideMark/>
          </w:tcPr>
          <w:p w14:paraId="79355852"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0E8A358E"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w:t>
            </w:r>
          </w:p>
        </w:tc>
      </w:tr>
      <w:tr w:rsidR="008A326C" w:rsidRPr="00131EED" w14:paraId="190FAC95" w14:textId="77777777" w:rsidTr="00053167">
        <w:trPr>
          <w:trHeight w:val="300"/>
        </w:trPr>
        <w:tc>
          <w:tcPr>
            <w:tcW w:w="1806" w:type="dxa"/>
            <w:noWrap/>
            <w:hideMark/>
          </w:tcPr>
          <w:p w14:paraId="03F71954"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rPr>
              <w:t>Peces</w:t>
            </w:r>
          </w:p>
        </w:tc>
        <w:tc>
          <w:tcPr>
            <w:tcW w:w="1172" w:type="dxa"/>
            <w:noWrap/>
            <w:hideMark/>
          </w:tcPr>
          <w:p w14:paraId="39935DCB"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65820A03"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48C70A0D"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16D98352"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318F982A"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w:t>
            </w:r>
          </w:p>
        </w:tc>
        <w:tc>
          <w:tcPr>
            <w:tcW w:w="1172" w:type="dxa"/>
            <w:noWrap/>
            <w:hideMark/>
          </w:tcPr>
          <w:p w14:paraId="6CCD3FA6"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w:t>
            </w:r>
          </w:p>
        </w:tc>
      </w:tr>
      <w:tr w:rsidR="008A326C" w:rsidRPr="00131EED" w14:paraId="602167F8" w14:textId="77777777" w:rsidTr="00053167">
        <w:trPr>
          <w:trHeight w:val="300"/>
        </w:trPr>
        <w:tc>
          <w:tcPr>
            <w:tcW w:w="1806" w:type="dxa"/>
            <w:noWrap/>
            <w:hideMark/>
          </w:tcPr>
          <w:p w14:paraId="095C8B8D"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rPr>
              <w:t>Moluscos</w:t>
            </w:r>
          </w:p>
        </w:tc>
        <w:tc>
          <w:tcPr>
            <w:tcW w:w="1172" w:type="dxa"/>
            <w:noWrap/>
            <w:hideMark/>
          </w:tcPr>
          <w:p w14:paraId="3E625546"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w:t>
            </w:r>
          </w:p>
        </w:tc>
        <w:tc>
          <w:tcPr>
            <w:tcW w:w="1172" w:type="dxa"/>
            <w:noWrap/>
            <w:hideMark/>
          </w:tcPr>
          <w:p w14:paraId="5D6E28FB"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66271B1E"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05484A5C"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41595395"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1AE862C2"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r>
      <w:tr w:rsidR="008A326C" w:rsidRPr="00131EED" w14:paraId="22A6093F" w14:textId="77777777" w:rsidTr="00053167">
        <w:trPr>
          <w:trHeight w:val="300"/>
        </w:trPr>
        <w:tc>
          <w:tcPr>
            <w:tcW w:w="1806" w:type="dxa"/>
            <w:noWrap/>
            <w:hideMark/>
          </w:tcPr>
          <w:p w14:paraId="7C9E7779"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rPr>
              <w:t>Crustáceos</w:t>
            </w:r>
          </w:p>
        </w:tc>
        <w:tc>
          <w:tcPr>
            <w:tcW w:w="1172" w:type="dxa"/>
            <w:noWrap/>
            <w:hideMark/>
          </w:tcPr>
          <w:p w14:paraId="665A49C0"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30CC4110"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0</w:t>
            </w:r>
          </w:p>
        </w:tc>
        <w:tc>
          <w:tcPr>
            <w:tcW w:w="1172" w:type="dxa"/>
            <w:noWrap/>
            <w:hideMark/>
          </w:tcPr>
          <w:p w14:paraId="26E8D563"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w:t>
            </w:r>
          </w:p>
        </w:tc>
        <w:tc>
          <w:tcPr>
            <w:tcW w:w="1172" w:type="dxa"/>
            <w:noWrap/>
            <w:hideMark/>
          </w:tcPr>
          <w:p w14:paraId="4D4EF0E2"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3</w:t>
            </w:r>
          </w:p>
        </w:tc>
        <w:tc>
          <w:tcPr>
            <w:tcW w:w="1172" w:type="dxa"/>
            <w:noWrap/>
            <w:hideMark/>
          </w:tcPr>
          <w:p w14:paraId="687BF799"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2</w:t>
            </w:r>
          </w:p>
        </w:tc>
        <w:tc>
          <w:tcPr>
            <w:tcW w:w="1172" w:type="dxa"/>
            <w:noWrap/>
            <w:hideMark/>
          </w:tcPr>
          <w:p w14:paraId="76D69F31"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5</w:t>
            </w:r>
          </w:p>
        </w:tc>
      </w:tr>
      <w:tr w:rsidR="008A326C" w:rsidRPr="00131EED" w14:paraId="69C233E3" w14:textId="77777777" w:rsidTr="00053167">
        <w:trPr>
          <w:trHeight w:val="300"/>
        </w:trPr>
        <w:tc>
          <w:tcPr>
            <w:tcW w:w="1806" w:type="dxa"/>
            <w:noWrap/>
            <w:hideMark/>
          </w:tcPr>
          <w:p w14:paraId="56BD85D6"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rPr>
              <w:t>Total</w:t>
            </w:r>
          </w:p>
        </w:tc>
        <w:tc>
          <w:tcPr>
            <w:tcW w:w="1172" w:type="dxa"/>
            <w:noWrap/>
            <w:hideMark/>
          </w:tcPr>
          <w:p w14:paraId="3FC43550"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31</w:t>
            </w:r>
          </w:p>
        </w:tc>
        <w:tc>
          <w:tcPr>
            <w:tcW w:w="1172" w:type="dxa"/>
            <w:noWrap/>
            <w:hideMark/>
          </w:tcPr>
          <w:p w14:paraId="653E1E58"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16</w:t>
            </w:r>
          </w:p>
        </w:tc>
        <w:tc>
          <w:tcPr>
            <w:tcW w:w="1172" w:type="dxa"/>
            <w:noWrap/>
            <w:hideMark/>
          </w:tcPr>
          <w:p w14:paraId="1B1EFF78"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64</w:t>
            </w:r>
          </w:p>
        </w:tc>
        <w:tc>
          <w:tcPr>
            <w:tcW w:w="1172" w:type="dxa"/>
            <w:noWrap/>
            <w:hideMark/>
          </w:tcPr>
          <w:p w14:paraId="0F3B6ED8"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40</w:t>
            </w:r>
          </w:p>
        </w:tc>
        <w:tc>
          <w:tcPr>
            <w:tcW w:w="1172" w:type="dxa"/>
            <w:noWrap/>
            <w:hideMark/>
          </w:tcPr>
          <w:p w14:paraId="76181C8C"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96</w:t>
            </w:r>
          </w:p>
        </w:tc>
        <w:tc>
          <w:tcPr>
            <w:tcW w:w="1172" w:type="dxa"/>
            <w:noWrap/>
            <w:hideMark/>
          </w:tcPr>
          <w:p w14:paraId="160C1D06" w14:textId="77777777" w:rsidR="008A326C" w:rsidRPr="00131EED" w:rsidRDefault="061E56AE" w:rsidP="000448A3">
            <w:pPr>
              <w:autoSpaceDE w:val="0"/>
              <w:autoSpaceDN w:val="0"/>
              <w:adjustRightInd w:val="0"/>
              <w:jc w:val="center"/>
              <w:rPr>
                <w:rFonts w:eastAsia="Baskerville Old Face" w:cs="Baskerville Old Face"/>
                <w:sz w:val="20"/>
                <w:szCs w:val="20"/>
              </w:rPr>
            </w:pPr>
            <w:r w:rsidRPr="00131EED">
              <w:rPr>
                <w:rFonts w:eastAsia="Baskerville Old Face" w:cs="Baskerville Old Face"/>
                <w:sz w:val="20"/>
                <w:szCs w:val="20"/>
              </w:rPr>
              <w:t>61</w:t>
            </w:r>
          </w:p>
        </w:tc>
      </w:tr>
    </w:tbl>
    <w:p w14:paraId="5A4D7AF5" w14:textId="77777777" w:rsidR="008A326C" w:rsidRPr="00131EED" w:rsidRDefault="008A326C" w:rsidP="00646E27">
      <w:pPr>
        <w:jc w:val="center"/>
        <w:rPr>
          <w:rFonts w:cs="Arial"/>
          <w:sz w:val="20"/>
          <w:szCs w:val="20"/>
        </w:rPr>
      </w:pPr>
      <w:r w:rsidRPr="00131EED">
        <w:rPr>
          <w:rStyle w:val="FootnoteReference"/>
          <w:rFonts w:cs="Arial"/>
          <w:sz w:val="20"/>
          <w:szCs w:val="20"/>
          <w:vertAlign w:val="baseline"/>
        </w:rPr>
        <w:t>Fuente: MinAmbiente con información IAVH, 2024</w:t>
      </w:r>
    </w:p>
    <w:p w14:paraId="6972EDA1" w14:textId="77777777" w:rsidR="008A326C" w:rsidRPr="00131EED" w:rsidRDefault="008A326C" w:rsidP="008A326C">
      <w:pPr>
        <w:autoSpaceDE w:val="0"/>
        <w:autoSpaceDN w:val="0"/>
        <w:adjustRightInd w:val="0"/>
        <w:rPr>
          <w:rFonts w:ascii="Baskerville" w:hAnsi="Baskerville" w:cs="Arial"/>
          <w:szCs w:val="20"/>
        </w:rPr>
      </w:pPr>
    </w:p>
    <w:p w14:paraId="79133784" w14:textId="739B6FDE" w:rsidR="008A326C" w:rsidRPr="00131EED" w:rsidRDefault="008A326C" w:rsidP="00646E27">
      <w:pPr>
        <w:pStyle w:val="Caption"/>
        <w:jc w:val="center"/>
      </w:pPr>
      <w:bookmarkStart w:id="113" w:name="_Toc216468930"/>
      <w:r w:rsidRPr="00131EED">
        <w:t xml:space="preserve">Tabla </w:t>
      </w:r>
      <w:r w:rsidRPr="00131EED">
        <w:fldChar w:fldCharType="begin"/>
      </w:r>
      <w:r w:rsidRPr="00131EED">
        <w:instrText>SEQ Tabla \* ARABIC</w:instrText>
      </w:r>
      <w:r w:rsidRPr="00131EED">
        <w:fldChar w:fldCharType="separate"/>
      </w:r>
      <w:r w:rsidR="00CE096F">
        <w:rPr>
          <w:noProof/>
        </w:rPr>
        <w:t>20</w:t>
      </w:r>
      <w:r w:rsidRPr="00131EED">
        <w:fldChar w:fldCharType="end"/>
      </w:r>
      <w:r w:rsidRPr="00131EED">
        <w:t>. Relación de especies en estado crítico de conservación en la Sabana de Bogotá</w:t>
      </w:r>
      <w:bookmarkEnd w:id="113"/>
    </w:p>
    <w:tbl>
      <w:tblPr>
        <w:tblStyle w:val="TableGrid"/>
        <w:tblW w:w="0" w:type="auto"/>
        <w:jc w:val="center"/>
        <w:tblLook w:val="0420" w:firstRow="1" w:lastRow="0" w:firstColumn="0" w:lastColumn="0" w:noHBand="0" w:noVBand="1"/>
      </w:tblPr>
      <w:tblGrid>
        <w:gridCol w:w="617"/>
        <w:gridCol w:w="3352"/>
        <w:gridCol w:w="236"/>
        <w:gridCol w:w="605"/>
        <w:gridCol w:w="2562"/>
      </w:tblGrid>
      <w:tr w:rsidR="008A326C" w:rsidRPr="00131EED" w14:paraId="37120B95" w14:textId="77777777" w:rsidTr="008247D8">
        <w:trPr>
          <w:trHeight w:val="315"/>
          <w:tblHeader/>
          <w:jc w:val="center"/>
        </w:trPr>
        <w:tc>
          <w:tcPr>
            <w:tcW w:w="617" w:type="dxa"/>
          </w:tcPr>
          <w:p w14:paraId="19998718"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rPr>
              <w:t>Ítem</w:t>
            </w:r>
          </w:p>
        </w:tc>
        <w:tc>
          <w:tcPr>
            <w:tcW w:w="3352" w:type="dxa"/>
            <w:noWrap/>
          </w:tcPr>
          <w:p w14:paraId="31E06E20"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rPr>
              <w:t>Especie en categoría CR – Resolución 126 de 2024</w:t>
            </w:r>
          </w:p>
        </w:tc>
        <w:tc>
          <w:tcPr>
            <w:tcW w:w="236" w:type="dxa"/>
          </w:tcPr>
          <w:p w14:paraId="09ED8344" w14:textId="77777777" w:rsidR="008A326C" w:rsidRPr="00131EED" w:rsidRDefault="008A326C" w:rsidP="567C331E">
            <w:pPr>
              <w:autoSpaceDE w:val="0"/>
              <w:autoSpaceDN w:val="0"/>
              <w:adjustRightInd w:val="0"/>
              <w:rPr>
                <w:rFonts w:eastAsia="Baskerville Old Face" w:cs="Baskerville Old Face"/>
                <w:b/>
                <w:sz w:val="20"/>
                <w:szCs w:val="20"/>
              </w:rPr>
            </w:pPr>
          </w:p>
        </w:tc>
        <w:tc>
          <w:tcPr>
            <w:tcW w:w="605" w:type="dxa"/>
          </w:tcPr>
          <w:p w14:paraId="77D17FAC"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rPr>
              <w:t>Ítem</w:t>
            </w:r>
          </w:p>
        </w:tc>
        <w:tc>
          <w:tcPr>
            <w:tcW w:w="2562" w:type="dxa"/>
          </w:tcPr>
          <w:p w14:paraId="3B1BDDA0"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rPr>
              <w:t>Especie en categoría CR – Resolución 126 de 2024</w:t>
            </w:r>
          </w:p>
        </w:tc>
      </w:tr>
      <w:tr w:rsidR="008A326C" w:rsidRPr="00131EED" w14:paraId="19A56889" w14:textId="77777777" w:rsidTr="008247D8">
        <w:trPr>
          <w:trHeight w:val="315"/>
          <w:jc w:val="center"/>
        </w:trPr>
        <w:tc>
          <w:tcPr>
            <w:tcW w:w="617" w:type="dxa"/>
          </w:tcPr>
          <w:p w14:paraId="4A531F68"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rPr>
              <w:t>1</w:t>
            </w:r>
          </w:p>
        </w:tc>
        <w:tc>
          <w:tcPr>
            <w:tcW w:w="3352" w:type="dxa"/>
            <w:noWrap/>
            <w:hideMark/>
          </w:tcPr>
          <w:p w14:paraId="71E8AF2C"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Acostaea rivolii</w:t>
            </w:r>
          </w:p>
        </w:tc>
        <w:tc>
          <w:tcPr>
            <w:tcW w:w="236" w:type="dxa"/>
          </w:tcPr>
          <w:p w14:paraId="06951563" w14:textId="77777777" w:rsidR="008A326C" w:rsidRPr="00131EED" w:rsidRDefault="008A326C" w:rsidP="567C331E">
            <w:pPr>
              <w:autoSpaceDE w:val="0"/>
              <w:autoSpaceDN w:val="0"/>
              <w:adjustRightInd w:val="0"/>
              <w:rPr>
                <w:rFonts w:eastAsia="Baskerville Old Face" w:cs="Baskerville Old Face"/>
                <w:i/>
                <w:sz w:val="20"/>
                <w:szCs w:val="20"/>
              </w:rPr>
            </w:pPr>
          </w:p>
        </w:tc>
        <w:tc>
          <w:tcPr>
            <w:tcW w:w="605" w:type="dxa"/>
          </w:tcPr>
          <w:p w14:paraId="206227BF" w14:textId="77777777" w:rsidR="008A326C" w:rsidRPr="00131EED" w:rsidRDefault="061E56AE" w:rsidP="567C331E">
            <w:pPr>
              <w:autoSpaceDE w:val="0"/>
              <w:autoSpaceDN w:val="0"/>
              <w:adjustRightInd w:val="0"/>
              <w:ind w:left="-338" w:firstLine="338"/>
              <w:rPr>
                <w:rFonts w:eastAsia="Baskerville Old Face" w:cs="Baskerville Old Face"/>
                <w:i/>
                <w:sz w:val="20"/>
                <w:szCs w:val="20"/>
              </w:rPr>
            </w:pPr>
            <w:r w:rsidRPr="00131EED">
              <w:rPr>
                <w:rFonts w:eastAsia="Baskerville Old Face" w:cs="Baskerville Old Face"/>
                <w:sz w:val="20"/>
                <w:szCs w:val="20"/>
              </w:rPr>
              <w:t>16</w:t>
            </w:r>
          </w:p>
        </w:tc>
        <w:tc>
          <w:tcPr>
            <w:tcW w:w="2562" w:type="dxa"/>
          </w:tcPr>
          <w:p w14:paraId="709B8760"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Gyalideopsis chicaque</w:t>
            </w:r>
          </w:p>
        </w:tc>
      </w:tr>
      <w:tr w:rsidR="008A326C" w:rsidRPr="00131EED" w14:paraId="6B35BFAC" w14:textId="77777777" w:rsidTr="008247D8">
        <w:trPr>
          <w:trHeight w:val="315"/>
          <w:jc w:val="center"/>
        </w:trPr>
        <w:tc>
          <w:tcPr>
            <w:tcW w:w="617" w:type="dxa"/>
          </w:tcPr>
          <w:p w14:paraId="79A81094"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rPr>
              <w:t>2</w:t>
            </w:r>
          </w:p>
        </w:tc>
        <w:tc>
          <w:tcPr>
            <w:tcW w:w="3352" w:type="dxa"/>
            <w:noWrap/>
            <w:hideMark/>
          </w:tcPr>
          <w:p w14:paraId="3F91028A"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Allophoron farinosum</w:t>
            </w:r>
          </w:p>
        </w:tc>
        <w:tc>
          <w:tcPr>
            <w:tcW w:w="236" w:type="dxa"/>
          </w:tcPr>
          <w:p w14:paraId="391B3CE1" w14:textId="77777777" w:rsidR="008A326C" w:rsidRPr="00131EED" w:rsidRDefault="008A326C" w:rsidP="567C331E">
            <w:pPr>
              <w:autoSpaceDE w:val="0"/>
              <w:autoSpaceDN w:val="0"/>
              <w:adjustRightInd w:val="0"/>
              <w:rPr>
                <w:rFonts w:eastAsia="Baskerville Old Face" w:cs="Baskerville Old Face"/>
                <w:i/>
                <w:sz w:val="20"/>
                <w:szCs w:val="20"/>
              </w:rPr>
            </w:pPr>
          </w:p>
        </w:tc>
        <w:tc>
          <w:tcPr>
            <w:tcW w:w="605" w:type="dxa"/>
          </w:tcPr>
          <w:p w14:paraId="64FB47EC"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sz w:val="20"/>
                <w:szCs w:val="20"/>
              </w:rPr>
              <w:t>17</w:t>
            </w:r>
          </w:p>
        </w:tc>
        <w:tc>
          <w:tcPr>
            <w:tcW w:w="2562" w:type="dxa"/>
          </w:tcPr>
          <w:p w14:paraId="17030DD1"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Gynoxys hirsutissima</w:t>
            </w:r>
          </w:p>
        </w:tc>
      </w:tr>
      <w:tr w:rsidR="008A326C" w:rsidRPr="00131EED" w14:paraId="014AEA4E" w14:textId="77777777" w:rsidTr="008247D8">
        <w:trPr>
          <w:trHeight w:val="315"/>
          <w:jc w:val="center"/>
        </w:trPr>
        <w:tc>
          <w:tcPr>
            <w:tcW w:w="617" w:type="dxa"/>
          </w:tcPr>
          <w:p w14:paraId="080724E5"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rPr>
              <w:t>3</w:t>
            </w:r>
          </w:p>
        </w:tc>
        <w:tc>
          <w:tcPr>
            <w:tcW w:w="3352" w:type="dxa"/>
            <w:noWrap/>
            <w:hideMark/>
          </w:tcPr>
          <w:p w14:paraId="151F1EF7"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Anolis inderenae</w:t>
            </w:r>
          </w:p>
        </w:tc>
        <w:tc>
          <w:tcPr>
            <w:tcW w:w="236" w:type="dxa"/>
          </w:tcPr>
          <w:p w14:paraId="65F39EED" w14:textId="77777777" w:rsidR="008A326C" w:rsidRPr="00131EED" w:rsidRDefault="008A326C" w:rsidP="567C331E">
            <w:pPr>
              <w:autoSpaceDE w:val="0"/>
              <w:autoSpaceDN w:val="0"/>
              <w:adjustRightInd w:val="0"/>
              <w:rPr>
                <w:rFonts w:eastAsia="Baskerville Old Face" w:cs="Baskerville Old Face"/>
                <w:i/>
                <w:sz w:val="20"/>
                <w:szCs w:val="20"/>
              </w:rPr>
            </w:pPr>
          </w:p>
        </w:tc>
        <w:tc>
          <w:tcPr>
            <w:tcW w:w="605" w:type="dxa"/>
          </w:tcPr>
          <w:p w14:paraId="4E24E8F3"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sz w:val="20"/>
                <w:szCs w:val="20"/>
              </w:rPr>
              <w:t>18</w:t>
            </w:r>
          </w:p>
        </w:tc>
        <w:tc>
          <w:tcPr>
            <w:tcW w:w="2562" w:type="dxa"/>
          </w:tcPr>
          <w:p w14:paraId="79099FF8"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Lecanactis proximans</w:t>
            </w:r>
          </w:p>
        </w:tc>
      </w:tr>
      <w:tr w:rsidR="008A326C" w:rsidRPr="00131EED" w14:paraId="7244C739" w14:textId="77777777" w:rsidTr="008247D8">
        <w:trPr>
          <w:trHeight w:val="315"/>
          <w:jc w:val="center"/>
        </w:trPr>
        <w:tc>
          <w:tcPr>
            <w:tcW w:w="617" w:type="dxa"/>
          </w:tcPr>
          <w:p w14:paraId="320B5388"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rPr>
              <w:t>4</w:t>
            </w:r>
          </w:p>
        </w:tc>
        <w:tc>
          <w:tcPr>
            <w:tcW w:w="3352" w:type="dxa"/>
            <w:noWrap/>
            <w:hideMark/>
          </w:tcPr>
          <w:p w14:paraId="77904DCA"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Arthonia obscurella</w:t>
            </w:r>
          </w:p>
        </w:tc>
        <w:tc>
          <w:tcPr>
            <w:tcW w:w="236" w:type="dxa"/>
          </w:tcPr>
          <w:p w14:paraId="76052B5D" w14:textId="77777777" w:rsidR="008A326C" w:rsidRPr="00131EED" w:rsidRDefault="008A326C" w:rsidP="567C331E">
            <w:pPr>
              <w:autoSpaceDE w:val="0"/>
              <w:autoSpaceDN w:val="0"/>
              <w:adjustRightInd w:val="0"/>
              <w:rPr>
                <w:rFonts w:eastAsia="Baskerville Old Face" w:cs="Baskerville Old Face"/>
                <w:i/>
                <w:sz w:val="20"/>
                <w:szCs w:val="20"/>
              </w:rPr>
            </w:pPr>
          </w:p>
        </w:tc>
        <w:tc>
          <w:tcPr>
            <w:tcW w:w="605" w:type="dxa"/>
          </w:tcPr>
          <w:p w14:paraId="3F5D8373"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sz w:val="20"/>
                <w:szCs w:val="20"/>
              </w:rPr>
              <w:t>19</w:t>
            </w:r>
          </w:p>
        </w:tc>
        <w:tc>
          <w:tcPr>
            <w:tcW w:w="2562" w:type="dxa"/>
          </w:tcPr>
          <w:p w14:paraId="0188A594"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Oncidium alvarezii</w:t>
            </w:r>
          </w:p>
        </w:tc>
      </w:tr>
      <w:tr w:rsidR="008A326C" w:rsidRPr="00131EED" w14:paraId="380BFFCA" w14:textId="77777777" w:rsidTr="008247D8">
        <w:trPr>
          <w:trHeight w:val="315"/>
          <w:jc w:val="center"/>
        </w:trPr>
        <w:tc>
          <w:tcPr>
            <w:tcW w:w="617" w:type="dxa"/>
          </w:tcPr>
          <w:p w14:paraId="539BD935"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rPr>
              <w:t>5</w:t>
            </w:r>
          </w:p>
        </w:tc>
        <w:tc>
          <w:tcPr>
            <w:tcW w:w="3352" w:type="dxa"/>
            <w:noWrap/>
            <w:hideMark/>
          </w:tcPr>
          <w:p w14:paraId="1CE8A33E"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Arthonia septemlocularis</w:t>
            </w:r>
          </w:p>
        </w:tc>
        <w:tc>
          <w:tcPr>
            <w:tcW w:w="236" w:type="dxa"/>
          </w:tcPr>
          <w:p w14:paraId="23CB44F6" w14:textId="77777777" w:rsidR="008A326C" w:rsidRPr="00131EED" w:rsidRDefault="008A326C" w:rsidP="567C331E">
            <w:pPr>
              <w:autoSpaceDE w:val="0"/>
              <w:autoSpaceDN w:val="0"/>
              <w:adjustRightInd w:val="0"/>
              <w:rPr>
                <w:rFonts w:eastAsia="Baskerville Old Face" w:cs="Baskerville Old Face"/>
                <w:i/>
                <w:sz w:val="20"/>
                <w:szCs w:val="20"/>
              </w:rPr>
            </w:pPr>
          </w:p>
        </w:tc>
        <w:tc>
          <w:tcPr>
            <w:tcW w:w="605" w:type="dxa"/>
          </w:tcPr>
          <w:p w14:paraId="48215720"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sz w:val="20"/>
                <w:szCs w:val="20"/>
              </w:rPr>
              <w:t>20</w:t>
            </w:r>
          </w:p>
        </w:tc>
        <w:tc>
          <w:tcPr>
            <w:tcW w:w="2562" w:type="dxa"/>
          </w:tcPr>
          <w:p w14:paraId="42184496"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Oncidium povedanum</w:t>
            </w:r>
          </w:p>
        </w:tc>
      </w:tr>
      <w:tr w:rsidR="008A326C" w:rsidRPr="00131EED" w14:paraId="093D2AE0" w14:textId="77777777" w:rsidTr="008247D8">
        <w:trPr>
          <w:trHeight w:val="315"/>
          <w:jc w:val="center"/>
        </w:trPr>
        <w:tc>
          <w:tcPr>
            <w:tcW w:w="617" w:type="dxa"/>
          </w:tcPr>
          <w:p w14:paraId="3F60C54B"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rPr>
              <w:t>6</w:t>
            </w:r>
          </w:p>
        </w:tc>
        <w:tc>
          <w:tcPr>
            <w:tcW w:w="3352" w:type="dxa"/>
            <w:noWrap/>
            <w:hideMark/>
          </w:tcPr>
          <w:p w14:paraId="7E7DB113"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Ateles fusciceps</w:t>
            </w:r>
          </w:p>
        </w:tc>
        <w:tc>
          <w:tcPr>
            <w:tcW w:w="236" w:type="dxa"/>
          </w:tcPr>
          <w:p w14:paraId="36FF1625" w14:textId="77777777" w:rsidR="008A326C" w:rsidRPr="00131EED" w:rsidRDefault="008A326C" w:rsidP="567C331E">
            <w:pPr>
              <w:autoSpaceDE w:val="0"/>
              <w:autoSpaceDN w:val="0"/>
              <w:adjustRightInd w:val="0"/>
              <w:rPr>
                <w:rFonts w:eastAsia="Baskerville Old Face" w:cs="Baskerville Old Face"/>
                <w:i/>
                <w:sz w:val="20"/>
                <w:szCs w:val="20"/>
              </w:rPr>
            </w:pPr>
          </w:p>
        </w:tc>
        <w:tc>
          <w:tcPr>
            <w:tcW w:w="605" w:type="dxa"/>
          </w:tcPr>
          <w:p w14:paraId="7301672D"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sz w:val="20"/>
                <w:szCs w:val="20"/>
              </w:rPr>
              <w:t>21</w:t>
            </w:r>
          </w:p>
        </w:tc>
        <w:tc>
          <w:tcPr>
            <w:tcW w:w="2562" w:type="dxa"/>
          </w:tcPr>
          <w:p w14:paraId="17E00C1B"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Pseudocolopteryx acutipennis</w:t>
            </w:r>
          </w:p>
        </w:tc>
      </w:tr>
      <w:tr w:rsidR="008A326C" w:rsidRPr="00131EED" w14:paraId="12BF2281" w14:textId="77777777" w:rsidTr="008247D8">
        <w:trPr>
          <w:trHeight w:val="315"/>
          <w:jc w:val="center"/>
        </w:trPr>
        <w:tc>
          <w:tcPr>
            <w:tcW w:w="617" w:type="dxa"/>
          </w:tcPr>
          <w:p w14:paraId="0AA2764C"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rPr>
              <w:t>7</w:t>
            </w:r>
          </w:p>
        </w:tc>
        <w:tc>
          <w:tcPr>
            <w:tcW w:w="3352" w:type="dxa"/>
            <w:noWrap/>
            <w:hideMark/>
          </w:tcPr>
          <w:p w14:paraId="15A0E773"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Atelopus muisca</w:t>
            </w:r>
          </w:p>
        </w:tc>
        <w:tc>
          <w:tcPr>
            <w:tcW w:w="236" w:type="dxa"/>
          </w:tcPr>
          <w:p w14:paraId="58DBF633" w14:textId="77777777" w:rsidR="008A326C" w:rsidRPr="00131EED" w:rsidRDefault="008A326C" w:rsidP="567C331E">
            <w:pPr>
              <w:autoSpaceDE w:val="0"/>
              <w:autoSpaceDN w:val="0"/>
              <w:adjustRightInd w:val="0"/>
              <w:rPr>
                <w:rFonts w:eastAsia="Baskerville Old Face" w:cs="Baskerville Old Face"/>
                <w:i/>
                <w:sz w:val="20"/>
                <w:szCs w:val="20"/>
              </w:rPr>
            </w:pPr>
          </w:p>
        </w:tc>
        <w:tc>
          <w:tcPr>
            <w:tcW w:w="605" w:type="dxa"/>
          </w:tcPr>
          <w:p w14:paraId="0980F10D"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sz w:val="20"/>
                <w:szCs w:val="20"/>
              </w:rPr>
              <w:t>22</w:t>
            </w:r>
          </w:p>
        </w:tc>
        <w:tc>
          <w:tcPr>
            <w:tcW w:w="2562" w:type="dxa"/>
          </w:tcPr>
          <w:p w14:paraId="32AC3021"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Puya santanderensis</w:t>
            </w:r>
          </w:p>
        </w:tc>
      </w:tr>
      <w:tr w:rsidR="008A326C" w:rsidRPr="00131EED" w14:paraId="416A1F65" w14:textId="77777777" w:rsidTr="008247D8">
        <w:trPr>
          <w:trHeight w:val="315"/>
          <w:jc w:val="center"/>
        </w:trPr>
        <w:tc>
          <w:tcPr>
            <w:tcW w:w="617" w:type="dxa"/>
          </w:tcPr>
          <w:p w14:paraId="499B7166"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rPr>
              <w:t>8</w:t>
            </w:r>
          </w:p>
        </w:tc>
        <w:tc>
          <w:tcPr>
            <w:tcW w:w="3352" w:type="dxa"/>
            <w:noWrap/>
            <w:hideMark/>
          </w:tcPr>
          <w:p w14:paraId="6B5A3B48"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Atelopus subornatus</w:t>
            </w:r>
          </w:p>
        </w:tc>
        <w:tc>
          <w:tcPr>
            <w:tcW w:w="236" w:type="dxa"/>
          </w:tcPr>
          <w:p w14:paraId="7FA12234" w14:textId="77777777" w:rsidR="008A326C" w:rsidRPr="00131EED" w:rsidRDefault="008A326C" w:rsidP="567C331E">
            <w:pPr>
              <w:autoSpaceDE w:val="0"/>
              <w:autoSpaceDN w:val="0"/>
              <w:adjustRightInd w:val="0"/>
              <w:rPr>
                <w:rFonts w:eastAsia="Baskerville Old Face" w:cs="Baskerville Old Face"/>
                <w:i/>
                <w:sz w:val="20"/>
                <w:szCs w:val="20"/>
              </w:rPr>
            </w:pPr>
          </w:p>
        </w:tc>
        <w:tc>
          <w:tcPr>
            <w:tcW w:w="605" w:type="dxa"/>
          </w:tcPr>
          <w:p w14:paraId="63AA1834"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sz w:val="20"/>
                <w:szCs w:val="20"/>
              </w:rPr>
              <w:t>23</w:t>
            </w:r>
          </w:p>
        </w:tc>
        <w:tc>
          <w:tcPr>
            <w:tcW w:w="2562" w:type="dxa"/>
          </w:tcPr>
          <w:p w14:paraId="0F6F71B6"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Ramalina bogotensis</w:t>
            </w:r>
          </w:p>
        </w:tc>
      </w:tr>
      <w:tr w:rsidR="008A326C" w:rsidRPr="00131EED" w14:paraId="539C0A1B" w14:textId="77777777" w:rsidTr="008247D8">
        <w:trPr>
          <w:trHeight w:val="315"/>
          <w:jc w:val="center"/>
        </w:trPr>
        <w:tc>
          <w:tcPr>
            <w:tcW w:w="617" w:type="dxa"/>
          </w:tcPr>
          <w:p w14:paraId="1F433C16"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rPr>
              <w:t>9</w:t>
            </w:r>
          </w:p>
        </w:tc>
        <w:tc>
          <w:tcPr>
            <w:tcW w:w="3352" w:type="dxa"/>
            <w:noWrap/>
            <w:hideMark/>
          </w:tcPr>
          <w:p w14:paraId="7164DC06"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Cephaloziella divaricata</w:t>
            </w:r>
          </w:p>
        </w:tc>
        <w:tc>
          <w:tcPr>
            <w:tcW w:w="236" w:type="dxa"/>
          </w:tcPr>
          <w:p w14:paraId="4559CFAF" w14:textId="77777777" w:rsidR="008A326C" w:rsidRPr="00131EED" w:rsidRDefault="008A326C" w:rsidP="567C331E">
            <w:pPr>
              <w:autoSpaceDE w:val="0"/>
              <w:autoSpaceDN w:val="0"/>
              <w:adjustRightInd w:val="0"/>
              <w:rPr>
                <w:rFonts w:eastAsia="Baskerville Old Face" w:cs="Baskerville Old Face"/>
                <w:i/>
                <w:sz w:val="20"/>
                <w:szCs w:val="20"/>
              </w:rPr>
            </w:pPr>
          </w:p>
        </w:tc>
        <w:tc>
          <w:tcPr>
            <w:tcW w:w="605" w:type="dxa"/>
          </w:tcPr>
          <w:p w14:paraId="21815002"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sz w:val="20"/>
                <w:szCs w:val="20"/>
              </w:rPr>
              <w:t>24</w:t>
            </w:r>
          </w:p>
        </w:tc>
        <w:tc>
          <w:tcPr>
            <w:tcW w:w="2562" w:type="dxa"/>
          </w:tcPr>
          <w:p w14:paraId="78E7119F"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Ramalina protensa</w:t>
            </w:r>
          </w:p>
        </w:tc>
      </w:tr>
      <w:tr w:rsidR="008A326C" w:rsidRPr="00131EED" w14:paraId="5B74A61E" w14:textId="77777777" w:rsidTr="008247D8">
        <w:trPr>
          <w:trHeight w:val="315"/>
          <w:jc w:val="center"/>
        </w:trPr>
        <w:tc>
          <w:tcPr>
            <w:tcW w:w="617" w:type="dxa"/>
          </w:tcPr>
          <w:p w14:paraId="243C85B4"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rPr>
              <w:t>10</w:t>
            </w:r>
          </w:p>
        </w:tc>
        <w:tc>
          <w:tcPr>
            <w:tcW w:w="3352" w:type="dxa"/>
            <w:noWrap/>
            <w:hideMark/>
          </w:tcPr>
          <w:p w14:paraId="40E20057"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Cistothorus apolinari</w:t>
            </w:r>
          </w:p>
        </w:tc>
        <w:tc>
          <w:tcPr>
            <w:tcW w:w="236" w:type="dxa"/>
          </w:tcPr>
          <w:p w14:paraId="3933DB0E" w14:textId="77777777" w:rsidR="008A326C" w:rsidRPr="00131EED" w:rsidRDefault="008A326C" w:rsidP="567C331E">
            <w:pPr>
              <w:autoSpaceDE w:val="0"/>
              <w:autoSpaceDN w:val="0"/>
              <w:adjustRightInd w:val="0"/>
              <w:rPr>
                <w:rFonts w:eastAsia="Baskerville Old Face" w:cs="Baskerville Old Face"/>
                <w:i/>
                <w:sz w:val="20"/>
                <w:szCs w:val="20"/>
              </w:rPr>
            </w:pPr>
          </w:p>
        </w:tc>
        <w:tc>
          <w:tcPr>
            <w:tcW w:w="605" w:type="dxa"/>
          </w:tcPr>
          <w:p w14:paraId="15676C93"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sz w:val="20"/>
                <w:szCs w:val="20"/>
              </w:rPr>
              <w:t>25</w:t>
            </w:r>
          </w:p>
        </w:tc>
        <w:tc>
          <w:tcPr>
            <w:tcW w:w="2562" w:type="dxa"/>
          </w:tcPr>
          <w:p w14:paraId="3BBCF7A1"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Salvia macrostachya</w:t>
            </w:r>
          </w:p>
        </w:tc>
      </w:tr>
      <w:tr w:rsidR="008A326C" w:rsidRPr="00131EED" w14:paraId="78BC9E17" w14:textId="77777777" w:rsidTr="008247D8">
        <w:trPr>
          <w:trHeight w:val="315"/>
          <w:jc w:val="center"/>
        </w:trPr>
        <w:tc>
          <w:tcPr>
            <w:tcW w:w="617" w:type="dxa"/>
          </w:tcPr>
          <w:p w14:paraId="2515A371"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rPr>
              <w:t>11</w:t>
            </w:r>
          </w:p>
        </w:tc>
        <w:tc>
          <w:tcPr>
            <w:tcW w:w="3352" w:type="dxa"/>
            <w:noWrap/>
            <w:hideMark/>
          </w:tcPr>
          <w:p w14:paraId="4A2BF806"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Clusia tequendamae</w:t>
            </w:r>
          </w:p>
        </w:tc>
        <w:tc>
          <w:tcPr>
            <w:tcW w:w="236" w:type="dxa"/>
          </w:tcPr>
          <w:p w14:paraId="13D6CD15" w14:textId="77777777" w:rsidR="008A326C" w:rsidRPr="00131EED" w:rsidRDefault="008A326C" w:rsidP="567C331E">
            <w:pPr>
              <w:autoSpaceDE w:val="0"/>
              <w:autoSpaceDN w:val="0"/>
              <w:adjustRightInd w:val="0"/>
              <w:rPr>
                <w:rFonts w:eastAsia="Baskerville Old Face" w:cs="Baskerville Old Face"/>
                <w:i/>
                <w:sz w:val="20"/>
                <w:szCs w:val="20"/>
              </w:rPr>
            </w:pPr>
          </w:p>
        </w:tc>
        <w:tc>
          <w:tcPr>
            <w:tcW w:w="605" w:type="dxa"/>
          </w:tcPr>
          <w:p w14:paraId="32865C5F"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sz w:val="20"/>
                <w:szCs w:val="20"/>
              </w:rPr>
              <w:t>26</w:t>
            </w:r>
          </w:p>
        </w:tc>
        <w:tc>
          <w:tcPr>
            <w:tcW w:w="2562" w:type="dxa"/>
          </w:tcPr>
          <w:p w14:paraId="679275C3"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Salvia sordida</w:t>
            </w:r>
          </w:p>
        </w:tc>
      </w:tr>
      <w:tr w:rsidR="008A326C" w:rsidRPr="00131EED" w14:paraId="6DD25147" w14:textId="77777777" w:rsidTr="008247D8">
        <w:trPr>
          <w:trHeight w:val="315"/>
          <w:jc w:val="center"/>
        </w:trPr>
        <w:tc>
          <w:tcPr>
            <w:tcW w:w="617" w:type="dxa"/>
          </w:tcPr>
          <w:p w14:paraId="7709D9E7"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rPr>
              <w:t>12</w:t>
            </w:r>
          </w:p>
        </w:tc>
        <w:tc>
          <w:tcPr>
            <w:tcW w:w="3352" w:type="dxa"/>
            <w:noWrap/>
            <w:hideMark/>
          </w:tcPr>
          <w:p w14:paraId="4FF9755E"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Colostethus latinasus</w:t>
            </w:r>
          </w:p>
        </w:tc>
        <w:tc>
          <w:tcPr>
            <w:tcW w:w="236" w:type="dxa"/>
          </w:tcPr>
          <w:p w14:paraId="30187A21" w14:textId="77777777" w:rsidR="008A326C" w:rsidRPr="00131EED" w:rsidRDefault="008A326C" w:rsidP="567C331E">
            <w:pPr>
              <w:autoSpaceDE w:val="0"/>
              <w:autoSpaceDN w:val="0"/>
              <w:adjustRightInd w:val="0"/>
              <w:rPr>
                <w:rFonts w:eastAsia="Baskerville Old Face" w:cs="Baskerville Old Face"/>
                <w:i/>
                <w:sz w:val="20"/>
                <w:szCs w:val="20"/>
              </w:rPr>
            </w:pPr>
          </w:p>
        </w:tc>
        <w:tc>
          <w:tcPr>
            <w:tcW w:w="605" w:type="dxa"/>
          </w:tcPr>
          <w:p w14:paraId="36121BCE"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sz w:val="20"/>
                <w:szCs w:val="20"/>
              </w:rPr>
              <w:t>27</w:t>
            </w:r>
          </w:p>
        </w:tc>
        <w:tc>
          <w:tcPr>
            <w:tcW w:w="2562" w:type="dxa"/>
          </w:tcPr>
          <w:p w14:paraId="6FC1832D"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Styrax lasiocalyx</w:t>
            </w:r>
          </w:p>
        </w:tc>
      </w:tr>
      <w:tr w:rsidR="008A326C" w:rsidRPr="00131EED" w14:paraId="48EF8765" w14:textId="77777777" w:rsidTr="008247D8">
        <w:trPr>
          <w:trHeight w:val="315"/>
          <w:jc w:val="center"/>
        </w:trPr>
        <w:tc>
          <w:tcPr>
            <w:tcW w:w="617" w:type="dxa"/>
          </w:tcPr>
          <w:p w14:paraId="3884FB6B"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rPr>
              <w:t>13</w:t>
            </w:r>
          </w:p>
        </w:tc>
        <w:tc>
          <w:tcPr>
            <w:tcW w:w="3352" w:type="dxa"/>
            <w:noWrap/>
            <w:hideMark/>
          </w:tcPr>
          <w:p w14:paraId="60ADFDA1"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Crax Alberti</w:t>
            </w:r>
          </w:p>
        </w:tc>
        <w:tc>
          <w:tcPr>
            <w:tcW w:w="236" w:type="dxa"/>
          </w:tcPr>
          <w:p w14:paraId="0DE7E774" w14:textId="77777777" w:rsidR="008A326C" w:rsidRPr="00131EED" w:rsidRDefault="008A326C" w:rsidP="567C331E">
            <w:pPr>
              <w:autoSpaceDE w:val="0"/>
              <w:autoSpaceDN w:val="0"/>
              <w:adjustRightInd w:val="0"/>
              <w:rPr>
                <w:rFonts w:eastAsia="Baskerville Old Face" w:cs="Baskerville Old Face"/>
                <w:i/>
                <w:sz w:val="20"/>
                <w:szCs w:val="20"/>
              </w:rPr>
            </w:pPr>
          </w:p>
        </w:tc>
        <w:tc>
          <w:tcPr>
            <w:tcW w:w="605" w:type="dxa"/>
          </w:tcPr>
          <w:p w14:paraId="14A6F814"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sz w:val="20"/>
                <w:szCs w:val="20"/>
              </w:rPr>
              <w:t>28</w:t>
            </w:r>
          </w:p>
        </w:tc>
        <w:tc>
          <w:tcPr>
            <w:tcW w:w="2562" w:type="dxa"/>
          </w:tcPr>
          <w:p w14:paraId="6487CDD0"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Tayloria altorum</w:t>
            </w:r>
          </w:p>
        </w:tc>
      </w:tr>
      <w:tr w:rsidR="008A326C" w:rsidRPr="00131EED" w14:paraId="532A02B5" w14:textId="77777777" w:rsidTr="008247D8">
        <w:trPr>
          <w:trHeight w:val="315"/>
          <w:jc w:val="center"/>
        </w:trPr>
        <w:tc>
          <w:tcPr>
            <w:tcW w:w="617" w:type="dxa"/>
          </w:tcPr>
          <w:p w14:paraId="2829F793"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rPr>
              <w:t>14</w:t>
            </w:r>
          </w:p>
        </w:tc>
        <w:tc>
          <w:tcPr>
            <w:tcW w:w="3352" w:type="dxa"/>
            <w:noWrap/>
            <w:hideMark/>
          </w:tcPr>
          <w:p w14:paraId="6D0B799F"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Epidendrum uribei</w:t>
            </w:r>
          </w:p>
        </w:tc>
        <w:tc>
          <w:tcPr>
            <w:tcW w:w="236" w:type="dxa"/>
          </w:tcPr>
          <w:p w14:paraId="6C45C3F1" w14:textId="77777777" w:rsidR="008A326C" w:rsidRPr="00131EED" w:rsidRDefault="008A326C" w:rsidP="567C331E">
            <w:pPr>
              <w:autoSpaceDE w:val="0"/>
              <w:autoSpaceDN w:val="0"/>
              <w:adjustRightInd w:val="0"/>
              <w:rPr>
                <w:rFonts w:eastAsia="Baskerville Old Face" w:cs="Baskerville Old Face"/>
                <w:i/>
                <w:sz w:val="20"/>
                <w:szCs w:val="20"/>
              </w:rPr>
            </w:pPr>
          </w:p>
        </w:tc>
        <w:tc>
          <w:tcPr>
            <w:tcW w:w="605" w:type="dxa"/>
          </w:tcPr>
          <w:p w14:paraId="4B7AE611"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sz w:val="20"/>
                <w:szCs w:val="20"/>
              </w:rPr>
              <w:t>29</w:t>
            </w:r>
          </w:p>
        </w:tc>
        <w:tc>
          <w:tcPr>
            <w:tcW w:w="2562" w:type="dxa"/>
          </w:tcPr>
          <w:p w14:paraId="44D8FB35"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Thalloloma haemographum</w:t>
            </w:r>
          </w:p>
        </w:tc>
      </w:tr>
      <w:tr w:rsidR="008A326C" w:rsidRPr="00131EED" w14:paraId="3EF0062B" w14:textId="77777777" w:rsidTr="008247D8">
        <w:trPr>
          <w:trHeight w:val="315"/>
          <w:jc w:val="center"/>
        </w:trPr>
        <w:tc>
          <w:tcPr>
            <w:tcW w:w="617" w:type="dxa"/>
          </w:tcPr>
          <w:p w14:paraId="0DB6CD86"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rPr>
              <w:t>15</w:t>
            </w:r>
          </w:p>
        </w:tc>
        <w:tc>
          <w:tcPr>
            <w:tcW w:w="3352" w:type="dxa"/>
            <w:noWrap/>
            <w:hideMark/>
          </w:tcPr>
          <w:p w14:paraId="38F73325"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Espeletia miradorensis</w:t>
            </w:r>
          </w:p>
        </w:tc>
        <w:tc>
          <w:tcPr>
            <w:tcW w:w="236" w:type="dxa"/>
          </w:tcPr>
          <w:p w14:paraId="7E71E562" w14:textId="77777777" w:rsidR="008A326C" w:rsidRPr="00131EED" w:rsidRDefault="008A326C" w:rsidP="567C331E">
            <w:pPr>
              <w:autoSpaceDE w:val="0"/>
              <w:autoSpaceDN w:val="0"/>
              <w:adjustRightInd w:val="0"/>
              <w:rPr>
                <w:rFonts w:eastAsia="Baskerville Old Face" w:cs="Baskerville Old Face"/>
                <w:i/>
                <w:sz w:val="20"/>
                <w:szCs w:val="20"/>
              </w:rPr>
            </w:pPr>
          </w:p>
        </w:tc>
        <w:tc>
          <w:tcPr>
            <w:tcW w:w="605" w:type="dxa"/>
          </w:tcPr>
          <w:p w14:paraId="7279E3B9"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sz w:val="20"/>
                <w:szCs w:val="20"/>
              </w:rPr>
              <w:t>30</w:t>
            </w:r>
          </w:p>
        </w:tc>
        <w:tc>
          <w:tcPr>
            <w:tcW w:w="2562" w:type="dxa"/>
          </w:tcPr>
          <w:p w14:paraId="49222B9D"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Tillandsia chartacea</w:t>
            </w:r>
          </w:p>
        </w:tc>
      </w:tr>
      <w:tr w:rsidR="008A326C" w:rsidRPr="00131EED" w14:paraId="23581219" w14:textId="77777777" w:rsidTr="008247D8">
        <w:trPr>
          <w:trHeight w:val="315"/>
          <w:jc w:val="center"/>
        </w:trPr>
        <w:tc>
          <w:tcPr>
            <w:tcW w:w="617" w:type="dxa"/>
          </w:tcPr>
          <w:p w14:paraId="19297B30" w14:textId="77777777" w:rsidR="008A326C" w:rsidRPr="00131EED" w:rsidRDefault="008A326C" w:rsidP="567C331E">
            <w:pPr>
              <w:autoSpaceDE w:val="0"/>
              <w:autoSpaceDN w:val="0"/>
              <w:adjustRightInd w:val="0"/>
              <w:rPr>
                <w:rFonts w:eastAsia="Baskerville Old Face" w:cs="Baskerville Old Face"/>
                <w:sz w:val="20"/>
                <w:szCs w:val="20"/>
              </w:rPr>
            </w:pPr>
          </w:p>
        </w:tc>
        <w:tc>
          <w:tcPr>
            <w:tcW w:w="3352" w:type="dxa"/>
            <w:noWrap/>
          </w:tcPr>
          <w:p w14:paraId="67679290" w14:textId="77777777" w:rsidR="008A326C" w:rsidRPr="00131EED" w:rsidRDefault="008A326C" w:rsidP="567C331E">
            <w:pPr>
              <w:autoSpaceDE w:val="0"/>
              <w:autoSpaceDN w:val="0"/>
              <w:adjustRightInd w:val="0"/>
              <w:rPr>
                <w:rFonts w:eastAsia="Baskerville Old Face" w:cs="Baskerville Old Face"/>
                <w:i/>
                <w:sz w:val="20"/>
                <w:szCs w:val="20"/>
              </w:rPr>
            </w:pPr>
          </w:p>
        </w:tc>
        <w:tc>
          <w:tcPr>
            <w:tcW w:w="236" w:type="dxa"/>
          </w:tcPr>
          <w:p w14:paraId="0B6E8C03" w14:textId="77777777" w:rsidR="008A326C" w:rsidRPr="00131EED" w:rsidRDefault="008A326C" w:rsidP="567C331E">
            <w:pPr>
              <w:autoSpaceDE w:val="0"/>
              <w:autoSpaceDN w:val="0"/>
              <w:adjustRightInd w:val="0"/>
              <w:rPr>
                <w:rFonts w:eastAsia="Baskerville Old Face" w:cs="Baskerville Old Face"/>
                <w:i/>
                <w:sz w:val="20"/>
                <w:szCs w:val="20"/>
              </w:rPr>
            </w:pPr>
          </w:p>
        </w:tc>
        <w:tc>
          <w:tcPr>
            <w:tcW w:w="605" w:type="dxa"/>
          </w:tcPr>
          <w:p w14:paraId="2AFDFF92"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sz w:val="20"/>
                <w:szCs w:val="20"/>
              </w:rPr>
              <w:t>31</w:t>
            </w:r>
          </w:p>
        </w:tc>
        <w:tc>
          <w:tcPr>
            <w:tcW w:w="2562" w:type="dxa"/>
          </w:tcPr>
          <w:p w14:paraId="6D424B85"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rPr>
              <w:t>Vultur gryphus</w:t>
            </w:r>
          </w:p>
        </w:tc>
      </w:tr>
    </w:tbl>
    <w:p w14:paraId="04BB0866" w14:textId="77777777" w:rsidR="008A326C" w:rsidRPr="00131EED" w:rsidRDefault="008A326C" w:rsidP="008869AD">
      <w:pPr>
        <w:jc w:val="center"/>
        <w:rPr>
          <w:rFonts w:cs="Arial"/>
          <w:sz w:val="20"/>
          <w:szCs w:val="20"/>
        </w:rPr>
      </w:pPr>
      <w:r w:rsidRPr="00131EED">
        <w:rPr>
          <w:rStyle w:val="FootnoteReference"/>
          <w:rFonts w:cs="Arial"/>
          <w:sz w:val="20"/>
          <w:szCs w:val="20"/>
          <w:vertAlign w:val="baseline"/>
        </w:rPr>
        <w:t>Fuente: MinAmbiente con información IAVH, 2024</w:t>
      </w:r>
    </w:p>
    <w:p w14:paraId="163DF731" w14:textId="77777777" w:rsidR="008A326C" w:rsidRPr="00131EED" w:rsidRDefault="008A326C" w:rsidP="008A326C">
      <w:pPr>
        <w:rPr>
          <w:rFonts w:ascii="Baskerville" w:hAnsi="Baskerville" w:cs="Arial"/>
          <w:sz w:val="20"/>
          <w:szCs w:val="20"/>
        </w:rPr>
      </w:pPr>
    </w:p>
    <w:p w14:paraId="6240C6E0" w14:textId="77777777" w:rsidR="008A326C" w:rsidRPr="00131EED" w:rsidRDefault="008A326C" w:rsidP="008A326C">
      <w:pPr>
        <w:rPr>
          <w:rFonts w:cs="Arial"/>
        </w:rPr>
      </w:pPr>
      <w:r w:rsidRPr="00131EED">
        <w:rPr>
          <w:rFonts w:cs="Arial"/>
        </w:rPr>
        <w:t>Este escenario se constituye en un reto para la gestión ambiental de la Sabana, lo que hace necesario desde las directrices abordar medidas que permitan el aumento de las poblaciones de estas especies y la conservación de los ecosistemas a los cuales están asociadas, para lo cual se propone fortalecimiento de la formulación y ejecución de los planes de conservación para las especies amenazadas identificadas en este territorio y la puesta en marcha de los planes que ya se cuentan a la fecha, a través de la priorización de las especies que puedan actuar como especies sombrillas para la conservación y el llamado a la articulación interinstucional con la academia para la implementación de acciones que aporten a su conservación.</w:t>
      </w:r>
    </w:p>
    <w:p w14:paraId="6A1A626E" w14:textId="77777777" w:rsidR="008A326C" w:rsidRPr="00131EED" w:rsidRDefault="008A326C" w:rsidP="008A326C">
      <w:pPr>
        <w:rPr>
          <w:rFonts w:cs="Arial"/>
        </w:rPr>
      </w:pPr>
    </w:p>
    <w:p w14:paraId="113EF4C0" w14:textId="77777777" w:rsidR="008A326C" w:rsidRPr="00131EED" w:rsidRDefault="008A326C" w:rsidP="00410194">
      <w:pPr>
        <w:pStyle w:val="Heading3"/>
        <w:numPr>
          <w:ilvl w:val="2"/>
          <w:numId w:val="31"/>
        </w:numPr>
      </w:pPr>
      <w:bookmarkStart w:id="114" w:name="_Toc216468698"/>
      <w:r w:rsidRPr="00131EED">
        <w:t>Especies exóticas invasoras</w:t>
      </w:r>
      <w:bookmarkEnd w:id="114"/>
      <w:r w:rsidRPr="00131EED">
        <w:t xml:space="preserve"> </w:t>
      </w:r>
    </w:p>
    <w:p w14:paraId="3740149C" w14:textId="77777777" w:rsidR="008A326C" w:rsidRPr="00131EED" w:rsidRDefault="008A326C" w:rsidP="008A326C">
      <w:pPr>
        <w:autoSpaceDE w:val="0"/>
        <w:autoSpaceDN w:val="0"/>
        <w:adjustRightInd w:val="0"/>
        <w:rPr>
          <w:rFonts w:ascii="Baskerville" w:hAnsi="Baskerville" w:cs="Arial"/>
          <w:b/>
          <w:bCs/>
          <w:sz w:val="20"/>
          <w:szCs w:val="20"/>
        </w:rPr>
      </w:pPr>
    </w:p>
    <w:p w14:paraId="30637A9E" w14:textId="77777777" w:rsidR="008A326C" w:rsidRPr="00131EED" w:rsidRDefault="008A326C" w:rsidP="008A326C">
      <w:pPr>
        <w:autoSpaceDE w:val="0"/>
        <w:autoSpaceDN w:val="0"/>
        <w:adjustRightInd w:val="0"/>
        <w:rPr>
          <w:rFonts w:cs="Arial"/>
        </w:rPr>
      </w:pPr>
      <w:r w:rsidRPr="00131EED">
        <w:rPr>
          <w:rFonts w:cs="Arial"/>
        </w:rPr>
        <w:t>Los impactos de las especies invasoras son en algunos casos irreversibles, estos suelen clasificarse en ecológicos, económicos y sociales. Los impactos económicos generan consecuencias directas para los seres humanos. Los impactos ecológicos o ambientales son los que afectan la estructura y función de los ecosistemas, a menudo refiriéndose a la pérdida de la biodiversidad o hábitats únicos. Los impactos sociales se centran en la salud humana y la seguridad, pero también pueden abarcar la calidad de vida, oportunidades de recreación y turismo, el patrimonio cultural, y otros aspectos de la estructura social.</w:t>
      </w:r>
    </w:p>
    <w:p w14:paraId="7363BFFC" w14:textId="77777777" w:rsidR="008A326C" w:rsidRPr="00131EED" w:rsidRDefault="008A326C" w:rsidP="008A326C">
      <w:pPr>
        <w:autoSpaceDE w:val="0"/>
        <w:autoSpaceDN w:val="0"/>
        <w:adjustRightInd w:val="0"/>
        <w:rPr>
          <w:rFonts w:cs="Arial"/>
        </w:rPr>
      </w:pPr>
    </w:p>
    <w:p w14:paraId="54C9166A" w14:textId="77777777" w:rsidR="008A326C" w:rsidRPr="00131EED" w:rsidRDefault="008A326C" w:rsidP="008A326C">
      <w:pPr>
        <w:autoSpaceDE w:val="0"/>
        <w:autoSpaceDN w:val="0"/>
        <w:adjustRightInd w:val="0"/>
        <w:rPr>
          <w:rFonts w:ascii="Baskerville" w:hAnsi="Baskerville" w:cs="Arial"/>
          <w:sz w:val="20"/>
          <w:szCs w:val="20"/>
        </w:rPr>
      </w:pPr>
      <w:r w:rsidRPr="00131EED">
        <w:rPr>
          <w:rFonts w:cs="Arial"/>
        </w:rPr>
        <w:t>La alteración del hábitat y los impactos de las especies invasoras se han convertido en la causa principal de la extinción de especies en los últimos años. La Sabana de Bogotá ha enfrentado en los últimos años un alto grado de alteración en los ecosistemas y por ende susceptible a focos de invasión biológica que conllevan a la extinción de ecosistemas y dificulta la restauración ecológica de aquellas áreas de interés</w:t>
      </w:r>
      <w:r w:rsidRPr="00131EED">
        <w:rPr>
          <w:rFonts w:ascii="Baskerville" w:hAnsi="Baskerville" w:cs="Arial"/>
          <w:sz w:val="20"/>
          <w:szCs w:val="20"/>
        </w:rPr>
        <w:t>.</w:t>
      </w:r>
    </w:p>
    <w:p w14:paraId="416DC1B1" w14:textId="77777777" w:rsidR="008A326C" w:rsidRPr="00131EED" w:rsidRDefault="008A326C" w:rsidP="008A326C">
      <w:pPr>
        <w:autoSpaceDE w:val="0"/>
        <w:autoSpaceDN w:val="0"/>
        <w:adjustRightInd w:val="0"/>
        <w:rPr>
          <w:rFonts w:ascii="Baskerville" w:hAnsi="Baskerville" w:cs="Arial"/>
          <w:sz w:val="20"/>
          <w:szCs w:val="20"/>
        </w:rPr>
      </w:pPr>
    </w:p>
    <w:p w14:paraId="3D30B83F" w14:textId="77777777" w:rsidR="00057A1F" w:rsidRPr="00131EED" w:rsidRDefault="00057A1F" w:rsidP="008A326C">
      <w:pPr>
        <w:autoSpaceDE w:val="0"/>
        <w:autoSpaceDN w:val="0"/>
        <w:adjustRightInd w:val="0"/>
        <w:rPr>
          <w:rFonts w:ascii="Baskerville" w:hAnsi="Baskerville" w:cs="Arial"/>
          <w:sz w:val="20"/>
          <w:szCs w:val="20"/>
        </w:rPr>
      </w:pPr>
    </w:p>
    <w:p w14:paraId="2AAC6D55" w14:textId="4BA13BE3" w:rsidR="008A326C" w:rsidRPr="00131EED" w:rsidRDefault="008A326C" w:rsidP="00057A1F">
      <w:pPr>
        <w:pStyle w:val="Caption"/>
        <w:jc w:val="center"/>
      </w:pPr>
      <w:bookmarkStart w:id="115" w:name="_Toc216468931"/>
      <w:r w:rsidRPr="00131EED">
        <w:t xml:space="preserve">Tabla </w:t>
      </w:r>
      <w:r w:rsidRPr="00131EED">
        <w:fldChar w:fldCharType="begin"/>
      </w:r>
      <w:r w:rsidRPr="00131EED">
        <w:instrText>SEQ Tabla \* ARABIC</w:instrText>
      </w:r>
      <w:r w:rsidRPr="00131EED">
        <w:fldChar w:fldCharType="separate"/>
      </w:r>
      <w:r w:rsidR="00CE096F">
        <w:rPr>
          <w:noProof/>
        </w:rPr>
        <w:t>21</w:t>
      </w:r>
      <w:r w:rsidRPr="00131EED">
        <w:fldChar w:fldCharType="end"/>
      </w:r>
      <w:r w:rsidRPr="00131EED">
        <w:t xml:space="preserve">. Relación de especies </w:t>
      </w:r>
      <w:r w:rsidR="00503FE1" w:rsidRPr="00131EED">
        <w:t>invasoras</w:t>
      </w:r>
      <w:r w:rsidRPr="00131EED">
        <w:t xml:space="preserve"> identificadas en la Sabana de Bogotá</w:t>
      </w:r>
      <w:bookmarkEnd w:id="115"/>
    </w:p>
    <w:tbl>
      <w:tblPr>
        <w:tblStyle w:val="TableGrid"/>
        <w:tblW w:w="8789" w:type="dxa"/>
        <w:tblLayout w:type="fixed"/>
        <w:tblLook w:val="0420" w:firstRow="1" w:lastRow="0" w:firstColumn="0" w:lastColumn="0" w:noHBand="0" w:noVBand="1"/>
      </w:tblPr>
      <w:tblGrid>
        <w:gridCol w:w="1906"/>
        <w:gridCol w:w="1111"/>
        <w:gridCol w:w="1588"/>
        <w:gridCol w:w="1491"/>
        <w:gridCol w:w="1417"/>
        <w:gridCol w:w="1276"/>
      </w:tblGrid>
      <w:tr w:rsidR="008A326C" w:rsidRPr="00131EED" w14:paraId="0CCBE675" w14:textId="77777777" w:rsidTr="008247D8">
        <w:trPr>
          <w:trHeight w:val="188"/>
          <w:tblHeader/>
        </w:trPr>
        <w:tc>
          <w:tcPr>
            <w:tcW w:w="1906" w:type="dxa"/>
          </w:tcPr>
          <w:p w14:paraId="33EB1B0A"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lang w:eastAsia="es-CO"/>
              </w:rPr>
              <w:t xml:space="preserve">Especie </w:t>
            </w:r>
          </w:p>
        </w:tc>
        <w:tc>
          <w:tcPr>
            <w:tcW w:w="1111" w:type="dxa"/>
          </w:tcPr>
          <w:p w14:paraId="5D791B35"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lang w:eastAsia="es-CO"/>
              </w:rPr>
              <w:t xml:space="preserve">Reino </w:t>
            </w:r>
          </w:p>
        </w:tc>
        <w:tc>
          <w:tcPr>
            <w:tcW w:w="1588" w:type="dxa"/>
          </w:tcPr>
          <w:p w14:paraId="0A15B286"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lang w:eastAsia="es-CO"/>
              </w:rPr>
              <w:t>Grupo</w:t>
            </w:r>
          </w:p>
        </w:tc>
        <w:tc>
          <w:tcPr>
            <w:tcW w:w="1491" w:type="dxa"/>
          </w:tcPr>
          <w:p w14:paraId="7D6E723A"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lang w:eastAsia="es-CO"/>
              </w:rPr>
              <w:t xml:space="preserve">Clase </w:t>
            </w:r>
          </w:p>
        </w:tc>
        <w:tc>
          <w:tcPr>
            <w:tcW w:w="1417" w:type="dxa"/>
          </w:tcPr>
          <w:p w14:paraId="11211A14"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lang w:eastAsia="es-CO"/>
              </w:rPr>
              <w:t>Orden</w:t>
            </w:r>
          </w:p>
        </w:tc>
        <w:tc>
          <w:tcPr>
            <w:tcW w:w="1276" w:type="dxa"/>
          </w:tcPr>
          <w:p w14:paraId="3DF2203F" w14:textId="77777777" w:rsidR="008A326C" w:rsidRPr="00131EED" w:rsidRDefault="061E56AE" w:rsidP="567C331E">
            <w:pPr>
              <w:autoSpaceDE w:val="0"/>
              <w:autoSpaceDN w:val="0"/>
              <w:adjustRightInd w:val="0"/>
              <w:rPr>
                <w:rFonts w:eastAsia="Baskerville Old Face" w:cs="Baskerville Old Face"/>
                <w:b/>
                <w:sz w:val="20"/>
                <w:szCs w:val="20"/>
              </w:rPr>
            </w:pPr>
            <w:r w:rsidRPr="00131EED">
              <w:rPr>
                <w:rFonts w:eastAsia="Baskerville Old Face" w:cs="Baskerville Old Face"/>
                <w:b/>
                <w:sz w:val="20"/>
                <w:szCs w:val="20"/>
                <w:lang w:eastAsia="es-CO"/>
              </w:rPr>
              <w:t xml:space="preserve">Familia </w:t>
            </w:r>
          </w:p>
        </w:tc>
      </w:tr>
      <w:tr w:rsidR="008A326C" w:rsidRPr="00131EED" w14:paraId="449C540C" w14:textId="77777777" w:rsidTr="008247D8">
        <w:trPr>
          <w:trHeight w:val="366"/>
        </w:trPr>
        <w:tc>
          <w:tcPr>
            <w:tcW w:w="1906" w:type="dxa"/>
          </w:tcPr>
          <w:p w14:paraId="0554DA9E"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lang w:eastAsia="es-CO"/>
              </w:rPr>
              <w:t>Alopochen aegyptiaca</w:t>
            </w:r>
          </w:p>
        </w:tc>
        <w:tc>
          <w:tcPr>
            <w:tcW w:w="1111" w:type="dxa"/>
          </w:tcPr>
          <w:p w14:paraId="23539726"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Animalia</w:t>
            </w:r>
          </w:p>
        </w:tc>
        <w:tc>
          <w:tcPr>
            <w:tcW w:w="1588" w:type="dxa"/>
          </w:tcPr>
          <w:p w14:paraId="58DA45AD"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Chordata</w:t>
            </w:r>
          </w:p>
        </w:tc>
        <w:tc>
          <w:tcPr>
            <w:tcW w:w="1491" w:type="dxa"/>
          </w:tcPr>
          <w:p w14:paraId="48AFD284"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Aves</w:t>
            </w:r>
          </w:p>
        </w:tc>
        <w:tc>
          <w:tcPr>
            <w:tcW w:w="1417" w:type="dxa"/>
          </w:tcPr>
          <w:p w14:paraId="1C2BF589"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Anseriformes</w:t>
            </w:r>
          </w:p>
        </w:tc>
        <w:tc>
          <w:tcPr>
            <w:tcW w:w="1276" w:type="dxa"/>
          </w:tcPr>
          <w:p w14:paraId="5D774B9B"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Anatidae</w:t>
            </w:r>
          </w:p>
        </w:tc>
      </w:tr>
      <w:tr w:rsidR="008A326C" w:rsidRPr="00131EED" w14:paraId="6627D499" w14:textId="77777777" w:rsidTr="008247D8">
        <w:trPr>
          <w:trHeight w:val="188"/>
        </w:trPr>
        <w:tc>
          <w:tcPr>
            <w:tcW w:w="1906" w:type="dxa"/>
          </w:tcPr>
          <w:p w14:paraId="3C5128ED"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lang w:eastAsia="es-CO"/>
              </w:rPr>
              <w:t>Cornu aspersum</w:t>
            </w:r>
          </w:p>
        </w:tc>
        <w:tc>
          <w:tcPr>
            <w:tcW w:w="1111" w:type="dxa"/>
          </w:tcPr>
          <w:p w14:paraId="109BDA67"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Animalia</w:t>
            </w:r>
          </w:p>
        </w:tc>
        <w:tc>
          <w:tcPr>
            <w:tcW w:w="1588" w:type="dxa"/>
          </w:tcPr>
          <w:p w14:paraId="46164DC7"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Mollusca</w:t>
            </w:r>
          </w:p>
        </w:tc>
        <w:tc>
          <w:tcPr>
            <w:tcW w:w="1491" w:type="dxa"/>
          </w:tcPr>
          <w:p w14:paraId="60B29326"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Gastropoda</w:t>
            </w:r>
          </w:p>
        </w:tc>
        <w:tc>
          <w:tcPr>
            <w:tcW w:w="1417" w:type="dxa"/>
          </w:tcPr>
          <w:p w14:paraId="3DC3FA10"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Stylommatophora</w:t>
            </w:r>
          </w:p>
        </w:tc>
        <w:tc>
          <w:tcPr>
            <w:tcW w:w="1276" w:type="dxa"/>
          </w:tcPr>
          <w:p w14:paraId="225D08D0"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Helicidae</w:t>
            </w:r>
          </w:p>
        </w:tc>
      </w:tr>
      <w:tr w:rsidR="008A326C" w:rsidRPr="00131EED" w14:paraId="32B4DA4F" w14:textId="77777777" w:rsidTr="008247D8">
        <w:trPr>
          <w:trHeight w:val="188"/>
        </w:trPr>
        <w:tc>
          <w:tcPr>
            <w:tcW w:w="1906" w:type="dxa"/>
          </w:tcPr>
          <w:p w14:paraId="2113E4E6"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lang w:eastAsia="es-CO"/>
              </w:rPr>
              <w:t>Cyprinus carpio</w:t>
            </w:r>
          </w:p>
        </w:tc>
        <w:tc>
          <w:tcPr>
            <w:tcW w:w="1111" w:type="dxa"/>
          </w:tcPr>
          <w:p w14:paraId="134113F0"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Animalia</w:t>
            </w:r>
          </w:p>
        </w:tc>
        <w:tc>
          <w:tcPr>
            <w:tcW w:w="1588" w:type="dxa"/>
          </w:tcPr>
          <w:p w14:paraId="42A6A37F"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Chordata</w:t>
            </w:r>
          </w:p>
        </w:tc>
        <w:tc>
          <w:tcPr>
            <w:tcW w:w="1491" w:type="dxa"/>
          </w:tcPr>
          <w:p w14:paraId="0DDB19A7"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 </w:t>
            </w:r>
          </w:p>
        </w:tc>
        <w:tc>
          <w:tcPr>
            <w:tcW w:w="1417" w:type="dxa"/>
          </w:tcPr>
          <w:p w14:paraId="2973DF54"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Cypriniformes</w:t>
            </w:r>
          </w:p>
        </w:tc>
        <w:tc>
          <w:tcPr>
            <w:tcW w:w="1276" w:type="dxa"/>
          </w:tcPr>
          <w:p w14:paraId="5D4B742D"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Cyprinidae</w:t>
            </w:r>
          </w:p>
        </w:tc>
      </w:tr>
      <w:tr w:rsidR="008A326C" w:rsidRPr="00131EED" w14:paraId="6F73F86E" w14:textId="77777777" w:rsidTr="008247D8">
        <w:trPr>
          <w:trHeight w:val="377"/>
        </w:trPr>
        <w:tc>
          <w:tcPr>
            <w:tcW w:w="1906" w:type="dxa"/>
          </w:tcPr>
          <w:p w14:paraId="5F27DB1E"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lang w:eastAsia="es-CO"/>
              </w:rPr>
              <w:t>Genista monspessulana</w:t>
            </w:r>
          </w:p>
        </w:tc>
        <w:tc>
          <w:tcPr>
            <w:tcW w:w="1111" w:type="dxa"/>
          </w:tcPr>
          <w:p w14:paraId="170E069C"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Plantae</w:t>
            </w:r>
          </w:p>
        </w:tc>
        <w:tc>
          <w:tcPr>
            <w:tcW w:w="1588" w:type="dxa"/>
          </w:tcPr>
          <w:p w14:paraId="10205A0E"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Tracheophyta</w:t>
            </w:r>
          </w:p>
        </w:tc>
        <w:tc>
          <w:tcPr>
            <w:tcW w:w="1491" w:type="dxa"/>
          </w:tcPr>
          <w:p w14:paraId="442B7439"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Magnoliopsida</w:t>
            </w:r>
          </w:p>
        </w:tc>
        <w:tc>
          <w:tcPr>
            <w:tcW w:w="1417" w:type="dxa"/>
          </w:tcPr>
          <w:p w14:paraId="52167DD5"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Fabales</w:t>
            </w:r>
          </w:p>
        </w:tc>
        <w:tc>
          <w:tcPr>
            <w:tcW w:w="1276" w:type="dxa"/>
          </w:tcPr>
          <w:p w14:paraId="43E62706"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Fabaceae</w:t>
            </w:r>
          </w:p>
        </w:tc>
      </w:tr>
      <w:tr w:rsidR="008A326C" w:rsidRPr="00131EED" w14:paraId="57D52BF5" w14:textId="77777777" w:rsidTr="008247D8">
        <w:trPr>
          <w:trHeight w:val="366"/>
        </w:trPr>
        <w:tc>
          <w:tcPr>
            <w:tcW w:w="1906" w:type="dxa"/>
          </w:tcPr>
          <w:p w14:paraId="4F0E7957"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lang w:eastAsia="es-CO"/>
              </w:rPr>
              <w:t>Lissachatina fulica</w:t>
            </w:r>
          </w:p>
        </w:tc>
        <w:tc>
          <w:tcPr>
            <w:tcW w:w="1111" w:type="dxa"/>
          </w:tcPr>
          <w:p w14:paraId="7951CF4D"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Animalia</w:t>
            </w:r>
          </w:p>
        </w:tc>
        <w:tc>
          <w:tcPr>
            <w:tcW w:w="1588" w:type="dxa"/>
          </w:tcPr>
          <w:p w14:paraId="528AAEDD"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Mollusca</w:t>
            </w:r>
          </w:p>
        </w:tc>
        <w:tc>
          <w:tcPr>
            <w:tcW w:w="1491" w:type="dxa"/>
          </w:tcPr>
          <w:p w14:paraId="2D6331B9"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Gastropoda</w:t>
            </w:r>
          </w:p>
        </w:tc>
        <w:tc>
          <w:tcPr>
            <w:tcW w:w="1417" w:type="dxa"/>
          </w:tcPr>
          <w:p w14:paraId="51774D17"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Stylommatophora</w:t>
            </w:r>
          </w:p>
        </w:tc>
        <w:tc>
          <w:tcPr>
            <w:tcW w:w="1276" w:type="dxa"/>
          </w:tcPr>
          <w:p w14:paraId="68D53EC0"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Achatinidae</w:t>
            </w:r>
          </w:p>
        </w:tc>
      </w:tr>
      <w:tr w:rsidR="008A326C" w:rsidRPr="00131EED" w14:paraId="3BBD2621" w14:textId="77777777" w:rsidTr="008247D8">
        <w:trPr>
          <w:trHeight w:val="377"/>
        </w:trPr>
        <w:tc>
          <w:tcPr>
            <w:tcW w:w="1906" w:type="dxa"/>
          </w:tcPr>
          <w:p w14:paraId="28043889"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lang w:eastAsia="es-CO"/>
              </w:rPr>
              <w:t>Lithobates catesbeianus</w:t>
            </w:r>
          </w:p>
        </w:tc>
        <w:tc>
          <w:tcPr>
            <w:tcW w:w="1111" w:type="dxa"/>
          </w:tcPr>
          <w:p w14:paraId="44F9B424"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Animalia</w:t>
            </w:r>
          </w:p>
        </w:tc>
        <w:tc>
          <w:tcPr>
            <w:tcW w:w="1588" w:type="dxa"/>
          </w:tcPr>
          <w:p w14:paraId="3A8090C9"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Chordata</w:t>
            </w:r>
          </w:p>
        </w:tc>
        <w:tc>
          <w:tcPr>
            <w:tcW w:w="1491" w:type="dxa"/>
          </w:tcPr>
          <w:p w14:paraId="713F4256"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Amphibia</w:t>
            </w:r>
          </w:p>
        </w:tc>
        <w:tc>
          <w:tcPr>
            <w:tcW w:w="1417" w:type="dxa"/>
          </w:tcPr>
          <w:p w14:paraId="22E0DCD9"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Anura</w:t>
            </w:r>
          </w:p>
        </w:tc>
        <w:tc>
          <w:tcPr>
            <w:tcW w:w="1276" w:type="dxa"/>
          </w:tcPr>
          <w:p w14:paraId="27853132"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Ranidae</w:t>
            </w:r>
          </w:p>
        </w:tc>
      </w:tr>
      <w:tr w:rsidR="008A326C" w:rsidRPr="00131EED" w14:paraId="35096FD6" w14:textId="77777777" w:rsidTr="008247D8">
        <w:trPr>
          <w:trHeight w:val="377"/>
        </w:trPr>
        <w:tc>
          <w:tcPr>
            <w:tcW w:w="1906" w:type="dxa"/>
          </w:tcPr>
          <w:p w14:paraId="626C8718"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lang w:eastAsia="es-CO"/>
              </w:rPr>
              <w:t>Micropterus salmoides</w:t>
            </w:r>
          </w:p>
        </w:tc>
        <w:tc>
          <w:tcPr>
            <w:tcW w:w="1111" w:type="dxa"/>
          </w:tcPr>
          <w:p w14:paraId="78878C04"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Animalia</w:t>
            </w:r>
          </w:p>
        </w:tc>
        <w:tc>
          <w:tcPr>
            <w:tcW w:w="1588" w:type="dxa"/>
          </w:tcPr>
          <w:p w14:paraId="03136FAA"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Chordata</w:t>
            </w:r>
          </w:p>
        </w:tc>
        <w:tc>
          <w:tcPr>
            <w:tcW w:w="1491" w:type="dxa"/>
          </w:tcPr>
          <w:p w14:paraId="1BAF8A20"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 </w:t>
            </w:r>
          </w:p>
        </w:tc>
        <w:tc>
          <w:tcPr>
            <w:tcW w:w="1417" w:type="dxa"/>
          </w:tcPr>
          <w:p w14:paraId="3852BE67"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Perciformes</w:t>
            </w:r>
          </w:p>
        </w:tc>
        <w:tc>
          <w:tcPr>
            <w:tcW w:w="1276" w:type="dxa"/>
          </w:tcPr>
          <w:p w14:paraId="595F388D"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Centrarchidae</w:t>
            </w:r>
          </w:p>
        </w:tc>
      </w:tr>
      <w:tr w:rsidR="008A326C" w:rsidRPr="00131EED" w14:paraId="43D95044" w14:textId="77777777" w:rsidTr="008247D8">
        <w:trPr>
          <w:trHeight w:val="366"/>
        </w:trPr>
        <w:tc>
          <w:tcPr>
            <w:tcW w:w="1906" w:type="dxa"/>
          </w:tcPr>
          <w:p w14:paraId="46142CD3"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lang w:eastAsia="es-CO"/>
              </w:rPr>
              <w:t>Oncorhynchus mykiss</w:t>
            </w:r>
          </w:p>
        </w:tc>
        <w:tc>
          <w:tcPr>
            <w:tcW w:w="1111" w:type="dxa"/>
          </w:tcPr>
          <w:p w14:paraId="0F086A74"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Animalia</w:t>
            </w:r>
          </w:p>
        </w:tc>
        <w:tc>
          <w:tcPr>
            <w:tcW w:w="1588" w:type="dxa"/>
          </w:tcPr>
          <w:p w14:paraId="50E8A8C6"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Chordata</w:t>
            </w:r>
          </w:p>
        </w:tc>
        <w:tc>
          <w:tcPr>
            <w:tcW w:w="1491" w:type="dxa"/>
          </w:tcPr>
          <w:p w14:paraId="089F9C75"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 </w:t>
            </w:r>
          </w:p>
        </w:tc>
        <w:tc>
          <w:tcPr>
            <w:tcW w:w="1417" w:type="dxa"/>
          </w:tcPr>
          <w:p w14:paraId="6E41F6E3"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Salmoniformes</w:t>
            </w:r>
          </w:p>
        </w:tc>
        <w:tc>
          <w:tcPr>
            <w:tcW w:w="1276" w:type="dxa"/>
          </w:tcPr>
          <w:p w14:paraId="73A9601E"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Salmonidae</w:t>
            </w:r>
          </w:p>
        </w:tc>
      </w:tr>
      <w:tr w:rsidR="008A326C" w:rsidRPr="00131EED" w14:paraId="05DD9A10" w14:textId="77777777" w:rsidTr="008247D8">
        <w:trPr>
          <w:trHeight w:val="377"/>
        </w:trPr>
        <w:tc>
          <w:tcPr>
            <w:tcW w:w="1906" w:type="dxa"/>
          </w:tcPr>
          <w:p w14:paraId="02E913CD"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lang w:eastAsia="es-CO"/>
              </w:rPr>
              <w:t>Paulownia tomentosa</w:t>
            </w:r>
          </w:p>
        </w:tc>
        <w:tc>
          <w:tcPr>
            <w:tcW w:w="1111" w:type="dxa"/>
          </w:tcPr>
          <w:p w14:paraId="42A963CF"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Plantae</w:t>
            </w:r>
          </w:p>
        </w:tc>
        <w:tc>
          <w:tcPr>
            <w:tcW w:w="1588" w:type="dxa"/>
          </w:tcPr>
          <w:p w14:paraId="7766C8DA"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Tracheophyta</w:t>
            </w:r>
          </w:p>
        </w:tc>
        <w:tc>
          <w:tcPr>
            <w:tcW w:w="1491" w:type="dxa"/>
          </w:tcPr>
          <w:p w14:paraId="3D343D12"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Magnoliopsida</w:t>
            </w:r>
          </w:p>
        </w:tc>
        <w:tc>
          <w:tcPr>
            <w:tcW w:w="1417" w:type="dxa"/>
          </w:tcPr>
          <w:p w14:paraId="1817A858"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Lamiales</w:t>
            </w:r>
          </w:p>
        </w:tc>
        <w:tc>
          <w:tcPr>
            <w:tcW w:w="1276" w:type="dxa"/>
          </w:tcPr>
          <w:p w14:paraId="5EA1F269"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Paulowniaceae</w:t>
            </w:r>
          </w:p>
        </w:tc>
      </w:tr>
      <w:tr w:rsidR="008A326C" w:rsidRPr="00131EED" w14:paraId="12E98252" w14:textId="77777777" w:rsidTr="008247D8">
        <w:trPr>
          <w:trHeight w:val="377"/>
        </w:trPr>
        <w:tc>
          <w:tcPr>
            <w:tcW w:w="1906" w:type="dxa"/>
          </w:tcPr>
          <w:p w14:paraId="216C0B37"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lang w:eastAsia="es-CO"/>
              </w:rPr>
              <w:t>Pontederia crassipes</w:t>
            </w:r>
          </w:p>
        </w:tc>
        <w:tc>
          <w:tcPr>
            <w:tcW w:w="1111" w:type="dxa"/>
          </w:tcPr>
          <w:p w14:paraId="48F707AF"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Plantae</w:t>
            </w:r>
          </w:p>
        </w:tc>
        <w:tc>
          <w:tcPr>
            <w:tcW w:w="1588" w:type="dxa"/>
          </w:tcPr>
          <w:p w14:paraId="47EEA216"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Tracheophyta</w:t>
            </w:r>
          </w:p>
        </w:tc>
        <w:tc>
          <w:tcPr>
            <w:tcW w:w="1491" w:type="dxa"/>
          </w:tcPr>
          <w:p w14:paraId="28CCF3D8"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Liliopsida</w:t>
            </w:r>
          </w:p>
        </w:tc>
        <w:tc>
          <w:tcPr>
            <w:tcW w:w="1417" w:type="dxa"/>
          </w:tcPr>
          <w:p w14:paraId="59B374BE"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Commelinales</w:t>
            </w:r>
          </w:p>
        </w:tc>
        <w:tc>
          <w:tcPr>
            <w:tcW w:w="1276" w:type="dxa"/>
          </w:tcPr>
          <w:p w14:paraId="54927D9B"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Pontederiaceae</w:t>
            </w:r>
          </w:p>
        </w:tc>
      </w:tr>
      <w:tr w:rsidR="008A326C" w:rsidRPr="00131EED" w14:paraId="58EFC737" w14:textId="77777777" w:rsidTr="008247D8">
        <w:trPr>
          <w:trHeight w:val="366"/>
        </w:trPr>
        <w:tc>
          <w:tcPr>
            <w:tcW w:w="1906" w:type="dxa"/>
          </w:tcPr>
          <w:p w14:paraId="2339438E"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lang w:eastAsia="es-CO"/>
              </w:rPr>
              <w:t>Procambarus clarkii</w:t>
            </w:r>
          </w:p>
        </w:tc>
        <w:tc>
          <w:tcPr>
            <w:tcW w:w="1111" w:type="dxa"/>
          </w:tcPr>
          <w:p w14:paraId="66E1682A"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Animalia</w:t>
            </w:r>
          </w:p>
        </w:tc>
        <w:tc>
          <w:tcPr>
            <w:tcW w:w="1588" w:type="dxa"/>
          </w:tcPr>
          <w:p w14:paraId="7065FB55"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Arthropoda</w:t>
            </w:r>
          </w:p>
        </w:tc>
        <w:tc>
          <w:tcPr>
            <w:tcW w:w="1491" w:type="dxa"/>
          </w:tcPr>
          <w:p w14:paraId="1367D12F"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Malacostraca</w:t>
            </w:r>
          </w:p>
        </w:tc>
        <w:tc>
          <w:tcPr>
            <w:tcW w:w="1417" w:type="dxa"/>
          </w:tcPr>
          <w:p w14:paraId="10D0C1BB"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Decapoda</w:t>
            </w:r>
          </w:p>
        </w:tc>
        <w:tc>
          <w:tcPr>
            <w:tcW w:w="1276" w:type="dxa"/>
          </w:tcPr>
          <w:p w14:paraId="33A4EB9D"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Cambaridae</w:t>
            </w:r>
          </w:p>
        </w:tc>
      </w:tr>
      <w:tr w:rsidR="008A326C" w:rsidRPr="00131EED" w14:paraId="22556B7F" w14:textId="77777777" w:rsidTr="008247D8">
        <w:trPr>
          <w:trHeight w:val="188"/>
        </w:trPr>
        <w:tc>
          <w:tcPr>
            <w:tcW w:w="1906" w:type="dxa"/>
          </w:tcPr>
          <w:p w14:paraId="01BA7961" w14:textId="77777777" w:rsidR="008A326C" w:rsidRPr="00131EED" w:rsidRDefault="061E56AE" w:rsidP="567C331E">
            <w:pPr>
              <w:autoSpaceDE w:val="0"/>
              <w:autoSpaceDN w:val="0"/>
              <w:adjustRightInd w:val="0"/>
              <w:rPr>
                <w:rFonts w:eastAsia="Baskerville Old Face" w:cs="Baskerville Old Face"/>
                <w:i/>
                <w:sz w:val="20"/>
                <w:szCs w:val="20"/>
              </w:rPr>
            </w:pPr>
            <w:r w:rsidRPr="00131EED">
              <w:rPr>
                <w:rFonts w:eastAsia="Baskerville Old Face" w:cs="Baskerville Old Face"/>
                <w:i/>
                <w:sz w:val="20"/>
                <w:szCs w:val="20"/>
                <w:lang w:eastAsia="es-CO"/>
              </w:rPr>
              <w:t>Ulex europaeus</w:t>
            </w:r>
          </w:p>
        </w:tc>
        <w:tc>
          <w:tcPr>
            <w:tcW w:w="1111" w:type="dxa"/>
          </w:tcPr>
          <w:p w14:paraId="69CF1D08"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Plantae</w:t>
            </w:r>
          </w:p>
        </w:tc>
        <w:tc>
          <w:tcPr>
            <w:tcW w:w="1588" w:type="dxa"/>
          </w:tcPr>
          <w:p w14:paraId="4999AED9"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Tracheophyta</w:t>
            </w:r>
          </w:p>
        </w:tc>
        <w:tc>
          <w:tcPr>
            <w:tcW w:w="1491" w:type="dxa"/>
          </w:tcPr>
          <w:p w14:paraId="27D59DBD"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Magnoliopsida</w:t>
            </w:r>
          </w:p>
        </w:tc>
        <w:tc>
          <w:tcPr>
            <w:tcW w:w="1417" w:type="dxa"/>
          </w:tcPr>
          <w:p w14:paraId="49112C82"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Fabales</w:t>
            </w:r>
          </w:p>
        </w:tc>
        <w:tc>
          <w:tcPr>
            <w:tcW w:w="1276" w:type="dxa"/>
          </w:tcPr>
          <w:p w14:paraId="32E550B1" w14:textId="77777777" w:rsidR="008A326C" w:rsidRPr="00131EED" w:rsidRDefault="061E56AE" w:rsidP="567C331E">
            <w:pPr>
              <w:autoSpaceDE w:val="0"/>
              <w:autoSpaceDN w:val="0"/>
              <w:adjustRightInd w:val="0"/>
              <w:rPr>
                <w:rFonts w:eastAsia="Baskerville Old Face" w:cs="Baskerville Old Face"/>
                <w:sz w:val="20"/>
                <w:szCs w:val="20"/>
              </w:rPr>
            </w:pPr>
            <w:r w:rsidRPr="00131EED">
              <w:rPr>
                <w:rFonts w:eastAsia="Baskerville Old Face" w:cs="Baskerville Old Face"/>
                <w:sz w:val="20"/>
                <w:szCs w:val="20"/>
                <w:lang w:eastAsia="es-CO"/>
              </w:rPr>
              <w:t>Fabaceae</w:t>
            </w:r>
          </w:p>
        </w:tc>
      </w:tr>
    </w:tbl>
    <w:p w14:paraId="4209AEC5" w14:textId="77777777" w:rsidR="008A326C" w:rsidRPr="00131EED" w:rsidRDefault="008A326C" w:rsidP="00057A1F">
      <w:pPr>
        <w:jc w:val="center"/>
        <w:rPr>
          <w:rFonts w:cs="Arial"/>
          <w:sz w:val="20"/>
          <w:szCs w:val="20"/>
        </w:rPr>
      </w:pPr>
      <w:r w:rsidRPr="00131EED">
        <w:rPr>
          <w:rStyle w:val="FootnoteReference"/>
          <w:rFonts w:cs="Arial"/>
          <w:sz w:val="20"/>
          <w:szCs w:val="20"/>
          <w:vertAlign w:val="baseline"/>
        </w:rPr>
        <w:t>Fuente: MinAmbiente con información IAVH, 2024</w:t>
      </w:r>
    </w:p>
    <w:p w14:paraId="088287EC" w14:textId="77777777" w:rsidR="008A326C" w:rsidRPr="00131EED" w:rsidRDefault="008A326C" w:rsidP="008A326C">
      <w:pPr>
        <w:autoSpaceDE w:val="0"/>
        <w:autoSpaceDN w:val="0"/>
        <w:adjustRightInd w:val="0"/>
        <w:rPr>
          <w:rFonts w:ascii="Baskerville" w:hAnsi="Baskerville" w:cs="Arial"/>
          <w:szCs w:val="20"/>
        </w:rPr>
      </w:pPr>
    </w:p>
    <w:p w14:paraId="12A51FBC" w14:textId="45437BCA" w:rsidR="008A326C" w:rsidRPr="00131EED" w:rsidRDefault="008A326C" w:rsidP="008A326C">
      <w:pPr>
        <w:autoSpaceDE w:val="0"/>
        <w:autoSpaceDN w:val="0"/>
        <w:adjustRightInd w:val="0"/>
        <w:rPr>
          <w:rFonts w:cs="Arial"/>
          <w:szCs w:val="20"/>
        </w:rPr>
      </w:pPr>
      <w:r w:rsidRPr="00131EED">
        <w:rPr>
          <w:rFonts w:cs="Arial"/>
          <w:szCs w:val="20"/>
        </w:rPr>
        <w:t>Otros impactos de las especies invasoras, es que generan desplazamiento y disminución de poblaciones de especies nativas, pérdida de biodiversidad y reducción de hábitats; destacando el retamo espinoso (</w:t>
      </w:r>
      <w:r w:rsidRPr="00131EED">
        <w:rPr>
          <w:rFonts w:cs="Arial"/>
          <w:i/>
          <w:szCs w:val="20"/>
        </w:rPr>
        <w:t>Ulex europaeus L</w:t>
      </w:r>
      <w:r w:rsidRPr="00131EED">
        <w:rPr>
          <w:rFonts w:cs="Arial"/>
          <w:szCs w:val="20"/>
        </w:rPr>
        <w:t>) catalogado entre las 100 especies más invasoras del mundo, su invasión promueve la generación de incendios forestales, el desplazamiento de especies nativas y la formación de bancos de semillas con 60 años de latencia y una densidad de 120.000 semillas por cm2 (</w:t>
      </w:r>
      <w:sdt>
        <w:sdtPr>
          <w:rPr>
            <w:rFonts w:cs="Arial"/>
            <w:szCs w:val="20"/>
          </w:rPr>
          <w:id w:val="-1290660777"/>
          <w:citation/>
        </w:sdtPr>
        <w:sdtEndPr/>
        <w:sdtContent>
          <w:r w:rsidRPr="00131EED">
            <w:rPr>
              <w:rFonts w:cs="Arial"/>
              <w:szCs w:val="20"/>
            </w:rPr>
            <w:fldChar w:fldCharType="begin"/>
          </w:r>
          <w:r w:rsidRPr="00131EED">
            <w:rPr>
              <w:rFonts w:cs="Arial"/>
              <w:szCs w:val="20"/>
            </w:rPr>
            <w:instrText xml:space="preserve"> CITATION Riv15 \l 2058 </w:instrText>
          </w:r>
          <w:r w:rsidRPr="00131EED">
            <w:rPr>
              <w:rFonts w:cs="Arial"/>
              <w:szCs w:val="20"/>
            </w:rPr>
            <w:fldChar w:fldCharType="separate"/>
          </w:r>
          <w:r w:rsidRPr="00131EED">
            <w:rPr>
              <w:rFonts w:cs="Arial"/>
              <w:szCs w:val="20"/>
            </w:rPr>
            <w:t xml:space="preserve"> (Rivera, 2015)</w:t>
          </w:r>
          <w:r w:rsidRPr="00131EED">
            <w:rPr>
              <w:rFonts w:cs="Arial"/>
              <w:szCs w:val="20"/>
            </w:rPr>
            <w:fldChar w:fldCharType="end"/>
          </w:r>
        </w:sdtContent>
      </w:sdt>
      <w:sdt>
        <w:sdtPr>
          <w:rPr>
            <w:rFonts w:cs="Arial"/>
            <w:szCs w:val="20"/>
          </w:rPr>
          <w:id w:val="-1875999431"/>
          <w:citation/>
        </w:sdtPr>
        <w:sdtEndPr/>
        <w:sdtContent>
          <w:r w:rsidRPr="00131EED">
            <w:rPr>
              <w:rFonts w:cs="Arial"/>
              <w:szCs w:val="20"/>
            </w:rPr>
            <w:fldChar w:fldCharType="begin"/>
          </w:r>
          <w:r w:rsidRPr="00131EED">
            <w:rPr>
              <w:rFonts w:cs="Arial"/>
              <w:szCs w:val="20"/>
            </w:rPr>
            <w:instrText xml:space="preserve"> CITATION Bel12 \l 2058 </w:instrText>
          </w:r>
          <w:r w:rsidRPr="00131EED">
            <w:rPr>
              <w:rFonts w:cs="Arial"/>
              <w:szCs w:val="20"/>
            </w:rPr>
            <w:fldChar w:fldCharType="separate"/>
          </w:r>
          <w:r w:rsidRPr="00131EED">
            <w:rPr>
              <w:rFonts w:cs="Arial"/>
              <w:szCs w:val="20"/>
            </w:rPr>
            <w:t xml:space="preserve"> (Beltrán, 2012)</w:t>
          </w:r>
          <w:r w:rsidRPr="00131EED">
            <w:rPr>
              <w:rFonts w:cs="Arial"/>
              <w:szCs w:val="20"/>
            </w:rPr>
            <w:fldChar w:fldCharType="end"/>
          </w:r>
        </w:sdtContent>
      </w:sdt>
      <w:r w:rsidRPr="00131EED">
        <w:rPr>
          <w:rFonts w:cs="Arial"/>
          <w:szCs w:val="20"/>
        </w:rPr>
        <w:t xml:space="preserve"> </w:t>
      </w:r>
      <w:sdt>
        <w:sdtPr>
          <w:rPr>
            <w:rFonts w:cs="Arial"/>
            <w:szCs w:val="20"/>
          </w:rPr>
          <w:id w:val="900173170"/>
          <w:citation/>
        </w:sdtPr>
        <w:sdtEndPr/>
        <w:sdtContent>
          <w:r w:rsidRPr="00131EED">
            <w:rPr>
              <w:rFonts w:cs="Arial"/>
              <w:szCs w:val="20"/>
            </w:rPr>
            <w:fldChar w:fldCharType="begin"/>
          </w:r>
          <w:r w:rsidRPr="00131EED">
            <w:rPr>
              <w:rFonts w:cs="Arial"/>
              <w:szCs w:val="20"/>
            </w:rPr>
            <w:instrText xml:space="preserve"> CITATION Cam15 \l 2058 </w:instrText>
          </w:r>
          <w:r w:rsidRPr="00131EED">
            <w:rPr>
              <w:rFonts w:cs="Arial"/>
              <w:szCs w:val="20"/>
            </w:rPr>
            <w:fldChar w:fldCharType="separate"/>
          </w:r>
          <w:r w:rsidRPr="00131EED">
            <w:rPr>
              <w:rFonts w:cs="Arial"/>
              <w:szCs w:val="20"/>
            </w:rPr>
            <w:t>(Camelo, 2015)</w:t>
          </w:r>
          <w:r w:rsidRPr="00131EED">
            <w:rPr>
              <w:rFonts w:cs="Arial"/>
              <w:szCs w:val="20"/>
            </w:rPr>
            <w:fldChar w:fldCharType="end"/>
          </w:r>
        </w:sdtContent>
      </w:sdt>
    </w:p>
    <w:p w14:paraId="63BF2F35" w14:textId="77777777" w:rsidR="008A326C" w:rsidRPr="00131EED" w:rsidRDefault="008A326C" w:rsidP="008A326C">
      <w:pPr>
        <w:autoSpaceDE w:val="0"/>
        <w:autoSpaceDN w:val="0"/>
        <w:adjustRightInd w:val="0"/>
        <w:rPr>
          <w:rFonts w:cs="Arial"/>
          <w:szCs w:val="20"/>
        </w:rPr>
      </w:pPr>
    </w:p>
    <w:p w14:paraId="38830222" w14:textId="77777777" w:rsidR="008A326C" w:rsidRPr="00131EED" w:rsidRDefault="008A326C" w:rsidP="008A326C">
      <w:pPr>
        <w:autoSpaceDE w:val="0"/>
        <w:autoSpaceDN w:val="0"/>
        <w:adjustRightInd w:val="0"/>
        <w:rPr>
          <w:rFonts w:cs="Arial"/>
          <w:szCs w:val="20"/>
        </w:rPr>
      </w:pPr>
      <w:r w:rsidRPr="00131EED">
        <w:rPr>
          <w:rFonts w:cs="Arial"/>
          <w:szCs w:val="20"/>
        </w:rPr>
        <w:t>La biodiversidad de la sabana de Bogotá está enfrentando una seria problemática relacionada con la transformación de hábitat en áreas reconocidas hoy en día como de importancia ecosistémica, tales como los humedales y los bosques, esto debido en parte a las consecuencias de la introducción de especies exóticas que se comportan como invasoras</w:t>
      </w:r>
    </w:p>
    <w:p w14:paraId="14F5B230" w14:textId="77777777" w:rsidR="008A326C" w:rsidRPr="00131EED" w:rsidRDefault="008A326C" w:rsidP="008A326C">
      <w:pPr>
        <w:autoSpaceDE w:val="0"/>
        <w:autoSpaceDN w:val="0"/>
        <w:adjustRightInd w:val="0"/>
        <w:rPr>
          <w:rFonts w:cs="Arial"/>
          <w:szCs w:val="20"/>
        </w:rPr>
      </w:pPr>
    </w:p>
    <w:p w14:paraId="30C19B21" w14:textId="77777777" w:rsidR="008A326C" w:rsidRPr="00131EED" w:rsidRDefault="008A326C" w:rsidP="008A326C">
      <w:pPr>
        <w:autoSpaceDE w:val="0"/>
        <w:autoSpaceDN w:val="0"/>
        <w:adjustRightInd w:val="0"/>
        <w:rPr>
          <w:rFonts w:cs="Arial"/>
          <w:szCs w:val="20"/>
        </w:rPr>
      </w:pPr>
      <w:r w:rsidRPr="00131EED">
        <w:rPr>
          <w:rFonts w:cs="Arial"/>
          <w:szCs w:val="20"/>
        </w:rPr>
        <w:t>Las principales causas de invasión son los diferentes disturbios causados por el ser humano:</w:t>
      </w:r>
    </w:p>
    <w:p w14:paraId="0E69039A" w14:textId="77777777" w:rsidR="008A326C" w:rsidRPr="00131EED" w:rsidRDefault="008A326C" w:rsidP="008A326C">
      <w:pPr>
        <w:autoSpaceDE w:val="0"/>
        <w:autoSpaceDN w:val="0"/>
        <w:adjustRightInd w:val="0"/>
        <w:rPr>
          <w:rFonts w:cs="Arial"/>
          <w:szCs w:val="20"/>
        </w:rPr>
      </w:pPr>
      <w:r w:rsidRPr="00131EED">
        <w:rPr>
          <w:rFonts w:cs="Arial"/>
          <w:szCs w:val="20"/>
        </w:rPr>
        <w:t>1. Agricultura (introducción de plantas invasoras y malezas de sistemas agrícolas).</w:t>
      </w:r>
    </w:p>
    <w:p w14:paraId="6DBBF0C7" w14:textId="77777777" w:rsidR="008A326C" w:rsidRPr="00131EED" w:rsidRDefault="008A326C" w:rsidP="008A326C">
      <w:pPr>
        <w:autoSpaceDE w:val="0"/>
        <w:autoSpaceDN w:val="0"/>
        <w:adjustRightInd w:val="0"/>
        <w:rPr>
          <w:rFonts w:cs="Arial"/>
          <w:szCs w:val="20"/>
        </w:rPr>
      </w:pPr>
      <w:r w:rsidRPr="00131EED">
        <w:rPr>
          <w:rFonts w:cs="Arial"/>
          <w:szCs w:val="20"/>
        </w:rPr>
        <w:t>2. Ganadería (introducción de pastos invasores).</w:t>
      </w:r>
    </w:p>
    <w:p w14:paraId="5E10E738" w14:textId="77777777" w:rsidR="008A326C" w:rsidRPr="00131EED" w:rsidRDefault="008A326C" w:rsidP="008A326C">
      <w:pPr>
        <w:autoSpaceDE w:val="0"/>
        <w:autoSpaceDN w:val="0"/>
        <w:adjustRightInd w:val="0"/>
        <w:rPr>
          <w:rFonts w:cs="Arial"/>
          <w:szCs w:val="20"/>
        </w:rPr>
      </w:pPr>
      <w:r w:rsidRPr="00131EED">
        <w:rPr>
          <w:rFonts w:cs="Arial"/>
          <w:szCs w:val="20"/>
        </w:rPr>
        <w:t>3. Forestación (introducción de árboles exóticos invasores).</w:t>
      </w:r>
    </w:p>
    <w:p w14:paraId="498342F5" w14:textId="77777777" w:rsidR="008A326C" w:rsidRPr="00131EED" w:rsidRDefault="008A326C" w:rsidP="008A326C">
      <w:pPr>
        <w:autoSpaceDE w:val="0"/>
        <w:autoSpaceDN w:val="0"/>
        <w:adjustRightInd w:val="0"/>
        <w:rPr>
          <w:rFonts w:cs="Arial"/>
          <w:szCs w:val="20"/>
        </w:rPr>
      </w:pPr>
      <w:r w:rsidRPr="00131EED">
        <w:rPr>
          <w:rFonts w:cs="Arial"/>
          <w:szCs w:val="20"/>
        </w:rPr>
        <w:t>4. Construcción de caminos y carreteras (invasión de plantas ruderales).</w:t>
      </w:r>
    </w:p>
    <w:p w14:paraId="4BAC9542" w14:textId="77777777" w:rsidR="008A326C" w:rsidRPr="00131EED" w:rsidRDefault="008A326C" w:rsidP="008A326C">
      <w:pPr>
        <w:autoSpaceDE w:val="0"/>
        <w:autoSpaceDN w:val="0"/>
        <w:adjustRightInd w:val="0"/>
        <w:rPr>
          <w:rFonts w:cs="Arial"/>
          <w:szCs w:val="20"/>
        </w:rPr>
      </w:pPr>
      <w:r w:rsidRPr="00131EED">
        <w:rPr>
          <w:rFonts w:cs="Arial"/>
          <w:szCs w:val="20"/>
        </w:rPr>
        <w:t>5. Urbanizaciones (introducción, siembra e invasión de todo tipo de especies, principalmente plantas de jardín).</w:t>
      </w:r>
    </w:p>
    <w:p w14:paraId="36E6E02A" w14:textId="77777777" w:rsidR="008A326C" w:rsidRPr="00131EED" w:rsidRDefault="008A326C" w:rsidP="008A326C">
      <w:pPr>
        <w:autoSpaceDE w:val="0"/>
        <w:autoSpaceDN w:val="0"/>
        <w:adjustRightInd w:val="0"/>
        <w:rPr>
          <w:rFonts w:cs="Arial"/>
          <w:szCs w:val="20"/>
        </w:rPr>
      </w:pPr>
      <w:r w:rsidRPr="00131EED">
        <w:rPr>
          <w:rFonts w:cs="Arial"/>
          <w:szCs w:val="20"/>
        </w:rPr>
        <w:t>6. Colmatación (invasión de especies acuáticas enraizadas de borde).</w:t>
      </w:r>
    </w:p>
    <w:p w14:paraId="52328745" w14:textId="77777777" w:rsidR="008A326C" w:rsidRPr="00131EED" w:rsidRDefault="008A326C" w:rsidP="008A326C">
      <w:pPr>
        <w:autoSpaceDE w:val="0"/>
        <w:autoSpaceDN w:val="0"/>
        <w:adjustRightInd w:val="0"/>
        <w:rPr>
          <w:rFonts w:cs="Arial"/>
          <w:szCs w:val="20"/>
        </w:rPr>
      </w:pPr>
      <w:r w:rsidRPr="00131EED">
        <w:rPr>
          <w:rFonts w:cs="Arial"/>
          <w:szCs w:val="20"/>
        </w:rPr>
        <w:t>7. Contaminación e invasión de especies acuáticas flotantes.</w:t>
      </w:r>
    </w:p>
    <w:p w14:paraId="777C3E00" w14:textId="77777777" w:rsidR="008A326C" w:rsidRPr="00131EED" w:rsidRDefault="008A326C" w:rsidP="008A326C">
      <w:pPr>
        <w:autoSpaceDE w:val="0"/>
        <w:autoSpaceDN w:val="0"/>
        <w:adjustRightInd w:val="0"/>
        <w:rPr>
          <w:rFonts w:cs="Arial"/>
          <w:szCs w:val="20"/>
        </w:rPr>
      </w:pPr>
    </w:p>
    <w:p w14:paraId="74638154" w14:textId="77777777" w:rsidR="008A326C" w:rsidRPr="00131EED" w:rsidRDefault="008A326C" w:rsidP="008A326C">
      <w:pPr>
        <w:autoSpaceDE w:val="0"/>
        <w:autoSpaceDN w:val="0"/>
        <w:adjustRightInd w:val="0"/>
        <w:rPr>
          <w:rFonts w:cs="Arial"/>
          <w:szCs w:val="20"/>
        </w:rPr>
      </w:pPr>
      <w:r w:rsidRPr="00131EED">
        <w:rPr>
          <w:rFonts w:cs="Arial"/>
          <w:szCs w:val="20"/>
        </w:rPr>
        <w:t>Las acciones de manejo de las invasiones biológicas deben tener en cuenta programas de prevención, contención, erradicación, control y monitoreo de las especies invasoras y potencialmente invasoras, para lo cual es muy importante conocer dichas especies.</w:t>
      </w:r>
    </w:p>
    <w:p w14:paraId="2865731F" w14:textId="77777777" w:rsidR="008A326C" w:rsidRPr="00131EED" w:rsidRDefault="008A326C" w:rsidP="008A326C">
      <w:pPr>
        <w:autoSpaceDE w:val="0"/>
        <w:autoSpaceDN w:val="0"/>
        <w:adjustRightInd w:val="0"/>
        <w:rPr>
          <w:rFonts w:cs="Arial"/>
          <w:szCs w:val="20"/>
        </w:rPr>
      </w:pPr>
    </w:p>
    <w:p w14:paraId="56FE2CA0" w14:textId="77777777" w:rsidR="008A326C" w:rsidRPr="00131EED" w:rsidRDefault="008A326C" w:rsidP="008A326C">
      <w:pPr>
        <w:autoSpaceDE w:val="0"/>
        <w:autoSpaceDN w:val="0"/>
        <w:adjustRightInd w:val="0"/>
        <w:rPr>
          <w:rFonts w:cs="Arial"/>
          <w:szCs w:val="20"/>
        </w:rPr>
      </w:pPr>
      <w:r w:rsidRPr="00131EED">
        <w:rPr>
          <w:rFonts w:cs="Arial"/>
          <w:szCs w:val="20"/>
        </w:rPr>
        <w:t>En este sentido se resalta la importancia de conocer las especies presentes en la Sabana de Bogotá, los principales aspectos de la evaluación del estado deben estar orientados al:</w:t>
      </w:r>
    </w:p>
    <w:p w14:paraId="7DD2C97E" w14:textId="77777777" w:rsidR="00057A1F" w:rsidRPr="00131EED" w:rsidRDefault="00057A1F" w:rsidP="008A326C">
      <w:pPr>
        <w:autoSpaceDE w:val="0"/>
        <w:autoSpaceDN w:val="0"/>
        <w:adjustRightInd w:val="0"/>
        <w:rPr>
          <w:rFonts w:cs="Arial"/>
        </w:rPr>
      </w:pPr>
    </w:p>
    <w:p w14:paraId="7002D116" w14:textId="3F9E00A4" w:rsidR="008A326C" w:rsidRPr="00131EED" w:rsidRDefault="008A326C" w:rsidP="00410194">
      <w:pPr>
        <w:pStyle w:val="ListParagraph"/>
        <w:numPr>
          <w:ilvl w:val="1"/>
          <w:numId w:val="15"/>
        </w:numPr>
        <w:autoSpaceDE w:val="0"/>
        <w:autoSpaceDN w:val="0"/>
        <w:adjustRightInd w:val="0"/>
        <w:rPr>
          <w:rFonts w:cs="Arial"/>
          <w:sz w:val="24"/>
          <w:szCs w:val="24"/>
        </w:rPr>
      </w:pPr>
      <w:r w:rsidRPr="00131EED">
        <w:rPr>
          <w:rFonts w:cs="Arial"/>
          <w:sz w:val="24"/>
          <w:szCs w:val="24"/>
        </w:rPr>
        <w:t>Conocimiento de las especies invasoras.</w:t>
      </w:r>
    </w:p>
    <w:p w14:paraId="371C2677" w14:textId="120985ED" w:rsidR="008A326C" w:rsidRPr="00131EED" w:rsidRDefault="008A326C" w:rsidP="00410194">
      <w:pPr>
        <w:pStyle w:val="ListParagraph"/>
        <w:numPr>
          <w:ilvl w:val="1"/>
          <w:numId w:val="15"/>
        </w:numPr>
        <w:autoSpaceDE w:val="0"/>
        <w:autoSpaceDN w:val="0"/>
        <w:adjustRightInd w:val="0"/>
        <w:rPr>
          <w:rFonts w:cs="Arial"/>
          <w:sz w:val="24"/>
          <w:szCs w:val="24"/>
        </w:rPr>
      </w:pPr>
      <w:r w:rsidRPr="00131EED">
        <w:rPr>
          <w:rFonts w:cs="Arial"/>
          <w:sz w:val="24"/>
          <w:szCs w:val="24"/>
        </w:rPr>
        <w:t>Conocimiento de las especies nativas que con las condiciones de degradación de los ecosistemas tienen comportamiento de especies invasoras y por consiguiente, requieren control de su abundancia.</w:t>
      </w:r>
    </w:p>
    <w:p w14:paraId="4DFC653E" w14:textId="759CADE5" w:rsidR="008A326C" w:rsidRPr="00131EED" w:rsidRDefault="008A326C" w:rsidP="00410194">
      <w:pPr>
        <w:pStyle w:val="ListParagraph"/>
        <w:numPr>
          <w:ilvl w:val="1"/>
          <w:numId w:val="15"/>
        </w:numPr>
        <w:autoSpaceDE w:val="0"/>
        <w:autoSpaceDN w:val="0"/>
        <w:adjustRightInd w:val="0"/>
        <w:rPr>
          <w:rFonts w:cs="Arial"/>
          <w:sz w:val="24"/>
          <w:szCs w:val="24"/>
        </w:rPr>
      </w:pPr>
      <w:r w:rsidRPr="00131EED">
        <w:rPr>
          <w:rFonts w:cs="Arial"/>
          <w:sz w:val="24"/>
          <w:szCs w:val="24"/>
        </w:rPr>
        <w:t>Conocimiento de los hábitats invadidos.</w:t>
      </w:r>
    </w:p>
    <w:p w14:paraId="66C4D656" w14:textId="0E3CDC0E" w:rsidR="008A326C" w:rsidRPr="00131EED" w:rsidRDefault="008A326C" w:rsidP="00410194">
      <w:pPr>
        <w:pStyle w:val="ListParagraph"/>
        <w:numPr>
          <w:ilvl w:val="1"/>
          <w:numId w:val="15"/>
        </w:numPr>
        <w:autoSpaceDE w:val="0"/>
        <w:autoSpaceDN w:val="0"/>
        <w:adjustRightInd w:val="0"/>
        <w:rPr>
          <w:rFonts w:cs="Arial"/>
          <w:sz w:val="24"/>
          <w:szCs w:val="24"/>
        </w:rPr>
      </w:pPr>
      <w:r w:rsidRPr="00131EED">
        <w:rPr>
          <w:rFonts w:cs="Arial"/>
          <w:sz w:val="24"/>
          <w:szCs w:val="24"/>
        </w:rPr>
        <w:t>Métodos para el control y erradicación de especies invasoras (Gestión de Invasiones).</w:t>
      </w:r>
    </w:p>
    <w:p w14:paraId="72DC1C78" w14:textId="77777777" w:rsidR="008A326C" w:rsidRPr="00131EED" w:rsidRDefault="008A326C" w:rsidP="00410194">
      <w:pPr>
        <w:pStyle w:val="Heading3"/>
        <w:numPr>
          <w:ilvl w:val="2"/>
          <w:numId w:val="31"/>
        </w:numPr>
      </w:pPr>
      <w:bookmarkStart w:id="116" w:name="_Toc216468699"/>
      <w:r w:rsidRPr="00131EED">
        <w:t>Importancia de la conservación de la biodiversidad urbana</w:t>
      </w:r>
      <w:bookmarkEnd w:id="116"/>
      <w:r w:rsidRPr="00131EED">
        <w:t xml:space="preserve">  </w:t>
      </w:r>
    </w:p>
    <w:p w14:paraId="013D210F" w14:textId="77777777" w:rsidR="008A326C" w:rsidRPr="00131EED" w:rsidRDefault="008A326C" w:rsidP="008A326C">
      <w:pPr>
        <w:autoSpaceDE w:val="0"/>
        <w:autoSpaceDN w:val="0"/>
        <w:adjustRightInd w:val="0"/>
        <w:rPr>
          <w:rFonts w:ascii="Baskerville" w:hAnsi="Baskerville" w:cs="Arial"/>
          <w:szCs w:val="20"/>
        </w:rPr>
      </w:pPr>
    </w:p>
    <w:p w14:paraId="2129DA7F" w14:textId="77777777" w:rsidR="008A326C" w:rsidRPr="00131EED" w:rsidRDefault="008A326C" w:rsidP="008A326C">
      <w:pPr>
        <w:autoSpaceDE w:val="0"/>
        <w:autoSpaceDN w:val="0"/>
        <w:adjustRightInd w:val="0"/>
        <w:rPr>
          <w:rFonts w:cs="Arial"/>
          <w:szCs w:val="20"/>
        </w:rPr>
      </w:pPr>
      <w:r w:rsidRPr="00131EED">
        <w:rPr>
          <w:rFonts w:cs="Arial"/>
          <w:szCs w:val="20"/>
        </w:rPr>
        <w:t>Las interacciones entre personas y animales silvestres urbanos son cada vez más comunes, debido a la pérdida de los hábitats naturales y a las actividades humanas que se desarrollan en las ciudades y adicionalmente muchas especies silvestres urbanas que, gracias a su flexibilidad adaptativa, han logrado adecuarse a los ecosistemas urbanos e incluso se han visto modificaciones en su comportamiento, sus hábitats, sitios de anidación y cambios en sus dietas (Luniak, 2004).</w:t>
      </w:r>
    </w:p>
    <w:p w14:paraId="5DB00DC2" w14:textId="77777777" w:rsidR="008A326C" w:rsidRPr="00131EED" w:rsidRDefault="008A326C" w:rsidP="008A326C">
      <w:pPr>
        <w:autoSpaceDE w:val="0"/>
        <w:autoSpaceDN w:val="0"/>
        <w:adjustRightInd w:val="0"/>
        <w:rPr>
          <w:rFonts w:cs="Arial"/>
          <w:szCs w:val="20"/>
        </w:rPr>
      </w:pPr>
    </w:p>
    <w:p w14:paraId="460CA5BA" w14:textId="77777777" w:rsidR="008A326C" w:rsidRPr="00131EED" w:rsidRDefault="008A326C" w:rsidP="008A326C">
      <w:pPr>
        <w:autoSpaceDE w:val="0"/>
        <w:autoSpaceDN w:val="0"/>
        <w:adjustRightInd w:val="0"/>
        <w:rPr>
          <w:rFonts w:cs="Arial"/>
          <w:szCs w:val="20"/>
        </w:rPr>
      </w:pPr>
      <w:r w:rsidRPr="00131EED">
        <w:rPr>
          <w:rFonts w:cs="Arial"/>
          <w:szCs w:val="20"/>
        </w:rPr>
        <w:t>Estas especies coexisten y conviven con poblaciones humanas en zonas urbanas gracias a las facilidades que la ciudad les proporciona, aun sin saberlo (por ejemplo: techos, cielos rasos, alimentación para mascotas). Incluso, se teme que al liberarlas en zonas boscosas no lograrían sobrevivir, ya que no cuentan con los mismos recursos que en la ciudad. También se ha visto que rehabilitar a esas poblaciones es muy difícil cuando ya han cambiado su comportamiento (Luniak, 2004).</w:t>
      </w:r>
    </w:p>
    <w:p w14:paraId="6E3EB56C" w14:textId="77777777" w:rsidR="008A326C" w:rsidRPr="00131EED" w:rsidRDefault="008A326C" w:rsidP="008A326C">
      <w:pPr>
        <w:autoSpaceDE w:val="0"/>
        <w:autoSpaceDN w:val="0"/>
        <w:adjustRightInd w:val="0"/>
        <w:rPr>
          <w:rFonts w:cs="Arial"/>
          <w:szCs w:val="20"/>
        </w:rPr>
      </w:pPr>
    </w:p>
    <w:p w14:paraId="76C2DCCD" w14:textId="07019E4C" w:rsidR="008A326C" w:rsidRPr="00131EED" w:rsidRDefault="008A326C" w:rsidP="008A326C">
      <w:pPr>
        <w:autoSpaceDE w:val="0"/>
        <w:autoSpaceDN w:val="0"/>
        <w:adjustRightInd w:val="0"/>
        <w:rPr>
          <w:rFonts w:cs="Arial"/>
          <w:szCs w:val="20"/>
        </w:rPr>
      </w:pPr>
      <w:r w:rsidRPr="00131EED">
        <w:rPr>
          <w:rFonts w:cs="Arial"/>
          <w:szCs w:val="20"/>
        </w:rPr>
        <w:t>El término “fauna urbana” es comúnmente utilizado para referirse al conjunto de los animales domésticos y silvestres que habitan la ciudad de forma permanente, en función de unas condiciones ambientales dispuestas en su mayoría por la actividad humana, lo cual determina relaciones de interacción e incluso interdependencia entre la fauna y el medio ambiente urbano del cual hace parte el ser humano (Sierra, 2012).</w:t>
      </w:r>
      <w:r w:rsidR="003132DC" w:rsidRPr="00131EED">
        <w:rPr>
          <w:rFonts w:cs="Arial"/>
          <w:szCs w:val="20"/>
        </w:rPr>
        <w:t xml:space="preserve"> </w:t>
      </w:r>
    </w:p>
    <w:p w14:paraId="2C9DAC52" w14:textId="77777777" w:rsidR="008A326C" w:rsidRPr="00131EED" w:rsidRDefault="008A326C" w:rsidP="008A326C">
      <w:pPr>
        <w:autoSpaceDE w:val="0"/>
        <w:autoSpaceDN w:val="0"/>
        <w:adjustRightInd w:val="0"/>
        <w:rPr>
          <w:rFonts w:cs="Arial"/>
          <w:szCs w:val="20"/>
        </w:rPr>
      </w:pPr>
    </w:p>
    <w:p w14:paraId="6614B31D" w14:textId="6241B82F" w:rsidR="00696A1B" w:rsidRPr="009F2DA9" w:rsidRDefault="008A326C" w:rsidP="00696A1B">
      <w:pPr>
        <w:autoSpaceDE w:val="0"/>
        <w:autoSpaceDN w:val="0"/>
        <w:adjustRightInd w:val="0"/>
        <w:rPr>
          <w:rFonts w:cs="Arial"/>
          <w:szCs w:val="20"/>
        </w:rPr>
      </w:pPr>
      <w:r w:rsidRPr="00131EED">
        <w:rPr>
          <w:rFonts w:cs="Arial"/>
          <w:szCs w:val="20"/>
        </w:rPr>
        <w:t>Es sabido que el componente faunístico de la ciudad cumple múltiples funciones ecológicas al ser parte integral de los procesos naturales, que a su vez se relacionan íntimamente con los sistemas vitales humanos, lo cual apunta hacia la coexistencia</w:t>
      </w:r>
      <w:r w:rsidR="00711E74" w:rsidRPr="00131EED">
        <w:rPr>
          <w:rFonts w:cs="Arial"/>
          <w:szCs w:val="20"/>
        </w:rPr>
        <w:t xml:space="preserve">, parte de estos puntos encuentro se dan sobre </w:t>
      </w:r>
      <w:r w:rsidR="00696A1B" w:rsidRPr="009F2DA9">
        <w:rPr>
          <w:rFonts w:cs="Arial"/>
          <w:szCs w:val="20"/>
        </w:rPr>
        <w:t>Infraestructura Verde y Azul Urbana</w:t>
      </w:r>
      <w:r w:rsidR="00711E74" w:rsidRPr="00131EED">
        <w:rPr>
          <w:rFonts w:cs="Arial"/>
          <w:szCs w:val="20"/>
        </w:rPr>
        <w:t xml:space="preserve"> (ley 2476 de 2025), cuyo propósito busca</w:t>
      </w:r>
      <w:r w:rsidR="00696A1B" w:rsidRPr="00131EED">
        <w:rPr>
          <w:rFonts w:cs="Arial"/>
          <w:szCs w:val="20"/>
        </w:rPr>
        <w:t xml:space="preserve"> a</w:t>
      </w:r>
      <w:r w:rsidR="00696A1B" w:rsidRPr="009F2DA9">
        <w:rPr>
          <w:rFonts w:cs="Arial"/>
          <w:szCs w:val="20"/>
        </w:rPr>
        <w:t xml:space="preserve">umentar los servicios ecosistémicos </w:t>
      </w:r>
      <w:r w:rsidR="00696A1B" w:rsidRPr="00131EED">
        <w:rPr>
          <w:rFonts w:cs="Arial"/>
          <w:szCs w:val="20"/>
        </w:rPr>
        <w:t>mediante</w:t>
      </w:r>
      <w:r w:rsidR="00696A1B" w:rsidRPr="009F2DA9">
        <w:rPr>
          <w:rFonts w:cs="Arial"/>
          <w:szCs w:val="20"/>
        </w:rPr>
        <w:t xml:space="preserve"> la planificación y diseño de las obras de infraestructura públicas en el ámbito urbano</w:t>
      </w:r>
      <w:r w:rsidR="00696A1B" w:rsidRPr="00131EED">
        <w:rPr>
          <w:rFonts w:cs="Arial"/>
          <w:szCs w:val="20"/>
        </w:rPr>
        <w:t xml:space="preserve"> que evalúen</w:t>
      </w:r>
      <w:r w:rsidR="00696A1B" w:rsidRPr="009F2DA9">
        <w:rPr>
          <w:rFonts w:cs="Arial"/>
          <w:szCs w:val="20"/>
        </w:rPr>
        <w:t xml:space="preserve"> e implement</w:t>
      </w:r>
      <w:r w:rsidR="00696A1B" w:rsidRPr="00131EED">
        <w:rPr>
          <w:rFonts w:cs="Arial"/>
          <w:szCs w:val="20"/>
        </w:rPr>
        <w:t>en</w:t>
      </w:r>
      <w:r w:rsidR="00696A1B" w:rsidRPr="009F2DA9">
        <w:rPr>
          <w:rFonts w:cs="Arial"/>
          <w:szCs w:val="20"/>
        </w:rPr>
        <w:t xml:space="preserve"> técnicas asociadas con el desarrollo de infraestructura verde y azul sostenible, como por ejemplo, ahorro y uso eficiente del agua y la energía, integración de especies vegetales nativas, economía circular, seguridad alimentaria, mitigación de afectaciones sobre la biodiversidad, mejoramiento de la calidad del aire, gestión de la calidad acústica, coberturas vegetales o jardines verticales, iniciativas de movilidad sostenible, implementación de biciparqueaderos, estaciones eléctricas, inclusión de sistemas sostenibles de drenaje urbano y uso de materiales alternativos, entre otras Soluciones Basadas en la Naturaleza (SbN)</w:t>
      </w:r>
      <w:r w:rsidR="00696A1B" w:rsidRPr="00131EED">
        <w:rPr>
          <w:rFonts w:cs="Arial"/>
          <w:szCs w:val="20"/>
        </w:rPr>
        <w:t>.</w:t>
      </w:r>
    </w:p>
    <w:p w14:paraId="71401244" w14:textId="43285B18" w:rsidR="00696A1B" w:rsidRPr="00131EED" w:rsidRDefault="00696A1B" w:rsidP="008A326C">
      <w:pPr>
        <w:autoSpaceDE w:val="0"/>
        <w:autoSpaceDN w:val="0"/>
        <w:adjustRightInd w:val="0"/>
        <w:rPr>
          <w:rFonts w:cs="Arial"/>
          <w:szCs w:val="20"/>
        </w:rPr>
      </w:pPr>
    </w:p>
    <w:p w14:paraId="37E88567" w14:textId="528D184A" w:rsidR="008A326C" w:rsidRPr="00131EED" w:rsidRDefault="00711E74" w:rsidP="008A326C">
      <w:pPr>
        <w:autoSpaceDE w:val="0"/>
        <w:autoSpaceDN w:val="0"/>
        <w:adjustRightInd w:val="0"/>
        <w:rPr>
          <w:rFonts w:cs="Arial"/>
          <w:szCs w:val="20"/>
        </w:rPr>
      </w:pPr>
      <w:r w:rsidRPr="00131EED">
        <w:rPr>
          <w:rFonts w:cs="Arial"/>
          <w:szCs w:val="20"/>
        </w:rPr>
        <w:t>Con base en lo anterior</w:t>
      </w:r>
      <w:r w:rsidR="008A326C" w:rsidRPr="00131EED">
        <w:rPr>
          <w:rFonts w:cs="Arial"/>
          <w:szCs w:val="20"/>
        </w:rPr>
        <w:t xml:space="preserve">, la fauna y los hábitats que le permite permanecer en el ambiente urbano, se reflejan en la variedad de espacios urbanos que incluye una ciudad. </w:t>
      </w:r>
      <w:r w:rsidR="002D76FB" w:rsidRPr="00131EED">
        <w:rPr>
          <w:rFonts w:cs="Arial"/>
          <w:szCs w:val="20"/>
        </w:rPr>
        <w:t>Es por esto que l</w:t>
      </w:r>
      <w:r w:rsidR="008A326C" w:rsidRPr="00131EED">
        <w:rPr>
          <w:rFonts w:cs="Arial"/>
          <w:szCs w:val="20"/>
        </w:rPr>
        <w:t xml:space="preserve">os espacios verdes al interior de las </w:t>
      </w:r>
      <w:r w:rsidRPr="00131EED">
        <w:rPr>
          <w:rFonts w:cs="Arial"/>
          <w:szCs w:val="20"/>
        </w:rPr>
        <w:t>ciudades</w:t>
      </w:r>
      <w:r w:rsidR="008A326C" w:rsidRPr="00131EED">
        <w:rPr>
          <w:rFonts w:cs="Arial"/>
          <w:szCs w:val="20"/>
        </w:rPr>
        <w:t xml:space="preserve"> cumplen una función particularmente importante, en cuanto a la conservación de la naturaleza, que consiste en proporcionar espacios vitales para los animales (Sierra, 2012).</w:t>
      </w:r>
    </w:p>
    <w:p w14:paraId="6E52A26C" w14:textId="594CA21F" w:rsidR="008A326C" w:rsidRPr="00131EED" w:rsidRDefault="008A326C" w:rsidP="008A326C">
      <w:pPr>
        <w:autoSpaceDE w:val="0"/>
        <w:autoSpaceDN w:val="0"/>
        <w:adjustRightInd w:val="0"/>
        <w:rPr>
          <w:rFonts w:cs="Arial"/>
          <w:szCs w:val="20"/>
        </w:rPr>
      </w:pPr>
    </w:p>
    <w:p w14:paraId="732DF98D" w14:textId="77777777" w:rsidR="008A326C" w:rsidRPr="00131EED" w:rsidRDefault="008A326C" w:rsidP="008A326C">
      <w:pPr>
        <w:autoSpaceDE w:val="0"/>
        <w:autoSpaceDN w:val="0"/>
        <w:adjustRightInd w:val="0"/>
        <w:rPr>
          <w:rFonts w:cs="Arial"/>
          <w:szCs w:val="20"/>
        </w:rPr>
      </w:pPr>
      <w:r w:rsidRPr="00131EED">
        <w:rPr>
          <w:rFonts w:cs="Arial"/>
          <w:szCs w:val="20"/>
        </w:rPr>
        <w:t xml:space="preserve">Esta interacción se va convirtiendo cada vez más frecuente, pero no todos los animales son bien recibidos, tratados o aceptados por la sociedad. Debido a ignorancia, mala información, carencia de valores o incluso supersticiones culturales, algunos animales de fauna doméstica y silvestre son rechazados o perseguidos, ya sea por su aspecto, hábitos alimenticios o hábitos nocturnos, generando temores injustificados. Si no se realiza el manejo adecuado, puede ser percibida por los habitantes de las ciudades como plagas, ya que pueden generar efectos indeseados como daños en la infraestructura, excrementos, malos olores, ruidos y reacciones en las personas, que van desde el miedo hasta el enojo (Luniak, 2004). </w:t>
      </w:r>
    </w:p>
    <w:p w14:paraId="45CB7ADA" w14:textId="77777777" w:rsidR="008A326C" w:rsidRPr="00131EED" w:rsidRDefault="008A326C" w:rsidP="008A326C">
      <w:pPr>
        <w:autoSpaceDE w:val="0"/>
        <w:autoSpaceDN w:val="0"/>
        <w:adjustRightInd w:val="0"/>
        <w:rPr>
          <w:rFonts w:cs="Arial"/>
          <w:szCs w:val="20"/>
        </w:rPr>
      </w:pPr>
    </w:p>
    <w:p w14:paraId="2A34D4F0" w14:textId="77777777" w:rsidR="008A326C" w:rsidRPr="00131EED" w:rsidRDefault="008A326C" w:rsidP="008A326C">
      <w:pPr>
        <w:autoSpaceDE w:val="0"/>
        <w:autoSpaceDN w:val="0"/>
        <w:adjustRightInd w:val="0"/>
        <w:rPr>
          <w:rFonts w:cs="Arial"/>
          <w:szCs w:val="20"/>
        </w:rPr>
      </w:pPr>
      <w:r w:rsidRPr="00131EED">
        <w:rPr>
          <w:rFonts w:cs="Arial"/>
          <w:szCs w:val="20"/>
        </w:rPr>
        <w:t>El rechazo, pero más aún la persecución de algunas especies, impide beneficiarse de múltiples funciones ecológicas como la polinización de las plantas, dispersión de semillas y control de innumerables plagas que provienen de los desechos domésticos, incluso en las propias viviendas humanas (Sierra, 2012).</w:t>
      </w:r>
    </w:p>
    <w:p w14:paraId="47D9C990" w14:textId="77777777" w:rsidR="008A326C" w:rsidRPr="00131EED" w:rsidRDefault="008A326C" w:rsidP="008A326C">
      <w:pPr>
        <w:autoSpaceDE w:val="0"/>
        <w:autoSpaceDN w:val="0"/>
        <w:adjustRightInd w:val="0"/>
        <w:rPr>
          <w:rFonts w:cs="Arial"/>
          <w:szCs w:val="20"/>
        </w:rPr>
      </w:pPr>
    </w:p>
    <w:p w14:paraId="09167301" w14:textId="77777777" w:rsidR="008A326C" w:rsidRPr="00131EED" w:rsidRDefault="008A326C" w:rsidP="008A326C">
      <w:pPr>
        <w:autoSpaceDE w:val="0"/>
        <w:autoSpaceDN w:val="0"/>
        <w:adjustRightInd w:val="0"/>
        <w:rPr>
          <w:rFonts w:cs="Arial"/>
          <w:szCs w:val="20"/>
        </w:rPr>
      </w:pPr>
      <w:r w:rsidRPr="00131EED">
        <w:rPr>
          <w:rFonts w:cs="Arial"/>
          <w:szCs w:val="20"/>
        </w:rPr>
        <w:t xml:space="preserve">Sin embargo, la misma dinámica de las especies contribuye al equilibrio de las poblaciones y la prevención de estos conflictos, por ejemplo las aves rapaces, mantienen el equilibrio controlando roedores y aves silvestres, también animales que son introducidos y tienen altas tasas reproductivas como las ratas, </w:t>
      </w:r>
      <w:r w:rsidRPr="00131EED">
        <w:rPr>
          <w:rFonts w:cs="Arial"/>
          <w:i/>
          <w:szCs w:val="20"/>
        </w:rPr>
        <w:t>Rattus rattus</w:t>
      </w:r>
      <w:r w:rsidRPr="00131EED">
        <w:rPr>
          <w:rFonts w:cs="Arial"/>
          <w:szCs w:val="20"/>
        </w:rPr>
        <w:t xml:space="preserve">, y las palomas domésticas, </w:t>
      </w:r>
      <w:r w:rsidRPr="00131EED">
        <w:rPr>
          <w:rFonts w:cs="Arial"/>
          <w:i/>
          <w:szCs w:val="20"/>
        </w:rPr>
        <w:t>Columba livia</w:t>
      </w:r>
      <w:r w:rsidRPr="00131EED">
        <w:rPr>
          <w:rFonts w:cs="Arial"/>
          <w:szCs w:val="20"/>
        </w:rPr>
        <w:t>, ayudando a limitar la transmisión de algunas enfermedades, dada la alta incidencia poblacional de estas especies, principalmente en las urbes. (Secretaría Distrital de Ambiente , 2023)</w:t>
      </w:r>
    </w:p>
    <w:p w14:paraId="3D46B119" w14:textId="77777777" w:rsidR="008A326C" w:rsidRPr="00131EED" w:rsidRDefault="008A326C" w:rsidP="008A326C">
      <w:pPr>
        <w:autoSpaceDE w:val="0"/>
        <w:autoSpaceDN w:val="0"/>
        <w:adjustRightInd w:val="0"/>
        <w:rPr>
          <w:rFonts w:cs="Arial"/>
          <w:szCs w:val="20"/>
        </w:rPr>
      </w:pPr>
    </w:p>
    <w:p w14:paraId="5C04EDB6" w14:textId="77777777" w:rsidR="008A326C" w:rsidRPr="00131EED" w:rsidRDefault="008A326C" w:rsidP="008A326C">
      <w:pPr>
        <w:autoSpaceDE w:val="0"/>
        <w:autoSpaceDN w:val="0"/>
        <w:adjustRightInd w:val="0"/>
        <w:rPr>
          <w:rFonts w:cs="Arial"/>
          <w:szCs w:val="20"/>
        </w:rPr>
      </w:pPr>
      <w:r w:rsidRPr="00131EED">
        <w:rPr>
          <w:rFonts w:cs="Arial"/>
          <w:szCs w:val="20"/>
        </w:rPr>
        <w:t>En el caso de la Sabana de Bogotá que cuenta con importantes centros urbanos, pero que adicionalmente se encuentran aledaños a ecosistemas estratégicos que son hogar de especies de fauna silvestre, como el caso de los humedales y los bosques altoandinos, es una situación frecuente que requiere un trabajo de pedagogía, adaptación a construcciones e implementación de estrategias para aprender a convivir con estas especies y realizar los cambios necesarios en los centros urbanos para evitar que se conviertan en un problema para los residentes pero que adicionalmente se mantengan las condiciones para su conservación y la prestación de los servicios ecosistémicos.</w:t>
      </w:r>
    </w:p>
    <w:p w14:paraId="442052F5" w14:textId="77777777" w:rsidR="008A326C" w:rsidRPr="00131EED" w:rsidRDefault="008A326C" w:rsidP="008A326C">
      <w:pPr>
        <w:autoSpaceDE w:val="0"/>
        <w:autoSpaceDN w:val="0"/>
        <w:adjustRightInd w:val="0"/>
        <w:rPr>
          <w:rFonts w:cs="Arial"/>
          <w:szCs w:val="20"/>
        </w:rPr>
      </w:pPr>
    </w:p>
    <w:p w14:paraId="6B12A810" w14:textId="4D51736A" w:rsidR="003659CF" w:rsidRPr="00131EED" w:rsidRDefault="003659CF" w:rsidP="008A326C">
      <w:pPr>
        <w:autoSpaceDE w:val="0"/>
        <w:autoSpaceDN w:val="0"/>
        <w:adjustRightInd w:val="0"/>
        <w:rPr>
          <w:rFonts w:cs="Arial"/>
          <w:b/>
          <w:szCs w:val="20"/>
        </w:rPr>
      </w:pPr>
      <w:r w:rsidRPr="00131EED">
        <w:rPr>
          <w:rFonts w:cs="Arial"/>
          <w:b/>
          <w:szCs w:val="20"/>
        </w:rPr>
        <w:t>Arquitectura amigable con las aves y los murciélagos</w:t>
      </w:r>
    </w:p>
    <w:p w14:paraId="48C57C9A" w14:textId="77777777" w:rsidR="003659CF" w:rsidRPr="00131EED" w:rsidRDefault="003659CF" w:rsidP="008A326C">
      <w:pPr>
        <w:autoSpaceDE w:val="0"/>
        <w:autoSpaceDN w:val="0"/>
        <w:adjustRightInd w:val="0"/>
        <w:rPr>
          <w:rFonts w:cs="Arial"/>
          <w:b/>
          <w:szCs w:val="20"/>
        </w:rPr>
      </w:pPr>
    </w:p>
    <w:p w14:paraId="271B53CD" w14:textId="6EAEEE59" w:rsidR="008A326C" w:rsidRPr="00131EED" w:rsidRDefault="002E53EE" w:rsidP="008A326C">
      <w:pPr>
        <w:autoSpaceDE w:val="0"/>
        <w:autoSpaceDN w:val="0"/>
        <w:adjustRightInd w:val="0"/>
        <w:rPr>
          <w:rFonts w:cs="Arial"/>
          <w:szCs w:val="20"/>
        </w:rPr>
      </w:pPr>
      <w:r w:rsidRPr="00131EED">
        <w:rPr>
          <w:rFonts w:cs="Arial"/>
          <w:szCs w:val="20"/>
        </w:rPr>
        <w:t>De acuerdo con</w:t>
      </w:r>
      <w:r w:rsidR="008A326C" w:rsidRPr="00131EED">
        <w:rPr>
          <w:rFonts w:cs="Arial"/>
          <w:szCs w:val="20"/>
        </w:rPr>
        <w:t xml:space="preserve"> la Guía de arquitectura amigable con las aves y los murciélagos, elaborada por la Secretaría de Ambiente de Bogotá (2023), Colombia es uno de los países más biodiversos, con 1.954 especies de aves (82 endémicas), 198 especies de murciélagos (7 endémicas) y unas 270 especies migratorias (SIB, 2020; Naranjo et al., 2012). Bogotá, un ecosistema urbano de alta montaña clave, alberga una gran diversidad de aves diurnas, nocturnas, residentes y migratorias. En su área urbana se han registrado 176 especies, incluidas algunas de menor altitud adaptadas permanentemente (Calderón et al., 2019; Hilty, 1985). Además, se han identificado 5 especies de murciélagos en la ciudad (Muñoz et al., 2021). Las aves migratorias son particularmente vulnerables en entornos urbanos debido al cansancio y factores como el vidrio y la iluminación artificial.</w:t>
      </w:r>
    </w:p>
    <w:p w14:paraId="5E6AAE4C" w14:textId="77777777" w:rsidR="008A326C" w:rsidRPr="00131EED" w:rsidRDefault="008A326C" w:rsidP="008A326C">
      <w:pPr>
        <w:autoSpaceDE w:val="0"/>
        <w:autoSpaceDN w:val="0"/>
        <w:adjustRightInd w:val="0"/>
        <w:rPr>
          <w:rFonts w:cs="Arial"/>
          <w:szCs w:val="20"/>
        </w:rPr>
      </w:pPr>
    </w:p>
    <w:p w14:paraId="3DAD76BF" w14:textId="5E95C476" w:rsidR="008A326C" w:rsidRPr="00131EED" w:rsidRDefault="008A326C" w:rsidP="008A326C">
      <w:pPr>
        <w:autoSpaceDE w:val="0"/>
        <w:autoSpaceDN w:val="0"/>
        <w:adjustRightInd w:val="0"/>
        <w:rPr>
          <w:rFonts w:cs="Arial"/>
          <w:szCs w:val="20"/>
        </w:rPr>
      </w:pPr>
      <w:r w:rsidRPr="00131EED">
        <w:rPr>
          <w:rFonts w:cs="Arial"/>
          <w:szCs w:val="20"/>
        </w:rPr>
        <w:t xml:space="preserve">Las consecuencias de las colisiones de aves y murciélagos con edificaciones </w:t>
      </w:r>
      <w:r w:rsidR="00382679" w:rsidRPr="00131EED">
        <w:rPr>
          <w:rFonts w:cs="Arial"/>
          <w:szCs w:val="20"/>
        </w:rPr>
        <w:t>son</w:t>
      </w:r>
      <w:r w:rsidRPr="00131EED">
        <w:rPr>
          <w:rFonts w:cs="Arial"/>
          <w:szCs w:val="20"/>
        </w:rPr>
        <w:t xml:space="preserve"> relevante</w:t>
      </w:r>
      <w:r w:rsidR="00382679" w:rsidRPr="00131EED">
        <w:rPr>
          <w:rFonts w:cs="Arial"/>
          <w:szCs w:val="20"/>
        </w:rPr>
        <w:t>s</w:t>
      </w:r>
      <w:r w:rsidRPr="00131EED">
        <w:rPr>
          <w:rFonts w:cs="Arial"/>
          <w:szCs w:val="20"/>
        </w:rPr>
        <w:t xml:space="preserve"> en entornos urbanos, se estima que entre el 50 y el 90% de las aves mueren después de un choque (City of Calgary, 2011). Por tanto</w:t>
      </w:r>
      <w:r w:rsidR="003D1AED" w:rsidRPr="00131EED">
        <w:rPr>
          <w:rFonts w:cs="Arial"/>
          <w:szCs w:val="20"/>
        </w:rPr>
        <w:t>,</w:t>
      </w:r>
      <w:r w:rsidRPr="00131EED">
        <w:rPr>
          <w:rFonts w:cs="Arial"/>
          <w:szCs w:val="20"/>
        </w:rPr>
        <w:t xml:space="preserve"> es preciso que se tomen medidas para reducir el impacto de las edificaciones en la avifauna de la Sabana de Bogotá.</w:t>
      </w:r>
    </w:p>
    <w:p w14:paraId="42B14EC2" w14:textId="77777777" w:rsidR="008A326C" w:rsidRPr="00131EED" w:rsidRDefault="008A326C" w:rsidP="008A326C">
      <w:pPr>
        <w:autoSpaceDE w:val="0"/>
        <w:autoSpaceDN w:val="0"/>
        <w:adjustRightInd w:val="0"/>
        <w:rPr>
          <w:rFonts w:cs="Arial"/>
          <w:szCs w:val="20"/>
        </w:rPr>
      </w:pPr>
    </w:p>
    <w:p w14:paraId="27274C5C" w14:textId="77777777" w:rsidR="008A326C" w:rsidRPr="00131EED" w:rsidRDefault="008A326C" w:rsidP="008A326C">
      <w:pPr>
        <w:autoSpaceDE w:val="0"/>
        <w:autoSpaceDN w:val="0"/>
        <w:adjustRightInd w:val="0"/>
        <w:rPr>
          <w:rFonts w:cs="Arial"/>
          <w:szCs w:val="20"/>
        </w:rPr>
      </w:pPr>
      <w:r w:rsidRPr="00131EED">
        <w:rPr>
          <w:rFonts w:cs="Arial"/>
          <w:szCs w:val="20"/>
        </w:rPr>
        <w:t>La flora es fundamental para la biodiversidad urbana en regiones como la Sabana de Bogotá, donde la urbanización ha reducido los espacios naturales. Los sistemas regenerativos, incluyendo huertos y jardines urbanos promueven la diversificación genética, mejoran la infiltración de agua, capturan carbono y restauran suelos degradados. Además, actúan como refugios para polinizadores, conectando fragmentos de hábitats dispersos y fortaleciendo la resiliencia ecológica urbana frente al cambio climático.</w:t>
      </w:r>
    </w:p>
    <w:p w14:paraId="29A91DC5" w14:textId="77777777" w:rsidR="008A326C" w:rsidRPr="00131EED" w:rsidRDefault="008A326C" w:rsidP="008A326C">
      <w:pPr>
        <w:autoSpaceDE w:val="0"/>
        <w:autoSpaceDN w:val="0"/>
        <w:adjustRightInd w:val="0"/>
        <w:rPr>
          <w:rFonts w:cs="Arial"/>
          <w:szCs w:val="20"/>
        </w:rPr>
      </w:pPr>
    </w:p>
    <w:p w14:paraId="57E7D8D2" w14:textId="77777777" w:rsidR="008A326C" w:rsidRPr="00131EED" w:rsidRDefault="008A326C" w:rsidP="008A326C">
      <w:pPr>
        <w:autoSpaceDE w:val="0"/>
        <w:autoSpaceDN w:val="0"/>
        <w:adjustRightInd w:val="0"/>
        <w:rPr>
          <w:rFonts w:cs="Arial"/>
          <w:szCs w:val="20"/>
        </w:rPr>
      </w:pPr>
      <w:r w:rsidRPr="00131EED">
        <w:rPr>
          <w:rFonts w:cs="Arial"/>
          <w:szCs w:val="20"/>
        </w:rPr>
        <w:t>La jardinería regenerativa complementa estos esfuerzos al priorizar especies nativas que recrean microhábitats funcionales. Estos jardines no solo mitigan islas de calor y regulan el ciclo hídrico, sino que también proveen recursos continuos para polinizadores, asegurando servicios ecosistémicos clave como la polinización y la purificación del aire en áreas densamente pobladas de la Sabana.</w:t>
      </w:r>
    </w:p>
    <w:p w14:paraId="7475CA5A" w14:textId="77777777" w:rsidR="008A326C" w:rsidRPr="00131EED" w:rsidRDefault="008A326C" w:rsidP="008A326C">
      <w:pPr>
        <w:autoSpaceDE w:val="0"/>
        <w:autoSpaceDN w:val="0"/>
        <w:adjustRightInd w:val="0"/>
        <w:rPr>
          <w:rFonts w:cs="Arial"/>
          <w:szCs w:val="20"/>
        </w:rPr>
      </w:pPr>
    </w:p>
    <w:p w14:paraId="1F0887FD" w14:textId="77777777" w:rsidR="00C638C7" w:rsidRPr="00131EED" w:rsidRDefault="008A326C" w:rsidP="00C638C7">
      <w:pPr>
        <w:autoSpaceDE w:val="0"/>
        <w:autoSpaceDN w:val="0"/>
        <w:adjustRightInd w:val="0"/>
        <w:rPr>
          <w:rFonts w:cs="Arial"/>
          <w:szCs w:val="20"/>
        </w:rPr>
      </w:pPr>
      <w:r w:rsidRPr="00131EED">
        <w:rPr>
          <w:rFonts w:cs="Arial"/>
          <w:szCs w:val="20"/>
        </w:rPr>
        <w:t>Los bosques urbanos son pilares de la conectividad ecológica, facilitando el movimiento de especies y reduciendo la fragmentación genética. Actúan como reguladores hidrológicos, recargan acuíferos y capturan carbono, siendo esenciales para la mitigación del cambio climático y la provisión de hábitat.</w:t>
      </w:r>
      <w:bookmarkStart w:id="117" w:name="_Toc167294614"/>
      <w:bookmarkStart w:id="118" w:name="_Toc167854501"/>
      <w:bookmarkStart w:id="119" w:name="_Hlk209788544"/>
      <w:bookmarkEnd w:id="52"/>
    </w:p>
    <w:p w14:paraId="76259A8A" w14:textId="015E4B4D" w:rsidR="00E1071C" w:rsidRPr="00131EED" w:rsidRDefault="00E1071C" w:rsidP="00410194">
      <w:pPr>
        <w:pStyle w:val="Heading2"/>
        <w:numPr>
          <w:ilvl w:val="1"/>
          <w:numId w:val="31"/>
        </w:numPr>
        <w:rPr>
          <w:rFonts w:eastAsia="Century Gothic"/>
        </w:rPr>
      </w:pPr>
      <w:bookmarkStart w:id="120" w:name="_Toc216468700"/>
      <w:bookmarkEnd w:id="117"/>
      <w:bookmarkEnd w:id="118"/>
      <w:bookmarkEnd w:id="119"/>
      <w:r w:rsidRPr="00131EED">
        <w:t xml:space="preserve">Infraestructura vial en </w:t>
      </w:r>
      <w:r w:rsidR="00523FA6" w:rsidRPr="00131EED">
        <w:t>ecosistemas, áreas protegidas</w:t>
      </w:r>
      <w:r w:rsidR="00A7380B" w:rsidRPr="00131EED">
        <w:t>,</w:t>
      </w:r>
      <w:r w:rsidR="00523FA6" w:rsidRPr="00131EED">
        <w:t xml:space="preserve"> OMEC </w:t>
      </w:r>
      <w:r w:rsidR="00AE6882" w:rsidRPr="00131EED">
        <w:t>y suelos rural</w:t>
      </w:r>
      <w:bookmarkEnd w:id="120"/>
    </w:p>
    <w:p w14:paraId="6AF30E72" w14:textId="77777777" w:rsidR="002E7483" w:rsidRPr="00131EED" w:rsidRDefault="002E7483" w:rsidP="0039679F">
      <w:pPr>
        <w:rPr>
          <w:rFonts w:eastAsia="Century Gothic" w:cs="Arial"/>
        </w:rPr>
      </w:pPr>
    </w:p>
    <w:p w14:paraId="669A9117" w14:textId="1C61B1EA" w:rsidR="0039679F" w:rsidRPr="00131EED" w:rsidRDefault="0039679F" w:rsidP="0039679F">
      <w:pPr>
        <w:rPr>
          <w:rFonts w:eastAsia="Century Gothic" w:cs="Arial"/>
        </w:rPr>
      </w:pPr>
      <w:r w:rsidRPr="00131EED">
        <w:rPr>
          <w:rFonts w:eastAsia="Century Gothic" w:cs="Arial"/>
        </w:rPr>
        <w:t xml:space="preserve">El crecimiento urbano en la sabana de Bogotá ha implicado la generación de infraestructura vial para distintos modos de transporte, incluyendo carreteras, vías férreas y aeropuertos, sobre áreas rurales agropecuarias y de alto valor ambiental, generando procesos de fragmentación, </w:t>
      </w:r>
      <w:r w:rsidR="00F7481B" w:rsidRPr="00131EED">
        <w:rPr>
          <w:rFonts w:eastAsia="Century Gothic" w:cs="Arial"/>
        </w:rPr>
        <w:t>pérdida</w:t>
      </w:r>
      <w:r w:rsidRPr="00131EED">
        <w:rPr>
          <w:rFonts w:eastAsia="Century Gothic" w:cs="Arial"/>
        </w:rPr>
        <w:t xml:space="preserve"> de hábitats y alteración del sistema hídrico. Las Áreas de la Sabana que han tenido mayor impacto son las áreas protegidas declaradas por la CAR, los humedales, las Área de Conservación de Aves, las Reservas Forestales Protectoras Nacionales, los Distritos Regionales de Manejo Integrado, los Distritos de Conservación de Suelos, las 2 Reservas Naturales de la Sociedad Civil y los páramos.</w:t>
      </w:r>
    </w:p>
    <w:p w14:paraId="52BD00F3" w14:textId="77777777" w:rsidR="0039679F" w:rsidRPr="00131EED" w:rsidRDefault="0039679F" w:rsidP="0039679F">
      <w:pPr>
        <w:rPr>
          <w:rFonts w:eastAsia="Century Gothic" w:cs="Arial"/>
        </w:rPr>
      </w:pPr>
    </w:p>
    <w:p w14:paraId="37DA477D" w14:textId="77777777" w:rsidR="0039679F" w:rsidRPr="00131EED" w:rsidRDefault="0039679F" w:rsidP="0039679F">
      <w:pPr>
        <w:rPr>
          <w:rFonts w:eastAsia="Century Gothic" w:cs="Arial"/>
          <w:sz w:val="20"/>
          <w:szCs w:val="20"/>
        </w:rPr>
      </w:pPr>
      <w:r w:rsidRPr="00131EED">
        <w:rPr>
          <w:rFonts w:eastAsia="Century Gothic" w:cs="Arial"/>
        </w:rPr>
        <w:t>Una situación similar ocurre con el suelo agropecuario: Según análisis de la dirección ambiental sectorial y urbana del Minambiente (2024), de 18 proyectos regionales de infraestructura vial</w:t>
      </w:r>
      <w:r w:rsidRPr="00131EED">
        <w:rPr>
          <w:rStyle w:val="FootnoteReference"/>
          <w:rFonts w:eastAsia="Century Gothic" w:cs="Arial"/>
        </w:rPr>
        <w:footnoteReference w:id="3"/>
      </w:r>
      <w:r w:rsidRPr="00131EED">
        <w:rPr>
          <w:rFonts w:eastAsia="Century Gothic" w:cs="Arial"/>
        </w:rPr>
        <w:t xml:space="preserve"> —incluyendo modos carretero, férreo y aéreo— examinados, se identificó una superposición significativa con la frontera agrícola. De estos, la mayoría coinciden con dicha frontera, mientras que únicamente 3 no presentan tal solapamiento. Además, el 50</w:t>
      </w:r>
      <w:r w:rsidRPr="00131EED">
        <w:rPr>
          <w:rFonts w:ascii="Times New Roman" w:eastAsia="Century Gothic" w:hAnsi="Times New Roman"/>
        </w:rPr>
        <w:t> </w:t>
      </w:r>
      <w:r w:rsidRPr="00131EED">
        <w:rPr>
          <w:rFonts w:eastAsia="Century Gothic" w:cs="Arial"/>
        </w:rPr>
        <w:t>% de los proyectos cuentan con exclusiones legales, y el 100</w:t>
      </w:r>
      <w:r w:rsidRPr="00131EED">
        <w:rPr>
          <w:rFonts w:ascii="Times New Roman" w:eastAsia="Century Gothic" w:hAnsi="Times New Roman"/>
        </w:rPr>
        <w:t> </w:t>
      </w:r>
      <w:r w:rsidRPr="00131EED">
        <w:rPr>
          <w:rFonts w:eastAsia="Century Gothic" w:cs="Arial"/>
        </w:rPr>
        <w:t xml:space="preserve">% se ubican parcial o totalmente en zonas de bosques naturales y </w:t>
      </w:r>
      <w:r w:rsidRPr="00131EED">
        <w:rPr>
          <w:rFonts w:eastAsia="Century Gothic" w:cs="Baskerville Old Face"/>
        </w:rPr>
        <w:t>á</w:t>
      </w:r>
      <w:r w:rsidRPr="00131EED">
        <w:rPr>
          <w:rFonts w:eastAsia="Century Gothic" w:cs="Arial"/>
        </w:rPr>
        <w:t>reas no agropecuarias.</w:t>
      </w:r>
    </w:p>
    <w:p w14:paraId="4BF55EC0" w14:textId="77777777" w:rsidR="0039679F" w:rsidRPr="00131EED" w:rsidRDefault="0039679F" w:rsidP="0039679F">
      <w:pPr>
        <w:rPr>
          <w:rFonts w:eastAsia="Century Gothic" w:cs="Arial"/>
          <w:sz w:val="20"/>
          <w:szCs w:val="20"/>
        </w:rPr>
      </w:pPr>
    </w:p>
    <w:p w14:paraId="1F40CB83" w14:textId="77777777" w:rsidR="0039679F" w:rsidRPr="00131EED" w:rsidRDefault="0039679F" w:rsidP="0039679F">
      <w:r w:rsidRPr="00131EED">
        <w:t>Con el propósito de evitar la fragmentación de ecosistemas y la pérdida de biodiversidad, las autoridades ambientales deben incorporar directrices en el marco de la evaluación de los diagnósticos ambientales de alternativas y para la evaluación y otorgamiento de los respectivos permisos y licencias ambientales de proyectos de construcción, ampliación, mejoramiento, rehabilitación o mantenimiento de infraestructura vial en la Sabana de Bogotá.</w:t>
      </w:r>
    </w:p>
    <w:p w14:paraId="13CC1950" w14:textId="77777777" w:rsidR="0039679F" w:rsidRPr="00131EED" w:rsidRDefault="0039679F" w:rsidP="0039679F"/>
    <w:p w14:paraId="17F3D8CC" w14:textId="454AED9A" w:rsidR="0039679F" w:rsidRPr="00131EED" w:rsidRDefault="0039679F" w:rsidP="0039679F">
      <w:r w:rsidRPr="00131EED">
        <w:t xml:space="preserve">Esto significa, la necesidad de priorizar trazados que eviten la superposición con áreas de </w:t>
      </w:r>
      <w:r w:rsidR="00AE6882" w:rsidRPr="00131EED">
        <w:t>ecosistemas, SINAP y OMEC</w:t>
      </w:r>
      <w:r w:rsidRPr="00131EED">
        <w:t xml:space="preserve">, </w:t>
      </w:r>
      <w:r w:rsidR="00AE6882" w:rsidRPr="00131EED">
        <w:t xml:space="preserve">particularmente </w:t>
      </w:r>
      <w:r w:rsidRPr="00131EED">
        <w:t>bosques</w:t>
      </w:r>
      <w:r w:rsidR="00AE6882" w:rsidRPr="00131EED">
        <w:t xml:space="preserve"> altoandinos</w:t>
      </w:r>
      <w:r w:rsidRPr="00131EED">
        <w:t xml:space="preserve">, Áreas Importantes para la Conservación de Aves (AICA), </w:t>
      </w:r>
      <w:r w:rsidR="00AE6882" w:rsidRPr="00131EED">
        <w:t>y</w:t>
      </w:r>
      <w:r w:rsidRPr="00131EED">
        <w:t xml:space="preserve"> l</w:t>
      </w:r>
      <w:r w:rsidR="00AE6882" w:rsidRPr="00131EED">
        <w:t>os</w:t>
      </w:r>
      <w:r w:rsidRPr="00131EED">
        <w:t xml:space="preserve"> corredor</w:t>
      </w:r>
      <w:r w:rsidR="00AE6882" w:rsidRPr="00131EED">
        <w:t>es</w:t>
      </w:r>
      <w:r w:rsidRPr="00131EED">
        <w:t xml:space="preserve"> del tigrillo lanudo (</w:t>
      </w:r>
      <w:r w:rsidRPr="00131EED">
        <w:rPr>
          <w:i/>
        </w:rPr>
        <w:t>Leopardus tigrinus</w:t>
      </w:r>
      <w:r w:rsidRPr="00131EED">
        <w:t>).</w:t>
      </w:r>
    </w:p>
    <w:p w14:paraId="00D0CF92" w14:textId="77777777" w:rsidR="0039679F" w:rsidRPr="00131EED" w:rsidRDefault="0039679F" w:rsidP="0039679F"/>
    <w:p w14:paraId="1F06F318" w14:textId="4A91490C" w:rsidR="00362E8C" w:rsidRPr="00131EED" w:rsidRDefault="0039679F" w:rsidP="00362E8C">
      <w:r w:rsidRPr="00131EED">
        <w:t xml:space="preserve">También es necesario tener presente que, cuando el proyecto se superponga con cuerpos de agua, se deberán priorizar las alternativas de trazado </w:t>
      </w:r>
      <w:r w:rsidR="00362E8C" w:rsidRPr="00131EED">
        <w:t>que no afecten ni el cauce ni la faja paralela de la ronda hídrica, de acuerdo con los criterios mínimos a considerar para la ocupación de ronda hídricas planteados en el Anexo III de la Guía técnica de criterios para el acotamiento de la ronda hídrica (Resolución 957 de 2018).</w:t>
      </w:r>
    </w:p>
    <w:p w14:paraId="65B7D620" w14:textId="38485526" w:rsidR="0039679F" w:rsidRPr="00131EED" w:rsidRDefault="0039679F" w:rsidP="0039679F"/>
    <w:p w14:paraId="508B5BA8" w14:textId="77777777" w:rsidR="0039679F" w:rsidRPr="00131EED" w:rsidRDefault="0039679F" w:rsidP="0039679F">
      <w:r w:rsidRPr="00131EED">
        <w:t>En las obras que no requieran licencia ambiental, en el marco de los procesos permisivos asociados a la obra, debe orientarse la implementación de medidas de mitigación y corrección que contribuyan a la recuperación de la funcionalidad ecológica del área donde se ubica la infraestructura vial, priorizando la conectividad ecológica e hídrica y la reducción de riesgos de inundación. Igualmente, implementar las medidas establecidas en los “Lineamientos de Infraestructura Verde Vial para Colombia (Minambiente, 2020)” y la “Guía de manejo ambiental para vías terciarias (Minambiente, 2020)”.</w:t>
      </w:r>
    </w:p>
    <w:p w14:paraId="0D4824EF" w14:textId="77777777" w:rsidR="0039679F" w:rsidRPr="00131EED" w:rsidRDefault="0039679F" w:rsidP="0039679F"/>
    <w:p w14:paraId="23BDA3B1" w14:textId="3E4020E3" w:rsidR="0039679F" w:rsidRPr="00131EED" w:rsidRDefault="0039679F" w:rsidP="0039679F">
      <w:pPr>
        <w:rPr>
          <w:rFonts w:eastAsiaTheme="minorHAnsi" w:cstheme="minorBidi"/>
        </w:rPr>
      </w:pPr>
      <w:r w:rsidRPr="00131EED">
        <w:t>Las directrices deben buscar que se evite la construcción de nuevas vías sobre áre</w:t>
      </w:r>
      <w:r w:rsidR="00AE6882" w:rsidRPr="00131EED">
        <w:t xml:space="preserve">as de ecosistemas, SINAP y OMEC, </w:t>
      </w:r>
      <w:r w:rsidRPr="00131EED">
        <w:t>particularmente sobre los humedales, y cuando sea necesario, deben generar los menores impactos posibles y no cruzar por los espejos de agua. Promover que las vías existentes en superposición con cuerpos de agua, se eleven tipo viaducto, y en cuyo caso los apoyos constructivos se realicen en el área de protección o conservación aferente y, en ningún caso sobre el cauce permanente o la faja paralela, por tanto, previo a cualquier intervención, debe contar con la delimitación de la ronda hídrica en los términos de la normatividad vigente. No debe implicar rellenos salvo en los respectivos apoyos.</w:t>
      </w:r>
    </w:p>
    <w:p w14:paraId="3D3D7FFD" w14:textId="77777777" w:rsidR="0039679F" w:rsidRPr="00131EED" w:rsidRDefault="0039679F" w:rsidP="0039679F">
      <w:pPr>
        <w:rPr>
          <w:lang w:eastAsia="es-CO"/>
        </w:rPr>
      </w:pPr>
    </w:p>
    <w:p w14:paraId="7B63D9B5" w14:textId="60C8BB50" w:rsidR="0039679F" w:rsidRPr="00131EED" w:rsidRDefault="0039679F" w:rsidP="0039679F">
      <w:pPr>
        <w:pStyle w:val="NormalWeb"/>
        <w:spacing w:before="0" w:beforeAutospacing="0" w:after="0" w:afterAutospacing="0"/>
        <w:textAlignment w:val="baseline"/>
      </w:pPr>
      <w:r w:rsidRPr="00131EED">
        <w:t xml:space="preserve">El emplazamiento de todos los modos y sistemas no es el mismo, por ejemplo, el férreo requiere de una franja de intervención menor de suelo en comparación con el ancho de vía para ubicar una carretera, lo que optimiza el uso del terreno, genera menor aprovechamiento forestal, menor movimiento de tierras y en general menor impacto. Durante la construcción del sistema férreo es menor la generación de ruido, vibraciones y emisión de partículas debido a que la cantidad de equipos, materiales, movimiento de tierras, entre otras, es menor que los requeridos para la construcción de una carretera. Así mismo, se genera menor fragmentación de los hábitats afectando menos la conectividad ecológica. </w:t>
      </w:r>
    </w:p>
    <w:p w14:paraId="40A3FBED" w14:textId="77777777" w:rsidR="0039679F" w:rsidRPr="00131EED" w:rsidRDefault="0039679F" w:rsidP="0039679F">
      <w:pPr>
        <w:pStyle w:val="NormalWeb"/>
        <w:spacing w:before="0" w:beforeAutospacing="0" w:after="0" w:afterAutospacing="0"/>
        <w:textAlignment w:val="baseline"/>
      </w:pPr>
    </w:p>
    <w:p w14:paraId="6E0480A5" w14:textId="77777777" w:rsidR="0039679F" w:rsidRPr="00131EED" w:rsidRDefault="0039679F" w:rsidP="0039679F">
      <w:pPr>
        <w:rPr>
          <w:lang w:eastAsia="es-CO"/>
        </w:rPr>
      </w:pPr>
      <w:r w:rsidRPr="00131EED">
        <w:rPr>
          <w:lang w:eastAsia="es-CO"/>
        </w:rPr>
        <w:t>Respecto a la operación, el sistema férreo eléctrico, generan menos emisiones de gases de efecto invernadero (GEI) que los vehículos de motor de combustión. Además, permite la reducción del uso de combustibles fósiles. En cuanto al atropellamiento de fauna en la operación de los sistemas de transporte, existe menor probabilidad de colisiones de fauna en el sistema férreo en comparación con las carreteras, aunque pueden ser necesarias medidas para evitar atropellamientos en zonas con alta biodiversidad.</w:t>
      </w:r>
    </w:p>
    <w:p w14:paraId="3DC83A12" w14:textId="77777777" w:rsidR="0039679F" w:rsidRPr="00131EED" w:rsidRDefault="0039679F" w:rsidP="0039679F">
      <w:pPr>
        <w:pStyle w:val="NormalWeb"/>
        <w:spacing w:before="0" w:beforeAutospacing="0" w:after="0" w:afterAutospacing="0"/>
        <w:textAlignment w:val="baseline"/>
      </w:pPr>
    </w:p>
    <w:p w14:paraId="45688F64" w14:textId="77777777" w:rsidR="0039679F" w:rsidRPr="00131EED" w:rsidRDefault="0039679F" w:rsidP="0039679F">
      <w:pPr>
        <w:pStyle w:val="NormalWeb"/>
        <w:spacing w:before="0" w:beforeAutospacing="0" w:after="0" w:afterAutospacing="0"/>
        <w:textAlignment w:val="baseline"/>
      </w:pPr>
      <w:r w:rsidRPr="00131EED">
        <w:t xml:space="preserve">De lo anterior, se puede concluir que el sistema férreo es más sostenible y eficiente para la Sabana de Bogotá, a mediano y largo plazo para transporte masivo de pasajeros y carga en rutas fijas y de alto volumen, especialmente cuando son operados por electricidad, ya que tiene menores impactos ambientales en las fases de construcción y operación. </w:t>
      </w:r>
    </w:p>
    <w:p w14:paraId="5751DAC6" w14:textId="77777777" w:rsidR="0039679F" w:rsidRPr="00131EED" w:rsidRDefault="0039679F" w:rsidP="0039679F">
      <w:pPr>
        <w:rPr>
          <w:lang w:eastAsia="es-CO"/>
        </w:rPr>
      </w:pPr>
    </w:p>
    <w:p w14:paraId="7A42C9E6" w14:textId="77777777" w:rsidR="0039679F" w:rsidRPr="00131EED" w:rsidRDefault="0039679F" w:rsidP="0039679F">
      <w:pPr>
        <w:rPr>
          <w:lang w:eastAsia="es-CO"/>
        </w:rPr>
      </w:pPr>
      <w:r w:rsidRPr="00131EED">
        <w:rPr>
          <w:lang w:eastAsia="es-CO"/>
        </w:rPr>
        <w:t>Ahora bien, en cuanto a sistemas constructivos, el viaducto como estructura, tiene ventajas desde el punto de vista ambiental ya que al ser una estructura elevada permite que los flujos de agua y los procesos ecológicos del humedal continúen bajo la infraestructura, manteniendo la conectividad ecológica, por cuanto permite el paso de fauna terrestre y acuática, reduciendo la interrupción de sus hábitats. Así mismo, se conservan los corredores biológicos que muchas especies utilizan para su migración o dispersión, esenciales para mantener la biodiversidad.</w:t>
      </w:r>
    </w:p>
    <w:p w14:paraId="34D9AD3E" w14:textId="58AF2B2C" w:rsidR="000959B9" w:rsidRPr="00131EED" w:rsidRDefault="000959B9" w:rsidP="00410194">
      <w:pPr>
        <w:pStyle w:val="Heading2"/>
        <w:numPr>
          <w:ilvl w:val="1"/>
          <w:numId w:val="31"/>
        </w:numPr>
        <w:rPr>
          <w:rFonts w:eastAsia="Arial"/>
        </w:rPr>
      </w:pPr>
      <w:bookmarkStart w:id="121" w:name="_Toc216468701"/>
      <w:bookmarkStart w:id="122" w:name="_Toc161642140"/>
      <w:r w:rsidRPr="00131EED">
        <w:t>Actividades minero-energéticas: impacto ambiental en</w:t>
      </w:r>
      <w:r w:rsidR="002E06EA" w:rsidRPr="00131EED">
        <w:t xml:space="preserve"> ecosistemas, áreas protegidas, OMEC y áreas rurales</w:t>
      </w:r>
      <w:bookmarkEnd w:id="121"/>
      <w:r w:rsidR="002E06EA" w:rsidRPr="00131EED">
        <w:t xml:space="preserve"> </w:t>
      </w:r>
    </w:p>
    <w:p w14:paraId="7E87D3D6" w14:textId="77777777" w:rsidR="000959B9" w:rsidRPr="00131EED" w:rsidRDefault="000959B9" w:rsidP="00410194">
      <w:pPr>
        <w:pStyle w:val="Heading3"/>
        <w:numPr>
          <w:ilvl w:val="2"/>
          <w:numId w:val="31"/>
        </w:numPr>
      </w:pPr>
      <w:bookmarkStart w:id="123" w:name="_Toc167294616"/>
      <w:bookmarkStart w:id="124" w:name="_Toc167854503"/>
      <w:bookmarkStart w:id="125" w:name="_Toc216468702"/>
      <w:bookmarkEnd w:id="122"/>
      <w:r w:rsidRPr="00131EED">
        <w:t>La dinámica de la actividad minera en la Sabana de Bogotá</w:t>
      </w:r>
      <w:bookmarkEnd w:id="123"/>
      <w:bookmarkEnd w:id="124"/>
      <w:bookmarkEnd w:id="125"/>
    </w:p>
    <w:p w14:paraId="3BD6C6E2" w14:textId="77777777" w:rsidR="000959B9" w:rsidRPr="00131EED" w:rsidRDefault="000959B9" w:rsidP="000959B9">
      <w:pPr>
        <w:rPr>
          <w:rFonts w:ascii="Baskerville" w:hAnsi="Baskerville" w:cs="Arial"/>
        </w:rPr>
      </w:pPr>
    </w:p>
    <w:p w14:paraId="3998959B" w14:textId="77777777" w:rsidR="000959B9" w:rsidRPr="00131EED" w:rsidRDefault="000959B9" w:rsidP="000959B9">
      <w:pPr>
        <w:rPr>
          <w:rFonts w:cs="Arial"/>
        </w:rPr>
      </w:pPr>
      <w:r w:rsidRPr="00131EED">
        <w:rPr>
          <w:rFonts w:cs="Arial"/>
        </w:rPr>
        <w:t xml:space="preserve">Los recursos minerales son cualquier concentración natural de material, ya sea sólido, líquido, inorgánico u orgánico fosilizado, que se encuentra en la corteza terrestre y posee un potencial para la extracción económica. La existencia de un recurso mineral se determina a través de procesos de evidencia y conocimientos geológicos específicos que establecen su localización, cantidad, grado o calidad, características geológicas y continuidad </w:t>
      </w:r>
      <w:r w:rsidRPr="00131EED">
        <w:rPr>
          <w:rFonts w:cs="Arial"/>
        </w:rPr>
        <w:fldChar w:fldCharType="begin"/>
      </w:r>
      <w:r w:rsidRPr="00131EED">
        <w:rPr>
          <w:rFonts w:cs="Arial"/>
        </w:rPr>
        <w:instrText xml:space="preserve"> ADDIN ZOTERO_ITEM CSL_CITATION {"citationID":"tXhhaw2N","properties":{"formattedCitation":"(Ministerio de Minas y Energ\\uc0\\u237{}a, 2015)","plainCitation":"(Ministerio de Minas y Energía, 2015)","noteIndex":0},"citationItems":[{"id":907,"uris":["http://zotero.org/users/6347308/items/TJIVZBNJ"],"itemData":{"id":907,"type":"document","title":"Resolución Número 4 0599 de 2015 Por medio de la cual se adopta el Glosario Técnico Minero","URL":"https://www.anm.gov.co/sites/default/files/res_40599_15_glosario_tecnico_minero.pdf","author":[{"literal":"Ministerio de Minas y Energía"}],"issued":{"date-parts":[["2015"]]}}}],"schema":"https://github.com/citation-style-language/schema/raw/master/csl-citation.json"} </w:instrText>
      </w:r>
      <w:r w:rsidRPr="00131EED">
        <w:rPr>
          <w:rFonts w:cs="Arial"/>
        </w:rPr>
        <w:fldChar w:fldCharType="separate"/>
      </w:r>
      <w:r w:rsidRPr="00131EED">
        <w:rPr>
          <w:rFonts w:cs="Arial"/>
        </w:rPr>
        <w:t>(Ministerio de Minas y Energía, 2015)</w:t>
      </w:r>
      <w:r w:rsidRPr="00131EED">
        <w:rPr>
          <w:rFonts w:cs="Arial"/>
        </w:rPr>
        <w:fldChar w:fldCharType="end"/>
      </w:r>
      <w:r w:rsidRPr="00131EED">
        <w:rPr>
          <w:rFonts w:cs="Arial"/>
        </w:rPr>
        <w:t>.</w:t>
      </w:r>
    </w:p>
    <w:p w14:paraId="2DB03C6B" w14:textId="77777777" w:rsidR="000959B9" w:rsidRPr="00131EED" w:rsidRDefault="000959B9" w:rsidP="000959B9">
      <w:pPr>
        <w:rPr>
          <w:rFonts w:cs="Arial"/>
        </w:rPr>
      </w:pPr>
    </w:p>
    <w:p w14:paraId="5D0A97EE" w14:textId="77777777" w:rsidR="000959B9" w:rsidRPr="00131EED" w:rsidRDefault="000959B9" w:rsidP="000959B9">
      <w:pPr>
        <w:rPr>
          <w:rFonts w:cs="Arial"/>
        </w:rPr>
      </w:pPr>
      <w:r w:rsidRPr="00131EED">
        <w:rPr>
          <w:rFonts w:cs="Arial"/>
        </w:rPr>
        <w:t xml:space="preserve">La explotación de dichos recursos requiere de ciertos instrumentos establecidos en la normatividad vigente a fin de garantizar la sostenibilidad de la actividad y mitigar los impactos ambientales y sociales que esta pueda causar. Por un lado, la autoridad minera otorga el título minero, el cual consta de un acto administrativo que concede el derecho a explorar o explotar los recursos minerales del subsuelo </w:t>
      </w:r>
      <w:r w:rsidRPr="00131EED">
        <w:rPr>
          <w:rFonts w:cs="Arial"/>
        </w:rPr>
        <w:fldChar w:fldCharType="begin"/>
      </w:r>
      <w:r w:rsidRPr="00131EED">
        <w:rPr>
          <w:rFonts w:cs="Arial"/>
        </w:rPr>
        <w:instrText xml:space="preserve"> ADDIN ZOTERO_ITEM CSL_CITATION {"citationID":"w2IdMLpV","properties":{"formattedCitation":"(Ministerio de Minas y Energ\\uc0\\u237{}a, 2015)","plainCitation":"(Ministerio de Minas y Energía, 2015)","noteIndex":0},"citationItems":[{"id":907,"uris":["http://zotero.org/users/6347308/items/TJIVZBNJ"],"itemData":{"id":907,"type":"document","title":"Resolución Número 4 0599 de 2015 Por medio de la cual se adopta el Glosario Técnico Minero","URL":"https://www.anm.gov.co/sites/default/files/res_40599_15_glosario_tecnico_minero.pdf","author":[{"literal":"Ministerio de Minas y Energía"}],"issued":{"date-parts":[["2015"]]}}}],"schema":"https://github.com/citation-style-language/schema/raw/master/csl-citation.json"} </w:instrText>
      </w:r>
      <w:r w:rsidRPr="00131EED">
        <w:rPr>
          <w:rFonts w:cs="Arial"/>
        </w:rPr>
        <w:fldChar w:fldCharType="separate"/>
      </w:r>
      <w:r w:rsidRPr="00131EED">
        <w:rPr>
          <w:rFonts w:cs="Arial"/>
        </w:rPr>
        <w:t>(Ministerio de Minas y Energía, 2015)</w:t>
      </w:r>
      <w:r w:rsidRPr="00131EED">
        <w:rPr>
          <w:rFonts w:cs="Arial"/>
        </w:rPr>
        <w:fldChar w:fldCharType="end"/>
      </w:r>
      <w:r w:rsidRPr="00131EED">
        <w:rPr>
          <w:rFonts w:cs="Arial"/>
        </w:rPr>
        <w:t xml:space="preserve"> que, según el artículo 332 de la Constitución Política de Colombia, son propiedad de la Nación. </w:t>
      </w:r>
    </w:p>
    <w:p w14:paraId="7A73751A" w14:textId="77777777" w:rsidR="000959B9" w:rsidRPr="00131EED" w:rsidRDefault="000959B9" w:rsidP="000959B9">
      <w:pPr>
        <w:rPr>
          <w:rFonts w:cs="Arial"/>
        </w:rPr>
      </w:pPr>
    </w:p>
    <w:p w14:paraId="3A605903" w14:textId="77777777" w:rsidR="000959B9" w:rsidRPr="00131EED" w:rsidRDefault="000959B9" w:rsidP="000959B9">
      <w:pPr>
        <w:rPr>
          <w:rFonts w:cs="Arial"/>
        </w:rPr>
      </w:pPr>
      <w:r w:rsidRPr="00131EED">
        <w:rPr>
          <w:rFonts w:cs="Arial"/>
        </w:rPr>
        <w:t xml:space="preserve">Actualmente, la única modalidad de titulación minera que confiere dicho derecho es el contrato de concesión minera que según la Ley 685 de 2001, es el acuerdo entre el Estado y los particulares que confiere la facultad para la exploración y explotación exclusiva y temporal de los minerales dentro del área otorgada. Esto incluye el derecho de extraer minerales en cantidades y calidades que sean económicamente viables, de tomar posesión de estos a través de su extracción o captación, y de imponer servidumbres sobre predios de terceros que sean esenciales para llevar a cabo estas actividades de manera efectiva </w:t>
      </w:r>
      <w:r w:rsidRPr="00131EED">
        <w:rPr>
          <w:rFonts w:cs="Arial"/>
        </w:rPr>
        <w:fldChar w:fldCharType="begin"/>
      </w:r>
      <w:r w:rsidRPr="00131EED">
        <w:rPr>
          <w:rFonts w:cs="Arial"/>
        </w:rPr>
        <w:instrText xml:space="preserve"> ADDIN ZOTERO_ITEM CSL_CITATION {"citationID":"CpOSr6Nv","properties":{"formattedCitation":"(Unidad de Restituci\\uc0\\u243{}n de Tierras &amp; Agencia Nacional Minera, 2015)","plainCitation":"(Unidad de Restitución de Tierras &amp; Agencia Nacional Minera, 2015)","noteIndex":0},"citationItems":[{"id":904,"uris":["http://zotero.org/users/6347308/items/TV9EEBRB"],"itemData":{"id":904,"type":"document","publisher":"Unidad de Restitución de Tierras","title":"Cartilla Minería: preguntas frecuentes","URL":"https://www.anm.gov.co/sites/default/files/DocumentosAnm/cartilla_de_mineria_final.pdf","author":[{"literal":"Unidad de Restitución de Tierras"},{"literal":"Agencia Nacional Minera"}],"issued":{"date-parts":[["2015"]]}}}],"schema":"https://github.com/citation-style-language/schema/raw/master/csl-citation.json"} </w:instrText>
      </w:r>
      <w:r w:rsidRPr="00131EED">
        <w:rPr>
          <w:rFonts w:cs="Arial"/>
        </w:rPr>
        <w:fldChar w:fldCharType="separate"/>
      </w:r>
      <w:r w:rsidRPr="00131EED">
        <w:rPr>
          <w:rFonts w:cs="Arial"/>
        </w:rPr>
        <w:t>(Unidad de Restitución de Tierras &amp; Agencia Nacional Minera, 2015)</w:t>
      </w:r>
      <w:r w:rsidRPr="00131EED">
        <w:rPr>
          <w:rFonts w:cs="Arial"/>
        </w:rPr>
        <w:fldChar w:fldCharType="end"/>
      </w:r>
      <w:r w:rsidRPr="00131EED">
        <w:rPr>
          <w:rFonts w:cs="Arial"/>
        </w:rPr>
        <w:t>.</w:t>
      </w:r>
    </w:p>
    <w:p w14:paraId="1D439797" w14:textId="77777777" w:rsidR="000959B9" w:rsidRPr="00131EED" w:rsidRDefault="000959B9" w:rsidP="000959B9">
      <w:pPr>
        <w:rPr>
          <w:rFonts w:cs="Arial"/>
        </w:rPr>
      </w:pPr>
    </w:p>
    <w:p w14:paraId="451B4AFB" w14:textId="77777777" w:rsidR="000959B9" w:rsidRPr="00131EED" w:rsidRDefault="000959B9" w:rsidP="000959B9">
      <w:pPr>
        <w:rPr>
          <w:rFonts w:cs="Arial"/>
        </w:rPr>
      </w:pPr>
      <w:r w:rsidRPr="00131EED">
        <w:rPr>
          <w:rFonts w:cs="Arial"/>
        </w:rPr>
        <w:t xml:space="preserve">No obstante, la Ley 685 de 2001 o Código de minas dejó a salvo las modalidades de títulos mineros emitidos bajo el amparo de normas anteriores como el Decreto – Ley 2655 de 1988, incluyendo: contrato en virtud de aporte, mediante el cual el Ministerio de Minas y Energía otorgaba derechos temporales y exclusivos para la exploración y explotación de minerales en áreas específicas a sus entidades adscritas o vinculadas; licencia de exploración, para estudiar la presencia y viabilidad comercial de depósitos y yacimientos minerales; licencia de explotación para proyectos clasificados como pequeña minería; contrato de concesión, que permitía extraer los minerales asignados y efectuar todas las obras y labores necesarias para la explotación, procesamiento, transporte y carga de estos minerales; reconocimiento de propiedad privada que son aquellos derechos subjetivos que pueden registrarse como minas de propiedad particular según lo determinado por el Consejo de Estado, y el registro minero de canteras, que son aquellas canteras explotadas desde antes del 24 de junio de 1989 </w:t>
      </w:r>
      <w:r w:rsidRPr="00131EED">
        <w:rPr>
          <w:rFonts w:cs="Arial"/>
        </w:rPr>
        <w:fldChar w:fldCharType="begin"/>
      </w:r>
      <w:r w:rsidRPr="00131EED">
        <w:rPr>
          <w:rFonts w:cs="Arial"/>
        </w:rPr>
        <w:instrText xml:space="preserve"> ADDIN ZOTERO_ITEM CSL_CITATION {"citationID":"uAWQCwAF","properties":{"formattedCitation":"(Unidad de Restituci\\uc0\\u243{}n de Tierras &amp; Agencia Nacional Minera, 2015)","plainCitation":"(Unidad de Restitución de Tierras &amp; Agencia Nacional Minera, 2015)","noteIndex":0},"citationItems":[{"id":904,"uris":["http://zotero.org/users/6347308/items/TV9EEBRB"],"itemData":{"id":904,"type":"document","publisher":"Unidad de Restitución de Tierras","title":"Cartilla Minería: preguntas frecuentes","URL":"https://www.anm.gov.co/sites/default/files/DocumentosAnm/cartilla_de_mineria_final.pdf","author":[{"literal":"Unidad de Restitución de Tierras"},{"literal":"Agencia Nacional Minera"}],"issued":{"date-parts":[["2015"]]}}}],"schema":"https://github.com/citation-style-language/schema/raw/master/csl-citation.json"} </w:instrText>
      </w:r>
      <w:r w:rsidRPr="00131EED">
        <w:rPr>
          <w:rFonts w:cs="Arial"/>
        </w:rPr>
        <w:fldChar w:fldCharType="separate"/>
      </w:r>
      <w:r w:rsidRPr="00131EED">
        <w:rPr>
          <w:rFonts w:cs="Arial"/>
        </w:rPr>
        <w:t>(Unidad de Restitución de Tierras &amp; Agencia Nacional Minera, 2015)</w:t>
      </w:r>
      <w:r w:rsidRPr="00131EED">
        <w:rPr>
          <w:rFonts w:cs="Arial"/>
        </w:rPr>
        <w:fldChar w:fldCharType="end"/>
      </w:r>
      <w:r w:rsidRPr="00131EED">
        <w:rPr>
          <w:rFonts w:cs="Arial"/>
        </w:rPr>
        <w:t xml:space="preserve">. </w:t>
      </w:r>
    </w:p>
    <w:p w14:paraId="431851D4" w14:textId="77777777" w:rsidR="000959B9" w:rsidRPr="00131EED" w:rsidRDefault="000959B9" w:rsidP="000959B9">
      <w:pPr>
        <w:rPr>
          <w:rFonts w:cs="Arial"/>
        </w:rPr>
      </w:pPr>
    </w:p>
    <w:p w14:paraId="17081945" w14:textId="77777777" w:rsidR="000959B9" w:rsidRPr="00131EED" w:rsidRDefault="000959B9" w:rsidP="000959B9">
      <w:pPr>
        <w:rPr>
          <w:rFonts w:cs="Arial"/>
        </w:rPr>
      </w:pPr>
      <w:r w:rsidRPr="00131EED">
        <w:rPr>
          <w:rFonts w:cs="Arial"/>
        </w:rPr>
        <w:t xml:space="preserve">Por otro lado, la actividad minera no puede desarrollarse sin aprobación de la licencia ambiental o el Plan de Manejo Ambiental, según el régimen de transición, que es otorgada por la autoridad ambiental competente. Este instrumento es la autorización para la ejecución de una obra o actividad en la cual se establecen las medidas de prevención, mitigación, corrección, compensación y manejo de los efectos ambientales que se generen. </w:t>
      </w:r>
    </w:p>
    <w:p w14:paraId="2CBE2B15" w14:textId="77777777" w:rsidR="000959B9" w:rsidRPr="00131EED" w:rsidRDefault="000959B9" w:rsidP="000959B9">
      <w:pPr>
        <w:rPr>
          <w:rFonts w:cs="Arial"/>
        </w:rPr>
      </w:pPr>
    </w:p>
    <w:p w14:paraId="16879541" w14:textId="77777777" w:rsidR="000959B9" w:rsidRPr="00131EED" w:rsidRDefault="000959B9" w:rsidP="000959B9">
      <w:pPr>
        <w:rPr>
          <w:rFonts w:cs="Arial"/>
        </w:rPr>
      </w:pPr>
      <w:r w:rsidRPr="00131EED">
        <w:rPr>
          <w:rFonts w:cs="Arial"/>
        </w:rPr>
        <w:t xml:space="preserve">Cabe resaltar que, en la Sabana de Bogotá, el Ministerio de Ambiente y Desarrollo Sostenible delimitó las zonas donde se pueden desarrollar actividades de exploración y explotación minera. De igual manera, la normatividad ha establecido aquellas zonas excluibles de la minería que corresponden a las áreas que integran el Sistema de Parques Nacionales Naturales, Parques Naturales Regional y Zonas de Reserva Forestal (Ley 685 de 2001, Artículo No. 34, modificado por el Artículo No. 3 de la Ley 1382 de 2010), las definidas por los municipios a través de su ordenamiento territorial y de acuerdo con las determinantes ambientales emitidas por la autoridad ambiental, y los ecosistemas de páramos (Sentencia C-035 de 2016) </w:t>
      </w:r>
      <w:r w:rsidRPr="00131EED">
        <w:rPr>
          <w:rFonts w:cs="Arial"/>
        </w:rPr>
        <w:fldChar w:fldCharType="begin"/>
      </w:r>
      <w:r w:rsidRPr="00131EED">
        <w:rPr>
          <w:rFonts w:cs="Arial"/>
        </w:rPr>
        <w:instrText xml:space="preserve"> ADDIN ZOTERO_ITEM CSL_CITATION {"citationID":"x1yRgwM5","properties":{"formattedCitation":"(G\\uc0\\u243{}mez Rey, 2018)","plainCitation":"(Gómez Rey, 2018)","noteIndex":0},"citationItems":[{"id":893,"uris":["http://zotero.org/users/6347308/items/XUTSV4CK"],"itemData":{"id":893,"type":"article-journal","container-title":"Ambiente Jurídico","ISSN":"0123-9465","issue":"23","page":"47-66","title":"Confusiones de intersección entre las reservas temporales y las áreas excluibles de la minería","author":[{"family":"Gómez Rey","given":"Andrés"}],"issued":{"date-parts":[["2018"]]}}}],"schema":"https://github.com/citation-style-language/schema/raw/master/csl-citation.json"} </w:instrText>
      </w:r>
      <w:r w:rsidRPr="00131EED">
        <w:rPr>
          <w:rFonts w:cs="Arial"/>
        </w:rPr>
        <w:fldChar w:fldCharType="separate"/>
      </w:r>
      <w:r w:rsidRPr="00131EED">
        <w:rPr>
          <w:rFonts w:cs="Arial"/>
        </w:rPr>
        <w:t>(Gómez Rey, 2018)</w:t>
      </w:r>
      <w:r w:rsidRPr="00131EED">
        <w:rPr>
          <w:rFonts w:cs="Arial"/>
        </w:rPr>
        <w:fldChar w:fldCharType="end"/>
      </w:r>
      <w:r w:rsidRPr="00131EED">
        <w:rPr>
          <w:rFonts w:cs="Arial"/>
        </w:rPr>
        <w:t xml:space="preserve">. </w:t>
      </w:r>
    </w:p>
    <w:p w14:paraId="6A75A32C" w14:textId="77777777" w:rsidR="000959B9" w:rsidRPr="00131EED" w:rsidRDefault="000959B9" w:rsidP="000959B9">
      <w:pPr>
        <w:rPr>
          <w:rFonts w:cs="Arial"/>
        </w:rPr>
      </w:pPr>
    </w:p>
    <w:p w14:paraId="3E01B08B" w14:textId="0D6AF205" w:rsidR="000959B9" w:rsidRPr="00131EED" w:rsidRDefault="000959B9" w:rsidP="000959B9">
      <w:pPr>
        <w:rPr>
          <w:rFonts w:cs="Arial"/>
        </w:rPr>
      </w:pPr>
      <w:r w:rsidRPr="00131EED">
        <w:rPr>
          <w:rFonts w:cs="Arial"/>
        </w:rPr>
        <w:t xml:space="preserve">Una vez la operación minera ha concluido, se da paso al cierre minero, el cual marca la transición hacia el desmantelamiento del proyecto. Este proceso puede ser el resultado de diversos factores, como la renuncia total del titular minero, la caducidad o la extinción de los derechos mineros. En el caso de la Sabana de Bogotá, el cierre minero está determinado por las condiciones establecidas en las Resoluciones No. 2001 de 2016 y No. 1499 de 2018, así como, por las órdenes judiciales emitidas en el marco de la sentencia del río Bogotá. </w:t>
      </w:r>
    </w:p>
    <w:p w14:paraId="476E071A" w14:textId="77777777" w:rsidR="00D218BE" w:rsidRPr="00131EED" w:rsidRDefault="00D218BE" w:rsidP="000959B9">
      <w:pPr>
        <w:rPr>
          <w:rFonts w:cs="Arial"/>
        </w:rPr>
      </w:pPr>
    </w:p>
    <w:p w14:paraId="31877C48" w14:textId="77777777" w:rsidR="000959B9" w:rsidRPr="00131EED" w:rsidRDefault="000959B9" w:rsidP="000959B9">
      <w:pPr>
        <w:rPr>
          <w:rFonts w:cs="Arial"/>
        </w:rPr>
      </w:pPr>
      <w:r w:rsidRPr="00131EED">
        <w:rPr>
          <w:rFonts w:cs="Arial"/>
        </w:rPr>
        <w:t xml:space="preserve">De acuerdo con las normas mencionadas, el cierre minero implica la imposición de un Plan de Manejo, Restauración y Recuperación Ambiental (PMRRA), el cual aplica a las actividades extractivas realizadas fuera de las zonas compatibles con la minería, y abarca un diagnóstico integral que incluye aspectos geotécnicos, geomorfológicos, edáficos (relativos al suelo), hídricos, ecosistémicos y paisajísticos, así como, las medidas tendientes a la recuperación de las áreas afectadas. De manera similar, el Plan de Restauración y Recuperación (PRR) actúa como otro instrumento de manejo y control ambiental, dirigido a las zonas afectadas por la minería que están fuera de las áreas compatibles y en las cuales el que ocasiona el daño ambiental no ha sido identificado. </w:t>
      </w:r>
    </w:p>
    <w:p w14:paraId="35B7A49B" w14:textId="77777777" w:rsidR="000959B9" w:rsidRPr="00131EED" w:rsidRDefault="000959B9" w:rsidP="000959B9">
      <w:pPr>
        <w:rPr>
          <w:rFonts w:cs="Arial"/>
        </w:rPr>
      </w:pPr>
    </w:p>
    <w:p w14:paraId="6132AEF7" w14:textId="77777777" w:rsidR="000959B9" w:rsidRPr="00131EED" w:rsidRDefault="000959B9" w:rsidP="000959B9">
      <w:pPr>
        <w:rPr>
          <w:rFonts w:cs="Arial"/>
        </w:rPr>
      </w:pPr>
      <w:r w:rsidRPr="00131EED">
        <w:rPr>
          <w:rFonts w:cs="Arial"/>
        </w:rPr>
        <w:t>El Ministerio de Ambiente, en cumplimiento a lo dispuesto en La Ley 99 de 1993, que definió en su artículo 61 la Sabana de Bogotá, sus páramos, aguas, valles aledaños, cerros circundantes y sistemas montañosos como de interés ecológico nacional, cuya destinación prioritaria será la agropecuaria y forestal, estableció las zonas en las cuales exista compatibilidad con las explotaciones mineras.</w:t>
      </w:r>
    </w:p>
    <w:p w14:paraId="706F1FB5" w14:textId="77777777" w:rsidR="000959B9" w:rsidRPr="00131EED" w:rsidRDefault="000959B9" w:rsidP="000959B9">
      <w:pPr>
        <w:rPr>
          <w:rFonts w:cs="Arial"/>
        </w:rPr>
      </w:pPr>
    </w:p>
    <w:p w14:paraId="722044C2" w14:textId="77777777" w:rsidR="000959B9" w:rsidRPr="00131EED" w:rsidRDefault="000959B9" w:rsidP="000959B9">
      <w:pPr>
        <w:rPr>
          <w:rFonts w:cs="Arial"/>
        </w:rPr>
      </w:pPr>
      <w:r w:rsidRPr="00131EED">
        <w:rPr>
          <w:rFonts w:cs="Arial"/>
        </w:rPr>
        <w:t>Igualmente, la llamada Sentencia del Río Bogotá, que en su Orden 4,26, ordenó al Ministerio: Delimitar geográficamente las zonas excluidas de minería en donde no podrán ejecutarse trabajos y obras de explotación; revocar o suspender las licencias, títulos, permisos, autorizaciones o concesiones para el uso y aprovechamiento de los recursos naturales y del medio ambiente en las zonas de exclusión; revocar o suspender las licencias, títulos, permisos, autorizaciones o concesiones para el uso y aprovechamiento de los recursos naturales cuando se establezca el incumplimiento de las condiciones o exigencias de acuerdo con los actos de expedición</w:t>
      </w:r>
    </w:p>
    <w:p w14:paraId="5AFAB6CB" w14:textId="77777777" w:rsidR="000959B9" w:rsidRPr="00131EED" w:rsidRDefault="000959B9" w:rsidP="000959B9">
      <w:pPr>
        <w:rPr>
          <w:rFonts w:cs="Arial"/>
        </w:rPr>
      </w:pPr>
    </w:p>
    <w:p w14:paraId="38EE308B" w14:textId="729F7EC1" w:rsidR="000959B9" w:rsidRPr="00131EED" w:rsidRDefault="000959B9" w:rsidP="000959B9">
      <w:pPr>
        <w:rPr>
          <w:rFonts w:cs="Arial"/>
        </w:rPr>
      </w:pPr>
      <w:r w:rsidRPr="00131EED">
        <w:rPr>
          <w:rFonts w:cs="Arial"/>
        </w:rPr>
        <w:t xml:space="preserve">La Resolución 2001 de 2 de diciembre de 2016 de este Ministerio, determinó las zonas compatibles con la minería en la Sabana de Bogotá, con veinticuatro (24) polígonos, los cuales representan un área de 18081 hectáreas que corresponde al 4,22% del área de la sabana. </w:t>
      </w:r>
      <w:r w:rsidR="008223DA" w:rsidRPr="00131EED">
        <w:rPr>
          <w:rFonts w:cs="Arial"/>
        </w:rPr>
        <w:t xml:space="preserve"> </w:t>
      </w:r>
      <w:r w:rsidRPr="00131EED">
        <w:rPr>
          <w:rFonts w:cs="Arial"/>
        </w:rPr>
        <w:t xml:space="preserve">La Resolución 1499 de 03 de agosto de 2018 de este Ministerio, modificó parcialmente la Resolución 2001 de 2016 en sus artículos 3, 4, 5, 7, 9 y 16. </w:t>
      </w:r>
    </w:p>
    <w:p w14:paraId="24C90BE8" w14:textId="35AEBD7B" w:rsidR="000959B9" w:rsidRPr="00131EED" w:rsidRDefault="000959B9" w:rsidP="000959B9">
      <w:pPr>
        <w:rPr>
          <w:rFonts w:cs="Arial"/>
        </w:rPr>
      </w:pPr>
    </w:p>
    <w:p w14:paraId="4FDA7ABA" w14:textId="16A8DD2D" w:rsidR="000959B9" w:rsidRPr="00131EED" w:rsidRDefault="008223DA" w:rsidP="008223DA">
      <w:pPr>
        <w:pStyle w:val="Caption"/>
        <w:jc w:val="center"/>
      </w:pPr>
      <w:bookmarkStart w:id="126" w:name="_Toc216468799"/>
      <w:r w:rsidRPr="00131EED">
        <w:t>Ilustración</w:t>
      </w:r>
      <w:r w:rsidR="000959B9" w:rsidRPr="00131EED">
        <w:t xml:space="preserve"> </w:t>
      </w:r>
      <w:fldSimple w:instr=" SEQ Ilustración \* ARABIC ">
        <w:r w:rsidR="00CE096F">
          <w:rPr>
            <w:noProof/>
          </w:rPr>
          <w:t>34</w:t>
        </w:r>
      </w:fldSimple>
      <w:r w:rsidR="000959B9" w:rsidRPr="00131EED">
        <w:t xml:space="preserve"> Evolución normativa de la Minería en la Sabana de Bogotá</w:t>
      </w:r>
      <w:bookmarkEnd w:id="126"/>
    </w:p>
    <w:p w14:paraId="1CA59BCF" w14:textId="4372D2F7" w:rsidR="008223DA" w:rsidRPr="00131EED" w:rsidRDefault="008223DA" w:rsidP="005A2228">
      <w:pPr>
        <w:jc w:val="center"/>
        <w:rPr>
          <w:lang w:eastAsia="en-US"/>
        </w:rPr>
      </w:pPr>
      <w:r w:rsidRPr="00131EED">
        <w:rPr>
          <w:noProof/>
          <w:lang w:eastAsia="en-US"/>
        </w:rPr>
        <w:drawing>
          <wp:inline distT="0" distB="0" distL="0" distR="0" wp14:anchorId="26EFB8C3" wp14:editId="053ADC52">
            <wp:extent cx="4994695" cy="3040668"/>
            <wp:effectExtent l="0" t="0" r="0" b="7620"/>
            <wp:docPr id="18" name="Imagen 18" descr="A diagram with text and imag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descr="A diagram with text and images&#10;&#10;AI-generated content may be incorrect."/>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t="6517" r="12717" b="8501"/>
                    <a:stretch/>
                  </pic:blipFill>
                  <pic:spPr bwMode="auto">
                    <a:xfrm>
                      <a:off x="0" y="0"/>
                      <a:ext cx="5001882" cy="3045043"/>
                    </a:xfrm>
                    <a:prstGeom prst="rect">
                      <a:avLst/>
                    </a:prstGeom>
                    <a:noFill/>
                    <a:ln>
                      <a:noFill/>
                    </a:ln>
                    <a:extLst>
                      <a:ext uri="{53640926-AAD7-44D8-BBD7-CCE9431645EC}">
                        <a14:shadowObscured xmlns:a14="http://schemas.microsoft.com/office/drawing/2010/main"/>
                      </a:ext>
                    </a:extLst>
                  </pic:spPr>
                </pic:pic>
              </a:graphicData>
            </a:graphic>
          </wp:inline>
        </w:drawing>
      </w:r>
    </w:p>
    <w:p w14:paraId="49D781E0" w14:textId="68367214" w:rsidR="00D218BE" w:rsidRPr="00131EED" w:rsidRDefault="00D218BE" w:rsidP="005A2228">
      <w:pPr>
        <w:jc w:val="center"/>
        <w:rPr>
          <w:sz w:val="20"/>
          <w:szCs w:val="20"/>
          <w:lang w:eastAsia="en-US"/>
        </w:rPr>
      </w:pPr>
      <w:r w:rsidRPr="00131EED">
        <w:rPr>
          <w:sz w:val="20"/>
          <w:szCs w:val="20"/>
          <w:lang w:eastAsia="en-US"/>
        </w:rPr>
        <w:t>Fuente: MinAmbiente, 2025.</w:t>
      </w:r>
    </w:p>
    <w:p w14:paraId="0BA31B4C" w14:textId="77777777" w:rsidR="000959B9" w:rsidRPr="00131EED" w:rsidRDefault="000959B9" w:rsidP="000959B9">
      <w:pPr>
        <w:rPr>
          <w:rFonts w:cs="Arial"/>
        </w:rPr>
      </w:pPr>
    </w:p>
    <w:p w14:paraId="0B5AF167" w14:textId="77777777" w:rsidR="000959B9" w:rsidRPr="00131EED" w:rsidRDefault="000959B9" w:rsidP="000959B9">
      <w:pPr>
        <w:rPr>
          <w:rFonts w:cs="Arial"/>
        </w:rPr>
      </w:pPr>
      <w:r w:rsidRPr="00131EED">
        <w:rPr>
          <w:rFonts w:cs="Arial"/>
        </w:rPr>
        <w:t xml:space="preserve">La dinámica de la actividad minera en la Ecorregión de La Sabana de Bogotá definida por el Ministerio de Ambiente y Desarrollo Sostenible bajo el parámetro establecido en el Plan Nacional de Desarrollo 2022-2026; presenta complejidades significativas, tanto en la esfera regulatoria como en el ámbito de los impactos ambientales y sociales que genera. </w:t>
      </w:r>
    </w:p>
    <w:p w14:paraId="3AEBB823" w14:textId="77777777" w:rsidR="000959B9" w:rsidRPr="00131EED" w:rsidRDefault="000959B9" w:rsidP="000959B9">
      <w:pPr>
        <w:rPr>
          <w:rFonts w:cs="Arial"/>
        </w:rPr>
      </w:pPr>
    </w:p>
    <w:p w14:paraId="0003E7A4" w14:textId="77777777" w:rsidR="000959B9" w:rsidRPr="00131EED" w:rsidRDefault="000959B9" w:rsidP="000959B9">
      <w:pPr>
        <w:rPr>
          <w:rFonts w:cs="Arial"/>
        </w:rPr>
      </w:pPr>
      <w:r w:rsidRPr="00131EED">
        <w:rPr>
          <w:rFonts w:cs="Arial"/>
        </w:rPr>
        <w:t xml:space="preserve">Esto debido a una implementación deficiente de las directrices de la Resolución 2001 de 2016 y de la Resolución 1499 de 2018, que exige a las autoridades ambientales competentes imponer un Plan de Manejo de Recuperación y Restauración Ambiental (PMRRA) a los títulos mineros localizados fuera de las áreas compatibles. Lo anterior, se constituye en un obstáculo para gestionar de manera efectiva el cierre de las operaciones mineras en la Sabana de Bogotá y promover la recuperación del suelo y sus elementos siguiendo criterios técnicos adecuados. </w:t>
      </w:r>
    </w:p>
    <w:p w14:paraId="30DA38A6" w14:textId="77777777" w:rsidR="000959B9" w:rsidRPr="00131EED" w:rsidRDefault="000959B9" w:rsidP="000959B9">
      <w:pPr>
        <w:rPr>
          <w:rFonts w:cs="Arial"/>
        </w:rPr>
      </w:pPr>
    </w:p>
    <w:p w14:paraId="3EBC0961" w14:textId="77777777" w:rsidR="000959B9" w:rsidRPr="00131EED" w:rsidRDefault="000959B9" w:rsidP="000959B9">
      <w:pPr>
        <w:rPr>
          <w:rFonts w:cs="Arial"/>
        </w:rPr>
      </w:pPr>
      <w:r w:rsidRPr="00131EED">
        <w:rPr>
          <w:rFonts w:cs="Arial"/>
        </w:rPr>
        <w:t>Los cambios en el entorno y la necesidad de contar con estudios técnicos actualizados exigen una revisión y actualización constante de las áreas compatibles con la minería. Esto garantiza que las decisiones territoriales respondan a las dinámicas ambientales actuales y a los requerimientos técnicos necesarios para una gestión sostenible del territorio.</w:t>
      </w:r>
    </w:p>
    <w:p w14:paraId="4EC0A411" w14:textId="77777777" w:rsidR="000959B9" w:rsidRPr="00131EED" w:rsidRDefault="000959B9" w:rsidP="000959B9">
      <w:pPr>
        <w:rPr>
          <w:rFonts w:ascii="Baskerville" w:hAnsi="Baskerville" w:cs="Arial"/>
        </w:rPr>
      </w:pPr>
    </w:p>
    <w:p w14:paraId="4F630FD1" w14:textId="77777777" w:rsidR="000959B9" w:rsidRPr="00131EED" w:rsidRDefault="000959B9" w:rsidP="000959B9">
      <w:pPr>
        <w:rPr>
          <w:rFonts w:cs="Arial"/>
        </w:rPr>
      </w:pPr>
      <w:r w:rsidRPr="00131EED">
        <w:rPr>
          <w:rFonts w:cs="Arial"/>
        </w:rPr>
        <w:t>Así mismo, existe una notoria acumulación de pasivos ambientales por la explotación  antitécnica, en zonas no compatibles y con cierres mineros no adecuados, junto con la generación de nuevos impactos ambientales, que se manifiestan en afectaciones como modificación y contaminación del drenaje natural, alteración del suelo, erosión, eliminación de cobertura vegetal, contaminación por material particulado, ruido y gases, impactos geomorfológicos, hidrogeológicos y geoquímicos, desestabilización de taludes y generación de riesgos por remoción en masa,  pone en peligro la biodiversidad única de la Sabana de Bogotá.</w:t>
      </w:r>
    </w:p>
    <w:p w14:paraId="2662B77E" w14:textId="77777777" w:rsidR="000959B9" w:rsidRPr="00131EED" w:rsidRDefault="000959B9" w:rsidP="000959B9">
      <w:pPr>
        <w:rPr>
          <w:rFonts w:cs="Arial"/>
        </w:rPr>
      </w:pPr>
    </w:p>
    <w:p w14:paraId="34262C33" w14:textId="77777777" w:rsidR="000959B9" w:rsidRPr="00131EED" w:rsidRDefault="000959B9" w:rsidP="000959B9">
      <w:pPr>
        <w:rPr>
          <w:rFonts w:cs="Arial"/>
        </w:rPr>
      </w:pPr>
      <w:r w:rsidRPr="00131EED">
        <w:rPr>
          <w:rFonts w:cs="Arial"/>
        </w:rPr>
        <w:t>Las deficiencias en el cumplimiento de las directrices definidas por la normatividad subrayan un vacío en la aplicación efectiva de políticas que aseguren no solo la mitigación de los impactos negativos de la minería sino también la rehabilitación de áreas degradadas para su reintegración al entorno natural y productivo. Esto exacerba el riesgo para las comunidades locales, al exponerlas a desastres naturales potenciados por la alteración del paisaje natural, lo cual evidencia una compleja interacción entre los impactos ambientales, la vulnerabilidad social y los desafíos en la planificación territorial.</w:t>
      </w:r>
    </w:p>
    <w:p w14:paraId="377A68AF" w14:textId="77777777" w:rsidR="000959B9" w:rsidRPr="00131EED" w:rsidRDefault="000959B9" w:rsidP="000959B9">
      <w:pPr>
        <w:rPr>
          <w:rFonts w:cs="Arial"/>
        </w:rPr>
      </w:pPr>
    </w:p>
    <w:p w14:paraId="6E0ED857" w14:textId="77777777" w:rsidR="000959B9" w:rsidRPr="00131EED" w:rsidRDefault="000959B9" w:rsidP="000959B9">
      <w:pPr>
        <w:rPr>
          <w:rFonts w:cs="Arial"/>
        </w:rPr>
      </w:pPr>
      <w:r w:rsidRPr="00131EED">
        <w:rPr>
          <w:rFonts w:cs="Arial"/>
        </w:rPr>
        <w:t>La dinámica de la actividad minera en la Sabana de Bogotá presenta una serie de complejidades que abarcan aspectos geológicos, hidrogeológicos, arqueológicos, históricos y culturales. A continuación, se detalla cómo estos factores se interrelacionan con la minería en esta región, resaltando las normativas aplicables y los impactos asociados:</w:t>
      </w:r>
    </w:p>
    <w:p w14:paraId="4A8E687B" w14:textId="77777777" w:rsidR="000959B9" w:rsidRPr="00131EED" w:rsidRDefault="000959B9" w:rsidP="000959B9">
      <w:pPr>
        <w:rPr>
          <w:rFonts w:cs="Arial"/>
        </w:rPr>
      </w:pPr>
    </w:p>
    <w:p w14:paraId="544B1FA8" w14:textId="77777777" w:rsidR="000959B9" w:rsidRPr="00131EED" w:rsidRDefault="000959B9" w:rsidP="000959B9">
      <w:pPr>
        <w:rPr>
          <w:rFonts w:cs="Arial"/>
        </w:rPr>
      </w:pPr>
      <w:r w:rsidRPr="00131EED">
        <w:rPr>
          <w:rFonts w:cs="Arial"/>
          <w:b/>
        </w:rPr>
        <w:t>Andisoles.</w:t>
      </w:r>
      <w:r w:rsidRPr="00131EED">
        <w:rPr>
          <w:rFonts w:cs="Arial"/>
        </w:rPr>
        <w:t xml:space="preserve"> Los andisoles son suelos volcánicos altamente fértiles, predominantes en la Sabana de Bogotá, y su preservación es crucial para la agricultura local. La explotación minera puede causar la erosión y la pérdida de estos suelos, afectando negativamente la producción agrícola y alterando el equilibrio ecológico. La normativa que protege estos suelos se encuentra en la Ley 99 de 1993, que establece la conservación de suelos de interés ecológico nacional (Ministerio de Ambiente y Desarrollo Sostenible, 2018).</w:t>
      </w:r>
    </w:p>
    <w:p w14:paraId="610A5C3A" w14:textId="2E8BFFD4" w:rsidR="000959B9" w:rsidRPr="00131EED" w:rsidRDefault="000959B9" w:rsidP="000959B9">
      <w:pPr>
        <w:rPr>
          <w:rFonts w:cs="Arial"/>
        </w:rPr>
      </w:pPr>
    </w:p>
    <w:p w14:paraId="72B0EE10" w14:textId="77777777" w:rsidR="00D218BE" w:rsidRPr="00131EED" w:rsidRDefault="0065130C" w:rsidP="0065130C">
      <w:pPr>
        <w:rPr>
          <w:rFonts w:cs="Arial"/>
        </w:rPr>
      </w:pPr>
      <w:r w:rsidRPr="00131EED">
        <w:rPr>
          <w:rFonts w:cs="Arial"/>
          <w:b/>
        </w:rPr>
        <w:t>Acuíferos.</w:t>
      </w:r>
      <w:r w:rsidRPr="00131EED">
        <w:rPr>
          <w:rFonts w:cs="Arial"/>
        </w:rPr>
        <w:t xml:space="preserve"> Los sistemas acuíferos de la Sabana de Bogotá desempeñan un papel fundamental, aunque poco reconocido, en la regulación hídrica y en la sostenibilidad ambiental de la región. Los flujos de agua subterránea son responsables de mantener la humedad de muchos tipos de suelos, aportar flujo base hacia ríos, quebradas y humedales, y se constituyen </w:t>
      </w:r>
      <w:r w:rsidR="008B43C5" w:rsidRPr="00131EED">
        <w:rPr>
          <w:rFonts w:cs="Arial"/>
        </w:rPr>
        <w:t>en una</w:t>
      </w:r>
      <w:r w:rsidRPr="00131EED">
        <w:rPr>
          <w:rFonts w:cs="Arial"/>
        </w:rPr>
        <w:t xml:space="preserve"> fuente vital de agua para el consumo humano, el uso agrícola e industrial. Estas funciones adquieren mayor relevancia ante los crecientes desafíos impuestos por la variabilidad y cambio climático. </w:t>
      </w:r>
    </w:p>
    <w:p w14:paraId="062FBD19" w14:textId="77777777" w:rsidR="00D218BE" w:rsidRPr="00131EED" w:rsidRDefault="00D218BE" w:rsidP="0065130C">
      <w:pPr>
        <w:rPr>
          <w:rFonts w:cs="Arial"/>
        </w:rPr>
      </w:pPr>
    </w:p>
    <w:p w14:paraId="518231D8" w14:textId="3A666B50" w:rsidR="0065130C" w:rsidRPr="00131EED" w:rsidRDefault="0065130C" w:rsidP="0065130C">
      <w:pPr>
        <w:rPr>
          <w:rFonts w:cs="Arial"/>
        </w:rPr>
      </w:pPr>
      <w:r w:rsidRPr="00131EED">
        <w:rPr>
          <w:rFonts w:cs="Arial"/>
        </w:rPr>
        <w:t xml:space="preserve">La minería puede impactar negativamente estos sistemas y los servicios ecosistémicos que estos ofrecen. Su operación puede alterar o remover capas de suelo y formaciones geológicas superficiales, afectando su capacidad de infiltración, y aumentando la vulnerabilidad ante la contaminación, y degradando la calidad de las aguas as aguas subterráneas y la salud de los ecosistemas conexos, con productos químicos utilizados en el proceso de extracción de minerales. </w:t>
      </w:r>
    </w:p>
    <w:p w14:paraId="19F4703A" w14:textId="0946190C" w:rsidR="0065130C" w:rsidRPr="00131EED" w:rsidRDefault="0065130C" w:rsidP="000959B9">
      <w:pPr>
        <w:rPr>
          <w:rFonts w:cs="Arial"/>
          <w:b/>
        </w:rPr>
      </w:pPr>
    </w:p>
    <w:p w14:paraId="43ECA6A2" w14:textId="77777777" w:rsidR="000959B9" w:rsidRPr="00131EED" w:rsidRDefault="000959B9" w:rsidP="000959B9">
      <w:pPr>
        <w:rPr>
          <w:rFonts w:cs="Arial"/>
        </w:rPr>
      </w:pPr>
      <w:r w:rsidRPr="00131EED">
        <w:rPr>
          <w:rFonts w:cs="Arial"/>
          <w:b/>
        </w:rPr>
        <w:t xml:space="preserve">Zonas con Valor Arqueológico, Histórico y Cultural. </w:t>
      </w:r>
      <w:r w:rsidRPr="00131EED">
        <w:rPr>
          <w:rFonts w:cs="Arial"/>
        </w:rPr>
        <w:t>La Sabana de Bogotá alberga importantes sitios arqueológicos y culturales que datan de épocas precolombinas. La minería en estas áreas puede llevar a la destrucción irreversible de patrimonios históricos y culturales. La Ley 163 de 1959 y la Ley 1185 de 2008 protegen estos sitios, prohibiendo actividades que puedan dañarlos (Congreso de la República de Colombia, 1959, 2008).</w:t>
      </w:r>
    </w:p>
    <w:p w14:paraId="22E99676" w14:textId="77777777" w:rsidR="00684F80" w:rsidRPr="00131EED" w:rsidRDefault="00684F80" w:rsidP="000959B9">
      <w:pPr>
        <w:rPr>
          <w:rFonts w:cs="Arial"/>
          <w:b/>
          <w:bCs/>
        </w:rPr>
      </w:pPr>
    </w:p>
    <w:p w14:paraId="60922488" w14:textId="77777777" w:rsidR="000959B9" w:rsidRPr="00131EED" w:rsidRDefault="000959B9" w:rsidP="000959B9">
      <w:pPr>
        <w:rPr>
          <w:rFonts w:cs="Arial"/>
        </w:rPr>
      </w:pPr>
      <w:r w:rsidRPr="00131EED">
        <w:rPr>
          <w:rFonts w:cs="Arial"/>
          <w:b/>
        </w:rPr>
        <w:t>Llanuras de Inundación.</w:t>
      </w:r>
      <w:r w:rsidRPr="00131EED">
        <w:rPr>
          <w:rFonts w:cs="Arial"/>
        </w:rPr>
        <w:t xml:space="preserve"> Las llanuras de inundación son áreas bajas que se inundan periódicamente, jugando un papel crucial en la mitigación de inundaciones y en la recarga de acuíferos. La minería en estas zonas puede alterar su capacidad de almacenamiento de agua y aumentar el riesgo de inundaciones. La Ley 99 de 1993 y la Ley 685 de 2001 regulan la protección de estas áreas, limitando actividades mineras que puedan perjudicar su funcionalidad (Ministerio de Ambiente y Desarrollo Sostenible, 1993; Ministerio de Minas y Energía, 2001).</w:t>
      </w:r>
    </w:p>
    <w:p w14:paraId="619054DD" w14:textId="77777777" w:rsidR="000959B9" w:rsidRPr="00131EED" w:rsidRDefault="000959B9" w:rsidP="000959B9">
      <w:pPr>
        <w:rPr>
          <w:rFonts w:cs="Arial"/>
        </w:rPr>
      </w:pPr>
    </w:p>
    <w:p w14:paraId="79148BDB" w14:textId="50AAD9B1" w:rsidR="000959B9" w:rsidRPr="00131EED" w:rsidRDefault="000959B9" w:rsidP="000959B9">
      <w:pPr>
        <w:rPr>
          <w:rFonts w:cs="Arial"/>
        </w:rPr>
      </w:pPr>
      <w:r w:rsidRPr="00131EED">
        <w:rPr>
          <w:rFonts w:cs="Arial"/>
          <w:b/>
        </w:rPr>
        <w:t>Paisaje.</w:t>
      </w:r>
      <w:r w:rsidRPr="00131EED">
        <w:rPr>
          <w:rFonts w:cs="Arial"/>
        </w:rPr>
        <w:t xml:space="preserve"> El paisaje de la Sabana de Bogotá incluye una mezcla de áreas urbanas, zonas agrícolas, y fragmentos de ecosistemas naturales como bosques y humedales. La continua expansión urbana y el desarrollo industrial amenazan la integridad de estos ecosistemas, que son vitales para la calidad de vida de la población y la biodiversidad regional </w:t>
      </w:r>
      <w:sdt>
        <w:sdtPr>
          <w:rPr>
            <w:rFonts w:cs="Arial"/>
          </w:rPr>
          <w:id w:val="-12619668"/>
          <w:citation/>
        </w:sdtPr>
        <w:sdtEndPr/>
        <w:sdtContent>
          <w:r w:rsidRPr="00131EED">
            <w:rPr>
              <w:rFonts w:cs="Arial"/>
            </w:rPr>
            <w:fldChar w:fldCharType="begin"/>
          </w:r>
          <w:r w:rsidRPr="00131EED">
            <w:rPr>
              <w:rFonts w:cs="Arial"/>
            </w:rPr>
            <w:instrText xml:space="preserve"> CITATION Uni201 \l 2058 </w:instrText>
          </w:r>
          <w:r w:rsidRPr="00131EED">
            <w:rPr>
              <w:rFonts w:cs="Arial"/>
            </w:rPr>
            <w:fldChar w:fldCharType="separate"/>
          </w:r>
          <w:r w:rsidRPr="00131EED">
            <w:rPr>
              <w:rFonts w:cs="Arial"/>
            </w:rPr>
            <w:t>(Universidad Nacional de Colombia, 2020)</w:t>
          </w:r>
          <w:r w:rsidRPr="00131EED">
            <w:rPr>
              <w:rFonts w:cs="Arial"/>
            </w:rPr>
            <w:fldChar w:fldCharType="end"/>
          </w:r>
        </w:sdtContent>
      </w:sdt>
      <w:r w:rsidRPr="00131EED">
        <w:rPr>
          <w:rFonts w:cs="Arial"/>
        </w:rPr>
        <w:t>.</w:t>
      </w:r>
    </w:p>
    <w:p w14:paraId="24464E24" w14:textId="77777777" w:rsidR="000959B9" w:rsidRPr="00131EED" w:rsidRDefault="000959B9" w:rsidP="000959B9">
      <w:pPr>
        <w:rPr>
          <w:rFonts w:cs="Arial"/>
        </w:rPr>
      </w:pPr>
    </w:p>
    <w:p w14:paraId="38307F0A" w14:textId="77777777" w:rsidR="000959B9" w:rsidRPr="00131EED" w:rsidRDefault="000959B9" w:rsidP="000959B9">
      <w:pPr>
        <w:rPr>
          <w:rFonts w:cs="Arial"/>
        </w:rPr>
      </w:pPr>
      <w:r w:rsidRPr="00131EED">
        <w:rPr>
          <w:rFonts w:cs="Arial"/>
        </w:rPr>
        <w:t>La actividad minera en la Sabana de Bogotá debe ser gestionada cuidadosamente para minimizar los impactos negativos sobre los andisoles, acuíferos, zonas arqueológicas, históricas y culturales, y llanuras de inundación. Las normativas actuales proporcionan un marco para proteger estos recursos, pero es esencial una implementación efectiva y una actualización constante para abordar los desafíos emergentes.</w:t>
      </w:r>
    </w:p>
    <w:p w14:paraId="378672CF" w14:textId="77777777" w:rsidR="000959B9" w:rsidRPr="00131EED" w:rsidRDefault="000959B9" w:rsidP="000959B9">
      <w:pPr>
        <w:rPr>
          <w:rFonts w:ascii="Baskerville" w:hAnsi="Baskerville" w:cs="Arial"/>
        </w:rPr>
      </w:pPr>
    </w:p>
    <w:p w14:paraId="3BEF3050" w14:textId="77777777" w:rsidR="000959B9" w:rsidRPr="00131EED" w:rsidRDefault="000959B9" w:rsidP="00410194">
      <w:pPr>
        <w:pStyle w:val="Heading3"/>
        <w:numPr>
          <w:ilvl w:val="2"/>
          <w:numId w:val="31"/>
        </w:numPr>
      </w:pPr>
      <w:bookmarkStart w:id="127" w:name="_Toc164763151"/>
      <w:bookmarkStart w:id="128" w:name="_Toc216468703"/>
      <w:r w:rsidRPr="00131EED">
        <w:t>Oferta y demanda minera en la Sabana de Bogotá</w:t>
      </w:r>
      <w:bookmarkEnd w:id="127"/>
      <w:bookmarkEnd w:id="128"/>
    </w:p>
    <w:p w14:paraId="621D40FB" w14:textId="77777777" w:rsidR="000959B9" w:rsidRPr="00131EED" w:rsidRDefault="000959B9" w:rsidP="000959B9">
      <w:pPr>
        <w:rPr>
          <w:rFonts w:ascii="Baskerville" w:hAnsi="Baskerville" w:cs="Arial"/>
        </w:rPr>
      </w:pPr>
    </w:p>
    <w:p w14:paraId="1752C7CF" w14:textId="77777777" w:rsidR="000959B9" w:rsidRPr="00131EED" w:rsidRDefault="000959B9" w:rsidP="000959B9">
      <w:pPr>
        <w:rPr>
          <w:rFonts w:cs="Arial"/>
        </w:rPr>
      </w:pPr>
      <w:r w:rsidRPr="00131EED">
        <w:rPr>
          <w:rFonts w:cs="Arial"/>
        </w:rPr>
        <w:t>La oferta de materiales de construcción (gravas, arenas y recebos) y minerales no metálicos (arcillas) es diversa y se ve influenciada por la geología de la región, las políticas de explotación y la demanda del sector de la construcción; en particular, para Bogotá y Cundinamarca, estos materiales son relevantes para el desarrollo de infraestructura y vivienda.</w:t>
      </w:r>
    </w:p>
    <w:p w14:paraId="5DC815E2" w14:textId="77777777" w:rsidR="000959B9" w:rsidRPr="00131EED" w:rsidRDefault="000959B9" w:rsidP="000959B9">
      <w:pPr>
        <w:rPr>
          <w:rFonts w:cs="Arial"/>
        </w:rPr>
      </w:pPr>
    </w:p>
    <w:p w14:paraId="5FFC5617" w14:textId="77777777" w:rsidR="000959B9" w:rsidRPr="00131EED" w:rsidRDefault="000959B9" w:rsidP="000959B9">
      <w:pPr>
        <w:rPr>
          <w:rFonts w:cs="Arial"/>
        </w:rPr>
      </w:pPr>
      <w:r w:rsidRPr="00131EED">
        <w:rPr>
          <w:rFonts w:cs="Arial"/>
        </w:rPr>
        <w:t>De acuerdo con la UPME (2023), la producción de gravas, arenas y recebos se concentran en determinados clústeres geográficos, donde la minería de subsistencia presenta una importante contribución a la oferta de estos materiales. En la tabla siguiente se relacionan los títulos mineros vigentes en Cundinamarca para la exploración, explotación, así como, aquellos asociados a la minería de subsistencia de los materiales de construcción y minerales no metálicos.</w:t>
      </w:r>
    </w:p>
    <w:p w14:paraId="40DF8A1B" w14:textId="77777777" w:rsidR="00684F80" w:rsidRPr="00131EED" w:rsidRDefault="00684F80" w:rsidP="000959B9">
      <w:pPr>
        <w:rPr>
          <w:rFonts w:cs="Arial"/>
        </w:rPr>
      </w:pPr>
    </w:p>
    <w:p w14:paraId="5D706239" w14:textId="77777777" w:rsidR="00684F80" w:rsidRPr="00131EED" w:rsidRDefault="00684F80" w:rsidP="000959B9">
      <w:pPr>
        <w:rPr>
          <w:rFonts w:cs="Arial"/>
        </w:rPr>
      </w:pPr>
    </w:p>
    <w:p w14:paraId="62C297CF" w14:textId="77777777" w:rsidR="00684F80" w:rsidRPr="00131EED" w:rsidRDefault="00684F80" w:rsidP="000959B9">
      <w:pPr>
        <w:rPr>
          <w:rFonts w:cs="Arial"/>
        </w:rPr>
      </w:pPr>
    </w:p>
    <w:p w14:paraId="32FB9741" w14:textId="0B56151F" w:rsidR="000959B9" w:rsidRPr="00131EED" w:rsidRDefault="000959B9" w:rsidP="00B30D41">
      <w:pPr>
        <w:pStyle w:val="Caption"/>
        <w:jc w:val="center"/>
      </w:pPr>
      <w:bookmarkStart w:id="129" w:name="_Ref161641919"/>
      <w:bookmarkStart w:id="130" w:name="_Toc164763181"/>
      <w:bookmarkStart w:id="131" w:name="_Toc216468932"/>
      <w:r w:rsidRPr="00131EED">
        <w:t xml:space="preserve">Tabla </w:t>
      </w:r>
      <w:bookmarkEnd w:id="129"/>
      <w:r w:rsidR="00D218BE" w:rsidRPr="00131EED">
        <w:fldChar w:fldCharType="begin"/>
      </w:r>
      <w:r w:rsidR="00D218BE" w:rsidRPr="00131EED">
        <w:instrText xml:space="preserve"> SEQ Tabla \* ARABIC </w:instrText>
      </w:r>
      <w:r w:rsidR="00D218BE" w:rsidRPr="00131EED">
        <w:fldChar w:fldCharType="separate"/>
      </w:r>
      <w:r w:rsidR="00CE096F">
        <w:rPr>
          <w:noProof/>
        </w:rPr>
        <w:t>22</w:t>
      </w:r>
      <w:r w:rsidR="00D218BE" w:rsidRPr="00131EED">
        <w:fldChar w:fldCharType="end"/>
      </w:r>
      <w:r w:rsidRPr="00131EED">
        <w:t xml:space="preserve"> Títulos mineros en Cundinamarca.</w:t>
      </w:r>
      <w:bookmarkEnd w:id="130"/>
      <w:bookmarkEnd w:id="131"/>
    </w:p>
    <w:tbl>
      <w:tblPr>
        <w:tblStyle w:val="TableGrid"/>
        <w:tblW w:w="7643" w:type="dxa"/>
        <w:jc w:val="center"/>
        <w:tblLook w:val="0420" w:firstRow="1" w:lastRow="0" w:firstColumn="0" w:lastColumn="0" w:noHBand="0" w:noVBand="1"/>
      </w:tblPr>
      <w:tblGrid>
        <w:gridCol w:w="1684"/>
        <w:gridCol w:w="1997"/>
        <w:gridCol w:w="1981"/>
        <w:gridCol w:w="1981"/>
      </w:tblGrid>
      <w:tr w:rsidR="000959B9" w:rsidRPr="00131EED" w14:paraId="696FD83F" w14:textId="77777777" w:rsidTr="00053167">
        <w:trPr>
          <w:jc w:val="center"/>
        </w:trPr>
        <w:tc>
          <w:tcPr>
            <w:tcW w:w="1684" w:type="dxa"/>
            <w:vAlign w:val="center"/>
            <w:hideMark/>
          </w:tcPr>
          <w:p w14:paraId="78E658AC" w14:textId="77777777" w:rsidR="000959B9" w:rsidRPr="00131EED" w:rsidRDefault="000959B9" w:rsidP="00B60DA2">
            <w:pPr>
              <w:rPr>
                <w:b/>
                <w:color w:val="0D0D0D"/>
                <w:sz w:val="20"/>
                <w:szCs w:val="20"/>
                <w:lang w:eastAsia="es-CO"/>
              </w:rPr>
            </w:pPr>
            <w:r w:rsidRPr="00131EED">
              <w:rPr>
                <w:b/>
                <w:color w:val="0D0D0D"/>
                <w:sz w:val="20"/>
                <w:szCs w:val="20"/>
                <w:lang w:eastAsia="es-CO"/>
              </w:rPr>
              <w:t>Material</w:t>
            </w:r>
          </w:p>
        </w:tc>
        <w:tc>
          <w:tcPr>
            <w:tcW w:w="1997" w:type="dxa"/>
            <w:vAlign w:val="center"/>
            <w:hideMark/>
          </w:tcPr>
          <w:p w14:paraId="37E4CA4D" w14:textId="77777777" w:rsidR="000959B9" w:rsidRPr="00131EED" w:rsidRDefault="000959B9" w:rsidP="002B5240">
            <w:pPr>
              <w:jc w:val="center"/>
              <w:rPr>
                <w:b/>
                <w:color w:val="0D0D0D"/>
                <w:sz w:val="20"/>
                <w:szCs w:val="20"/>
                <w:lang w:eastAsia="es-CO"/>
              </w:rPr>
            </w:pPr>
            <w:r w:rsidRPr="00131EED">
              <w:rPr>
                <w:b/>
                <w:color w:val="0D0D0D"/>
                <w:sz w:val="20"/>
                <w:szCs w:val="20"/>
                <w:lang w:eastAsia="es-CO"/>
              </w:rPr>
              <w:t>Exploración</w:t>
            </w:r>
          </w:p>
        </w:tc>
        <w:tc>
          <w:tcPr>
            <w:tcW w:w="1981" w:type="dxa"/>
            <w:vAlign w:val="center"/>
            <w:hideMark/>
          </w:tcPr>
          <w:p w14:paraId="5F31C3B6" w14:textId="77777777" w:rsidR="000959B9" w:rsidRPr="00131EED" w:rsidRDefault="000959B9" w:rsidP="002B5240">
            <w:pPr>
              <w:jc w:val="center"/>
              <w:rPr>
                <w:b/>
                <w:color w:val="0D0D0D"/>
                <w:sz w:val="20"/>
                <w:szCs w:val="20"/>
                <w:lang w:eastAsia="es-CO"/>
              </w:rPr>
            </w:pPr>
            <w:r w:rsidRPr="00131EED">
              <w:rPr>
                <w:b/>
                <w:color w:val="0D0D0D"/>
                <w:sz w:val="20"/>
                <w:szCs w:val="20"/>
                <w:lang w:eastAsia="es-CO"/>
              </w:rPr>
              <w:t>Explotación</w:t>
            </w:r>
          </w:p>
        </w:tc>
        <w:tc>
          <w:tcPr>
            <w:tcW w:w="1981" w:type="dxa"/>
            <w:vAlign w:val="center"/>
          </w:tcPr>
          <w:p w14:paraId="132E11DC" w14:textId="77777777" w:rsidR="000959B9" w:rsidRPr="00131EED" w:rsidRDefault="000959B9" w:rsidP="002B5240">
            <w:pPr>
              <w:jc w:val="center"/>
              <w:rPr>
                <w:b/>
                <w:color w:val="0D0D0D"/>
                <w:sz w:val="20"/>
                <w:szCs w:val="20"/>
                <w:lang w:eastAsia="es-CO"/>
              </w:rPr>
            </w:pPr>
            <w:r w:rsidRPr="00131EED">
              <w:rPr>
                <w:b/>
                <w:color w:val="0D0D0D"/>
                <w:sz w:val="20"/>
                <w:szCs w:val="20"/>
                <w:lang w:eastAsia="es-CO"/>
              </w:rPr>
              <w:t>Minería de subsistencia</w:t>
            </w:r>
          </w:p>
        </w:tc>
      </w:tr>
      <w:tr w:rsidR="000959B9" w:rsidRPr="00131EED" w14:paraId="0ACC25EC" w14:textId="77777777" w:rsidTr="00053167">
        <w:trPr>
          <w:jc w:val="center"/>
        </w:trPr>
        <w:tc>
          <w:tcPr>
            <w:tcW w:w="1684" w:type="dxa"/>
            <w:vAlign w:val="center"/>
            <w:hideMark/>
          </w:tcPr>
          <w:p w14:paraId="02C7D2FD" w14:textId="77777777" w:rsidR="000959B9" w:rsidRPr="00131EED" w:rsidRDefault="000959B9" w:rsidP="00B60DA2">
            <w:pPr>
              <w:rPr>
                <w:color w:val="0D0D0D"/>
                <w:sz w:val="20"/>
                <w:szCs w:val="20"/>
                <w:lang w:eastAsia="es-CO"/>
              </w:rPr>
            </w:pPr>
            <w:r w:rsidRPr="00131EED">
              <w:rPr>
                <w:color w:val="0D0D0D"/>
                <w:sz w:val="20"/>
                <w:szCs w:val="20"/>
                <w:lang w:eastAsia="es-CO"/>
              </w:rPr>
              <w:t>Gravas</w:t>
            </w:r>
          </w:p>
        </w:tc>
        <w:tc>
          <w:tcPr>
            <w:tcW w:w="1997" w:type="dxa"/>
            <w:vAlign w:val="center"/>
            <w:hideMark/>
          </w:tcPr>
          <w:p w14:paraId="46F5EF2E" w14:textId="77777777" w:rsidR="000959B9" w:rsidRPr="00131EED" w:rsidRDefault="000959B9" w:rsidP="002B5240">
            <w:pPr>
              <w:jc w:val="center"/>
              <w:rPr>
                <w:color w:val="0D0D0D"/>
                <w:sz w:val="20"/>
                <w:szCs w:val="20"/>
                <w:lang w:eastAsia="es-CO"/>
              </w:rPr>
            </w:pPr>
            <w:r w:rsidRPr="00131EED">
              <w:rPr>
                <w:color w:val="0D0D0D"/>
                <w:sz w:val="20"/>
                <w:szCs w:val="20"/>
                <w:lang w:eastAsia="es-CO"/>
              </w:rPr>
              <w:t>29</w:t>
            </w:r>
          </w:p>
        </w:tc>
        <w:tc>
          <w:tcPr>
            <w:tcW w:w="1981" w:type="dxa"/>
            <w:vAlign w:val="center"/>
            <w:hideMark/>
          </w:tcPr>
          <w:p w14:paraId="63E58530" w14:textId="77777777" w:rsidR="000959B9" w:rsidRPr="00131EED" w:rsidRDefault="000959B9" w:rsidP="002B5240">
            <w:pPr>
              <w:jc w:val="center"/>
              <w:rPr>
                <w:color w:val="0D0D0D"/>
                <w:sz w:val="20"/>
                <w:szCs w:val="20"/>
                <w:lang w:eastAsia="es-CO"/>
              </w:rPr>
            </w:pPr>
            <w:r w:rsidRPr="00131EED">
              <w:rPr>
                <w:color w:val="0D0D0D"/>
                <w:sz w:val="20"/>
                <w:szCs w:val="20"/>
                <w:lang w:eastAsia="es-CO"/>
              </w:rPr>
              <w:t>154</w:t>
            </w:r>
          </w:p>
        </w:tc>
        <w:tc>
          <w:tcPr>
            <w:tcW w:w="1981" w:type="dxa"/>
            <w:vAlign w:val="center"/>
          </w:tcPr>
          <w:p w14:paraId="77336C3C" w14:textId="77777777" w:rsidR="000959B9" w:rsidRPr="00131EED" w:rsidRDefault="000959B9" w:rsidP="002B5240">
            <w:pPr>
              <w:jc w:val="center"/>
              <w:rPr>
                <w:color w:val="0D0D0D"/>
                <w:sz w:val="20"/>
                <w:szCs w:val="20"/>
                <w:lang w:eastAsia="es-CO"/>
              </w:rPr>
            </w:pPr>
            <w:r w:rsidRPr="00131EED">
              <w:rPr>
                <w:color w:val="0D0D0D"/>
                <w:sz w:val="20"/>
                <w:szCs w:val="20"/>
                <w:lang w:eastAsia="es-CO"/>
              </w:rPr>
              <w:t>44</w:t>
            </w:r>
          </w:p>
        </w:tc>
      </w:tr>
      <w:tr w:rsidR="000959B9" w:rsidRPr="00131EED" w14:paraId="7E9B5351" w14:textId="77777777" w:rsidTr="00053167">
        <w:trPr>
          <w:jc w:val="center"/>
        </w:trPr>
        <w:tc>
          <w:tcPr>
            <w:tcW w:w="1684" w:type="dxa"/>
            <w:vAlign w:val="center"/>
            <w:hideMark/>
          </w:tcPr>
          <w:p w14:paraId="54D78668" w14:textId="77777777" w:rsidR="000959B9" w:rsidRPr="00131EED" w:rsidRDefault="000959B9" w:rsidP="00B60DA2">
            <w:pPr>
              <w:rPr>
                <w:color w:val="0D0D0D"/>
                <w:sz w:val="20"/>
                <w:szCs w:val="20"/>
                <w:lang w:eastAsia="es-CO"/>
              </w:rPr>
            </w:pPr>
            <w:r w:rsidRPr="00131EED">
              <w:rPr>
                <w:color w:val="0D0D0D"/>
                <w:sz w:val="20"/>
                <w:szCs w:val="20"/>
                <w:lang w:eastAsia="es-CO"/>
              </w:rPr>
              <w:t>Arenas</w:t>
            </w:r>
          </w:p>
        </w:tc>
        <w:tc>
          <w:tcPr>
            <w:tcW w:w="1997" w:type="dxa"/>
            <w:vAlign w:val="center"/>
            <w:hideMark/>
          </w:tcPr>
          <w:p w14:paraId="6B4C1C0B" w14:textId="77777777" w:rsidR="000959B9" w:rsidRPr="00131EED" w:rsidRDefault="000959B9" w:rsidP="002B5240">
            <w:pPr>
              <w:jc w:val="center"/>
              <w:rPr>
                <w:color w:val="0D0D0D"/>
                <w:sz w:val="20"/>
                <w:szCs w:val="20"/>
                <w:lang w:eastAsia="es-CO"/>
              </w:rPr>
            </w:pPr>
            <w:r w:rsidRPr="00131EED">
              <w:rPr>
                <w:color w:val="0D0D0D"/>
                <w:sz w:val="20"/>
                <w:szCs w:val="20"/>
                <w:lang w:eastAsia="es-CO"/>
              </w:rPr>
              <w:t>28</w:t>
            </w:r>
          </w:p>
        </w:tc>
        <w:tc>
          <w:tcPr>
            <w:tcW w:w="1981" w:type="dxa"/>
            <w:vAlign w:val="center"/>
            <w:hideMark/>
          </w:tcPr>
          <w:p w14:paraId="61DCD126" w14:textId="77777777" w:rsidR="000959B9" w:rsidRPr="00131EED" w:rsidRDefault="000959B9" w:rsidP="002B5240">
            <w:pPr>
              <w:jc w:val="center"/>
              <w:rPr>
                <w:color w:val="0D0D0D"/>
                <w:sz w:val="20"/>
                <w:szCs w:val="20"/>
                <w:lang w:eastAsia="es-CO"/>
              </w:rPr>
            </w:pPr>
            <w:r w:rsidRPr="00131EED">
              <w:rPr>
                <w:color w:val="0D0D0D"/>
                <w:sz w:val="20"/>
                <w:szCs w:val="20"/>
                <w:lang w:eastAsia="es-CO"/>
              </w:rPr>
              <w:t>157</w:t>
            </w:r>
          </w:p>
        </w:tc>
        <w:tc>
          <w:tcPr>
            <w:tcW w:w="1981" w:type="dxa"/>
            <w:vAlign w:val="center"/>
          </w:tcPr>
          <w:p w14:paraId="6F508215" w14:textId="77777777" w:rsidR="000959B9" w:rsidRPr="00131EED" w:rsidRDefault="000959B9" w:rsidP="002B5240">
            <w:pPr>
              <w:jc w:val="center"/>
              <w:rPr>
                <w:color w:val="0D0D0D"/>
                <w:sz w:val="20"/>
                <w:szCs w:val="20"/>
                <w:lang w:eastAsia="es-CO"/>
              </w:rPr>
            </w:pPr>
            <w:r w:rsidRPr="00131EED">
              <w:rPr>
                <w:color w:val="0D0D0D"/>
                <w:sz w:val="20"/>
                <w:szCs w:val="20"/>
                <w:lang w:eastAsia="es-CO"/>
              </w:rPr>
              <w:t>102</w:t>
            </w:r>
          </w:p>
        </w:tc>
      </w:tr>
      <w:tr w:rsidR="000959B9" w:rsidRPr="00131EED" w14:paraId="2DF0C406" w14:textId="77777777" w:rsidTr="00053167">
        <w:trPr>
          <w:jc w:val="center"/>
        </w:trPr>
        <w:tc>
          <w:tcPr>
            <w:tcW w:w="1684" w:type="dxa"/>
            <w:vAlign w:val="center"/>
            <w:hideMark/>
          </w:tcPr>
          <w:p w14:paraId="27D835A6" w14:textId="77777777" w:rsidR="000959B9" w:rsidRPr="00131EED" w:rsidRDefault="000959B9" w:rsidP="00B60DA2">
            <w:pPr>
              <w:rPr>
                <w:color w:val="0D0D0D"/>
                <w:sz w:val="20"/>
                <w:szCs w:val="20"/>
                <w:lang w:eastAsia="es-CO"/>
              </w:rPr>
            </w:pPr>
            <w:r w:rsidRPr="00131EED">
              <w:rPr>
                <w:color w:val="0D0D0D"/>
                <w:sz w:val="20"/>
                <w:szCs w:val="20"/>
                <w:lang w:eastAsia="es-CO"/>
              </w:rPr>
              <w:t>Recebos</w:t>
            </w:r>
          </w:p>
        </w:tc>
        <w:tc>
          <w:tcPr>
            <w:tcW w:w="1997" w:type="dxa"/>
            <w:vAlign w:val="center"/>
            <w:hideMark/>
          </w:tcPr>
          <w:p w14:paraId="2C8EF873" w14:textId="77777777" w:rsidR="000959B9" w:rsidRPr="00131EED" w:rsidRDefault="000959B9" w:rsidP="002B5240">
            <w:pPr>
              <w:jc w:val="center"/>
              <w:rPr>
                <w:color w:val="0D0D0D"/>
                <w:sz w:val="20"/>
                <w:szCs w:val="20"/>
                <w:lang w:eastAsia="es-CO"/>
              </w:rPr>
            </w:pPr>
            <w:r w:rsidRPr="00131EED">
              <w:rPr>
                <w:color w:val="0D0D0D"/>
                <w:sz w:val="20"/>
                <w:szCs w:val="20"/>
                <w:lang w:eastAsia="es-CO"/>
              </w:rPr>
              <w:t>27</w:t>
            </w:r>
          </w:p>
        </w:tc>
        <w:tc>
          <w:tcPr>
            <w:tcW w:w="1981" w:type="dxa"/>
            <w:vAlign w:val="center"/>
            <w:hideMark/>
          </w:tcPr>
          <w:p w14:paraId="03DE10C6" w14:textId="77777777" w:rsidR="000959B9" w:rsidRPr="00131EED" w:rsidRDefault="000959B9" w:rsidP="002B5240">
            <w:pPr>
              <w:jc w:val="center"/>
              <w:rPr>
                <w:color w:val="0D0D0D"/>
                <w:sz w:val="20"/>
                <w:szCs w:val="20"/>
                <w:lang w:eastAsia="es-CO"/>
              </w:rPr>
            </w:pPr>
            <w:r w:rsidRPr="00131EED">
              <w:rPr>
                <w:color w:val="0D0D0D"/>
                <w:sz w:val="20"/>
                <w:szCs w:val="20"/>
                <w:lang w:eastAsia="es-CO"/>
              </w:rPr>
              <w:t>116</w:t>
            </w:r>
          </w:p>
        </w:tc>
        <w:tc>
          <w:tcPr>
            <w:tcW w:w="1981" w:type="dxa"/>
            <w:vAlign w:val="center"/>
          </w:tcPr>
          <w:p w14:paraId="793629DC" w14:textId="77777777" w:rsidR="000959B9" w:rsidRPr="00131EED" w:rsidRDefault="000959B9" w:rsidP="002B5240">
            <w:pPr>
              <w:jc w:val="center"/>
              <w:rPr>
                <w:color w:val="0D0D0D"/>
                <w:sz w:val="20"/>
                <w:szCs w:val="20"/>
                <w:lang w:eastAsia="es-CO"/>
              </w:rPr>
            </w:pPr>
            <w:r w:rsidRPr="00131EED">
              <w:rPr>
                <w:color w:val="0D0D0D"/>
                <w:sz w:val="20"/>
                <w:szCs w:val="20"/>
                <w:lang w:eastAsia="es-CO"/>
              </w:rPr>
              <w:t>N.E.</w:t>
            </w:r>
          </w:p>
        </w:tc>
      </w:tr>
      <w:tr w:rsidR="000959B9" w:rsidRPr="00131EED" w14:paraId="75AA9DF8" w14:textId="77777777" w:rsidTr="00053167">
        <w:trPr>
          <w:jc w:val="center"/>
        </w:trPr>
        <w:tc>
          <w:tcPr>
            <w:tcW w:w="1684" w:type="dxa"/>
            <w:vAlign w:val="center"/>
            <w:hideMark/>
          </w:tcPr>
          <w:p w14:paraId="089CF1A0" w14:textId="77777777" w:rsidR="000959B9" w:rsidRPr="00131EED" w:rsidRDefault="000959B9" w:rsidP="00B60DA2">
            <w:pPr>
              <w:rPr>
                <w:color w:val="0D0D0D"/>
                <w:sz w:val="20"/>
                <w:szCs w:val="20"/>
                <w:lang w:eastAsia="es-CO"/>
              </w:rPr>
            </w:pPr>
            <w:r w:rsidRPr="00131EED">
              <w:rPr>
                <w:color w:val="0D0D0D"/>
                <w:sz w:val="20"/>
                <w:szCs w:val="20"/>
                <w:lang w:eastAsia="es-CO"/>
              </w:rPr>
              <w:t>Arcillas</w:t>
            </w:r>
          </w:p>
        </w:tc>
        <w:tc>
          <w:tcPr>
            <w:tcW w:w="1997" w:type="dxa"/>
            <w:vAlign w:val="center"/>
            <w:hideMark/>
          </w:tcPr>
          <w:p w14:paraId="07EE39A1" w14:textId="77777777" w:rsidR="000959B9" w:rsidRPr="00131EED" w:rsidRDefault="000959B9" w:rsidP="002B5240">
            <w:pPr>
              <w:jc w:val="center"/>
              <w:rPr>
                <w:color w:val="0D0D0D"/>
                <w:sz w:val="20"/>
                <w:szCs w:val="20"/>
                <w:lang w:eastAsia="es-CO"/>
              </w:rPr>
            </w:pPr>
            <w:r w:rsidRPr="00131EED">
              <w:rPr>
                <w:color w:val="0D0D0D"/>
                <w:sz w:val="20"/>
                <w:szCs w:val="20"/>
                <w:lang w:eastAsia="es-CO"/>
              </w:rPr>
              <w:t>8</w:t>
            </w:r>
          </w:p>
        </w:tc>
        <w:tc>
          <w:tcPr>
            <w:tcW w:w="1981" w:type="dxa"/>
            <w:vAlign w:val="center"/>
            <w:hideMark/>
          </w:tcPr>
          <w:p w14:paraId="5925994C" w14:textId="77777777" w:rsidR="000959B9" w:rsidRPr="00131EED" w:rsidRDefault="000959B9" w:rsidP="002B5240">
            <w:pPr>
              <w:jc w:val="center"/>
              <w:rPr>
                <w:color w:val="0D0D0D"/>
                <w:sz w:val="20"/>
                <w:szCs w:val="20"/>
                <w:lang w:eastAsia="es-CO"/>
              </w:rPr>
            </w:pPr>
            <w:r w:rsidRPr="00131EED">
              <w:rPr>
                <w:color w:val="0D0D0D"/>
                <w:sz w:val="20"/>
                <w:szCs w:val="20"/>
                <w:lang w:eastAsia="es-CO"/>
              </w:rPr>
              <w:t>98</w:t>
            </w:r>
          </w:p>
        </w:tc>
        <w:tc>
          <w:tcPr>
            <w:tcW w:w="1981" w:type="dxa"/>
            <w:vAlign w:val="center"/>
          </w:tcPr>
          <w:p w14:paraId="1276E136" w14:textId="77777777" w:rsidR="000959B9" w:rsidRPr="00131EED" w:rsidRDefault="000959B9" w:rsidP="002B5240">
            <w:pPr>
              <w:jc w:val="center"/>
              <w:rPr>
                <w:color w:val="0D0D0D"/>
                <w:sz w:val="20"/>
                <w:szCs w:val="20"/>
                <w:lang w:eastAsia="es-CO"/>
              </w:rPr>
            </w:pPr>
            <w:r w:rsidRPr="00131EED">
              <w:rPr>
                <w:color w:val="0D0D0D"/>
                <w:sz w:val="20"/>
                <w:szCs w:val="20"/>
                <w:lang w:eastAsia="es-CO"/>
              </w:rPr>
              <w:t>60</w:t>
            </w:r>
          </w:p>
        </w:tc>
      </w:tr>
    </w:tbl>
    <w:p w14:paraId="2D7B2CA1" w14:textId="77777777" w:rsidR="000959B9" w:rsidRPr="00131EED" w:rsidRDefault="000959B9" w:rsidP="000959B9">
      <w:pPr>
        <w:jc w:val="center"/>
        <w:rPr>
          <w:rFonts w:cs="Arial"/>
          <w:sz w:val="20"/>
          <w:szCs w:val="20"/>
        </w:rPr>
      </w:pPr>
      <w:r w:rsidRPr="00131EED">
        <w:rPr>
          <w:rFonts w:cs="Arial"/>
          <w:sz w:val="20"/>
          <w:szCs w:val="20"/>
        </w:rPr>
        <w:t>N.E.: No Especifica</w:t>
      </w:r>
    </w:p>
    <w:p w14:paraId="696BE7F0" w14:textId="77777777" w:rsidR="000959B9" w:rsidRPr="00131EED" w:rsidRDefault="000959B9" w:rsidP="000959B9">
      <w:pPr>
        <w:jc w:val="center"/>
        <w:rPr>
          <w:rFonts w:cs="Arial"/>
          <w:sz w:val="20"/>
          <w:szCs w:val="20"/>
        </w:rPr>
      </w:pPr>
      <w:r w:rsidRPr="00131EED">
        <w:rPr>
          <w:rFonts w:cs="Arial"/>
          <w:sz w:val="20"/>
          <w:szCs w:val="20"/>
        </w:rPr>
        <w:t>Fuente: UPME, 2023</w:t>
      </w:r>
    </w:p>
    <w:p w14:paraId="6CF8439E" w14:textId="77777777" w:rsidR="00684F80" w:rsidRPr="00131EED" w:rsidRDefault="00684F80" w:rsidP="000959B9">
      <w:pPr>
        <w:rPr>
          <w:rFonts w:cs="Arial"/>
        </w:rPr>
      </w:pPr>
    </w:p>
    <w:p w14:paraId="08518DD3" w14:textId="77777777" w:rsidR="000959B9" w:rsidRPr="00131EED" w:rsidRDefault="000959B9" w:rsidP="000959B9">
      <w:pPr>
        <w:rPr>
          <w:rFonts w:cs="Arial"/>
        </w:rPr>
      </w:pPr>
      <w:r w:rsidRPr="00131EED">
        <w:rPr>
          <w:rFonts w:cs="Arial"/>
        </w:rPr>
        <w:t xml:space="preserve">Se observa que, la región cuenta con una industria minera activa y diversa que desempeña un rol relevante en el suministro de materiales esenciales para la construcción y la industria cerámica. En términos de exploración y explotación, las gravas y arenas presentan la mayor actividad. Las cifras indican una base establecida de operaciones de extracción, junto con un interés importante en la identificación de nuevos yacimientos. La participación significativa de la minería de subsistencia en la extracción de arenas destaca su prevalencia y el papel que juega en el sustento de comunidades locales y el suministro a pequeña escala. </w:t>
      </w:r>
    </w:p>
    <w:p w14:paraId="3BBA8463" w14:textId="77777777" w:rsidR="000959B9" w:rsidRPr="00131EED" w:rsidRDefault="000959B9" w:rsidP="000959B9">
      <w:pPr>
        <w:rPr>
          <w:rFonts w:cs="Arial"/>
        </w:rPr>
      </w:pPr>
    </w:p>
    <w:p w14:paraId="7D758E4C" w14:textId="77777777" w:rsidR="000959B9" w:rsidRPr="00131EED" w:rsidRDefault="000959B9" w:rsidP="000959B9">
      <w:pPr>
        <w:rPr>
          <w:rFonts w:cs="Arial"/>
        </w:rPr>
      </w:pPr>
      <w:r w:rsidRPr="00131EED">
        <w:rPr>
          <w:rFonts w:cs="Arial"/>
        </w:rPr>
        <w:t xml:space="preserve">Por su parte, los recebos muestran una actividad sólida en exploración y explotación, lo que evidencia su demanda en proyectos de construcción, particularmente en aplicaciones de cimentación y relleno. Mientras que, la arcilla, con menos títulos de exploración, pero una presencia fuerte en la explotación y la minería de subsistencia enfatiza su rol en la fabricación de productos cerámicos como ladrillos y tejas. </w:t>
      </w:r>
    </w:p>
    <w:p w14:paraId="21E0ECA0" w14:textId="77777777" w:rsidR="000959B9" w:rsidRPr="00131EED" w:rsidRDefault="000959B9" w:rsidP="000959B9">
      <w:pPr>
        <w:rPr>
          <w:rFonts w:cs="Arial"/>
        </w:rPr>
      </w:pPr>
    </w:p>
    <w:p w14:paraId="4CE28912" w14:textId="77777777" w:rsidR="000959B9" w:rsidRPr="00131EED" w:rsidRDefault="000959B9" w:rsidP="000959B9">
      <w:pPr>
        <w:rPr>
          <w:rFonts w:cs="Arial"/>
        </w:rPr>
      </w:pPr>
      <w:r w:rsidRPr="00131EED">
        <w:rPr>
          <w:rFonts w:cs="Arial"/>
        </w:rPr>
        <w:t>Ahora bien, en la siguiente tabla se muestra la producción total de cada material para el periodo 2016 – 2022 en Cundinamarca y el área de influencia de Bogotá que varía de acuerdo con los clústeres definidos por la UPME.</w:t>
      </w:r>
    </w:p>
    <w:p w14:paraId="29B1544D" w14:textId="77777777" w:rsidR="000959B9" w:rsidRPr="00131EED" w:rsidRDefault="000959B9" w:rsidP="000959B9">
      <w:pPr>
        <w:rPr>
          <w:rFonts w:ascii="Baskerville" w:hAnsi="Baskerville" w:cs="Arial"/>
        </w:rPr>
      </w:pPr>
    </w:p>
    <w:p w14:paraId="12FBE2DF" w14:textId="4DC1DF93" w:rsidR="000959B9" w:rsidRPr="00131EED" w:rsidRDefault="000959B9" w:rsidP="00684F80">
      <w:pPr>
        <w:pStyle w:val="Caption"/>
        <w:jc w:val="center"/>
      </w:pPr>
      <w:bookmarkStart w:id="132" w:name="_Toc216468933"/>
      <w:r w:rsidRPr="00131EED">
        <w:t xml:space="preserve">Tabla </w:t>
      </w:r>
      <w:r w:rsidRPr="00131EED">
        <w:fldChar w:fldCharType="begin"/>
      </w:r>
      <w:r w:rsidRPr="00131EED">
        <w:instrText>SEQ Tabla \* ARABIC</w:instrText>
      </w:r>
      <w:r w:rsidRPr="00131EED">
        <w:fldChar w:fldCharType="separate"/>
      </w:r>
      <w:r w:rsidR="00CE096F">
        <w:rPr>
          <w:noProof/>
        </w:rPr>
        <w:t>23</w:t>
      </w:r>
      <w:r w:rsidRPr="00131EED">
        <w:fldChar w:fldCharType="end"/>
      </w:r>
      <w:r w:rsidRPr="00131EED">
        <w:t>. Producción total por material para el periodo 2016 – 2022</w:t>
      </w:r>
      <w:bookmarkEnd w:id="132"/>
    </w:p>
    <w:tbl>
      <w:tblPr>
        <w:tblStyle w:val="TableGrid"/>
        <w:tblW w:w="5000" w:type="pct"/>
        <w:tblLook w:val="04A0" w:firstRow="1" w:lastRow="0" w:firstColumn="1" w:lastColumn="0" w:noHBand="0" w:noVBand="1"/>
      </w:tblPr>
      <w:tblGrid>
        <w:gridCol w:w="1126"/>
        <w:gridCol w:w="2128"/>
        <w:gridCol w:w="1561"/>
        <w:gridCol w:w="4013"/>
      </w:tblGrid>
      <w:tr w:rsidR="000959B9" w:rsidRPr="00131EED" w14:paraId="26C9B929" w14:textId="77777777" w:rsidTr="00053167">
        <w:trPr>
          <w:tblHeader/>
        </w:trPr>
        <w:tc>
          <w:tcPr>
            <w:tcW w:w="638" w:type="pct"/>
            <w:vAlign w:val="center"/>
            <w:hideMark/>
          </w:tcPr>
          <w:p w14:paraId="643B30C5" w14:textId="77777777" w:rsidR="000959B9" w:rsidRPr="00131EED" w:rsidRDefault="000959B9" w:rsidP="00B60DA2">
            <w:pPr>
              <w:rPr>
                <w:b/>
                <w:color w:val="0D0D0D"/>
                <w:sz w:val="20"/>
                <w:szCs w:val="20"/>
                <w:lang w:eastAsia="es-CO"/>
              </w:rPr>
            </w:pPr>
            <w:r w:rsidRPr="00131EED">
              <w:rPr>
                <w:b/>
                <w:color w:val="0D0D0D"/>
                <w:sz w:val="20"/>
                <w:szCs w:val="20"/>
                <w:lang w:eastAsia="es-CO"/>
              </w:rPr>
              <w:t>Material</w:t>
            </w:r>
          </w:p>
        </w:tc>
        <w:tc>
          <w:tcPr>
            <w:tcW w:w="1205" w:type="pct"/>
            <w:vAlign w:val="center"/>
            <w:hideMark/>
          </w:tcPr>
          <w:p w14:paraId="4DCAD267" w14:textId="77777777" w:rsidR="000959B9" w:rsidRPr="00131EED" w:rsidRDefault="000959B9" w:rsidP="00B60DA2">
            <w:pPr>
              <w:rPr>
                <w:b/>
                <w:color w:val="0D0D0D"/>
                <w:sz w:val="20"/>
                <w:szCs w:val="20"/>
                <w:lang w:eastAsia="es-CO"/>
              </w:rPr>
            </w:pPr>
            <w:r w:rsidRPr="00131EED">
              <w:rPr>
                <w:b/>
                <w:color w:val="0D0D0D"/>
                <w:sz w:val="20"/>
                <w:szCs w:val="20"/>
                <w:lang w:eastAsia="es-CO"/>
              </w:rPr>
              <w:t>Producción total en Cundinamarca</w:t>
            </w:r>
          </w:p>
        </w:tc>
        <w:tc>
          <w:tcPr>
            <w:tcW w:w="3156" w:type="pct"/>
            <w:gridSpan w:val="2"/>
            <w:vAlign w:val="center"/>
          </w:tcPr>
          <w:p w14:paraId="78F69547" w14:textId="77777777" w:rsidR="000959B9" w:rsidRPr="00131EED" w:rsidRDefault="000959B9" w:rsidP="00B60DA2">
            <w:pPr>
              <w:rPr>
                <w:b/>
                <w:color w:val="0D0D0D"/>
                <w:sz w:val="20"/>
                <w:szCs w:val="20"/>
                <w:lang w:eastAsia="es-CO"/>
              </w:rPr>
            </w:pPr>
            <w:r w:rsidRPr="00131EED">
              <w:rPr>
                <w:b/>
                <w:color w:val="0D0D0D"/>
                <w:sz w:val="20"/>
                <w:szCs w:val="20"/>
                <w:lang w:eastAsia="es-CO"/>
              </w:rPr>
              <w:t>Producción total área de influencia de Bogotá</w:t>
            </w:r>
          </w:p>
        </w:tc>
      </w:tr>
      <w:tr w:rsidR="000959B9" w:rsidRPr="00131EED" w14:paraId="6EA82561" w14:textId="77777777" w:rsidTr="00053167">
        <w:tc>
          <w:tcPr>
            <w:tcW w:w="638" w:type="pct"/>
            <w:vAlign w:val="center"/>
            <w:hideMark/>
          </w:tcPr>
          <w:p w14:paraId="23D110D2" w14:textId="77777777" w:rsidR="000959B9" w:rsidRPr="00131EED" w:rsidRDefault="000959B9" w:rsidP="00B60DA2">
            <w:pPr>
              <w:rPr>
                <w:color w:val="0D0D0D"/>
                <w:sz w:val="20"/>
                <w:szCs w:val="20"/>
                <w:lang w:eastAsia="es-CO"/>
              </w:rPr>
            </w:pPr>
            <w:r w:rsidRPr="00131EED">
              <w:rPr>
                <w:color w:val="0D0D0D"/>
                <w:sz w:val="20"/>
                <w:szCs w:val="20"/>
                <w:lang w:eastAsia="es-CO"/>
              </w:rPr>
              <w:t>Gravas</w:t>
            </w:r>
          </w:p>
        </w:tc>
        <w:tc>
          <w:tcPr>
            <w:tcW w:w="1205" w:type="pct"/>
            <w:vAlign w:val="center"/>
            <w:hideMark/>
          </w:tcPr>
          <w:p w14:paraId="267F013D" w14:textId="77777777" w:rsidR="000959B9" w:rsidRPr="00131EED" w:rsidRDefault="000959B9" w:rsidP="00B60DA2">
            <w:pPr>
              <w:rPr>
                <w:color w:val="0D0D0D"/>
                <w:sz w:val="20"/>
                <w:szCs w:val="20"/>
                <w:lang w:eastAsia="es-CO"/>
              </w:rPr>
            </w:pPr>
            <w:r w:rsidRPr="00131EED">
              <w:rPr>
                <w:color w:val="0D0D0D"/>
                <w:sz w:val="20"/>
                <w:szCs w:val="20"/>
                <w:lang w:eastAsia="es-CO"/>
              </w:rPr>
              <w:t>10501398 m³</w:t>
            </w:r>
          </w:p>
        </w:tc>
        <w:tc>
          <w:tcPr>
            <w:tcW w:w="884" w:type="pct"/>
            <w:vAlign w:val="center"/>
          </w:tcPr>
          <w:p w14:paraId="715F366E" w14:textId="77777777" w:rsidR="000959B9" w:rsidRPr="00131EED" w:rsidRDefault="000959B9" w:rsidP="00B60DA2">
            <w:pPr>
              <w:rPr>
                <w:color w:val="0D0D0D"/>
                <w:sz w:val="20"/>
                <w:szCs w:val="20"/>
                <w:lang w:eastAsia="es-CO"/>
              </w:rPr>
            </w:pPr>
            <w:r w:rsidRPr="00131EED">
              <w:rPr>
                <w:color w:val="0D0D0D"/>
                <w:sz w:val="20"/>
                <w:szCs w:val="20"/>
                <w:lang w:eastAsia="es-CO"/>
              </w:rPr>
              <w:t>9209182 m</w:t>
            </w:r>
            <w:r w:rsidRPr="00131EED">
              <w:rPr>
                <w:color w:val="0D0D0D"/>
                <w:sz w:val="20"/>
                <w:szCs w:val="20"/>
                <w:vertAlign w:val="superscript"/>
                <w:lang w:eastAsia="es-CO"/>
              </w:rPr>
              <w:t>3</w:t>
            </w:r>
          </w:p>
        </w:tc>
        <w:tc>
          <w:tcPr>
            <w:tcW w:w="2273" w:type="pct"/>
          </w:tcPr>
          <w:p w14:paraId="6CB81FC8" w14:textId="77777777" w:rsidR="000959B9" w:rsidRPr="00131EED" w:rsidRDefault="000959B9" w:rsidP="00B60DA2">
            <w:pPr>
              <w:rPr>
                <w:color w:val="0D0D0D"/>
                <w:sz w:val="20"/>
                <w:szCs w:val="20"/>
                <w:lang w:eastAsia="es-CO"/>
              </w:rPr>
            </w:pPr>
            <w:r w:rsidRPr="00131EED">
              <w:rPr>
                <w:color w:val="0D0D0D"/>
                <w:sz w:val="20"/>
                <w:szCs w:val="20"/>
                <w:lang w:eastAsia="es-CO"/>
              </w:rPr>
              <w:t>Bogotá, Coello, Espinal, Flandes, Melgar, Acacias, Castilla La Nueva, Guamal, Restrepo, San Martin y Villavicencio</w:t>
            </w:r>
          </w:p>
        </w:tc>
      </w:tr>
      <w:tr w:rsidR="000959B9" w:rsidRPr="00131EED" w14:paraId="18AFAF52" w14:textId="77777777" w:rsidTr="00053167">
        <w:tc>
          <w:tcPr>
            <w:tcW w:w="638" w:type="pct"/>
            <w:vAlign w:val="center"/>
            <w:hideMark/>
          </w:tcPr>
          <w:p w14:paraId="43AEDF77" w14:textId="77777777" w:rsidR="000959B9" w:rsidRPr="00131EED" w:rsidRDefault="000959B9" w:rsidP="00B60DA2">
            <w:pPr>
              <w:rPr>
                <w:color w:val="0D0D0D"/>
                <w:sz w:val="20"/>
                <w:szCs w:val="20"/>
                <w:lang w:eastAsia="es-CO"/>
              </w:rPr>
            </w:pPr>
            <w:r w:rsidRPr="00131EED">
              <w:rPr>
                <w:color w:val="0D0D0D"/>
                <w:sz w:val="20"/>
                <w:szCs w:val="20"/>
                <w:lang w:eastAsia="es-CO"/>
              </w:rPr>
              <w:t>Arenas</w:t>
            </w:r>
          </w:p>
        </w:tc>
        <w:tc>
          <w:tcPr>
            <w:tcW w:w="1205" w:type="pct"/>
            <w:vAlign w:val="center"/>
            <w:hideMark/>
          </w:tcPr>
          <w:p w14:paraId="26BFC15B" w14:textId="77777777" w:rsidR="000959B9" w:rsidRPr="00131EED" w:rsidRDefault="000959B9" w:rsidP="00B60DA2">
            <w:pPr>
              <w:rPr>
                <w:color w:val="0D0D0D"/>
                <w:sz w:val="20"/>
                <w:szCs w:val="20"/>
                <w:lang w:eastAsia="es-CO"/>
              </w:rPr>
            </w:pPr>
            <w:r w:rsidRPr="00131EED">
              <w:rPr>
                <w:color w:val="0D0D0D"/>
                <w:sz w:val="20"/>
                <w:szCs w:val="20"/>
                <w:lang w:eastAsia="es-CO"/>
              </w:rPr>
              <w:t>5932640 m³</w:t>
            </w:r>
          </w:p>
        </w:tc>
        <w:tc>
          <w:tcPr>
            <w:tcW w:w="884" w:type="pct"/>
            <w:vAlign w:val="center"/>
          </w:tcPr>
          <w:p w14:paraId="256993D5" w14:textId="77777777" w:rsidR="000959B9" w:rsidRPr="00131EED" w:rsidRDefault="000959B9" w:rsidP="00B60DA2">
            <w:pPr>
              <w:rPr>
                <w:color w:val="0D0D0D"/>
                <w:sz w:val="20"/>
                <w:szCs w:val="20"/>
                <w:lang w:eastAsia="es-CO"/>
              </w:rPr>
            </w:pPr>
            <w:r w:rsidRPr="00131EED">
              <w:rPr>
                <w:color w:val="0D0D0D"/>
                <w:sz w:val="20"/>
                <w:szCs w:val="20"/>
                <w:lang w:eastAsia="es-CO"/>
              </w:rPr>
              <w:t>8644192 m</w:t>
            </w:r>
            <w:r w:rsidRPr="00131EED">
              <w:rPr>
                <w:color w:val="0D0D0D"/>
                <w:sz w:val="20"/>
                <w:szCs w:val="20"/>
                <w:vertAlign w:val="superscript"/>
                <w:lang w:eastAsia="es-CO"/>
              </w:rPr>
              <w:t>3</w:t>
            </w:r>
          </w:p>
        </w:tc>
        <w:tc>
          <w:tcPr>
            <w:tcW w:w="2273" w:type="pct"/>
          </w:tcPr>
          <w:p w14:paraId="5E5908B3" w14:textId="77777777" w:rsidR="000959B9" w:rsidRPr="00131EED" w:rsidRDefault="000959B9" w:rsidP="00B60DA2">
            <w:pPr>
              <w:rPr>
                <w:color w:val="0D0D0D"/>
                <w:sz w:val="20"/>
                <w:szCs w:val="20"/>
                <w:lang w:eastAsia="es-CO"/>
              </w:rPr>
            </w:pPr>
            <w:r w:rsidRPr="00131EED">
              <w:rPr>
                <w:color w:val="0D0D0D"/>
                <w:sz w:val="20"/>
                <w:szCs w:val="20"/>
                <w:lang w:eastAsia="es-CO"/>
              </w:rPr>
              <w:t>Bogotá, Chía, Carmen de Carupa, Guataquí, Nariño, Cáqueza, Guayabetal, Madrid, Bojacá, Mosquera, Nilo, Soacha, Tabio, Tocancipá, Coello, Espinal, Guamal, Acacías, San Carlos de Guaroa y Villavicencio</w:t>
            </w:r>
          </w:p>
        </w:tc>
      </w:tr>
      <w:tr w:rsidR="000959B9" w:rsidRPr="00131EED" w14:paraId="0B221081" w14:textId="77777777" w:rsidTr="00053167">
        <w:tc>
          <w:tcPr>
            <w:tcW w:w="638" w:type="pct"/>
            <w:vAlign w:val="center"/>
            <w:hideMark/>
          </w:tcPr>
          <w:p w14:paraId="26E58CAC" w14:textId="77777777" w:rsidR="000959B9" w:rsidRPr="00131EED" w:rsidRDefault="000959B9" w:rsidP="00B60DA2">
            <w:pPr>
              <w:rPr>
                <w:color w:val="0D0D0D"/>
                <w:sz w:val="20"/>
                <w:szCs w:val="20"/>
                <w:lang w:eastAsia="es-CO"/>
              </w:rPr>
            </w:pPr>
            <w:r w:rsidRPr="00131EED">
              <w:rPr>
                <w:color w:val="0D0D0D"/>
                <w:sz w:val="20"/>
                <w:szCs w:val="20"/>
                <w:lang w:eastAsia="es-CO"/>
              </w:rPr>
              <w:t>Recebos</w:t>
            </w:r>
          </w:p>
        </w:tc>
        <w:tc>
          <w:tcPr>
            <w:tcW w:w="1205" w:type="pct"/>
            <w:vAlign w:val="center"/>
            <w:hideMark/>
          </w:tcPr>
          <w:p w14:paraId="4F525895" w14:textId="77777777" w:rsidR="000959B9" w:rsidRPr="00131EED" w:rsidRDefault="000959B9" w:rsidP="00B60DA2">
            <w:pPr>
              <w:rPr>
                <w:color w:val="0D0D0D"/>
                <w:sz w:val="20"/>
                <w:szCs w:val="20"/>
                <w:lang w:eastAsia="es-CO"/>
              </w:rPr>
            </w:pPr>
            <w:r w:rsidRPr="00131EED">
              <w:rPr>
                <w:color w:val="0D0D0D"/>
                <w:sz w:val="20"/>
                <w:szCs w:val="20"/>
                <w:lang w:eastAsia="es-CO"/>
              </w:rPr>
              <w:t>16395461 m³</w:t>
            </w:r>
          </w:p>
        </w:tc>
        <w:tc>
          <w:tcPr>
            <w:tcW w:w="884" w:type="pct"/>
            <w:vAlign w:val="center"/>
          </w:tcPr>
          <w:p w14:paraId="251D2B84" w14:textId="77777777" w:rsidR="000959B9" w:rsidRPr="00131EED" w:rsidRDefault="000959B9" w:rsidP="00B60DA2">
            <w:pPr>
              <w:rPr>
                <w:color w:val="0D0D0D"/>
                <w:sz w:val="20"/>
                <w:szCs w:val="20"/>
                <w:lang w:eastAsia="es-CO"/>
              </w:rPr>
            </w:pPr>
            <w:r w:rsidRPr="00131EED">
              <w:rPr>
                <w:color w:val="0D0D0D"/>
                <w:sz w:val="20"/>
                <w:szCs w:val="20"/>
                <w:lang w:eastAsia="es-CO"/>
              </w:rPr>
              <w:t>N.E.</w:t>
            </w:r>
          </w:p>
        </w:tc>
        <w:tc>
          <w:tcPr>
            <w:tcW w:w="2273" w:type="pct"/>
          </w:tcPr>
          <w:p w14:paraId="6B1B2331" w14:textId="77777777" w:rsidR="000959B9" w:rsidRPr="00131EED" w:rsidRDefault="000959B9" w:rsidP="00B60DA2">
            <w:pPr>
              <w:rPr>
                <w:color w:val="0D0D0D"/>
                <w:sz w:val="20"/>
                <w:szCs w:val="20"/>
                <w:lang w:eastAsia="es-CO"/>
              </w:rPr>
            </w:pPr>
            <w:r w:rsidRPr="00131EED">
              <w:rPr>
                <w:color w:val="0D0D0D"/>
                <w:sz w:val="20"/>
                <w:szCs w:val="20"/>
                <w:lang w:eastAsia="es-CO"/>
              </w:rPr>
              <w:t xml:space="preserve">N.E. </w:t>
            </w:r>
          </w:p>
        </w:tc>
      </w:tr>
      <w:tr w:rsidR="000959B9" w:rsidRPr="00131EED" w14:paraId="5134A66D" w14:textId="77777777" w:rsidTr="00053167">
        <w:tc>
          <w:tcPr>
            <w:tcW w:w="638" w:type="pct"/>
            <w:vAlign w:val="center"/>
            <w:hideMark/>
          </w:tcPr>
          <w:p w14:paraId="34DFE886" w14:textId="77777777" w:rsidR="000959B9" w:rsidRPr="00131EED" w:rsidRDefault="000959B9" w:rsidP="00B60DA2">
            <w:pPr>
              <w:rPr>
                <w:color w:val="0D0D0D"/>
                <w:sz w:val="20"/>
                <w:szCs w:val="20"/>
                <w:lang w:eastAsia="es-CO"/>
              </w:rPr>
            </w:pPr>
            <w:r w:rsidRPr="00131EED">
              <w:rPr>
                <w:color w:val="0D0D0D"/>
                <w:sz w:val="20"/>
                <w:szCs w:val="20"/>
                <w:lang w:eastAsia="es-CO"/>
              </w:rPr>
              <w:t>Arcillas</w:t>
            </w:r>
          </w:p>
        </w:tc>
        <w:tc>
          <w:tcPr>
            <w:tcW w:w="1205" w:type="pct"/>
            <w:vAlign w:val="center"/>
            <w:hideMark/>
          </w:tcPr>
          <w:p w14:paraId="0CE83759" w14:textId="77777777" w:rsidR="000959B9" w:rsidRPr="00131EED" w:rsidRDefault="000959B9" w:rsidP="00B60DA2">
            <w:pPr>
              <w:rPr>
                <w:color w:val="0D0D0D"/>
                <w:sz w:val="20"/>
                <w:szCs w:val="20"/>
                <w:lang w:eastAsia="es-CO"/>
              </w:rPr>
            </w:pPr>
            <w:r w:rsidRPr="00131EED">
              <w:rPr>
                <w:color w:val="0D0D0D"/>
                <w:sz w:val="20"/>
                <w:szCs w:val="20"/>
                <w:lang w:eastAsia="es-CO"/>
              </w:rPr>
              <w:t>11021291 toneladas</w:t>
            </w:r>
          </w:p>
        </w:tc>
        <w:tc>
          <w:tcPr>
            <w:tcW w:w="884" w:type="pct"/>
            <w:vAlign w:val="center"/>
          </w:tcPr>
          <w:p w14:paraId="439FFC91" w14:textId="77777777" w:rsidR="000959B9" w:rsidRPr="00131EED" w:rsidRDefault="000959B9" w:rsidP="00B60DA2">
            <w:pPr>
              <w:rPr>
                <w:color w:val="0D0D0D"/>
                <w:sz w:val="20"/>
                <w:szCs w:val="20"/>
                <w:lang w:eastAsia="es-CO"/>
              </w:rPr>
            </w:pPr>
            <w:r w:rsidRPr="00131EED">
              <w:rPr>
                <w:color w:val="0D0D0D"/>
                <w:sz w:val="20"/>
                <w:szCs w:val="20"/>
                <w:lang w:eastAsia="es-CO"/>
              </w:rPr>
              <w:t>9729322 toneladas</w:t>
            </w:r>
          </w:p>
        </w:tc>
        <w:tc>
          <w:tcPr>
            <w:tcW w:w="2273" w:type="pct"/>
            <w:vAlign w:val="center"/>
          </w:tcPr>
          <w:p w14:paraId="6BA91918" w14:textId="77777777" w:rsidR="000959B9" w:rsidRPr="00131EED" w:rsidRDefault="000959B9" w:rsidP="00B60DA2">
            <w:pPr>
              <w:rPr>
                <w:color w:val="0D0D0D"/>
                <w:sz w:val="20"/>
                <w:szCs w:val="20"/>
                <w:lang w:eastAsia="es-CO"/>
              </w:rPr>
            </w:pPr>
            <w:r w:rsidRPr="00131EED">
              <w:rPr>
                <w:color w:val="0D0D0D"/>
                <w:sz w:val="20"/>
                <w:szCs w:val="20"/>
                <w:lang w:eastAsia="es-CO"/>
              </w:rPr>
              <w:t>Zipaquirá, Tabio, Cogua, Soacha y Bogotá.</w:t>
            </w:r>
          </w:p>
        </w:tc>
      </w:tr>
    </w:tbl>
    <w:p w14:paraId="482DD9FA" w14:textId="77777777" w:rsidR="000959B9" w:rsidRPr="00131EED" w:rsidRDefault="000959B9" w:rsidP="000959B9">
      <w:pPr>
        <w:jc w:val="center"/>
        <w:rPr>
          <w:rFonts w:cs="Arial"/>
          <w:sz w:val="20"/>
          <w:szCs w:val="20"/>
        </w:rPr>
      </w:pPr>
      <w:r w:rsidRPr="00131EED">
        <w:rPr>
          <w:rFonts w:cs="Arial"/>
          <w:sz w:val="20"/>
          <w:szCs w:val="20"/>
        </w:rPr>
        <w:t>Fuente: UPME, 2023</w:t>
      </w:r>
    </w:p>
    <w:p w14:paraId="787DD0FE" w14:textId="77777777" w:rsidR="000A5A6F" w:rsidRPr="00131EED" w:rsidRDefault="000959B9" w:rsidP="000A5A6F">
      <w:pPr>
        <w:rPr>
          <w:rFonts w:cs="Arial"/>
        </w:rPr>
      </w:pPr>
      <w:r w:rsidRPr="00131EED">
        <w:rPr>
          <w:rFonts w:cs="Arial"/>
        </w:rPr>
        <w:t>La producción acumulada de estos materiales destaca a Cundinamarca como un centro relevante en la provisión de materiales de construcción y minerales no metálicos en Colombia.</w:t>
      </w:r>
    </w:p>
    <w:p w14:paraId="37DD5826" w14:textId="77777777" w:rsidR="005C437F" w:rsidRPr="00131EED" w:rsidRDefault="005C437F" w:rsidP="000959B9">
      <w:pPr>
        <w:rPr>
          <w:rFonts w:cs="Arial"/>
        </w:rPr>
      </w:pPr>
    </w:p>
    <w:p w14:paraId="0DC79829" w14:textId="77777777" w:rsidR="000959B9" w:rsidRPr="00131EED" w:rsidRDefault="000959B9" w:rsidP="000959B9">
      <w:pPr>
        <w:rPr>
          <w:rFonts w:cs="Arial"/>
        </w:rPr>
      </w:pPr>
      <w:r w:rsidRPr="00131EED">
        <w:rPr>
          <w:rFonts w:cs="Arial"/>
        </w:rPr>
        <w:t>La predominancia de los recebos en la producción puede reflejar un enfoque específico en proyectos de infraestructura a gran escala, mientras que, las diferencias en los volúmenes de producción entre gravas y arenas podrían estar relacionadas con las particularidades en la demanda del sector de la construcción o con la accesibilidad y la explotación de estos recursos minerales. En cuanto a la producción de arcillas, Bogotá presenta la mayor producción de minería de arcillas con un total acumulado de 5748682 toneladas, lo que equivale al 59,09% de toda la producción en el área de influencia de la ciudad. Esta producción resalta la importancia de Bogotá y municipios cercanos como Soacha, Tabio, Cogua y Zipaquirá en la contribución a este sector.</w:t>
      </w:r>
    </w:p>
    <w:p w14:paraId="3D252859" w14:textId="77777777" w:rsidR="000959B9" w:rsidRPr="00131EED" w:rsidRDefault="000959B9" w:rsidP="000959B9">
      <w:pPr>
        <w:rPr>
          <w:rFonts w:cs="Arial"/>
        </w:rPr>
      </w:pPr>
    </w:p>
    <w:p w14:paraId="5589B4CC" w14:textId="77777777" w:rsidR="000959B9" w:rsidRPr="00131EED" w:rsidRDefault="000959B9" w:rsidP="000959B9">
      <w:pPr>
        <w:rPr>
          <w:rFonts w:cs="Arial"/>
        </w:rPr>
      </w:pPr>
      <w:r w:rsidRPr="00131EED">
        <w:rPr>
          <w:rFonts w:cs="Arial"/>
        </w:rPr>
        <w:t>Bogotá se destaca como el principal centro de demanda de materiales de construcción en el país, evidenciando un mercado amplio y dinámico. Entre 2016 y 2022, se observó que el espacio destinado a nuevas edificaciones excedió los 24 millones de metros cuadrados, aunque se registró una disminución progresiva hasta 2020, momento en el cual comenzó a observarse una recuperación. Al analizar este patrón en relación con la oferta de materiales de construcción, se evidencia una correlación directa entre el volumen de construcción y la demanda de gravas y arenas, reflejando que estos materiales se ajustan rápidamente a las fluctuaciones en la actividad de construcción.  Respecto a las arcillas, aunque claramente se ven influenciadas por las tendencias en el sector de la construcción, su reacción a los cambios en el mercado suele experimentar un desfase de entre seis meses a un año.</w:t>
      </w:r>
    </w:p>
    <w:p w14:paraId="619A1B55" w14:textId="77777777" w:rsidR="000959B9" w:rsidRPr="00131EED" w:rsidRDefault="000959B9" w:rsidP="00410194">
      <w:pPr>
        <w:pStyle w:val="Heading3"/>
        <w:numPr>
          <w:ilvl w:val="2"/>
          <w:numId w:val="31"/>
        </w:numPr>
      </w:pPr>
      <w:bookmarkStart w:id="133" w:name="_Toc167294618"/>
      <w:bookmarkStart w:id="134" w:name="_Toc167854505"/>
      <w:bookmarkStart w:id="135" w:name="_Toc216468704"/>
      <w:r w:rsidRPr="00131EED">
        <w:t>Títulos e instrumentos mineros en la sabana</w:t>
      </w:r>
      <w:bookmarkEnd w:id="133"/>
      <w:bookmarkEnd w:id="134"/>
      <w:r w:rsidRPr="00131EED">
        <w:rPr>
          <w:vertAlign w:val="superscript"/>
        </w:rPr>
        <w:footnoteReference w:id="4"/>
      </w:r>
      <w:bookmarkEnd w:id="135"/>
    </w:p>
    <w:p w14:paraId="70178303" w14:textId="77777777" w:rsidR="000959B9" w:rsidRPr="00131EED" w:rsidRDefault="000959B9" w:rsidP="000959B9">
      <w:pPr>
        <w:rPr>
          <w:rFonts w:ascii="Baskerville" w:hAnsi="Baskerville" w:cs="Arial"/>
        </w:rPr>
      </w:pPr>
    </w:p>
    <w:p w14:paraId="510A02F3" w14:textId="77777777" w:rsidR="000959B9" w:rsidRPr="00131EED" w:rsidRDefault="000959B9" w:rsidP="000959B9">
      <w:pPr>
        <w:rPr>
          <w:rFonts w:cs="Arial"/>
        </w:rPr>
      </w:pPr>
      <w:r w:rsidRPr="00131EED">
        <w:rPr>
          <w:rFonts w:cs="Arial"/>
        </w:rPr>
        <w:t>El Ministerio de Ambiente y Desarrollo Sostenible ha expedido una serie de resoluciones cuyo objeto es la definición de las zonas compatibles con la minería. A la fecha se encuentran vigentes la Resolución No. 2001 de 2016 por la cual</w:t>
      </w:r>
      <w:r w:rsidRPr="00131EED">
        <w:rPr>
          <w:rFonts w:cs="Arial"/>
          <w:i/>
        </w:rPr>
        <w:t xml:space="preserve"> “se determinan las zonas compatibles con las explotaciones mineras en la Sabana de Bogotá, y se adoptan otras determinaciones” </w:t>
      </w:r>
      <w:r w:rsidRPr="00131EED">
        <w:rPr>
          <w:rFonts w:cs="Arial"/>
        </w:rPr>
        <w:t>y la Resolución 1499 de 2018, por la cual se modifica la Resolución No. 2001 de 2016 a través de la cual “</w:t>
      </w:r>
      <w:r w:rsidRPr="00131EED">
        <w:rPr>
          <w:rFonts w:cs="Arial"/>
          <w:i/>
        </w:rPr>
        <w:t>se determinaron las zonas compatibles con las actividades mineras en la Sabana de Bogotá y se adoptan otras determinaciones”,</w:t>
      </w:r>
      <w:r w:rsidRPr="00131EED">
        <w:rPr>
          <w:rFonts w:cs="Arial"/>
        </w:rPr>
        <w:t xml:space="preserve"> de la cual derivó del seguimiento al fallo del Río Bogotá ejercido por el Tribunal Administrativo de Cundinamarca.</w:t>
      </w:r>
    </w:p>
    <w:p w14:paraId="7CE400E0" w14:textId="77777777" w:rsidR="000959B9" w:rsidRPr="00131EED" w:rsidRDefault="000959B9" w:rsidP="000959B9">
      <w:pPr>
        <w:rPr>
          <w:rFonts w:ascii="Baskerville" w:hAnsi="Baskerville" w:cs="Arial"/>
        </w:rPr>
      </w:pPr>
    </w:p>
    <w:p w14:paraId="2367C05B" w14:textId="77777777" w:rsidR="00684F80" w:rsidRPr="00131EED" w:rsidRDefault="00684F80" w:rsidP="000959B9">
      <w:pPr>
        <w:rPr>
          <w:rFonts w:ascii="Baskerville" w:hAnsi="Baskerville" w:cs="Arial"/>
        </w:rPr>
      </w:pPr>
    </w:p>
    <w:p w14:paraId="04137BC5" w14:textId="77777777" w:rsidR="00684F80" w:rsidRPr="00131EED" w:rsidRDefault="00684F80" w:rsidP="000959B9">
      <w:pPr>
        <w:rPr>
          <w:rFonts w:ascii="Baskerville" w:hAnsi="Baskerville" w:cs="Arial"/>
        </w:rPr>
      </w:pPr>
    </w:p>
    <w:p w14:paraId="269C8B03" w14:textId="77777777" w:rsidR="00684F80" w:rsidRPr="00131EED" w:rsidRDefault="00684F80" w:rsidP="000959B9">
      <w:pPr>
        <w:rPr>
          <w:rFonts w:ascii="Baskerville" w:hAnsi="Baskerville" w:cs="Arial"/>
        </w:rPr>
      </w:pPr>
    </w:p>
    <w:p w14:paraId="4E535758" w14:textId="381C39FD" w:rsidR="000959B9" w:rsidRPr="00131EED" w:rsidRDefault="00B30D41" w:rsidP="00684F80">
      <w:pPr>
        <w:pStyle w:val="Caption"/>
        <w:jc w:val="center"/>
      </w:pPr>
      <w:bookmarkStart w:id="136" w:name="_Toc164763159"/>
      <w:bookmarkStart w:id="137" w:name="_Toc165381210"/>
      <w:bookmarkStart w:id="138" w:name="_Toc216468800"/>
      <w:r w:rsidRPr="00131EED">
        <w:t xml:space="preserve">Ilustración </w:t>
      </w:r>
      <w:r w:rsidRPr="00131EED">
        <w:fldChar w:fldCharType="begin"/>
      </w:r>
      <w:r w:rsidRPr="00131EED">
        <w:instrText>SEQ Ilustración \* ARABIC</w:instrText>
      </w:r>
      <w:r w:rsidRPr="00131EED">
        <w:fldChar w:fldCharType="separate"/>
      </w:r>
      <w:r w:rsidR="00CE096F">
        <w:rPr>
          <w:noProof/>
        </w:rPr>
        <w:t>35</w:t>
      </w:r>
      <w:r w:rsidRPr="00131EED">
        <w:fldChar w:fldCharType="end"/>
      </w:r>
      <w:r w:rsidR="000B02B3" w:rsidRPr="00131EED">
        <w:t xml:space="preserve"> </w:t>
      </w:r>
      <w:r w:rsidR="000959B9" w:rsidRPr="00131EED">
        <w:t xml:space="preserve">Zonas Compatibles con minería de acuerdo </w:t>
      </w:r>
      <w:r w:rsidR="00A52E61" w:rsidRPr="00131EED">
        <w:t>con</w:t>
      </w:r>
      <w:r w:rsidR="000959B9" w:rsidRPr="00131EED">
        <w:t xml:space="preserve"> las Resoluciones 2001 de 2016 y 1499 de 2018</w:t>
      </w:r>
      <w:bookmarkEnd w:id="136"/>
      <w:bookmarkEnd w:id="137"/>
      <w:bookmarkEnd w:id="138"/>
    </w:p>
    <w:p w14:paraId="6E4ABD15" w14:textId="09F78020" w:rsidR="000959B9" w:rsidRPr="00131EED" w:rsidRDefault="000959B9" w:rsidP="000959B9">
      <w:pPr>
        <w:jc w:val="center"/>
        <w:rPr>
          <w:rFonts w:ascii="Baskerville" w:hAnsi="Baskerville" w:cs="Arial"/>
          <w:lang w:eastAsia="es-ES"/>
        </w:rPr>
      </w:pPr>
      <w:r w:rsidRPr="00131EED">
        <w:rPr>
          <w:rFonts w:ascii="Baskerville" w:hAnsi="Baskerville" w:cs="Arial"/>
          <w:noProof/>
          <w:lang w:eastAsia="en-US"/>
        </w:rPr>
        <w:drawing>
          <wp:inline distT="0" distB="0" distL="0" distR="0" wp14:anchorId="584819C7" wp14:editId="7C9B75B8">
            <wp:extent cx="4363900" cy="2847975"/>
            <wp:effectExtent l="0" t="0" r="0" b="0"/>
            <wp:docPr id="20" name="Imagen 20" descr="Zonas Compatib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onas Compatibles"/>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495487" cy="2933852"/>
                    </a:xfrm>
                    <a:prstGeom prst="rect">
                      <a:avLst/>
                    </a:prstGeom>
                    <a:noFill/>
                    <a:ln>
                      <a:noFill/>
                    </a:ln>
                  </pic:spPr>
                </pic:pic>
              </a:graphicData>
            </a:graphic>
          </wp:inline>
        </w:drawing>
      </w:r>
    </w:p>
    <w:p w14:paraId="4444C0F8" w14:textId="77777777" w:rsidR="000959B9" w:rsidRPr="00131EED" w:rsidRDefault="000959B9" w:rsidP="000959B9">
      <w:pPr>
        <w:jc w:val="center"/>
        <w:rPr>
          <w:rFonts w:cs="Arial"/>
          <w:sz w:val="20"/>
          <w:szCs w:val="20"/>
        </w:rPr>
      </w:pPr>
      <w:r w:rsidRPr="00131EED">
        <w:rPr>
          <w:rFonts w:cs="Arial"/>
          <w:sz w:val="20"/>
          <w:szCs w:val="20"/>
        </w:rPr>
        <w:t>Fuente: Grupo de Gestión Ambiental Minera – MADS, 2024, a partir de las Resoluciones 2001 de 2016 y 1499 de 2018</w:t>
      </w:r>
    </w:p>
    <w:p w14:paraId="538F55BB" w14:textId="77777777" w:rsidR="00684F80" w:rsidRPr="00131EED" w:rsidRDefault="00684F80" w:rsidP="000959B9">
      <w:pPr>
        <w:rPr>
          <w:rFonts w:cs="Arial"/>
        </w:rPr>
      </w:pPr>
    </w:p>
    <w:p w14:paraId="5D118C07" w14:textId="0EAA58FC" w:rsidR="000959B9" w:rsidRPr="00131EED" w:rsidRDefault="000959B9" w:rsidP="000959B9">
      <w:pPr>
        <w:rPr>
          <w:rFonts w:cs="Arial"/>
        </w:rPr>
      </w:pPr>
      <w:r w:rsidRPr="00131EED">
        <w:rPr>
          <w:rFonts w:cs="Arial"/>
        </w:rPr>
        <w:t>Se procedió a cruzar los instrumentos mineros anteriormente mencionados acuerdo con la Resolución No. 2001 de 2016, y la Resolución 1499 de 2018, encontrándose a nivel general:</w:t>
      </w:r>
    </w:p>
    <w:p w14:paraId="382477F1" w14:textId="77777777" w:rsidR="00FD5365" w:rsidRPr="00131EED" w:rsidRDefault="00FD5365" w:rsidP="000959B9">
      <w:pPr>
        <w:rPr>
          <w:rFonts w:cs="Arial"/>
        </w:rPr>
      </w:pPr>
    </w:p>
    <w:p w14:paraId="0535DABD" w14:textId="71679CD8" w:rsidR="000959B9" w:rsidRPr="00131EED" w:rsidRDefault="000959B9" w:rsidP="000B02B3">
      <w:pPr>
        <w:pStyle w:val="Caption"/>
        <w:jc w:val="center"/>
        <w:rPr>
          <w:lang w:eastAsia="es-ES"/>
        </w:rPr>
      </w:pPr>
      <w:bookmarkStart w:id="139" w:name="_Toc164763184"/>
      <w:bookmarkStart w:id="140" w:name="_Toc216468934"/>
      <w:r w:rsidRPr="00131EED">
        <w:t xml:space="preserve">Tabla </w:t>
      </w:r>
      <w:r w:rsidRPr="00131EED">
        <w:fldChar w:fldCharType="begin"/>
      </w:r>
      <w:r w:rsidRPr="00131EED">
        <w:instrText>SEQ Tabla \* ARABIC</w:instrText>
      </w:r>
      <w:r w:rsidRPr="00131EED">
        <w:fldChar w:fldCharType="separate"/>
      </w:r>
      <w:r w:rsidR="00CE096F">
        <w:rPr>
          <w:noProof/>
        </w:rPr>
        <w:t>24</w:t>
      </w:r>
      <w:r w:rsidRPr="00131EED">
        <w:fldChar w:fldCharType="end"/>
      </w:r>
      <w:r w:rsidRPr="00131EED">
        <w:t xml:space="preserve">. </w:t>
      </w:r>
      <w:bookmarkEnd w:id="139"/>
      <w:r w:rsidRPr="00131EED">
        <w:t>Instrumentos mineros</w:t>
      </w:r>
      <w:bookmarkEnd w:id="140"/>
    </w:p>
    <w:tbl>
      <w:tblPr>
        <w:tblStyle w:val="TableGrid"/>
        <w:tblW w:w="0" w:type="auto"/>
        <w:tblLook w:val="04A0" w:firstRow="1" w:lastRow="0" w:firstColumn="1" w:lastColumn="0" w:noHBand="0" w:noVBand="1"/>
      </w:tblPr>
      <w:tblGrid>
        <w:gridCol w:w="3686"/>
        <w:gridCol w:w="2268"/>
        <w:gridCol w:w="2835"/>
      </w:tblGrid>
      <w:tr w:rsidR="000959B9" w:rsidRPr="00131EED" w14:paraId="6EBE6990" w14:textId="77777777" w:rsidTr="00053167">
        <w:trPr>
          <w:trHeight w:val="245"/>
        </w:trPr>
        <w:tc>
          <w:tcPr>
            <w:tcW w:w="3686" w:type="dxa"/>
            <w:vMerge w:val="restart"/>
          </w:tcPr>
          <w:p w14:paraId="7E15313D" w14:textId="77777777" w:rsidR="000959B9" w:rsidRPr="00131EED" w:rsidRDefault="000959B9" w:rsidP="00B60DA2">
            <w:pPr>
              <w:jc w:val="center"/>
              <w:rPr>
                <w:b/>
                <w:sz w:val="20"/>
                <w:szCs w:val="20"/>
                <w:lang w:eastAsia="es-ES"/>
              </w:rPr>
            </w:pPr>
            <w:r w:rsidRPr="00131EED">
              <w:rPr>
                <w:b/>
                <w:sz w:val="20"/>
                <w:szCs w:val="20"/>
                <w:lang w:eastAsia="es-ES"/>
              </w:rPr>
              <w:t>Instrumento Minero</w:t>
            </w:r>
          </w:p>
        </w:tc>
        <w:tc>
          <w:tcPr>
            <w:tcW w:w="5103" w:type="dxa"/>
            <w:gridSpan w:val="2"/>
          </w:tcPr>
          <w:p w14:paraId="0E0EF44A" w14:textId="77777777" w:rsidR="000959B9" w:rsidRPr="00131EED" w:rsidRDefault="000959B9" w:rsidP="00B60DA2">
            <w:pPr>
              <w:jc w:val="center"/>
              <w:rPr>
                <w:b/>
                <w:sz w:val="20"/>
                <w:szCs w:val="20"/>
                <w:lang w:eastAsia="es-ES"/>
              </w:rPr>
            </w:pPr>
            <w:r w:rsidRPr="00131EED">
              <w:rPr>
                <w:b/>
                <w:sz w:val="20"/>
                <w:szCs w:val="20"/>
                <w:lang w:eastAsia="es-ES"/>
              </w:rPr>
              <w:t>Resultado Cruce</w:t>
            </w:r>
          </w:p>
        </w:tc>
      </w:tr>
      <w:tr w:rsidR="000959B9" w:rsidRPr="00131EED" w14:paraId="760A681F" w14:textId="77777777" w:rsidTr="00053167">
        <w:trPr>
          <w:trHeight w:val="244"/>
        </w:trPr>
        <w:tc>
          <w:tcPr>
            <w:tcW w:w="3686" w:type="dxa"/>
            <w:vMerge/>
          </w:tcPr>
          <w:p w14:paraId="19E49960" w14:textId="77777777" w:rsidR="000959B9" w:rsidRPr="00131EED" w:rsidRDefault="000959B9" w:rsidP="00B60DA2">
            <w:pPr>
              <w:jc w:val="center"/>
              <w:rPr>
                <w:b/>
                <w:sz w:val="20"/>
                <w:szCs w:val="20"/>
                <w:lang w:eastAsia="es-ES"/>
              </w:rPr>
            </w:pPr>
          </w:p>
        </w:tc>
        <w:tc>
          <w:tcPr>
            <w:tcW w:w="2268" w:type="dxa"/>
          </w:tcPr>
          <w:p w14:paraId="71DCA641" w14:textId="77777777" w:rsidR="000959B9" w:rsidRPr="00131EED" w:rsidRDefault="000959B9" w:rsidP="00B60DA2">
            <w:pPr>
              <w:jc w:val="center"/>
              <w:rPr>
                <w:b/>
                <w:sz w:val="20"/>
                <w:szCs w:val="20"/>
                <w:lang w:eastAsia="es-ES"/>
              </w:rPr>
            </w:pPr>
            <w:r w:rsidRPr="00131EED">
              <w:rPr>
                <w:b/>
                <w:sz w:val="20"/>
                <w:szCs w:val="20"/>
                <w:lang w:eastAsia="es-ES"/>
              </w:rPr>
              <w:t>Dentro de Zonas compatibles</w:t>
            </w:r>
          </w:p>
        </w:tc>
        <w:tc>
          <w:tcPr>
            <w:tcW w:w="2835" w:type="dxa"/>
          </w:tcPr>
          <w:p w14:paraId="38E2F629" w14:textId="77777777" w:rsidR="000959B9" w:rsidRPr="00131EED" w:rsidRDefault="000959B9" w:rsidP="00B60DA2">
            <w:pPr>
              <w:jc w:val="center"/>
              <w:rPr>
                <w:b/>
                <w:sz w:val="20"/>
                <w:szCs w:val="20"/>
                <w:lang w:eastAsia="es-ES"/>
              </w:rPr>
            </w:pPr>
            <w:r w:rsidRPr="00131EED">
              <w:rPr>
                <w:b/>
                <w:sz w:val="20"/>
                <w:szCs w:val="20"/>
                <w:lang w:eastAsia="es-ES"/>
              </w:rPr>
              <w:t>Fuera de Zonas compatibles</w:t>
            </w:r>
          </w:p>
        </w:tc>
      </w:tr>
      <w:tr w:rsidR="000959B9" w:rsidRPr="00131EED" w14:paraId="0BA65C0E" w14:textId="77777777" w:rsidTr="00053167">
        <w:tc>
          <w:tcPr>
            <w:tcW w:w="3686" w:type="dxa"/>
          </w:tcPr>
          <w:p w14:paraId="08495651" w14:textId="77777777" w:rsidR="000959B9" w:rsidRPr="00131EED" w:rsidRDefault="000959B9" w:rsidP="00B60DA2">
            <w:pPr>
              <w:jc w:val="center"/>
              <w:rPr>
                <w:b/>
                <w:sz w:val="20"/>
                <w:szCs w:val="20"/>
                <w:lang w:eastAsia="es-ES"/>
              </w:rPr>
            </w:pPr>
            <w:r w:rsidRPr="00131EED">
              <w:rPr>
                <w:b/>
                <w:sz w:val="20"/>
                <w:szCs w:val="20"/>
                <w:lang w:eastAsia="es-ES"/>
              </w:rPr>
              <w:t>Contrato Concesión</w:t>
            </w:r>
          </w:p>
        </w:tc>
        <w:tc>
          <w:tcPr>
            <w:tcW w:w="2268" w:type="dxa"/>
          </w:tcPr>
          <w:p w14:paraId="00810805" w14:textId="77777777" w:rsidR="000959B9" w:rsidRPr="00131EED" w:rsidRDefault="000959B9" w:rsidP="00B60DA2">
            <w:pPr>
              <w:jc w:val="center"/>
              <w:rPr>
                <w:sz w:val="20"/>
                <w:szCs w:val="20"/>
                <w:lang w:eastAsia="es-ES"/>
              </w:rPr>
            </w:pPr>
            <w:r w:rsidRPr="00131EED">
              <w:rPr>
                <w:sz w:val="20"/>
                <w:szCs w:val="20"/>
                <w:lang w:eastAsia="es-ES"/>
              </w:rPr>
              <w:t>231</w:t>
            </w:r>
          </w:p>
        </w:tc>
        <w:tc>
          <w:tcPr>
            <w:tcW w:w="2835" w:type="dxa"/>
          </w:tcPr>
          <w:p w14:paraId="711D49D5" w14:textId="77777777" w:rsidR="000959B9" w:rsidRPr="00131EED" w:rsidRDefault="000959B9" w:rsidP="00B60DA2">
            <w:pPr>
              <w:jc w:val="center"/>
              <w:rPr>
                <w:sz w:val="20"/>
                <w:szCs w:val="20"/>
                <w:lang w:eastAsia="es-ES"/>
              </w:rPr>
            </w:pPr>
            <w:r w:rsidRPr="00131EED">
              <w:rPr>
                <w:sz w:val="20"/>
                <w:szCs w:val="20"/>
                <w:lang w:eastAsia="es-ES"/>
              </w:rPr>
              <w:t>62</w:t>
            </w:r>
            <w:r w:rsidRPr="00131EED">
              <w:rPr>
                <w:sz w:val="20"/>
                <w:szCs w:val="20"/>
                <w:vertAlign w:val="superscript"/>
                <w:lang w:eastAsia="es-ES"/>
              </w:rPr>
              <w:t>*</w:t>
            </w:r>
          </w:p>
        </w:tc>
      </w:tr>
      <w:tr w:rsidR="000959B9" w:rsidRPr="00131EED" w14:paraId="56B037AA" w14:textId="77777777" w:rsidTr="00053167">
        <w:tc>
          <w:tcPr>
            <w:tcW w:w="3686" w:type="dxa"/>
          </w:tcPr>
          <w:p w14:paraId="082644DB" w14:textId="77777777" w:rsidR="000959B9" w:rsidRPr="00131EED" w:rsidRDefault="000959B9" w:rsidP="00B60DA2">
            <w:pPr>
              <w:jc w:val="center"/>
              <w:rPr>
                <w:b/>
                <w:sz w:val="20"/>
                <w:szCs w:val="20"/>
                <w:lang w:eastAsia="es-ES"/>
              </w:rPr>
            </w:pPr>
            <w:r w:rsidRPr="00131EED">
              <w:rPr>
                <w:b/>
                <w:sz w:val="20"/>
                <w:szCs w:val="20"/>
                <w:lang w:eastAsia="es-ES"/>
              </w:rPr>
              <w:t>Solicitud Contrato</w:t>
            </w:r>
          </w:p>
        </w:tc>
        <w:tc>
          <w:tcPr>
            <w:tcW w:w="2268" w:type="dxa"/>
          </w:tcPr>
          <w:p w14:paraId="3F2C28C6" w14:textId="77777777" w:rsidR="000959B9" w:rsidRPr="00131EED" w:rsidRDefault="000959B9" w:rsidP="00B60DA2">
            <w:pPr>
              <w:jc w:val="center"/>
              <w:rPr>
                <w:sz w:val="20"/>
                <w:szCs w:val="20"/>
                <w:lang w:eastAsia="es-ES"/>
              </w:rPr>
            </w:pPr>
            <w:r w:rsidRPr="00131EED">
              <w:rPr>
                <w:sz w:val="20"/>
                <w:szCs w:val="20"/>
                <w:lang w:eastAsia="es-ES"/>
              </w:rPr>
              <w:t>85</w:t>
            </w:r>
          </w:p>
        </w:tc>
        <w:tc>
          <w:tcPr>
            <w:tcW w:w="2835" w:type="dxa"/>
          </w:tcPr>
          <w:p w14:paraId="1C251C02" w14:textId="77777777" w:rsidR="000959B9" w:rsidRPr="00131EED" w:rsidRDefault="000959B9" w:rsidP="00B60DA2">
            <w:pPr>
              <w:jc w:val="center"/>
              <w:rPr>
                <w:sz w:val="20"/>
                <w:szCs w:val="20"/>
                <w:lang w:eastAsia="es-ES"/>
              </w:rPr>
            </w:pPr>
            <w:r w:rsidRPr="00131EED">
              <w:rPr>
                <w:sz w:val="20"/>
                <w:szCs w:val="20"/>
                <w:lang w:eastAsia="es-ES"/>
              </w:rPr>
              <w:t>-</w:t>
            </w:r>
          </w:p>
        </w:tc>
      </w:tr>
      <w:tr w:rsidR="000959B9" w:rsidRPr="00131EED" w14:paraId="3E92089C" w14:textId="77777777" w:rsidTr="00053167">
        <w:tc>
          <w:tcPr>
            <w:tcW w:w="3686" w:type="dxa"/>
          </w:tcPr>
          <w:p w14:paraId="415464C7" w14:textId="77777777" w:rsidR="000959B9" w:rsidRPr="00131EED" w:rsidRDefault="000959B9" w:rsidP="00B60DA2">
            <w:pPr>
              <w:jc w:val="center"/>
              <w:rPr>
                <w:b/>
                <w:sz w:val="20"/>
                <w:szCs w:val="20"/>
                <w:lang w:eastAsia="es-ES"/>
              </w:rPr>
            </w:pPr>
            <w:r w:rsidRPr="00131EED">
              <w:rPr>
                <w:b/>
                <w:sz w:val="20"/>
                <w:szCs w:val="20"/>
                <w:lang w:eastAsia="es-ES"/>
              </w:rPr>
              <w:t>Subcontrato</w:t>
            </w:r>
          </w:p>
        </w:tc>
        <w:tc>
          <w:tcPr>
            <w:tcW w:w="2268" w:type="dxa"/>
          </w:tcPr>
          <w:p w14:paraId="5DAAEEF9" w14:textId="77777777" w:rsidR="000959B9" w:rsidRPr="00131EED" w:rsidRDefault="000959B9" w:rsidP="00B60DA2">
            <w:pPr>
              <w:jc w:val="center"/>
              <w:rPr>
                <w:sz w:val="20"/>
                <w:szCs w:val="20"/>
                <w:lang w:eastAsia="es-ES"/>
              </w:rPr>
            </w:pPr>
            <w:r w:rsidRPr="00131EED">
              <w:rPr>
                <w:sz w:val="20"/>
                <w:szCs w:val="20"/>
                <w:lang w:eastAsia="es-ES"/>
              </w:rPr>
              <w:t>-</w:t>
            </w:r>
          </w:p>
        </w:tc>
        <w:tc>
          <w:tcPr>
            <w:tcW w:w="2835" w:type="dxa"/>
          </w:tcPr>
          <w:p w14:paraId="019EA7A5" w14:textId="77777777" w:rsidR="000959B9" w:rsidRPr="00131EED" w:rsidRDefault="000959B9" w:rsidP="00B60DA2">
            <w:pPr>
              <w:jc w:val="center"/>
              <w:rPr>
                <w:sz w:val="20"/>
                <w:szCs w:val="20"/>
                <w:lang w:eastAsia="es-ES"/>
              </w:rPr>
            </w:pPr>
            <w:r w:rsidRPr="00131EED">
              <w:rPr>
                <w:sz w:val="20"/>
                <w:szCs w:val="20"/>
                <w:lang w:eastAsia="es-ES"/>
              </w:rPr>
              <w:t>-</w:t>
            </w:r>
          </w:p>
        </w:tc>
      </w:tr>
    </w:tbl>
    <w:p w14:paraId="03610DD6" w14:textId="77777777" w:rsidR="000959B9" w:rsidRPr="00131EED" w:rsidRDefault="000959B9" w:rsidP="000959B9">
      <w:pPr>
        <w:jc w:val="center"/>
        <w:rPr>
          <w:rFonts w:cs="Arial"/>
          <w:sz w:val="20"/>
          <w:szCs w:val="20"/>
        </w:rPr>
      </w:pPr>
      <w:r w:rsidRPr="00131EED">
        <w:rPr>
          <w:rFonts w:cs="Arial"/>
          <w:sz w:val="20"/>
          <w:szCs w:val="20"/>
        </w:rPr>
        <w:t>Fuente: Grupo de Gestión Ambiental Minera – MADS, 2024, a partir de las Resoluciones 2001 de 2016 y 1499 de 2018  *De los 62 fuera de zonas compatibles habrá que analizar lo establecido en el parágrafo 1 de la Resolución 2001 de 2016 y los parágrafos 3, 4, 5 y 6 incluidos mediante la Resolución 1499 de 2018.</w:t>
      </w:r>
    </w:p>
    <w:p w14:paraId="35823D04" w14:textId="77777777" w:rsidR="00684F80" w:rsidRPr="00131EED" w:rsidRDefault="00684F80" w:rsidP="000959B9">
      <w:pPr>
        <w:rPr>
          <w:rFonts w:cs="Arial"/>
        </w:rPr>
      </w:pPr>
    </w:p>
    <w:p w14:paraId="201DFF1F" w14:textId="77777777" w:rsidR="000959B9" w:rsidRPr="00131EED" w:rsidRDefault="000959B9" w:rsidP="000959B9">
      <w:pPr>
        <w:rPr>
          <w:rFonts w:cs="Arial"/>
        </w:rPr>
      </w:pPr>
      <w:r w:rsidRPr="00131EED">
        <w:rPr>
          <w:rFonts w:cs="Arial"/>
        </w:rPr>
        <w:t>Posteriormente, se procedió a realizar el cruce cartográfico entre los polígonos de los instrumentos mineros (la Resolución No. 2001 de 2016 y la Resolución 1499 de 2018) y el límite de la Ecorregión de La Sabana de Bogotá, encontrándose:</w:t>
      </w:r>
    </w:p>
    <w:p w14:paraId="6319B89B" w14:textId="77777777" w:rsidR="00684F80" w:rsidRPr="00131EED" w:rsidRDefault="00684F80" w:rsidP="000959B9">
      <w:pPr>
        <w:rPr>
          <w:rFonts w:cs="Arial"/>
        </w:rPr>
      </w:pPr>
    </w:p>
    <w:p w14:paraId="539C6E65" w14:textId="77777777" w:rsidR="00C154AC" w:rsidRPr="00131EED" w:rsidRDefault="00C154AC" w:rsidP="000959B9">
      <w:pPr>
        <w:rPr>
          <w:rFonts w:cs="Arial"/>
        </w:rPr>
      </w:pPr>
    </w:p>
    <w:p w14:paraId="6B25C650" w14:textId="77777777" w:rsidR="00684F80" w:rsidRPr="00131EED" w:rsidRDefault="00684F80" w:rsidP="000959B9">
      <w:pPr>
        <w:rPr>
          <w:rFonts w:cs="Arial"/>
        </w:rPr>
      </w:pPr>
    </w:p>
    <w:p w14:paraId="63BB020A" w14:textId="77777777" w:rsidR="00684F80" w:rsidRPr="00131EED" w:rsidRDefault="00684F80" w:rsidP="000959B9">
      <w:pPr>
        <w:rPr>
          <w:rFonts w:cs="Arial"/>
        </w:rPr>
      </w:pPr>
    </w:p>
    <w:p w14:paraId="6442ECA9" w14:textId="77777777" w:rsidR="004044A3" w:rsidRPr="00131EED" w:rsidRDefault="004044A3" w:rsidP="000959B9">
      <w:pPr>
        <w:rPr>
          <w:rFonts w:cs="Arial"/>
        </w:rPr>
      </w:pPr>
    </w:p>
    <w:p w14:paraId="39D11178" w14:textId="77777777" w:rsidR="000959B9" w:rsidRPr="00131EED" w:rsidRDefault="000959B9" w:rsidP="000959B9">
      <w:pPr>
        <w:rPr>
          <w:rFonts w:cs="Arial"/>
        </w:rPr>
      </w:pPr>
    </w:p>
    <w:p w14:paraId="4D04AE6D" w14:textId="49A2423E" w:rsidR="000959B9" w:rsidRPr="00131EED" w:rsidRDefault="000959B9" w:rsidP="00EB3FFA">
      <w:pPr>
        <w:pStyle w:val="Caption"/>
        <w:jc w:val="center"/>
      </w:pPr>
      <w:bookmarkStart w:id="141" w:name="_Toc164763185"/>
      <w:bookmarkStart w:id="142" w:name="_Toc216468935"/>
      <w:r w:rsidRPr="00131EED">
        <w:t xml:space="preserve">Tabla </w:t>
      </w:r>
      <w:fldSimple w:instr=" SEQ Tabla \* ARABIC ">
        <w:r w:rsidR="00CE096F">
          <w:rPr>
            <w:noProof/>
          </w:rPr>
          <w:t>25</w:t>
        </w:r>
      </w:fldSimple>
      <w:r w:rsidRPr="00131EED">
        <w:t xml:space="preserve">  Instrumentos Mineros en la </w:t>
      </w:r>
      <w:r w:rsidR="00A52E61" w:rsidRPr="00131EED">
        <w:t>Ecorregión</w:t>
      </w:r>
      <w:r w:rsidRPr="00131EED">
        <w:t xml:space="preserve"> de La Sabana de Bogotá.</w:t>
      </w:r>
      <w:bookmarkEnd w:id="141"/>
      <w:bookmarkEnd w:id="142"/>
    </w:p>
    <w:tbl>
      <w:tblPr>
        <w:tblStyle w:val="TableGrid"/>
        <w:tblW w:w="0" w:type="auto"/>
        <w:tblLook w:val="04A0" w:firstRow="1" w:lastRow="0" w:firstColumn="1" w:lastColumn="0" w:noHBand="0" w:noVBand="1"/>
      </w:tblPr>
      <w:tblGrid>
        <w:gridCol w:w="3686"/>
        <w:gridCol w:w="2268"/>
        <w:gridCol w:w="2835"/>
      </w:tblGrid>
      <w:tr w:rsidR="000959B9" w:rsidRPr="00131EED" w14:paraId="5729A9F0" w14:textId="77777777" w:rsidTr="00053167">
        <w:trPr>
          <w:trHeight w:val="245"/>
        </w:trPr>
        <w:tc>
          <w:tcPr>
            <w:tcW w:w="3686" w:type="dxa"/>
            <w:vMerge w:val="restart"/>
          </w:tcPr>
          <w:p w14:paraId="47A46AD5" w14:textId="77777777" w:rsidR="000959B9" w:rsidRPr="00131EED" w:rsidRDefault="000959B9" w:rsidP="00B60DA2">
            <w:pPr>
              <w:jc w:val="center"/>
              <w:rPr>
                <w:b/>
                <w:sz w:val="20"/>
                <w:szCs w:val="20"/>
                <w:lang w:eastAsia="es-ES"/>
              </w:rPr>
            </w:pPr>
            <w:r w:rsidRPr="00131EED">
              <w:rPr>
                <w:b/>
                <w:sz w:val="20"/>
                <w:szCs w:val="20"/>
                <w:lang w:eastAsia="es-ES"/>
              </w:rPr>
              <w:t>Instrumento Minero</w:t>
            </w:r>
          </w:p>
        </w:tc>
        <w:tc>
          <w:tcPr>
            <w:tcW w:w="5103" w:type="dxa"/>
            <w:gridSpan w:val="2"/>
          </w:tcPr>
          <w:p w14:paraId="09A3420D" w14:textId="77777777" w:rsidR="000959B9" w:rsidRPr="00131EED" w:rsidRDefault="000959B9" w:rsidP="00B60DA2">
            <w:pPr>
              <w:jc w:val="center"/>
              <w:rPr>
                <w:b/>
                <w:sz w:val="20"/>
                <w:szCs w:val="20"/>
                <w:lang w:eastAsia="es-ES"/>
              </w:rPr>
            </w:pPr>
            <w:r w:rsidRPr="00131EED">
              <w:rPr>
                <w:b/>
                <w:sz w:val="20"/>
                <w:szCs w:val="20"/>
                <w:lang w:eastAsia="es-ES"/>
              </w:rPr>
              <w:t>Resultado Cruce</w:t>
            </w:r>
          </w:p>
        </w:tc>
      </w:tr>
      <w:tr w:rsidR="000959B9" w:rsidRPr="00131EED" w14:paraId="4E54DB2D" w14:textId="77777777" w:rsidTr="00053167">
        <w:trPr>
          <w:trHeight w:val="244"/>
        </w:trPr>
        <w:tc>
          <w:tcPr>
            <w:tcW w:w="3686" w:type="dxa"/>
            <w:vMerge/>
          </w:tcPr>
          <w:p w14:paraId="74694562" w14:textId="77777777" w:rsidR="000959B9" w:rsidRPr="00131EED" w:rsidRDefault="000959B9" w:rsidP="00B60DA2">
            <w:pPr>
              <w:jc w:val="center"/>
              <w:rPr>
                <w:b/>
                <w:sz w:val="20"/>
                <w:szCs w:val="20"/>
                <w:lang w:eastAsia="es-ES"/>
              </w:rPr>
            </w:pPr>
          </w:p>
        </w:tc>
        <w:tc>
          <w:tcPr>
            <w:tcW w:w="2268" w:type="dxa"/>
          </w:tcPr>
          <w:p w14:paraId="0597C1B5" w14:textId="77777777" w:rsidR="000959B9" w:rsidRPr="00131EED" w:rsidRDefault="000959B9" w:rsidP="00B60DA2">
            <w:pPr>
              <w:jc w:val="center"/>
              <w:rPr>
                <w:b/>
                <w:sz w:val="20"/>
                <w:szCs w:val="20"/>
                <w:lang w:eastAsia="es-ES"/>
              </w:rPr>
            </w:pPr>
            <w:r w:rsidRPr="00131EED">
              <w:rPr>
                <w:b/>
                <w:sz w:val="20"/>
                <w:szCs w:val="20"/>
                <w:lang w:eastAsia="es-ES"/>
              </w:rPr>
              <w:t>Dentro de Zonas compatibles (#)</w:t>
            </w:r>
          </w:p>
        </w:tc>
        <w:tc>
          <w:tcPr>
            <w:tcW w:w="2835" w:type="dxa"/>
          </w:tcPr>
          <w:p w14:paraId="29EEEF08" w14:textId="77777777" w:rsidR="000959B9" w:rsidRPr="00131EED" w:rsidRDefault="000959B9" w:rsidP="00B60DA2">
            <w:pPr>
              <w:jc w:val="center"/>
              <w:rPr>
                <w:b/>
                <w:sz w:val="20"/>
                <w:szCs w:val="20"/>
                <w:lang w:eastAsia="es-ES"/>
              </w:rPr>
            </w:pPr>
            <w:r w:rsidRPr="00131EED">
              <w:rPr>
                <w:b/>
                <w:sz w:val="20"/>
                <w:szCs w:val="20"/>
                <w:lang w:eastAsia="es-ES"/>
              </w:rPr>
              <w:t>Fuera de Zonas compatibles (#)</w:t>
            </w:r>
          </w:p>
        </w:tc>
      </w:tr>
      <w:tr w:rsidR="000959B9" w:rsidRPr="00131EED" w14:paraId="64B1811F" w14:textId="77777777" w:rsidTr="00053167">
        <w:tc>
          <w:tcPr>
            <w:tcW w:w="3686" w:type="dxa"/>
          </w:tcPr>
          <w:p w14:paraId="28691BF3" w14:textId="77777777" w:rsidR="000959B9" w:rsidRPr="00131EED" w:rsidRDefault="000959B9" w:rsidP="00B60DA2">
            <w:pPr>
              <w:jc w:val="center"/>
              <w:rPr>
                <w:b/>
                <w:sz w:val="20"/>
                <w:szCs w:val="20"/>
                <w:lang w:eastAsia="es-ES"/>
              </w:rPr>
            </w:pPr>
            <w:r w:rsidRPr="00131EED">
              <w:rPr>
                <w:b/>
                <w:sz w:val="20"/>
                <w:szCs w:val="20"/>
                <w:lang w:eastAsia="es-ES"/>
              </w:rPr>
              <w:t>Contrato Concesión</w:t>
            </w:r>
          </w:p>
        </w:tc>
        <w:tc>
          <w:tcPr>
            <w:tcW w:w="2268" w:type="dxa"/>
          </w:tcPr>
          <w:p w14:paraId="63620182" w14:textId="77777777" w:rsidR="000959B9" w:rsidRPr="00131EED" w:rsidRDefault="000959B9" w:rsidP="00B60DA2">
            <w:pPr>
              <w:jc w:val="center"/>
              <w:rPr>
                <w:sz w:val="20"/>
                <w:szCs w:val="20"/>
                <w:lang w:eastAsia="es-ES"/>
              </w:rPr>
            </w:pPr>
            <w:r w:rsidRPr="00131EED">
              <w:rPr>
                <w:sz w:val="20"/>
                <w:szCs w:val="20"/>
                <w:lang w:eastAsia="es-ES"/>
              </w:rPr>
              <w:t>231</w:t>
            </w:r>
          </w:p>
        </w:tc>
        <w:tc>
          <w:tcPr>
            <w:tcW w:w="2835" w:type="dxa"/>
          </w:tcPr>
          <w:p w14:paraId="41E0B5F6" w14:textId="77777777" w:rsidR="000959B9" w:rsidRPr="00131EED" w:rsidRDefault="000959B9" w:rsidP="00B60DA2">
            <w:pPr>
              <w:jc w:val="center"/>
              <w:rPr>
                <w:sz w:val="20"/>
                <w:szCs w:val="20"/>
                <w:lang w:eastAsia="es-ES"/>
              </w:rPr>
            </w:pPr>
            <w:r w:rsidRPr="00131EED">
              <w:rPr>
                <w:sz w:val="20"/>
                <w:szCs w:val="20"/>
                <w:lang w:eastAsia="es-ES"/>
              </w:rPr>
              <w:t>64</w:t>
            </w:r>
            <w:r w:rsidRPr="00131EED">
              <w:rPr>
                <w:sz w:val="20"/>
                <w:szCs w:val="20"/>
                <w:vertAlign w:val="superscript"/>
                <w:lang w:eastAsia="es-ES"/>
              </w:rPr>
              <w:t>*</w:t>
            </w:r>
          </w:p>
        </w:tc>
      </w:tr>
      <w:tr w:rsidR="000959B9" w:rsidRPr="00131EED" w14:paraId="6A78E1E0" w14:textId="77777777" w:rsidTr="00053167">
        <w:tc>
          <w:tcPr>
            <w:tcW w:w="3686" w:type="dxa"/>
          </w:tcPr>
          <w:p w14:paraId="08B36B8A" w14:textId="77777777" w:rsidR="000959B9" w:rsidRPr="00131EED" w:rsidRDefault="000959B9" w:rsidP="00B60DA2">
            <w:pPr>
              <w:jc w:val="center"/>
              <w:rPr>
                <w:b/>
                <w:sz w:val="20"/>
                <w:szCs w:val="20"/>
                <w:lang w:eastAsia="es-ES"/>
              </w:rPr>
            </w:pPr>
            <w:r w:rsidRPr="00131EED">
              <w:rPr>
                <w:b/>
                <w:sz w:val="20"/>
                <w:szCs w:val="20"/>
                <w:lang w:eastAsia="es-ES"/>
              </w:rPr>
              <w:t>Solicitud Contrato</w:t>
            </w:r>
          </w:p>
        </w:tc>
        <w:tc>
          <w:tcPr>
            <w:tcW w:w="2268" w:type="dxa"/>
          </w:tcPr>
          <w:p w14:paraId="66314879" w14:textId="77777777" w:rsidR="000959B9" w:rsidRPr="00131EED" w:rsidRDefault="000959B9" w:rsidP="00B60DA2">
            <w:pPr>
              <w:jc w:val="center"/>
              <w:rPr>
                <w:sz w:val="20"/>
                <w:szCs w:val="20"/>
                <w:lang w:eastAsia="es-ES"/>
              </w:rPr>
            </w:pPr>
            <w:r w:rsidRPr="00131EED">
              <w:rPr>
                <w:sz w:val="20"/>
                <w:szCs w:val="20"/>
                <w:lang w:eastAsia="es-ES"/>
              </w:rPr>
              <w:t>85</w:t>
            </w:r>
          </w:p>
        </w:tc>
        <w:tc>
          <w:tcPr>
            <w:tcW w:w="2835" w:type="dxa"/>
          </w:tcPr>
          <w:p w14:paraId="0BB644C5" w14:textId="77777777" w:rsidR="000959B9" w:rsidRPr="00131EED" w:rsidRDefault="000959B9" w:rsidP="00B60DA2">
            <w:pPr>
              <w:jc w:val="center"/>
              <w:rPr>
                <w:sz w:val="20"/>
                <w:szCs w:val="20"/>
                <w:vertAlign w:val="superscript"/>
                <w:lang w:eastAsia="es-ES"/>
              </w:rPr>
            </w:pPr>
            <w:r w:rsidRPr="00131EED">
              <w:rPr>
                <w:sz w:val="20"/>
                <w:szCs w:val="20"/>
                <w:lang w:eastAsia="es-ES"/>
              </w:rPr>
              <w:t>39</w:t>
            </w:r>
            <w:r w:rsidRPr="00131EED">
              <w:rPr>
                <w:sz w:val="20"/>
                <w:szCs w:val="20"/>
                <w:vertAlign w:val="superscript"/>
                <w:lang w:eastAsia="es-ES"/>
              </w:rPr>
              <w:t>**</w:t>
            </w:r>
          </w:p>
        </w:tc>
      </w:tr>
      <w:tr w:rsidR="000959B9" w:rsidRPr="00131EED" w14:paraId="07AFE7B4" w14:textId="77777777" w:rsidTr="00053167">
        <w:tc>
          <w:tcPr>
            <w:tcW w:w="3686" w:type="dxa"/>
          </w:tcPr>
          <w:p w14:paraId="3A7E43F0" w14:textId="77777777" w:rsidR="000959B9" w:rsidRPr="00131EED" w:rsidRDefault="000959B9" w:rsidP="00B60DA2">
            <w:pPr>
              <w:jc w:val="center"/>
              <w:rPr>
                <w:b/>
                <w:sz w:val="20"/>
                <w:szCs w:val="20"/>
                <w:lang w:eastAsia="es-ES"/>
              </w:rPr>
            </w:pPr>
            <w:r w:rsidRPr="00131EED">
              <w:rPr>
                <w:b/>
                <w:sz w:val="20"/>
                <w:szCs w:val="20"/>
                <w:lang w:eastAsia="es-ES"/>
              </w:rPr>
              <w:t>Subcontrato</w:t>
            </w:r>
          </w:p>
        </w:tc>
        <w:tc>
          <w:tcPr>
            <w:tcW w:w="2268" w:type="dxa"/>
          </w:tcPr>
          <w:p w14:paraId="190127CE" w14:textId="77777777" w:rsidR="000959B9" w:rsidRPr="00131EED" w:rsidRDefault="000959B9" w:rsidP="00B60DA2">
            <w:pPr>
              <w:jc w:val="center"/>
              <w:rPr>
                <w:sz w:val="20"/>
                <w:szCs w:val="20"/>
                <w:lang w:eastAsia="es-ES"/>
              </w:rPr>
            </w:pPr>
            <w:r w:rsidRPr="00131EED">
              <w:rPr>
                <w:sz w:val="20"/>
                <w:szCs w:val="20"/>
                <w:lang w:eastAsia="es-ES"/>
              </w:rPr>
              <w:t>-</w:t>
            </w:r>
          </w:p>
        </w:tc>
        <w:tc>
          <w:tcPr>
            <w:tcW w:w="2835" w:type="dxa"/>
          </w:tcPr>
          <w:p w14:paraId="5C60C69A" w14:textId="77777777" w:rsidR="000959B9" w:rsidRPr="00131EED" w:rsidRDefault="000959B9" w:rsidP="00B60DA2">
            <w:pPr>
              <w:jc w:val="center"/>
              <w:rPr>
                <w:sz w:val="20"/>
                <w:szCs w:val="20"/>
                <w:lang w:eastAsia="es-ES"/>
              </w:rPr>
            </w:pPr>
            <w:r w:rsidRPr="00131EED">
              <w:rPr>
                <w:sz w:val="20"/>
                <w:szCs w:val="20"/>
                <w:lang w:eastAsia="es-ES"/>
              </w:rPr>
              <w:t>-</w:t>
            </w:r>
          </w:p>
        </w:tc>
      </w:tr>
    </w:tbl>
    <w:p w14:paraId="02588B22" w14:textId="77777777" w:rsidR="000959B9" w:rsidRPr="00131EED" w:rsidRDefault="000959B9" w:rsidP="000959B9">
      <w:pPr>
        <w:jc w:val="center"/>
        <w:rPr>
          <w:rFonts w:cs="Arial"/>
          <w:sz w:val="20"/>
          <w:szCs w:val="20"/>
          <w:lang w:eastAsia="es-ES"/>
        </w:rPr>
      </w:pPr>
      <w:r w:rsidRPr="00131EED">
        <w:rPr>
          <w:rFonts w:cs="Arial"/>
          <w:sz w:val="20"/>
          <w:szCs w:val="20"/>
        </w:rPr>
        <w:t xml:space="preserve">Fuente: Grupo de Gestión Ambiental Minera – MADS, 2024, a partir de las Resoluciones 2001 de 2016 y 1499 de 2018. </w:t>
      </w:r>
      <w:r w:rsidRPr="00131EED">
        <w:rPr>
          <w:rFonts w:cs="Arial"/>
          <w:sz w:val="20"/>
          <w:szCs w:val="20"/>
          <w:vertAlign w:val="superscript"/>
          <w:lang w:eastAsia="es-ES"/>
        </w:rPr>
        <w:t xml:space="preserve">* </w:t>
      </w:r>
      <w:r w:rsidRPr="00131EED">
        <w:rPr>
          <w:rFonts w:cs="Arial"/>
          <w:sz w:val="20"/>
          <w:szCs w:val="20"/>
          <w:lang w:eastAsia="es-ES"/>
        </w:rPr>
        <w:t xml:space="preserve">Corresponde a la suma de los instrumentos mineros ya identificados fuera de zonas compatibles con minería en el escenario 1 sumados a los títulos mineros fuera del límite de Sabana de Bogotá de acuerdo con Res 2001 de 2016. </w:t>
      </w:r>
      <w:r w:rsidRPr="00131EED">
        <w:rPr>
          <w:rFonts w:cs="Arial"/>
          <w:sz w:val="20"/>
          <w:szCs w:val="20"/>
          <w:vertAlign w:val="superscript"/>
          <w:lang w:eastAsia="es-ES"/>
        </w:rPr>
        <w:t>*</w:t>
      </w:r>
      <w:r w:rsidRPr="00131EED">
        <w:rPr>
          <w:rFonts w:cs="Arial"/>
          <w:sz w:val="20"/>
          <w:szCs w:val="20"/>
          <w:lang w:eastAsia="es-ES"/>
        </w:rPr>
        <w:t xml:space="preserve"> Ya que fuera del límite de Sabana de Bogotá de acuerdo con Res 2001 de 2016 no hay restricción a minería, las solicitudes de área libres aumentan.</w:t>
      </w:r>
    </w:p>
    <w:p w14:paraId="19DE474F" w14:textId="77777777" w:rsidR="000959B9" w:rsidRPr="00131EED" w:rsidRDefault="000959B9" w:rsidP="000959B9">
      <w:pPr>
        <w:rPr>
          <w:rFonts w:cs="Arial"/>
        </w:rPr>
      </w:pPr>
    </w:p>
    <w:p w14:paraId="7F625EC4" w14:textId="77777777" w:rsidR="000959B9" w:rsidRPr="00131EED" w:rsidRDefault="000959B9" w:rsidP="000959B9">
      <w:pPr>
        <w:rPr>
          <w:rFonts w:cs="Arial"/>
        </w:rPr>
      </w:pPr>
      <w:r w:rsidRPr="00131EED">
        <w:rPr>
          <w:rFonts w:cs="Arial"/>
        </w:rPr>
        <w:t>De lo anterior se concluye que actualmente, la Ecorregión de La Sabana de Bogotá cuenta con 28 polígonos compatibles con la actividad minera que comprenden un área total de 19476, 3 hectáreas. Se ubican en la zona sur del área urbana de Bogotá D.C. y los municipios de Soacha, Sibaté, Bojacá, Mosquera, Madrid, Facatativá, el Rosal, Subachoque, Tabio, Zipaquirá, Cogua, Tausa, Nemocón, Suesca, Chocontá, Tocancipá, Guatavita y Guasca. Entre los materiales que se extraen en la Sabana de Bogotá se encuentran los materiales de construcción (arenas arcillosas, arenas feldespáticas, arenas industriales, arenas y gravas silíceas, gravas, recebo, etc.), arcillas, carbón, mineral de hierro, sal gema, entre otros. En cuanto a la vida útil de los títulos mineros, en la siguiente tabla se clasifican por rangos de anualidades, de acuerdo con la información tomada de la Agencia Nacional Minera:</w:t>
      </w:r>
    </w:p>
    <w:p w14:paraId="5CCCF2BD" w14:textId="77777777" w:rsidR="00E900D0" w:rsidRPr="00131EED" w:rsidRDefault="00E900D0" w:rsidP="000959B9">
      <w:pPr>
        <w:rPr>
          <w:rFonts w:ascii="Baskerville" w:hAnsi="Baskerville" w:cs="Arial"/>
        </w:rPr>
      </w:pPr>
    </w:p>
    <w:p w14:paraId="07261096" w14:textId="19E786A5" w:rsidR="000959B9" w:rsidRPr="00131EED" w:rsidRDefault="000959B9" w:rsidP="00B54F05">
      <w:pPr>
        <w:pStyle w:val="Caption"/>
        <w:jc w:val="center"/>
      </w:pPr>
      <w:bookmarkStart w:id="143" w:name="_Toc164763186"/>
      <w:bookmarkStart w:id="144" w:name="_Toc216468936"/>
      <w:r w:rsidRPr="00131EED">
        <w:t xml:space="preserve">Tabla </w:t>
      </w:r>
      <w:r w:rsidRPr="00131EED">
        <w:fldChar w:fldCharType="begin"/>
      </w:r>
      <w:r w:rsidRPr="00131EED">
        <w:instrText>SEQ Tabla \* ARABIC</w:instrText>
      </w:r>
      <w:r w:rsidRPr="00131EED">
        <w:fldChar w:fldCharType="separate"/>
      </w:r>
      <w:r w:rsidR="00CE096F">
        <w:rPr>
          <w:noProof/>
        </w:rPr>
        <w:t>26</w:t>
      </w:r>
      <w:r w:rsidRPr="00131EED">
        <w:fldChar w:fldCharType="end"/>
      </w:r>
      <w:r w:rsidRPr="00131EED">
        <w:t xml:space="preserve"> Modalidad de los títulos mineros de la Sabana de Bogotá</w:t>
      </w:r>
      <w:bookmarkEnd w:id="143"/>
      <w:bookmarkEnd w:id="144"/>
    </w:p>
    <w:tbl>
      <w:tblPr>
        <w:tblStyle w:val="TableGrid"/>
        <w:tblW w:w="0" w:type="auto"/>
        <w:tblLook w:val="04A0" w:firstRow="1" w:lastRow="0" w:firstColumn="1" w:lastColumn="0" w:noHBand="0" w:noVBand="1"/>
      </w:tblPr>
      <w:tblGrid>
        <w:gridCol w:w="3005"/>
        <w:gridCol w:w="3073"/>
        <w:gridCol w:w="2750"/>
      </w:tblGrid>
      <w:tr w:rsidR="000959B9" w:rsidRPr="00131EED" w14:paraId="04F26143" w14:textId="77777777" w:rsidTr="00053167">
        <w:trPr>
          <w:trHeight w:val="20"/>
        </w:trPr>
        <w:tc>
          <w:tcPr>
            <w:tcW w:w="3005" w:type="dxa"/>
          </w:tcPr>
          <w:p w14:paraId="5A5703D0" w14:textId="77777777" w:rsidR="000959B9" w:rsidRPr="00131EED" w:rsidRDefault="000959B9" w:rsidP="00B60DA2">
            <w:pPr>
              <w:jc w:val="center"/>
              <w:rPr>
                <w:b/>
                <w:sz w:val="20"/>
                <w:szCs w:val="20"/>
              </w:rPr>
            </w:pPr>
            <w:r w:rsidRPr="00131EED">
              <w:rPr>
                <w:b/>
                <w:sz w:val="20"/>
                <w:szCs w:val="20"/>
              </w:rPr>
              <w:t>Rango</w:t>
            </w:r>
          </w:p>
        </w:tc>
        <w:tc>
          <w:tcPr>
            <w:tcW w:w="3073" w:type="dxa"/>
          </w:tcPr>
          <w:p w14:paraId="573A1AAD" w14:textId="77777777" w:rsidR="000959B9" w:rsidRPr="00131EED" w:rsidRDefault="000959B9" w:rsidP="00B60DA2">
            <w:pPr>
              <w:jc w:val="center"/>
              <w:rPr>
                <w:b/>
                <w:sz w:val="20"/>
                <w:szCs w:val="20"/>
              </w:rPr>
            </w:pPr>
            <w:r w:rsidRPr="00131EED">
              <w:rPr>
                <w:b/>
                <w:sz w:val="20"/>
                <w:szCs w:val="20"/>
              </w:rPr>
              <w:t>Número de títulos mineros</w:t>
            </w:r>
          </w:p>
        </w:tc>
        <w:tc>
          <w:tcPr>
            <w:tcW w:w="2750" w:type="dxa"/>
          </w:tcPr>
          <w:p w14:paraId="6B1E5010" w14:textId="77777777" w:rsidR="000959B9" w:rsidRPr="00131EED" w:rsidRDefault="000959B9" w:rsidP="00B60DA2">
            <w:pPr>
              <w:jc w:val="center"/>
              <w:rPr>
                <w:b/>
                <w:sz w:val="20"/>
                <w:szCs w:val="20"/>
              </w:rPr>
            </w:pPr>
            <w:r w:rsidRPr="00131EED">
              <w:rPr>
                <w:b/>
                <w:sz w:val="20"/>
                <w:szCs w:val="20"/>
              </w:rPr>
              <w:t>Área (ha)</w:t>
            </w:r>
          </w:p>
        </w:tc>
      </w:tr>
      <w:tr w:rsidR="000959B9" w:rsidRPr="00131EED" w14:paraId="34D1DB28" w14:textId="77777777" w:rsidTr="00053167">
        <w:trPr>
          <w:trHeight w:val="181"/>
        </w:trPr>
        <w:tc>
          <w:tcPr>
            <w:tcW w:w="3005" w:type="dxa"/>
          </w:tcPr>
          <w:p w14:paraId="618A0D19" w14:textId="77777777" w:rsidR="000959B9" w:rsidRPr="00131EED" w:rsidRDefault="000959B9" w:rsidP="00B60DA2">
            <w:pPr>
              <w:jc w:val="center"/>
              <w:rPr>
                <w:sz w:val="20"/>
                <w:szCs w:val="20"/>
              </w:rPr>
            </w:pPr>
            <w:r w:rsidRPr="00131EED">
              <w:rPr>
                <w:sz w:val="20"/>
                <w:szCs w:val="20"/>
              </w:rPr>
              <w:t>1995 – 2009</w:t>
            </w:r>
          </w:p>
        </w:tc>
        <w:tc>
          <w:tcPr>
            <w:tcW w:w="3073" w:type="dxa"/>
          </w:tcPr>
          <w:p w14:paraId="0825560C" w14:textId="77777777" w:rsidR="000959B9" w:rsidRPr="00131EED" w:rsidRDefault="000959B9" w:rsidP="00B60DA2">
            <w:pPr>
              <w:jc w:val="center"/>
              <w:rPr>
                <w:sz w:val="20"/>
                <w:szCs w:val="20"/>
              </w:rPr>
            </w:pPr>
            <w:r w:rsidRPr="00131EED">
              <w:rPr>
                <w:sz w:val="20"/>
                <w:szCs w:val="20"/>
              </w:rPr>
              <w:t>7</w:t>
            </w:r>
          </w:p>
        </w:tc>
        <w:tc>
          <w:tcPr>
            <w:tcW w:w="2750" w:type="dxa"/>
          </w:tcPr>
          <w:p w14:paraId="1B62B54C" w14:textId="77777777" w:rsidR="000959B9" w:rsidRPr="00131EED" w:rsidRDefault="000959B9" w:rsidP="00B60DA2">
            <w:pPr>
              <w:jc w:val="center"/>
              <w:rPr>
                <w:sz w:val="20"/>
                <w:szCs w:val="20"/>
              </w:rPr>
            </w:pPr>
            <w:r w:rsidRPr="00131EED">
              <w:rPr>
                <w:sz w:val="20"/>
                <w:szCs w:val="20"/>
              </w:rPr>
              <w:t>373,01</w:t>
            </w:r>
          </w:p>
        </w:tc>
      </w:tr>
      <w:tr w:rsidR="000959B9" w:rsidRPr="00131EED" w14:paraId="5B1ED087" w14:textId="77777777" w:rsidTr="00053167">
        <w:trPr>
          <w:trHeight w:val="20"/>
        </w:trPr>
        <w:tc>
          <w:tcPr>
            <w:tcW w:w="3005" w:type="dxa"/>
          </w:tcPr>
          <w:p w14:paraId="71D1705C" w14:textId="77777777" w:rsidR="000959B9" w:rsidRPr="00131EED" w:rsidRDefault="000959B9" w:rsidP="00B60DA2">
            <w:pPr>
              <w:jc w:val="center"/>
              <w:rPr>
                <w:sz w:val="20"/>
                <w:szCs w:val="20"/>
              </w:rPr>
            </w:pPr>
            <w:r w:rsidRPr="00131EED">
              <w:rPr>
                <w:sz w:val="20"/>
                <w:szCs w:val="20"/>
              </w:rPr>
              <w:t>2011 – 2020</w:t>
            </w:r>
          </w:p>
        </w:tc>
        <w:tc>
          <w:tcPr>
            <w:tcW w:w="3073" w:type="dxa"/>
          </w:tcPr>
          <w:p w14:paraId="0AD069AB" w14:textId="77777777" w:rsidR="000959B9" w:rsidRPr="00131EED" w:rsidRDefault="000959B9" w:rsidP="00B60DA2">
            <w:pPr>
              <w:jc w:val="center"/>
              <w:rPr>
                <w:sz w:val="20"/>
                <w:szCs w:val="20"/>
              </w:rPr>
            </w:pPr>
            <w:r w:rsidRPr="00131EED">
              <w:rPr>
                <w:sz w:val="20"/>
                <w:szCs w:val="20"/>
              </w:rPr>
              <w:t>37</w:t>
            </w:r>
          </w:p>
        </w:tc>
        <w:tc>
          <w:tcPr>
            <w:tcW w:w="2750" w:type="dxa"/>
          </w:tcPr>
          <w:p w14:paraId="78727C7D" w14:textId="77777777" w:rsidR="000959B9" w:rsidRPr="00131EED" w:rsidRDefault="000959B9" w:rsidP="00B60DA2">
            <w:pPr>
              <w:jc w:val="center"/>
              <w:rPr>
                <w:sz w:val="20"/>
                <w:szCs w:val="20"/>
              </w:rPr>
            </w:pPr>
            <w:r w:rsidRPr="00131EED">
              <w:rPr>
                <w:sz w:val="20"/>
                <w:szCs w:val="20"/>
              </w:rPr>
              <w:t>1288,99</w:t>
            </w:r>
          </w:p>
        </w:tc>
      </w:tr>
      <w:tr w:rsidR="000959B9" w:rsidRPr="00131EED" w14:paraId="7C422E30" w14:textId="77777777" w:rsidTr="00053167">
        <w:trPr>
          <w:trHeight w:val="20"/>
        </w:trPr>
        <w:tc>
          <w:tcPr>
            <w:tcW w:w="3005" w:type="dxa"/>
          </w:tcPr>
          <w:p w14:paraId="4832B478" w14:textId="77777777" w:rsidR="000959B9" w:rsidRPr="00131EED" w:rsidRDefault="000959B9" w:rsidP="00B60DA2">
            <w:pPr>
              <w:jc w:val="center"/>
              <w:rPr>
                <w:sz w:val="20"/>
                <w:szCs w:val="20"/>
              </w:rPr>
            </w:pPr>
            <w:r w:rsidRPr="00131EED">
              <w:rPr>
                <w:sz w:val="20"/>
                <w:szCs w:val="20"/>
              </w:rPr>
              <w:t>2021 – 2030</w:t>
            </w:r>
          </w:p>
        </w:tc>
        <w:tc>
          <w:tcPr>
            <w:tcW w:w="3073" w:type="dxa"/>
          </w:tcPr>
          <w:p w14:paraId="5C4228DF" w14:textId="77777777" w:rsidR="000959B9" w:rsidRPr="00131EED" w:rsidRDefault="000959B9" w:rsidP="00B60DA2">
            <w:pPr>
              <w:jc w:val="center"/>
              <w:rPr>
                <w:sz w:val="20"/>
                <w:szCs w:val="20"/>
              </w:rPr>
            </w:pPr>
            <w:r w:rsidRPr="00131EED">
              <w:rPr>
                <w:sz w:val="20"/>
                <w:szCs w:val="20"/>
              </w:rPr>
              <w:t>56</w:t>
            </w:r>
          </w:p>
        </w:tc>
        <w:tc>
          <w:tcPr>
            <w:tcW w:w="2750" w:type="dxa"/>
          </w:tcPr>
          <w:p w14:paraId="7126E593" w14:textId="77777777" w:rsidR="000959B9" w:rsidRPr="00131EED" w:rsidRDefault="000959B9" w:rsidP="00B60DA2">
            <w:pPr>
              <w:jc w:val="center"/>
              <w:rPr>
                <w:sz w:val="20"/>
                <w:szCs w:val="20"/>
              </w:rPr>
            </w:pPr>
            <w:r w:rsidRPr="00131EED">
              <w:rPr>
                <w:sz w:val="20"/>
                <w:szCs w:val="20"/>
              </w:rPr>
              <w:t>5179,93</w:t>
            </w:r>
          </w:p>
        </w:tc>
      </w:tr>
      <w:tr w:rsidR="000959B9" w:rsidRPr="00131EED" w14:paraId="74FC5BD7" w14:textId="77777777" w:rsidTr="00053167">
        <w:trPr>
          <w:trHeight w:val="20"/>
        </w:trPr>
        <w:tc>
          <w:tcPr>
            <w:tcW w:w="3005" w:type="dxa"/>
          </w:tcPr>
          <w:p w14:paraId="11F2D5F6" w14:textId="77777777" w:rsidR="000959B9" w:rsidRPr="00131EED" w:rsidRDefault="000959B9" w:rsidP="00B60DA2">
            <w:pPr>
              <w:jc w:val="center"/>
              <w:rPr>
                <w:sz w:val="20"/>
                <w:szCs w:val="20"/>
              </w:rPr>
            </w:pPr>
            <w:r w:rsidRPr="00131EED">
              <w:rPr>
                <w:sz w:val="20"/>
                <w:szCs w:val="20"/>
              </w:rPr>
              <w:t>2031 – 2040</w:t>
            </w:r>
          </w:p>
        </w:tc>
        <w:tc>
          <w:tcPr>
            <w:tcW w:w="3073" w:type="dxa"/>
          </w:tcPr>
          <w:p w14:paraId="2C06EED9" w14:textId="77777777" w:rsidR="000959B9" w:rsidRPr="00131EED" w:rsidRDefault="000959B9" w:rsidP="00B60DA2">
            <w:pPr>
              <w:jc w:val="center"/>
              <w:rPr>
                <w:sz w:val="20"/>
                <w:szCs w:val="20"/>
              </w:rPr>
            </w:pPr>
            <w:r w:rsidRPr="00131EED">
              <w:rPr>
                <w:sz w:val="20"/>
                <w:szCs w:val="20"/>
              </w:rPr>
              <w:t>116</w:t>
            </w:r>
          </w:p>
        </w:tc>
        <w:tc>
          <w:tcPr>
            <w:tcW w:w="2750" w:type="dxa"/>
          </w:tcPr>
          <w:p w14:paraId="2105C251" w14:textId="77777777" w:rsidR="000959B9" w:rsidRPr="00131EED" w:rsidRDefault="000959B9" w:rsidP="00B60DA2">
            <w:pPr>
              <w:jc w:val="center"/>
              <w:rPr>
                <w:sz w:val="20"/>
                <w:szCs w:val="20"/>
              </w:rPr>
            </w:pPr>
            <w:r w:rsidRPr="00131EED">
              <w:rPr>
                <w:sz w:val="20"/>
                <w:szCs w:val="20"/>
              </w:rPr>
              <w:t>14790,26</w:t>
            </w:r>
          </w:p>
        </w:tc>
      </w:tr>
      <w:tr w:rsidR="000959B9" w:rsidRPr="00131EED" w14:paraId="26FA202A" w14:textId="77777777" w:rsidTr="00053167">
        <w:trPr>
          <w:trHeight w:val="20"/>
        </w:trPr>
        <w:tc>
          <w:tcPr>
            <w:tcW w:w="3005" w:type="dxa"/>
          </w:tcPr>
          <w:p w14:paraId="105C2CB6" w14:textId="77777777" w:rsidR="000959B9" w:rsidRPr="00131EED" w:rsidRDefault="000959B9" w:rsidP="00B60DA2">
            <w:pPr>
              <w:jc w:val="center"/>
              <w:rPr>
                <w:sz w:val="20"/>
                <w:szCs w:val="20"/>
              </w:rPr>
            </w:pPr>
            <w:r w:rsidRPr="00131EED">
              <w:rPr>
                <w:sz w:val="20"/>
                <w:szCs w:val="20"/>
              </w:rPr>
              <w:t>2041 – 2050</w:t>
            </w:r>
          </w:p>
        </w:tc>
        <w:tc>
          <w:tcPr>
            <w:tcW w:w="3073" w:type="dxa"/>
          </w:tcPr>
          <w:p w14:paraId="3B2C0148" w14:textId="77777777" w:rsidR="000959B9" w:rsidRPr="00131EED" w:rsidRDefault="000959B9" w:rsidP="00B60DA2">
            <w:pPr>
              <w:jc w:val="center"/>
              <w:rPr>
                <w:sz w:val="20"/>
                <w:szCs w:val="20"/>
              </w:rPr>
            </w:pPr>
            <w:r w:rsidRPr="00131EED">
              <w:rPr>
                <w:sz w:val="20"/>
                <w:szCs w:val="20"/>
              </w:rPr>
              <w:t>22</w:t>
            </w:r>
          </w:p>
        </w:tc>
        <w:tc>
          <w:tcPr>
            <w:tcW w:w="2750" w:type="dxa"/>
          </w:tcPr>
          <w:p w14:paraId="223A05B8" w14:textId="77777777" w:rsidR="000959B9" w:rsidRPr="00131EED" w:rsidRDefault="000959B9" w:rsidP="00B60DA2">
            <w:pPr>
              <w:jc w:val="center"/>
              <w:rPr>
                <w:sz w:val="20"/>
                <w:szCs w:val="20"/>
              </w:rPr>
            </w:pPr>
            <w:r w:rsidRPr="00131EED">
              <w:rPr>
                <w:sz w:val="20"/>
                <w:szCs w:val="20"/>
              </w:rPr>
              <w:t>2732,20</w:t>
            </w:r>
          </w:p>
        </w:tc>
      </w:tr>
      <w:tr w:rsidR="000959B9" w:rsidRPr="00131EED" w14:paraId="63469C2F" w14:textId="77777777" w:rsidTr="00053167">
        <w:trPr>
          <w:trHeight w:val="20"/>
        </w:trPr>
        <w:tc>
          <w:tcPr>
            <w:tcW w:w="3005" w:type="dxa"/>
          </w:tcPr>
          <w:p w14:paraId="64B0A733" w14:textId="77777777" w:rsidR="000959B9" w:rsidRPr="00131EED" w:rsidRDefault="000959B9" w:rsidP="00B60DA2">
            <w:pPr>
              <w:jc w:val="center"/>
              <w:rPr>
                <w:sz w:val="20"/>
                <w:szCs w:val="20"/>
              </w:rPr>
            </w:pPr>
            <w:r w:rsidRPr="00131EED">
              <w:rPr>
                <w:sz w:val="20"/>
                <w:szCs w:val="20"/>
              </w:rPr>
              <w:t>2051 – 2053</w:t>
            </w:r>
          </w:p>
        </w:tc>
        <w:tc>
          <w:tcPr>
            <w:tcW w:w="3073" w:type="dxa"/>
          </w:tcPr>
          <w:p w14:paraId="680B355A" w14:textId="77777777" w:rsidR="000959B9" w:rsidRPr="00131EED" w:rsidRDefault="000959B9" w:rsidP="00B60DA2">
            <w:pPr>
              <w:jc w:val="center"/>
              <w:rPr>
                <w:sz w:val="20"/>
                <w:szCs w:val="20"/>
              </w:rPr>
            </w:pPr>
            <w:r w:rsidRPr="00131EED">
              <w:rPr>
                <w:sz w:val="20"/>
                <w:szCs w:val="20"/>
              </w:rPr>
              <w:t>29</w:t>
            </w:r>
          </w:p>
        </w:tc>
        <w:tc>
          <w:tcPr>
            <w:tcW w:w="2750" w:type="dxa"/>
          </w:tcPr>
          <w:p w14:paraId="110AB822" w14:textId="77777777" w:rsidR="000959B9" w:rsidRPr="00131EED" w:rsidRDefault="000959B9" w:rsidP="00B60DA2">
            <w:pPr>
              <w:jc w:val="center"/>
              <w:rPr>
                <w:sz w:val="20"/>
                <w:szCs w:val="20"/>
              </w:rPr>
            </w:pPr>
            <w:r w:rsidRPr="00131EED">
              <w:rPr>
                <w:sz w:val="20"/>
                <w:szCs w:val="20"/>
              </w:rPr>
              <w:t>1292,12</w:t>
            </w:r>
          </w:p>
        </w:tc>
      </w:tr>
      <w:tr w:rsidR="000959B9" w:rsidRPr="00131EED" w14:paraId="39548B24" w14:textId="77777777" w:rsidTr="00053167">
        <w:trPr>
          <w:trHeight w:val="20"/>
        </w:trPr>
        <w:tc>
          <w:tcPr>
            <w:tcW w:w="3005" w:type="dxa"/>
          </w:tcPr>
          <w:p w14:paraId="26E29AE1" w14:textId="77777777" w:rsidR="000959B9" w:rsidRPr="00131EED" w:rsidRDefault="000959B9" w:rsidP="00B60DA2">
            <w:pPr>
              <w:jc w:val="center"/>
              <w:rPr>
                <w:b/>
                <w:sz w:val="20"/>
                <w:szCs w:val="20"/>
              </w:rPr>
            </w:pPr>
            <w:r w:rsidRPr="00131EED">
              <w:rPr>
                <w:b/>
                <w:sz w:val="20"/>
                <w:szCs w:val="20"/>
              </w:rPr>
              <w:t>TOTAL</w:t>
            </w:r>
          </w:p>
        </w:tc>
        <w:tc>
          <w:tcPr>
            <w:tcW w:w="3073" w:type="dxa"/>
          </w:tcPr>
          <w:p w14:paraId="5E5C817A" w14:textId="77777777" w:rsidR="000959B9" w:rsidRPr="00131EED" w:rsidRDefault="000959B9" w:rsidP="00B60DA2">
            <w:pPr>
              <w:jc w:val="center"/>
              <w:rPr>
                <w:b/>
                <w:sz w:val="20"/>
                <w:szCs w:val="20"/>
              </w:rPr>
            </w:pPr>
            <w:r w:rsidRPr="00131EED">
              <w:rPr>
                <w:b/>
                <w:sz w:val="20"/>
                <w:szCs w:val="20"/>
              </w:rPr>
              <w:t>267</w:t>
            </w:r>
          </w:p>
        </w:tc>
        <w:tc>
          <w:tcPr>
            <w:tcW w:w="2750" w:type="dxa"/>
          </w:tcPr>
          <w:p w14:paraId="1DE01A10" w14:textId="77777777" w:rsidR="000959B9" w:rsidRPr="00131EED" w:rsidRDefault="000959B9" w:rsidP="00B60DA2">
            <w:pPr>
              <w:jc w:val="center"/>
              <w:rPr>
                <w:b/>
                <w:sz w:val="20"/>
                <w:szCs w:val="20"/>
              </w:rPr>
            </w:pPr>
            <w:r w:rsidRPr="00131EED">
              <w:rPr>
                <w:b/>
                <w:sz w:val="20"/>
                <w:szCs w:val="20"/>
              </w:rPr>
              <w:t>25656,51</w:t>
            </w:r>
          </w:p>
        </w:tc>
      </w:tr>
    </w:tbl>
    <w:p w14:paraId="48D93A50" w14:textId="509EE89A" w:rsidR="001B3D31" w:rsidRPr="00131EED" w:rsidRDefault="000959B9" w:rsidP="000959B9">
      <w:pPr>
        <w:jc w:val="center"/>
        <w:rPr>
          <w:rFonts w:ascii="Baskerville" w:hAnsi="Baskerville" w:cs="Arial"/>
          <w:sz w:val="20"/>
          <w:szCs w:val="20"/>
        </w:rPr>
      </w:pPr>
      <w:r w:rsidRPr="00131EED">
        <w:rPr>
          <w:rFonts w:ascii="Baskerville" w:hAnsi="Baskerville" w:cs="Arial"/>
          <w:sz w:val="20"/>
          <w:szCs w:val="20"/>
        </w:rPr>
        <w:t xml:space="preserve">*Los títulos activos faltantes no cuentan con información sobre la fecha de finalización. </w:t>
      </w:r>
    </w:p>
    <w:p w14:paraId="7B6AA7CF" w14:textId="356D9AD2" w:rsidR="000959B9" w:rsidRPr="00131EED" w:rsidRDefault="000959B9" w:rsidP="000959B9">
      <w:pPr>
        <w:jc w:val="center"/>
        <w:rPr>
          <w:rFonts w:ascii="Baskerville" w:hAnsi="Baskerville" w:cs="Arial"/>
          <w:sz w:val="20"/>
          <w:szCs w:val="20"/>
        </w:rPr>
      </w:pPr>
      <w:r w:rsidRPr="00131EED">
        <w:rPr>
          <w:rFonts w:ascii="Baskerville" w:hAnsi="Baskerville" w:cs="Arial"/>
          <w:sz w:val="20"/>
          <w:szCs w:val="20"/>
        </w:rPr>
        <w:t>Fuente: Ministerio de Ambiente y Desarrollo Sostenible, a partir de la Agencia Nacional Minera</w:t>
      </w:r>
    </w:p>
    <w:p w14:paraId="45B4B832" w14:textId="77777777" w:rsidR="000959B9" w:rsidRPr="00131EED" w:rsidRDefault="000959B9" w:rsidP="000959B9">
      <w:pPr>
        <w:pStyle w:val="Caption"/>
        <w:spacing w:after="0"/>
        <w:rPr>
          <w:rFonts w:ascii="Baskerville" w:hAnsi="Baskerville"/>
          <w:b/>
          <w:bCs/>
          <w:i w:val="0"/>
          <w:iCs w:val="0"/>
          <w:color w:val="1F3864" w:themeColor="accent1" w:themeShade="80"/>
        </w:rPr>
      </w:pPr>
    </w:p>
    <w:p w14:paraId="4CCBE142" w14:textId="77777777" w:rsidR="00684F80" w:rsidRPr="00131EED" w:rsidRDefault="00684F80" w:rsidP="00684F80">
      <w:pPr>
        <w:rPr>
          <w:lang w:eastAsia="en-US"/>
        </w:rPr>
      </w:pPr>
    </w:p>
    <w:p w14:paraId="410B23B7" w14:textId="77777777" w:rsidR="000959B9" w:rsidRPr="00131EED" w:rsidRDefault="000959B9" w:rsidP="000959B9">
      <w:r w:rsidRPr="00131EED">
        <w:rPr>
          <w:b/>
        </w:rPr>
        <w:t>Nota aclaratoria:</w:t>
      </w:r>
      <w:r w:rsidRPr="00131EED">
        <w:t xml:space="preserve"> la información presentada sobre títulos mineros y solicitudes corresponde a datos proporcionados por la Agencia Nacional de Minería (ANM). Es importante resaltar que esta información es dinámica y está en constante actualización, reflejando las modificaciones y nuevos registros del sector. Para acceder a la información más reciente y detallada sobre títulos mineros, se recomienda consultar el portal oficial ANNA Minería, disponible en el sitio web de la Agencia Nacional de Minería</w:t>
      </w:r>
      <w:r w:rsidRPr="00131EED">
        <w:rPr>
          <w:rStyle w:val="FootnoteReference"/>
        </w:rPr>
        <w:footnoteReference w:id="5"/>
      </w:r>
      <w:r w:rsidRPr="00131EED">
        <w:t>.</w:t>
      </w:r>
    </w:p>
    <w:p w14:paraId="5AB12497" w14:textId="77777777" w:rsidR="000959B9" w:rsidRPr="00131EED" w:rsidRDefault="000959B9" w:rsidP="000959B9">
      <w:pPr>
        <w:rPr>
          <w:rFonts w:ascii="Baskerville" w:hAnsi="Baskerville"/>
        </w:rPr>
      </w:pPr>
    </w:p>
    <w:p w14:paraId="58D5925D" w14:textId="79EA27B3" w:rsidR="000959B9" w:rsidRPr="00131EED" w:rsidRDefault="00B54F05" w:rsidP="00A52E61">
      <w:pPr>
        <w:pStyle w:val="Caption"/>
        <w:jc w:val="center"/>
      </w:pPr>
      <w:bookmarkStart w:id="145" w:name="_Toc216468801"/>
      <w:r w:rsidRPr="00131EED">
        <w:t xml:space="preserve">Ilustración </w:t>
      </w:r>
      <w:r w:rsidRPr="00131EED">
        <w:fldChar w:fldCharType="begin"/>
      </w:r>
      <w:r w:rsidRPr="00131EED">
        <w:instrText>SEQ Ilustración \* ARABIC</w:instrText>
      </w:r>
      <w:r w:rsidRPr="00131EED">
        <w:fldChar w:fldCharType="separate"/>
      </w:r>
      <w:r w:rsidR="00CE096F">
        <w:rPr>
          <w:noProof/>
        </w:rPr>
        <w:t>36</w:t>
      </w:r>
      <w:r w:rsidRPr="00131EED">
        <w:fldChar w:fldCharType="end"/>
      </w:r>
      <w:r w:rsidR="000959B9" w:rsidRPr="00131EED">
        <w:t>Títulos Mineros Sabana de Bogotá vs zonas compatibles con la minería</w:t>
      </w:r>
      <w:bookmarkEnd w:id="145"/>
    </w:p>
    <w:p w14:paraId="145CEE00" w14:textId="77777777" w:rsidR="000959B9" w:rsidRPr="00131EED" w:rsidRDefault="000959B9" w:rsidP="000959B9">
      <w:pPr>
        <w:jc w:val="center"/>
        <w:rPr>
          <w:rFonts w:ascii="Baskerville" w:hAnsi="Baskerville" w:cs="Arial"/>
        </w:rPr>
      </w:pPr>
      <w:r w:rsidRPr="00131EED">
        <w:rPr>
          <w:rFonts w:ascii="Baskerville" w:hAnsi="Baskerville"/>
          <w:noProof/>
          <w:color w:val="2B579A"/>
          <w:lang w:eastAsia="en-US"/>
        </w:rPr>
        <mc:AlternateContent>
          <mc:Choice Requires="wps">
            <w:drawing>
              <wp:anchor distT="0" distB="0" distL="114300" distR="114300" simplePos="0" relativeHeight="251563520" behindDoc="0" locked="0" layoutInCell="1" allowOverlap="1" wp14:anchorId="1CA0FC41" wp14:editId="56AB03C6">
                <wp:simplePos x="0" y="0"/>
                <wp:positionH relativeFrom="column">
                  <wp:posOffset>3695065</wp:posOffset>
                </wp:positionH>
                <wp:positionV relativeFrom="paragraph">
                  <wp:posOffset>1199955</wp:posOffset>
                </wp:positionV>
                <wp:extent cx="873457" cy="198413"/>
                <wp:effectExtent l="0" t="0" r="15875" b="17780"/>
                <wp:wrapNone/>
                <wp:docPr id="1688908216" name="Rectángulo 1"/>
                <wp:cNvGraphicFramePr/>
                <a:graphic xmlns:a="http://schemas.openxmlformats.org/drawingml/2006/main">
                  <a:graphicData uri="http://schemas.microsoft.com/office/word/2010/wordprocessingShape">
                    <wps:wsp>
                      <wps:cNvSpPr/>
                      <wps:spPr>
                        <a:xfrm>
                          <a:off x="0" y="0"/>
                          <a:ext cx="873457" cy="198413"/>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DE27C0D" id="Rectángulo 1" o:spid="_x0000_s1026" style="position:absolute;margin-left:290.95pt;margin-top:94.5pt;width:68.8pt;height:15.6pt;z-index:251563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" fillcolor="white [3212]" strokecolor="white [3212]" strokeweight="1pt"/>
            </w:pict>
          </mc:Fallback>
        </mc:AlternateContent>
      </w:r>
      <w:r w:rsidRPr="00131EED">
        <w:rPr>
          <w:rFonts w:ascii="Baskerville" w:hAnsi="Baskerville"/>
          <w:noProof/>
          <w:color w:val="2B579A"/>
          <w:shd w:val="clear" w:color="auto" w:fill="E6E6E6"/>
          <w:lang w:eastAsia="en-US"/>
        </w:rPr>
        <w:drawing>
          <wp:inline distT="0" distB="0" distL="0" distR="0" wp14:anchorId="206C21A6" wp14:editId="6C0F42B5">
            <wp:extent cx="4461899" cy="3790950"/>
            <wp:effectExtent l="0" t="0" r="0" b="0"/>
            <wp:docPr id="1445488763" name="Imagen 7" descr="A map of a reg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488763" name="Imagen 7" descr="A map of a region&#10;&#10;AI-generated content may be incorrect."/>
                    <pic:cNvPicPr/>
                  </pic:nvPicPr>
                  <pic:blipFill>
                    <a:blip r:embed="rId72"/>
                    <a:stretch>
                      <a:fillRect/>
                    </a:stretch>
                  </pic:blipFill>
                  <pic:spPr>
                    <a:xfrm>
                      <a:off x="0" y="0"/>
                      <a:ext cx="4489587" cy="3814475"/>
                    </a:xfrm>
                    <a:prstGeom prst="rect">
                      <a:avLst/>
                    </a:prstGeom>
                  </pic:spPr>
                </pic:pic>
              </a:graphicData>
            </a:graphic>
          </wp:inline>
        </w:drawing>
      </w:r>
    </w:p>
    <w:p w14:paraId="4C234546" w14:textId="77777777" w:rsidR="000959B9" w:rsidRPr="00131EED" w:rsidRDefault="000959B9" w:rsidP="000959B9">
      <w:pPr>
        <w:jc w:val="center"/>
        <w:rPr>
          <w:rFonts w:cs="Arial"/>
          <w:sz w:val="20"/>
          <w:szCs w:val="20"/>
        </w:rPr>
      </w:pPr>
      <w:r w:rsidRPr="00131EED">
        <w:rPr>
          <w:rFonts w:cs="Arial"/>
          <w:sz w:val="20"/>
          <w:szCs w:val="20"/>
        </w:rPr>
        <w:t>Fuente: Grupo de Gestión Ambiental Minera – MADS, 2024</w:t>
      </w:r>
    </w:p>
    <w:p w14:paraId="00256F04" w14:textId="77777777" w:rsidR="000959B9" w:rsidRPr="00131EED" w:rsidRDefault="000959B9" w:rsidP="000959B9">
      <w:pPr>
        <w:rPr>
          <w:rFonts w:cs="Arial"/>
          <w:sz w:val="20"/>
          <w:szCs w:val="20"/>
        </w:rPr>
      </w:pPr>
    </w:p>
    <w:p w14:paraId="3720A51A" w14:textId="77777777" w:rsidR="000959B9" w:rsidRPr="00131EED" w:rsidRDefault="000959B9" w:rsidP="000959B9">
      <w:pPr>
        <w:rPr>
          <w:rFonts w:cs="Arial"/>
        </w:rPr>
      </w:pPr>
      <w:r w:rsidRPr="00131EED">
        <w:rPr>
          <w:rFonts w:cs="Arial"/>
        </w:rPr>
        <w:t>Como se observa en la Ilustración anterior, se encuentran contratos de concesión minera vigentes fuera de las zonas compatibles, o parcialmente dentro de ellas. Esta práctica entra en conflicto con el mandato de la Sentencia del Río Bogotá (orden 4,26), que ordena la revocatoria o suspensión de licencias títulos, permisos, autorizaciones o concesiones para el uso y aprovechamiento de los recursos naturales y del medio ambiente en las zonas excluidas de minería. Además, evidencia el incumplimiento de lo expedido por este Ministerio a través de las resoluciones 2001 de 2016 y 1499 de 2018, puesto que se siguen generando actividades mineras en zonas no compatibles, dando un uso del suelo en contra de lo determinado en el mencionado artículo 61 de la Ley 99 de 1993.</w:t>
      </w:r>
    </w:p>
    <w:p w14:paraId="053ED937" w14:textId="6F4FC4AE" w:rsidR="000959B9" w:rsidRPr="00131EED" w:rsidRDefault="000959B9" w:rsidP="00410194">
      <w:pPr>
        <w:pStyle w:val="Heading3"/>
        <w:numPr>
          <w:ilvl w:val="2"/>
          <w:numId w:val="31"/>
        </w:numPr>
      </w:pPr>
      <w:bookmarkStart w:id="146" w:name="_Toc216468705"/>
      <w:r w:rsidRPr="00131EED">
        <w:t>Actividad minera traslapada con</w:t>
      </w:r>
      <w:r w:rsidR="00EE2263" w:rsidRPr="00131EED">
        <w:t xml:space="preserve"> humedales, subxerofitia, páramos y bosque andino</w:t>
      </w:r>
      <w:bookmarkEnd w:id="146"/>
    </w:p>
    <w:p w14:paraId="571FCF99" w14:textId="77777777" w:rsidR="000959B9" w:rsidRPr="00131EED" w:rsidRDefault="000959B9" w:rsidP="000959B9">
      <w:pPr>
        <w:rPr>
          <w:rFonts w:ascii="Baskerville" w:hAnsi="Baskerville" w:cs="Arial"/>
        </w:rPr>
      </w:pPr>
    </w:p>
    <w:p w14:paraId="1B253667" w14:textId="30E9B0AA" w:rsidR="000959B9" w:rsidRPr="00131EED" w:rsidRDefault="000959B9" w:rsidP="000959B9">
      <w:pPr>
        <w:rPr>
          <w:rFonts w:cs="Arial"/>
        </w:rPr>
      </w:pPr>
      <w:r w:rsidRPr="00131EED">
        <w:rPr>
          <w:rFonts w:cs="Arial"/>
        </w:rPr>
        <w:t>En el marco del presente diagnóstico se realiza una caracterización de l</w:t>
      </w:r>
      <w:r w:rsidR="002E06EA" w:rsidRPr="00131EED">
        <w:rPr>
          <w:rFonts w:cs="Arial"/>
        </w:rPr>
        <w:t xml:space="preserve">os ecosistemas </w:t>
      </w:r>
      <w:r w:rsidRPr="00131EED">
        <w:rPr>
          <w:rFonts w:cs="Arial"/>
        </w:rPr>
        <w:t xml:space="preserve">de la Sabana de Bogotá que presentan superposición con las zonas compatibles delimitadas en las resoluciones 2001 de 2016 y 1499 de 2018. </w:t>
      </w:r>
    </w:p>
    <w:p w14:paraId="7DA4BCB2" w14:textId="77777777" w:rsidR="000959B9" w:rsidRPr="00131EED" w:rsidRDefault="000959B9" w:rsidP="00410194">
      <w:pPr>
        <w:pStyle w:val="Heading3"/>
        <w:numPr>
          <w:ilvl w:val="3"/>
          <w:numId w:val="31"/>
        </w:numPr>
        <w:rPr>
          <w:rFonts w:cs="Arial"/>
          <w:i/>
          <w:color w:val="auto"/>
        </w:rPr>
      </w:pPr>
      <w:bookmarkStart w:id="147" w:name="_Toc216468706"/>
      <w:r w:rsidRPr="00131EED">
        <w:rPr>
          <w:i/>
        </w:rPr>
        <w:t>Superposición con el ecosistema subxerofítico andino</w:t>
      </w:r>
      <w:bookmarkEnd w:id="147"/>
      <w:r w:rsidRPr="00131EED">
        <w:rPr>
          <w:rFonts w:cs="Arial"/>
          <w:i/>
          <w:color w:val="auto"/>
        </w:rPr>
        <w:t xml:space="preserve"> </w:t>
      </w:r>
    </w:p>
    <w:p w14:paraId="33E7EA1B" w14:textId="77777777" w:rsidR="000959B9" w:rsidRPr="00131EED" w:rsidRDefault="000959B9" w:rsidP="000959B9">
      <w:pPr>
        <w:rPr>
          <w:rFonts w:ascii="Baskerville" w:hAnsi="Baskerville"/>
        </w:rPr>
      </w:pPr>
    </w:p>
    <w:p w14:paraId="630CE7F2" w14:textId="3CF962B7" w:rsidR="000959B9" w:rsidRPr="00131EED" w:rsidRDefault="000959B9" w:rsidP="000959B9">
      <w:pPr>
        <w:rPr>
          <w:rFonts w:cs="Arial"/>
        </w:rPr>
      </w:pPr>
      <w:r w:rsidRPr="00131EED">
        <w:rPr>
          <w:rFonts w:cs="Arial"/>
        </w:rPr>
        <w:t>La relación entre la subxerofitia andina y la minería en la Sabana de Bogotá es crucial debido a los impactos ambientales significativos que la minería puede provocar en estos ecosistemas vulnerables.</w:t>
      </w:r>
    </w:p>
    <w:p w14:paraId="012B1C77" w14:textId="77777777" w:rsidR="000959B9" w:rsidRPr="00131EED" w:rsidRDefault="000959B9" w:rsidP="000959B9">
      <w:pPr>
        <w:rPr>
          <w:rFonts w:cs="Arial"/>
        </w:rPr>
      </w:pPr>
    </w:p>
    <w:p w14:paraId="6DEFA3C5" w14:textId="77777777" w:rsidR="000959B9" w:rsidRPr="00131EED" w:rsidRDefault="000959B9" w:rsidP="000959B9">
      <w:pPr>
        <w:ind w:right="49"/>
        <w:rPr>
          <w:rFonts w:cs="Arial"/>
        </w:rPr>
      </w:pPr>
      <w:r w:rsidRPr="00131EED">
        <w:rPr>
          <w:rFonts w:cs="Arial"/>
        </w:rPr>
        <w:t>Entre los impactos de la Minería en la Subxerofitia Andina, se pueden resaltar los siguientes:</w:t>
      </w:r>
    </w:p>
    <w:p w14:paraId="1D6AB2A8" w14:textId="77777777" w:rsidR="000959B9" w:rsidRPr="00131EED" w:rsidRDefault="000959B9" w:rsidP="000959B9">
      <w:pPr>
        <w:ind w:right="49"/>
        <w:rPr>
          <w:rFonts w:cs="Arial"/>
        </w:rPr>
      </w:pPr>
    </w:p>
    <w:p w14:paraId="2154A03D" w14:textId="46A6F1C4" w:rsidR="000959B9" w:rsidRPr="00131EED" w:rsidRDefault="000959B9" w:rsidP="00410194">
      <w:pPr>
        <w:pStyle w:val="ListParagraph"/>
        <w:numPr>
          <w:ilvl w:val="0"/>
          <w:numId w:val="14"/>
        </w:numPr>
        <w:spacing w:after="0"/>
        <w:ind w:right="49"/>
        <w:rPr>
          <w:rFonts w:cs="Arial"/>
          <w:sz w:val="24"/>
          <w:szCs w:val="24"/>
        </w:rPr>
      </w:pPr>
      <w:r w:rsidRPr="00131EED">
        <w:rPr>
          <w:rFonts w:cs="Arial"/>
          <w:sz w:val="24"/>
          <w:szCs w:val="24"/>
        </w:rPr>
        <w:t xml:space="preserve">Alteración del Hábitat. La actividad minera puede destruir o alterar significativamente el hábitat natural de las especies subxerofíticas. La remoción de la vegetación y la alteración del terreno disminuyen la capacidad de estas plantas para sobrevivir, afectando la biodiversidad local y potencialmente llevando a la extinción de especies adaptadas a estas condiciones únicas </w:t>
      </w:r>
      <w:sdt>
        <w:sdtPr>
          <w:rPr>
            <w:rFonts w:cs="Arial"/>
            <w:sz w:val="24"/>
            <w:szCs w:val="24"/>
          </w:rPr>
          <w:id w:val="-1877617040"/>
          <w:citation/>
        </w:sdtPr>
        <w:sdtEndPr/>
        <w:sdtContent>
          <w:r w:rsidRPr="00131EED">
            <w:rPr>
              <w:rFonts w:cs="Arial"/>
              <w:sz w:val="24"/>
              <w:szCs w:val="24"/>
            </w:rPr>
            <w:fldChar w:fldCharType="begin"/>
          </w:r>
          <w:r w:rsidRPr="00131EED">
            <w:rPr>
              <w:rFonts w:cs="Arial"/>
              <w:sz w:val="24"/>
              <w:szCs w:val="24"/>
            </w:rPr>
            <w:instrText xml:space="preserve"> CITATION Min17 \l 2058 </w:instrText>
          </w:r>
          <w:r w:rsidRPr="00131EED">
            <w:rPr>
              <w:rFonts w:cs="Arial"/>
              <w:sz w:val="24"/>
              <w:szCs w:val="24"/>
            </w:rPr>
            <w:fldChar w:fldCharType="separate"/>
          </w:r>
          <w:r w:rsidRPr="00131EED">
            <w:rPr>
              <w:rFonts w:cs="Arial"/>
              <w:sz w:val="24"/>
              <w:szCs w:val="24"/>
            </w:rPr>
            <w:t>(Ministerio de Ambiente y Desarrollo Sostenible, 2017)</w:t>
          </w:r>
          <w:r w:rsidRPr="00131EED">
            <w:rPr>
              <w:rFonts w:cs="Arial"/>
              <w:sz w:val="24"/>
              <w:szCs w:val="24"/>
            </w:rPr>
            <w:fldChar w:fldCharType="end"/>
          </w:r>
        </w:sdtContent>
      </w:sdt>
      <w:r w:rsidRPr="00131EED">
        <w:rPr>
          <w:rFonts w:cs="Arial"/>
          <w:sz w:val="24"/>
          <w:szCs w:val="24"/>
        </w:rPr>
        <w:t>.</w:t>
      </w:r>
    </w:p>
    <w:p w14:paraId="46940965" w14:textId="5FD039ED" w:rsidR="000959B9" w:rsidRPr="00131EED" w:rsidRDefault="000959B9" w:rsidP="00410194">
      <w:pPr>
        <w:pStyle w:val="ListParagraph"/>
        <w:numPr>
          <w:ilvl w:val="0"/>
          <w:numId w:val="14"/>
        </w:numPr>
        <w:spacing w:after="0"/>
        <w:ind w:right="49"/>
        <w:rPr>
          <w:rFonts w:cs="Arial"/>
          <w:sz w:val="24"/>
          <w:szCs w:val="24"/>
        </w:rPr>
      </w:pPr>
      <w:r w:rsidRPr="00131EED">
        <w:rPr>
          <w:rFonts w:cs="Arial"/>
          <w:sz w:val="24"/>
          <w:szCs w:val="24"/>
        </w:rPr>
        <w:t xml:space="preserve">Contaminación del Agua. Las operaciones mineras pueden contaminar los cuerpos de agua superficiales y subterráneos con metales pesados y químicos, lo que afecta directamente la disponibilidad y calidad del agua necesaria para la vida de las plantas subxerofíticas </w:t>
      </w:r>
      <w:sdt>
        <w:sdtPr>
          <w:rPr>
            <w:rFonts w:cs="Arial"/>
            <w:sz w:val="24"/>
            <w:szCs w:val="24"/>
          </w:rPr>
          <w:id w:val="-1366439721"/>
          <w:citation/>
        </w:sdtPr>
        <w:sdtEndPr/>
        <w:sdtContent>
          <w:r w:rsidRPr="00131EED">
            <w:rPr>
              <w:rFonts w:cs="Arial"/>
              <w:sz w:val="24"/>
              <w:szCs w:val="24"/>
            </w:rPr>
            <w:fldChar w:fldCharType="begin"/>
          </w:r>
          <w:r w:rsidRPr="00131EED">
            <w:rPr>
              <w:rFonts w:cs="Arial"/>
              <w:sz w:val="24"/>
              <w:szCs w:val="24"/>
            </w:rPr>
            <w:instrText xml:space="preserve"> CITATION Ins18 \l 2058 </w:instrText>
          </w:r>
          <w:r w:rsidRPr="00131EED">
            <w:rPr>
              <w:rFonts w:cs="Arial"/>
              <w:sz w:val="24"/>
              <w:szCs w:val="24"/>
            </w:rPr>
            <w:fldChar w:fldCharType="separate"/>
          </w:r>
          <w:r w:rsidRPr="00131EED">
            <w:rPr>
              <w:rFonts w:cs="Arial"/>
              <w:sz w:val="24"/>
              <w:szCs w:val="24"/>
            </w:rPr>
            <w:t>(Instituto Humboldt, 2018)</w:t>
          </w:r>
          <w:r w:rsidRPr="00131EED">
            <w:rPr>
              <w:rFonts w:cs="Arial"/>
              <w:sz w:val="24"/>
              <w:szCs w:val="24"/>
            </w:rPr>
            <w:fldChar w:fldCharType="end"/>
          </w:r>
        </w:sdtContent>
      </w:sdt>
      <w:r w:rsidRPr="00131EED">
        <w:rPr>
          <w:rFonts w:cs="Arial"/>
          <w:sz w:val="24"/>
          <w:szCs w:val="24"/>
        </w:rPr>
        <w:t>.</w:t>
      </w:r>
    </w:p>
    <w:p w14:paraId="38393B3D" w14:textId="77777777" w:rsidR="000959B9" w:rsidRPr="00131EED" w:rsidRDefault="000959B9" w:rsidP="00410194">
      <w:pPr>
        <w:pStyle w:val="ListParagraph"/>
        <w:numPr>
          <w:ilvl w:val="0"/>
          <w:numId w:val="14"/>
        </w:numPr>
        <w:spacing w:after="0"/>
        <w:ind w:right="49"/>
        <w:rPr>
          <w:rFonts w:cs="Arial"/>
          <w:sz w:val="24"/>
          <w:szCs w:val="24"/>
        </w:rPr>
      </w:pPr>
      <w:r w:rsidRPr="00131EED">
        <w:rPr>
          <w:rFonts w:cs="Arial"/>
          <w:sz w:val="24"/>
          <w:szCs w:val="24"/>
        </w:rPr>
        <w:t>Cambio en los Patrones de Drenaje. La minería puede alterar los patrones naturales de drenaje en la región, cambiando la hidrología local. Esto puede reducir la disponibilidad de agua en el suelo, lo cual es crucial para la supervivencia de las especies adaptadas a la sequía.</w:t>
      </w:r>
    </w:p>
    <w:p w14:paraId="06A25AF2" w14:textId="77777777" w:rsidR="000959B9" w:rsidRPr="00131EED" w:rsidRDefault="000959B9" w:rsidP="000959B9">
      <w:pPr>
        <w:ind w:right="410"/>
        <w:rPr>
          <w:rFonts w:cs="Arial"/>
        </w:rPr>
      </w:pPr>
    </w:p>
    <w:p w14:paraId="1D87A9D8" w14:textId="77777777" w:rsidR="000959B9" w:rsidRPr="00131EED" w:rsidRDefault="000959B9" w:rsidP="000959B9">
      <w:pPr>
        <w:rPr>
          <w:rFonts w:cs="Arial"/>
        </w:rPr>
      </w:pPr>
      <w:r w:rsidRPr="00131EED">
        <w:rPr>
          <w:rFonts w:cs="Arial"/>
        </w:rPr>
        <w:t>Para el caso de la Sabana de Bogotá, se presenta una intercepción de 2300,42 ha de las zonas compatibles con la minería según la Resolución 2001 de 2016 y Resolución 1499 de 2018, (0,40% del área del ámbito-Ecorregión de Sabana de Bogotá). Igualmente, una superposición de 3235,99 Ha en áreas con títulos mineros (1,5ha terminados, 107,1 ha terminados -en liquidación y 3127,3 ha activos), lo que equivale al 0,56% del área del ámbito-Ecorregión de Sabana de Bogotá.</w:t>
      </w:r>
    </w:p>
    <w:p w14:paraId="340292A4" w14:textId="7BD6104C" w:rsidR="00684F80" w:rsidRPr="00131EED" w:rsidRDefault="00684F80" w:rsidP="000959B9">
      <w:pPr>
        <w:rPr>
          <w:rFonts w:cs="Arial"/>
        </w:rPr>
      </w:pPr>
    </w:p>
    <w:p w14:paraId="5E3C1BAF" w14:textId="3A1CF080" w:rsidR="00633394" w:rsidRPr="00131EED" w:rsidRDefault="00633394" w:rsidP="000959B9">
      <w:pPr>
        <w:rPr>
          <w:rFonts w:cs="Arial"/>
        </w:rPr>
      </w:pPr>
    </w:p>
    <w:p w14:paraId="03432DB4" w14:textId="469347A1" w:rsidR="00633394" w:rsidRPr="00131EED" w:rsidRDefault="00633394" w:rsidP="000959B9">
      <w:pPr>
        <w:rPr>
          <w:rFonts w:cs="Arial"/>
        </w:rPr>
      </w:pPr>
    </w:p>
    <w:p w14:paraId="1B2FCF25" w14:textId="35686A41" w:rsidR="00633394" w:rsidRPr="00131EED" w:rsidRDefault="00633394" w:rsidP="000959B9">
      <w:pPr>
        <w:rPr>
          <w:rFonts w:cs="Arial"/>
        </w:rPr>
      </w:pPr>
    </w:p>
    <w:p w14:paraId="01C11230" w14:textId="1C95B340" w:rsidR="00633394" w:rsidRPr="00131EED" w:rsidRDefault="00633394" w:rsidP="000959B9">
      <w:pPr>
        <w:rPr>
          <w:rFonts w:cs="Arial"/>
        </w:rPr>
      </w:pPr>
    </w:p>
    <w:p w14:paraId="360A5EC4" w14:textId="09068668" w:rsidR="00633394" w:rsidRPr="00131EED" w:rsidRDefault="00633394" w:rsidP="000959B9">
      <w:pPr>
        <w:rPr>
          <w:rFonts w:cs="Arial"/>
        </w:rPr>
      </w:pPr>
    </w:p>
    <w:p w14:paraId="5A5EE7F8" w14:textId="77777777" w:rsidR="00633394" w:rsidRPr="00131EED" w:rsidRDefault="00633394" w:rsidP="000959B9">
      <w:pPr>
        <w:rPr>
          <w:rFonts w:cs="Arial"/>
        </w:rPr>
      </w:pPr>
    </w:p>
    <w:p w14:paraId="18A9DBBC" w14:textId="133A6039" w:rsidR="000959B9" w:rsidRPr="00131EED" w:rsidRDefault="008B5A30" w:rsidP="008B5A30">
      <w:pPr>
        <w:pStyle w:val="Caption"/>
        <w:jc w:val="center"/>
      </w:pPr>
      <w:bookmarkStart w:id="148" w:name="_Toc164763162"/>
      <w:bookmarkStart w:id="149" w:name="_Toc165381213"/>
      <w:bookmarkStart w:id="150" w:name="_Toc216468802"/>
      <w:r w:rsidRPr="00131EED">
        <w:t>Ilustración</w:t>
      </w:r>
      <w:r w:rsidR="000959B9" w:rsidRPr="00131EED">
        <w:t xml:space="preserve"> </w:t>
      </w:r>
      <w:fldSimple w:instr=" SEQ Ilustración \* ARABIC ">
        <w:r w:rsidR="00CE096F">
          <w:rPr>
            <w:noProof/>
          </w:rPr>
          <w:t>37</w:t>
        </w:r>
      </w:fldSimple>
      <w:r w:rsidR="000959B9" w:rsidRPr="00131EED">
        <w:t xml:space="preserve"> Traslape con Ecosistemas Subxerofíticos en la Sabana de Bogotá</w:t>
      </w:r>
      <w:bookmarkEnd w:id="148"/>
      <w:bookmarkEnd w:id="149"/>
      <w:bookmarkEnd w:id="150"/>
    </w:p>
    <w:p w14:paraId="475F8BD8" w14:textId="77777777" w:rsidR="000959B9" w:rsidRPr="00131EED" w:rsidRDefault="000959B9" w:rsidP="000959B9">
      <w:pPr>
        <w:jc w:val="center"/>
        <w:rPr>
          <w:rFonts w:ascii="Baskerville" w:hAnsi="Baskerville" w:cs="Arial"/>
        </w:rPr>
      </w:pPr>
      <w:r w:rsidRPr="00131EED">
        <w:rPr>
          <w:rFonts w:ascii="Baskerville" w:hAnsi="Baskerville"/>
          <w:noProof/>
          <w:color w:val="2B579A"/>
          <w:lang w:eastAsia="en-US"/>
        </w:rPr>
        <mc:AlternateContent>
          <mc:Choice Requires="wps">
            <w:drawing>
              <wp:anchor distT="0" distB="0" distL="114300" distR="114300" simplePos="0" relativeHeight="251568640" behindDoc="0" locked="0" layoutInCell="1" allowOverlap="1" wp14:anchorId="76F9B6E4" wp14:editId="79BCB33E">
                <wp:simplePos x="0" y="0"/>
                <wp:positionH relativeFrom="column">
                  <wp:posOffset>3676800</wp:posOffset>
                </wp:positionH>
                <wp:positionV relativeFrom="paragraph">
                  <wp:posOffset>1260147</wp:posOffset>
                </wp:positionV>
                <wp:extent cx="873457" cy="133564"/>
                <wp:effectExtent l="0" t="0" r="15875" b="19050"/>
                <wp:wrapNone/>
                <wp:docPr id="1870466384" name="Rectángulo 1"/>
                <wp:cNvGraphicFramePr/>
                <a:graphic xmlns:a="http://schemas.openxmlformats.org/drawingml/2006/main">
                  <a:graphicData uri="http://schemas.microsoft.com/office/word/2010/wordprocessingShape">
                    <wps:wsp>
                      <wps:cNvSpPr/>
                      <wps:spPr>
                        <a:xfrm>
                          <a:off x="0" y="0"/>
                          <a:ext cx="873457" cy="133564"/>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C610B70" id="Rectángulo 1" o:spid="_x0000_s1026" style="position:absolute;margin-left:289.5pt;margin-top:99.2pt;width:68.8pt;height:10.5pt;z-index:251568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" fillcolor="white [3212]" strokecolor="white [3212]" strokeweight="1pt"/>
            </w:pict>
          </mc:Fallback>
        </mc:AlternateContent>
      </w:r>
      <w:r w:rsidRPr="00131EED">
        <w:rPr>
          <w:rFonts w:ascii="Baskerville" w:hAnsi="Baskerville"/>
          <w:noProof/>
          <w:color w:val="2B579A"/>
          <w:shd w:val="clear" w:color="auto" w:fill="E6E6E6"/>
          <w:lang w:eastAsia="en-US"/>
        </w:rPr>
        <w:drawing>
          <wp:inline distT="0" distB="0" distL="0" distR="0" wp14:anchorId="08712725" wp14:editId="2D298CA2">
            <wp:extent cx="3870155" cy="3297381"/>
            <wp:effectExtent l="0" t="0" r="0" b="0"/>
            <wp:docPr id="12" name="Imagen 12"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A map of a forest&#10;&#10;AI-generated content may be incorrect."/>
                    <pic:cNvPicPr/>
                  </pic:nvPicPr>
                  <pic:blipFill>
                    <a:blip r:embed="rId73"/>
                    <a:stretch>
                      <a:fillRect/>
                    </a:stretch>
                  </pic:blipFill>
                  <pic:spPr>
                    <a:xfrm>
                      <a:off x="0" y="0"/>
                      <a:ext cx="3877622" cy="3303743"/>
                    </a:xfrm>
                    <a:prstGeom prst="rect">
                      <a:avLst/>
                    </a:prstGeom>
                  </pic:spPr>
                </pic:pic>
              </a:graphicData>
            </a:graphic>
          </wp:inline>
        </w:drawing>
      </w:r>
    </w:p>
    <w:p w14:paraId="3784C16D" w14:textId="77777777" w:rsidR="000959B9" w:rsidRPr="00131EED" w:rsidRDefault="000959B9" w:rsidP="003D6E1C">
      <w:pPr>
        <w:jc w:val="center"/>
        <w:rPr>
          <w:rFonts w:cs="Arial"/>
          <w:sz w:val="20"/>
          <w:szCs w:val="20"/>
        </w:rPr>
      </w:pPr>
      <w:r w:rsidRPr="00131EED">
        <w:rPr>
          <w:rFonts w:cs="Arial"/>
          <w:sz w:val="20"/>
          <w:szCs w:val="20"/>
        </w:rPr>
        <w:t>Fuente: Grupo de Gestión Ambiental Minera – MADS, 2024, a partir del Mapa de Ecosistemas del IDEAM</w:t>
      </w:r>
    </w:p>
    <w:p w14:paraId="7AFD31E9" w14:textId="77777777" w:rsidR="000959B9" w:rsidRPr="00131EED" w:rsidRDefault="000959B9" w:rsidP="000959B9">
      <w:pPr>
        <w:rPr>
          <w:rFonts w:ascii="Baskerville" w:hAnsi="Baskerville" w:cs="Arial"/>
          <w:iCs/>
        </w:rPr>
      </w:pPr>
    </w:p>
    <w:p w14:paraId="5E70A424" w14:textId="2F536982" w:rsidR="000959B9" w:rsidRPr="00131EED" w:rsidRDefault="000959B9" w:rsidP="000959B9">
      <w:pPr>
        <w:pStyle w:val="BodyText"/>
        <w:spacing w:after="0"/>
        <w:ind w:right="49"/>
        <w:rPr>
          <w:rFonts w:ascii="Baskerville Old Face" w:hAnsi="Baskerville Old Face"/>
          <w:sz w:val="24"/>
          <w:szCs w:val="24"/>
        </w:rPr>
      </w:pPr>
      <w:r w:rsidRPr="00131EED">
        <w:rPr>
          <w:rFonts w:ascii="Baskerville Old Face" w:hAnsi="Baskerville Old Face"/>
          <w:sz w:val="24"/>
          <w:szCs w:val="24"/>
        </w:rPr>
        <w:t>Con base en lo anterior,  se concluye que, es fundamental evaluar los usos del suelo en las zonas de traslape de los relictos de este tipo de ecosistemas con las zonas compatibles con minería; dado que, este ecosistema forma</w:t>
      </w:r>
      <w:r w:rsidRPr="00131EED">
        <w:rPr>
          <w:rFonts w:ascii="Baskerville Old Face" w:hAnsi="Baskerville Old Face"/>
          <w:spacing w:val="-5"/>
          <w:sz w:val="24"/>
          <w:szCs w:val="24"/>
        </w:rPr>
        <w:t xml:space="preserve"> </w:t>
      </w:r>
      <w:r w:rsidRPr="00131EED">
        <w:rPr>
          <w:rFonts w:ascii="Baskerville Old Face" w:hAnsi="Baskerville Old Face"/>
          <w:sz w:val="24"/>
          <w:szCs w:val="24"/>
        </w:rPr>
        <w:t>parte</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del área altoandina de amortiguación de los páramos de Soacha y Sibaté, los cuales integran el</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complejo</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Cruz</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Verde-Sumapaz</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y</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se</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elevan</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inmediatamente</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al</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sur de Bogotá D.C La</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 xml:space="preserve">preservación de estas zonas es </w:t>
      </w:r>
      <w:r w:rsidR="001E5B66" w:rsidRPr="00131EED">
        <w:rPr>
          <w:rFonts w:ascii="Baskerville Old Face" w:hAnsi="Baskerville Old Face"/>
          <w:sz w:val="24"/>
          <w:szCs w:val="24"/>
        </w:rPr>
        <w:t>fundamental ya que su ubicación</w:t>
      </w:r>
      <w:r w:rsidRPr="00131EED">
        <w:rPr>
          <w:rFonts w:ascii="Baskerville Old Face" w:hAnsi="Baskerville Old Face"/>
          <w:sz w:val="24"/>
          <w:szCs w:val="24"/>
        </w:rPr>
        <w:t xml:space="preserve"> a sólo 4,3 km del páramo que surte de agua a la franja intermunicipal Ciudad Bolívar-</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 xml:space="preserve">Soacha, donde habitan más de 1,2 millones de personas. </w:t>
      </w:r>
    </w:p>
    <w:p w14:paraId="2255D385" w14:textId="77777777" w:rsidR="000959B9" w:rsidRPr="00131EED" w:rsidRDefault="000959B9" w:rsidP="000959B9">
      <w:pPr>
        <w:pStyle w:val="BodyText"/>
        <w:spacing w:after="0"/>
        <w:ind w:right="49"/>
        <w:rPr>
          <w:rFonts w:ascii="Baskerville Old Face" w:hAnsi="Baskerville Old Face"/>
          <w:sz w:val="24"/>
          <w:szCs w:val="24"/>
        </w:rPr>
      </w:pPr>
    </w:p>
    <w:p w14:paraId="51A05202" w14:textId="77777777" w:rsidR="000959B9" w:rsidRPr="00131EED" w:rsidRDefault="000959B9" w:rsidP="000959B9">
      <w:pPr>
        <w:pStyle w:val="BodyText"/>
        <w:spacing w:after="0"/>
        <w:ind w:right="49"/>
        <w:rPr>
          <w:rFonts w:ascii="Baskerville Old Face" w:hAnsi="Baskerville Old Face"/>
          <w:spacing w:val="-9"/>
          <w:sz w:val="24"/>
          <w:szCs w:val="24"/>
        </w:rPr>
      </w:pPr>
      <w:r w:rsidRPr="00131EED">
        <w:rPr>
          <w:rFonts w:ascii="Baskerville Old Face" w:hAnsi="Baskerville Old Face"/>
          <w:sz w:val="24"/>
          <w:szCs w:val="24"/>
        </w:rPr>
        <w:t>Lo anterior, ha sido señalado por la Corporación Geoambiental Terrae (2021), donde es imperante la estructuración de un corredor ideal básico un corredor que integre las cintas de ecosistemas secos que todavía subsisten y descienden sobre las laderas de los valles de los ríos Tunjuelo y Soacha (al oriente y occidente, respectivamente), confluyendo en el área de Cerro Seco y el humedal de Terreros, involucrando un área protegida como la Reserva Forestal</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Protectora</w:t>
      </w:r>
      <w:r w:rsidRPr="00131EED">
        <w:rPr>
          <w:rFonts w:ascii="Baskerville Old Face" w:hAnsi="Baskerville Old Face"/>
          <w:spacing w:val="-2"/>
          <w:sz w:val="24"/>
          <w:szCs w:val="24"/>
        </w:rPr>
        <w:t xml:space="preserve"> </w:t>
      </w:r>
      <w:r w:rsidRPr="00131EED">
        <w:rPr>
          <w:rFonts w:ascii="Baskerville Old Face" w:hAnsi="Baskerville Old Face"/>
          <w:sz w:val="24"/>
          <w:szCs w:val="24"/>
        </w:rPr>
        <w:t>Productora</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Cuenca</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Alta</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del</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Río</w:t>
      </w:r>
      <w:r w:rsidRPr="00131EED">
        <w:rPr>
          <w:rFonts w:ascii="Baskerville Old Face" w:hAnsi="Baskerville Old Face"/>
          <w:spacing w:val="-1"/>
          <w:sz w:val="24"/>
          <w:szCs w:val="24"/>
        </w:rPr>
        <w:t xml:space="preserve"> </w:t>
      </w:r>
      <w:r w:rsidRPr="00131EED">
        <w:rPr>
          <w:rFonts w:ascii="Baskerville Old Face" w:hAnsi="Baskerville Old Face"/>
          <w:sz w:val="24"/>
          <w:szCs w:val="24"/>
        </w:rPr>
        <w:t>Bogotá.</w:t>
      </w:r>
      <w:r w:rsidRPr="00131EED">
        <w:rPr>
          <w:rFonts w:ascii="Baskerville Old Face" w:hAnsi="Baskerville Old Face"/>
          <w:spacing w:val="-9"/>
          <w:sz w:val="24"/>
          <w:szCs w:val="24"/>
        </w:rPr>
        <w:t xml:space="preserve"> </w:t>
      </w:r>
    </w:p>
    <w:p w14:paraId="0E76F584" w14:textId="77777777" w:rsidR="000959B9" w:rsidRPr="00131EED" w:rsidRDefault="000959B9" w:rsidP="000959B9">
      <w:pPr>
        <w:pStyle w:val="BodyText"/>
        <w:spacing w:after="0"/>
        <w:ind w:right="49"/>
        <w:rPr>
          <w:rFonts w:ascii="Baskerville Old Face" w:hAnsi="Baskerville Old Face"/>
          <w:spacing w:val="-9"/>
          <w:sz w:val="24"/>
          <w:szCs w:val="24"/>
        </w:rPr>
      </w:pPr>
    </w:p>
    <w:p w14:paraId="77A0E3D0" w14:textId="77777777" w:rsidR="000959B9" w:rsidRPr="00131EED" w:rsidRDefault="000959B9" w:rsidP="000959B9">
      <w:pPr>
        <w:pStyle w:val="BodyText"/>
        <w:spacing w:after="0"/>
        <w:ind w:right="49"/>
        <w:rPr>
          <w:rFonts w:ascii="Baskerville Old Face" w:hAnsi="Baskerville Old Face"/>
          <w:sz w:val="24"/>
          <w:szCs w:val="24"/>
        </w:rPr>
      </w:pPr>
      <w:r w:rsidRPr="00131EED">
        <w:rPr>
          <w:rFonts w:ascii="Baskerville Old Face" w:hAnsi="Baskerville Old Face"/>
          <w:sz w:val="24"/>
          <w:szCs w:val="24"/>
        </w:rPr>
        <w:t>Por otro lado, este ecosistema posee un valor cultural significativo. Espacios como el Palo del Ahorcado, ubicado en Cerro Seco, se han convertido en puntos de referencia simbólica y espiritual para las comunidades locales. Esto subraya la necesidad de integrar los valores ambientales y culturales en las estrategias de manejo y conservación de la zona (IDPC, 2023)</w:t>
      </w:r>
      <w:r w:rsidRPr="00131EED">
        <w:rPr>
          <w:rFonts w:ascii="Baskerville Old Face" w:hAnsi="Baskerville Old Face"/>
          <w:sz w:val="24"/>
          <w:szCs w:val="24"/>
          <w:vertAlign w:val="superscript"/>
        </w:rPr>
        <w:footnoteReference w:id="6"/>
      </w:r>
      <w:r w:rsidRPr="00131EED">
        <w:rPr>
          <w:rFonts w:ascii="Baskerville Old Face" w:hAnsi="Baskerville Old Face"/>
          <w:sz w:val="24"/>
          <w:szCs w:val="24"/>
        </w:rPr>
        <w:t>. No obstante, los impactos mineros ya visibles en áreas de ecosistemas subxerofíticos amenazan con transformar paisajes únicos y eliminar fragmentos significativos de biodiversidad que tardaron millones de años en desarrollarse (Geoambiental Terrae, 2021).</w:t>
      </w:r>
    </w:p>
    <w:p w14:paraId="63D7FFF3" w14:textId="77777777" w:rsidR="00577D46" w:rsidRPr="00131EED" w:rsidRDefault="00577D46" w:rsidP="000959B9">
      <w:pPr>
        <w:pStyle w:val="BodyText"/>
        <w:spacing w:after="0"/>
        <w:ind w:right="49"/>
        <w:rPr>
          <w:rFonts w:ascii="Baskerville Old Face" w:hAnsi="Baskerville Old Face"/>
          <w:sz w:val="24"/>
          <w:szCs w:val="24"/>
        </w:rPr>
      </w:pPr>
    </w:p>
    <w:p w14:paraId="180E6725" w14:textId="6CBE83ED" w:rsidR="000959B9" w:rsidRPr="00131EED" w:rsidRDefault="000959B9" w:rsidP="000959B9">
      <w:pPr>
        <w:pStyle w:val="BodyText"/>
        <w:spacing w:after="0"/>
        <w:ind w:right="49"/>
        <w:rPr>
          <w:rFonts w:ascii="Baskerville Old Face" w:hAnsi="Baskerville Old Face"/>
          <w:sz w:val="24"/>
          <w:szCs w:val="24"/>
        </w:rPr>
      </w:pPr>
      <w:r w:rsidRPr="00131EED">
        <w:rPr>
          <w:rFonts w:ascii="Baskerville Old Face" w:hAnsi="Baskerville Old Face"/>
          <w:sz w:val="24"/>
          <w:szCs w:val="24"/>
        </w:rPr>
        <w:t>Estas acciones son necesarias para mitigar los impactos de la minería y proteger este ecosistema único, que no solo contribuye a la biodiversidad, sino que también sustenta las dinámicas culturales de la región.</w:t>
      </w:r>
    </w:p>
    <w:p w14:paraId="5CAD4F5F" w14:textId="77777777" w:rsidR="003D6E1C" w:rsidRPr="00131EED" w:rsidRDefault="003D6E1C" w:rsidP="000959B9">
      <w:pPr>
        <w:pStyle w:val="BodyText"/>
        <w:spacing w:after="0"/>
        <w:ind w:right="49"/>
        <w:rPr>
          <w:rFonts w:ascii="Baskerville Old Face" w:hAnsi="Baskerville Old Face"/>
          <w:sz w:val="24"/>
          <w:szCs w:val="24"/>
        </w:rPr>
      </w:pPr>
    </w:p>
    <w:p w14:paraId="4CC1605E" w14:textId="77777777" w:rsidR="000959B9" w:rsidRPr="00131EED" w:rsidRDefault="000959B9" w:rsidP="00410194">
      <w:pPr>
        <w:pStyle w:val="Heading3"/>
        <w:numPr>
          <w:ilvl w:val="3"/>
          <w:numId w:val="31"/>
        </w:numPr>
      </w:pPr>
      <w:bookmarkStart w:id="151" w:name="_Toc216468707"/>
      <w:r w:rsidRPr="00131EED">
        <w:rPr>
          <w:i/>
        </w:rPr>
        <w:t>Superposición con el ecosistema páramo</w:t>
      </w:r>
      <w:bookmarkEnd w:id="151"/>
      <w:r w:rsidRPr="00131EED">
        <w:rPr>
          <w:rFonts w:cs="Arial"/>
          <w:color w:val="auto"/>
        </w:rPr>
        <w:t xml:space="preserve"> </w:t>
      </w:r>
    </w:p>
    <w:p w14:paraId="319AC26D" w14:textId="77777777" w:rsidR="000959B9" w:rsidRPr="00131EED" w:rsidRDefault="000959B9" w:rsidP="000959B9">
      <w:pPr>
        <w:pStyle w:val="BodyText"/>
        <w:spacing w:after="0"/>
        <w:ind w:right="49"/>
        <w:rPr>
          <w:rFonts w:ascii="Baskerville" w:hAnsi="Baskerville"/>
        </w:rPr>
      </w:pPr>
    </w:p>
    <w:p w14:paraId="1921A5FE" w14:textId="01FAF50D" w:rsidR="000959B9" w:rsidRPr="00131EED" w:rsidRDefault="000959B9" w:rsidP="000959B9">
      <w:pPr>
        <w:rPr>
          <w:rFonts w:cs="Arial"/>
        </w:rPr>
      </w:pPr>
      <w:r w:rsidRPr="00131EED">
        <w:rPr>
          <w:rFonts w:cs="Arial"/>
        </w:rPr>
        <w:t xml:space="preserve">Con relación a la superposición </w:t>
      </w:r>
      <w:r w:rsidR="008C4BF5" w:rsidRPr="00131EED">
        <w:rPr>
          <w:rFonts w:cs="Arial"/>
        </w:rPr>
        <w:t>de títulos mineros con ecosistemas de páramos</w:t>
      </w:r>
      <w:r w:rsidRPr="00131EED">
        <w:rPr>
          <w:rFonts w:cs="Arial"/>
        </w:rPr>
        <w:t xml:space="preserve"> en la Sabana de Bogotá se presenta una superposición de 0,013 ha del páramo Cruz Verde Sumapaz con Zonas Compatibles para la minería, y se presenta una superposición 2207,758 hectáreas con títulos en los páramos del Altiplano Cundiboyacense, Chingaza, Cruz Verde – Sumapaz, Guerrero, Rabanal y Río Bogotá; lo que equivale al 0,38% del área del ámbito-Ecorregión de Sabana de Bogotá</w:t>
      </w:r>
      <w:r w:rsidR="00F242BF" w:rsidRPr="00131EED">
        <w:rPr>
          <w:rFonts w:cs="Arial"/>
        </w:rPr>
        <w:t xml:space="preserve"> (ver </w:t>
      </w:r>
      <w:r w:rsidR="00F242BF" w:rsidRPr="00131EED">
        <w:rPr>
          <w:rFonts w:cs="Arial"/>
        </w:rPr>
        <w:fldChar w:fldCharType="begin"/>
      </w:r>
      <w:r w:rsidR="00F242BF" w:rsidRPr="00131EED">
        <w:rPr>
          <w:rFonts w:cs="Arial"/>
        </w:rPr>
        <w:instrText xml:space="preserve"> REF _Ref210940674 \h </w:instrText>
      </w:r>
      <w:r w:rsidR="00F242BF" w:rsidRPr="00131EED">
        <w:rPr>
          <w:rFonts w:cs="Arial"/>
        </w:rPr>
      </w:r>
      <w:r w:rsidR="00F242BF" w:rsidRPr="00131EED">
        <w:rPr>
          <w:rFonts w:cs="Arial"/>
        </w:rPr>
        <w:fldChar w:fldCharType="separate"/>
      </w:r>
      <w:r w:rsidR="00CE096F" w:rsidRPr="00131EED">
        <w:t xml:space="preserve">Ilustración </w:t>
      </w:r>
      <w:r w:rsidR="00F242BF" w:rsidRPr="00131EED">
        <w:rPr>
          <w:rFonts w:cs="Arial"/>
        </w:rPr>
        <w:fldChar w:fldCharType="end"/>
      </w:r>
      <w:r w:rsidR="00F242BF" w:rsidRPr="00131EED">
        <w:rPr>
          <w:rFonts w:cs="Arial"/>
        </w:rPr>
        <w:t>)</w:t>
      </w:r>
      <w:r w:rsidRPr="00131EED">
        <w:rPr>
          <w:rFonts w:cs="Arial"/>
        </w:rPr>
        <w:t>.</w:t>
      </w:r>
    </w:p>
    <w:p w14:paraId="3AE9C54F" w14:textId="77777777" w:rsidR="000959B9" w:rsidRPr="00131EED" w:rsidRDefault="000959B9" w:rsidP="000959B9">
      <w:pPr>
        <w:rPr>
          <w:rFonts w:ascii="Baskerville" w:hAnsi="Baskerville" w:cs="Arial"/>
        </w:rPr>
      </w:pPr>
    </w:p>
    <w:p w14:paraId="3310A033" w14:textId="77777777" w:rsidR="005C15C7" w:rsidRPr="00131EED" w:rsidRDefault="005C15C7" w:rsidP="005C15C7">
      <w:pPr>
        <w:rPr>
          <w:rFonts w:cs="Arial"/>
        </w:rPr>
      </w:pPr>
      <w:r w:rsidRPr="00131EED">
        <w:rPr>
          <w:rFonts w:cs="Arial"/>
        </w:rPr>
        <w:t>Para los títulos presentes que se traslapan, con categoría de terminado-proceso de liquidación se tiene 116 ha y activos es 2091,7 ha (036% del área del ámbito-Ecorregión de Sabana de Bogotá).</w:t>
      </w:r>
    </w:p>
    <w:p w14:paraId="1FDE917B" w14:textId="77777777" w:rsidR="005C15C7" w:rsidRPr="00131EED" w:rsidRDefault="005C15C7" w:rsidP="005C15C7">
      <w:pPr>
        <w:rPr>
          <w:rFonts w:cs="Arial"/>
        </w:rPr>
      </w:pPr>
    </w:p>
    <w:p w14:paraId="387FE411" w14:textId="77777777" w:rsidR="005C15C7" w:rsidRPr="00131EED" w:rsidRDefault="005C15C7" w:rsidP="005C15C7">
      <w:pPr>
        <w:rPr>
          <w:rFonts w:cs="Arial"/>
        </w:rPr>
      </w:pPr>
      <w:r w:rsidRPr="00131EED">
        <w:rPr>
          <w:rFonts w:cs="Arial"/>
        </w:rPr>
        <w:t xml:space="preserve">En la siguiente tabla se relacionan los títulos mineros que presentan traslape con ecosistemas de páramo que se encuentran en la jurisdicción de la CAR. </w:t>
      </w:r>
    </w:p>
    <w:p w14:paraId="1D5D257D" w14:textId="77777777" w:rsidR="005C15C7" w:rsidRPr="00131EED" w:rsidRDefault="005C15C7" w:rsidP="005C15C7">
      <w:pPr>
        <w:rPr>
          <w:rFonts w:ascii="Baskerville" w:hAnsi="Baskerville" w:cs="Arial"/>
          <w:iCs/>
        </w:rPr>
      </w:pPr>
    </w:p>
    <w:p w14:paraId="1973E090" w14:textId="12DE72B7" w:rsidR="005C15C7" w:rsidRPr="00131EED" w:rsidRDefault="005C15C7" w:rsidP="005C15C7">
      <w:pPr>
        <w:pStyle w:val="Caption"/>
        <w:jc w:val="center"/>
      </w:pPr>
      <w:bookmarkStart w:id="152" w:name="_Toc216468937"/>
      <w:r w:rsidRPr="00131EED">
        <w:t xml:space="preserve">Tabla </w:t>
      </w:r>
      <w:fldSimple w:instr=" SEQ Tabla \* ARABIC ">
        <w:r w:rsidR="00CE096F">
          <w:rPr>
            <w:noProof/>
          </w:rPr>
          <w:t>27</w:t>
        </w:r>
      </w:fldSimple>
      <w:r w:rsidRPr="00131EED">
        <w:t xml:space="preserve"> Títulos mineros traslapados con áreas de páramos en la jurisdicción CAR</w:t>
      </w:r>
      <w:bookmarkEnd w:id="152"/>
    </w:p>
    <w:tbl>
      <w:tblPr>
        <w:tblStyle w:val="TableGrid"/>
        <w:tblW w:w="0" w:type="auto"/>
        <w:tblLook w:val="04A0" w:firstRow="1" w:lastRow="0" w:firstColumn="1" w:lastColumn="0" w:noHBand="0" w:noVBand="1"/>
      </w:tblPr>
      <w:tblGrid>
        <w:gridCol w:w="2196"/>
        <w:gridCol w:w="1981"/>
        <w:gridCol w:w="2430"/>
        <w:gridCol w:w="2221"/>
      </w:tblGrid>
      <w:tr w:rsidR="005C15C7" w:rsidRPr="00131EED" w14:paraId="60EF4850" w14:textId="77777777" w:rsidTr="00D84213">
        <w:trPr>
          <w:tblHeader/>
        </w:trPr>
        <w:tc>
          <w:tcPr>
            <w:tcW w:w="2196" w:type="dxa"/>
          </w:tcPr>
          <w:p w14:paraId="0D7AB7FA" w14:textId="77777777" w:rsidR="005C15C7" w:rsidRPr="00131EED" w:rsidRDefault="005C15C7" w:rsidP="00D84213">
            <w:pPr>
              <w:jc w:val="center"/>
              <w:rPr>
                <w:rFonts w:eastAsia="Baskerville Old Face" w:cs="Baskerville Old Face"/>
                <w:b/>
                <w:sz w:val="20"/>
                <w:szCs w:val="20"/>
              </w:rPr>
            </w:pPr>
            <w:r w:rsidRPr="00131EED">
              <w:rPr>
                <w:rFonts w:eastAsia="Baskerville Old Face" w:cs="Baskerville Old Face"/>
                <w:b/>
                <w:sz w:val="20"/>
                <w:szCs w:val="20"/>
              </w:rPr>
              <w:t>Titulo</w:t>
            </w:r>
          </w:p>
        </w:tc>
        <w:tc>
          <w:tcPr>
            <w:tcW w:w="1981" w:type="dxa"/>
          </w:tcPr>
          <w:p w14:paraId="37F0A61F" w14:textId="77777777" w:rsidR="005C15C7" w:rsidRPr="00131EED" w:rsidRDefault="005C15C7" w:rsidP="00D84213">
            <w:pPr>
              <w:jc w:val="center"/>
              <w:rPr>
                <w:rFonts w:eastAsia="Baskerville Old Face" w:cs="Baskerville Old Face"/>
                <w:b/>
                <w:sz w:val="20"/>
                <w:szCs w:val="20"/>
              </w:rPr>
            </w:pPr>
            <w:r w:rsidRPr="00131EED">
              <w:rPr>
                <w:rFonts w:eastAsia="Baskerville Old Face" w:cs="Baskerville Old Face"/>
                <w:b/>
                <w:sz w:val="20"/>
                <w:szCs w:val="20"/>
              </w:rPr>
              <w:t>Municipio</w:t>
            </w:r>
          </w:p>
        </w:tc>
        <w:tc>
          <w:tcPr>
            <w:tcW w:w="2430" w:type="dxa"/>
          </w:tcPr>
          <w:p w14:paraId="2621C4DC" w14:textId="77777777" w:rsidR="005C15C7" w:rsidRPr="00131EED" w:rsidRDefault="005C15C7" w:rsidP="00D84213">
            <w:pPr>
              <w:jc w:val="center"/>
              <w:rPr>
                <w:rFonts w:eastAsia="Baskerville Old Face" w:cs="Baskerville Old Face"/>
                <w:b/>
                <w:sz w:val="20"/>
                <w:szCs w:val="20"/>
              </w:rPr>
            </w:pPr>
            <w:r w:rsidRPr="00131EED">
              <w:rPr>
                <w:rFonts w:eastAsia="Baskerville Old Face" w:cs="Baskerville Old Face"/>
                <w:b/>
                <w:sz w:val="20"/>
                <w:szCs w:val="20"/>
              </w:rPr>
              <w:t>Instrumento ambiental</w:t>
            </w:r>
          </w:p>
        </w:tc>
        <w:tc>
          <w:tcPr>
            <w:tcW w:w="2221" w:type="dxa"/>
          </w:tcPr>
          <w:p w14:paraId="7889FE57" w14:textId="77777777" w:rsidR="005C15C7" w:rsidRPr="00131EED" w:rsidRDefault="005C15C7" w:rsidP="00D84213">
            <w:pPr>
              <w:jc w:val="center"/>
              <w:rPr>
                <w:rFonts w:eastAsia="Baskerville Old Face" w:cs="Baskerville Old Face"/>
                <w:b/>
                <w:sz w:val="20"/>
                <w:szCs w:val="20"/>
              </w:rPr>
            </w:pPr>
            <w:r w:rsidRPr="00131EED">
              <w:rPr>
                <w:rFonts w:eastAsia="Baskerville Old Face" w:cs="Baskerville Old Face"/>
                <w:b/>
                <w:sz w:val="20"/>
                <w:szCs w:val="20"/>
              </w:rPr>
              <w:t>Estado</w:t>
            </w:r>
          </w:p>
        </w:tc>
      </w:tr>
      <w:tr w:rsidR="005C15C7" w:rsidRPr="00131EED" w14:paraId="65E5905D" w14:textId="77777777" w:rsidTr="00D84213">
        <w:tc>
          <w:tcPr>
            <w:tcW w:w="2196" w:type="dxa"/>
          </w:tcPr>
          <w:p w14:paraId="56B616E1"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15087</w:t>
            </w:r>
          </w:p>
        </w:tc>
        <w:tc>
          <w:tcPr>
            <w:tcW w:w="1981" w:type="dxa"/>
          </w:tcPr>
          <w:p w14:paraId="22988C35"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Sibaté, Soacha</w:t>
            </w:r>
          </w:p>
        </w:tc>
        <w:tc>
          <w:tcPr>
            <w:tcW w:w="2430" w:type="dxa"/>
          </w:tcPr>
          <w:p w14:paraId="51479842"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PMRRA</w:t>
            </w:r>
          </w:p>
        </w:tc>
        <w:tc>
          <w:tcPr>
            <w:tcW w:w="2221" w:type="dxa"/>
          </w:tcPr>
          <w:p w14:paraId="42A8EEFF"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Resuelto</w:t>
            </w:r>
          </w:p>
        </w:tc>
      </w:tr>
      <w:tr w:rsidR="005C15C7" w:rsidRPr="00131EED" w14:paraId="11013B03" w14:textId="77777777" w:rsidTr="00D84213">
        <w:tc>
          <w:tcPr>
            <w:tcW w:w="2196" w:type="dxa"/>
          </w:tcPr>
          <w:p w14:paraId="32E036EC"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HIB-08521</w:t>
            </w:r>
          </w:p>
        </w:tc>
        <w:tc>
          <w:tcPr>
            <w:tcW w:w="1981" w:type="dxa"/>
          </w:tcPr>
          <w:p w14:paraId="5EA7CE3B"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Zipaquirá</w:t>
            </w:r>
          </w:p>
        </w:tc>
        <w:tc>
          <w:tcPr>
            <w:tcW w:w="4651" w:type="dxa"/>
            <w:gridSpan w:val="2"/>
          </w:tcPr>
          <w:p w14:paraId="669F86BF"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No tiene expedientes relacionados</w:t>
            </w:r>
          </w:p>
        </w:tc>
      </w:tr>
      <w:tr w:rsidR="005C15C7" w:rsidRPr="00131EED" w14:paraId="6F6346E3" w14:textId="77777777" w:rsidTr="00D84213">
        <w:tc>
          <w:tcPr>
            <w:tcW w:w="2196" w:type="dxa"/>
          </w:tcPr>
          <w:p w14:paraId="77418B99"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054-92</w:t>
            </w:r>
          </w:p>
        </w:tc>
        <w:tc>
          <w:tcPr>
            <w:tcW w:w="1981" w:type="dxa"/>
          </w:tcPr>
          <w:p w14:paraId="28955E8D"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Tausa</w:t>
            </w:r>
          </w:p>
        </w:tc>
        <w:tc>
          <w:tcPr>
            <w:tcW w:w="2430" w:type="dxa"/>
          </w:tcPr>
          <w:p w14:paraId="05590558"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Plan de manejo ambiental</w:t>
            </w:r>
          </w:p>
        </w:tc>
        <w:tc>
          <w:tcPr>
            <w:tcW w:w="2221" w:type="dxa"/>
          </w:tcPr>
          <w:p w14:paraId="432EA456"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Negado</w:t>
            </w:r>
          </w:p>
        </w:tc>
      </w:tr>
      <w:tr w:rsidR="005C15C7" w:rsidRPr="00131EED" w14:paraId="6D6A4651" w14:textId="77777777" w:rsidTr="00D84213">
        <w:tc>
          <w:tcPr>
            <w:tcW w:w="2196" w:type="dxa"/>
          </w:tcPr>
          <w:p w14:paraId="4EA375E3"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AIT-147</w:t>
            </w:r>
          </w:p>
        </w:tc>
        <w:tc>
          <w:tcPr>
            <w:tcW w:w="1981" w:type="dxa"/>
          </w:tcPr>
          <w:p w14:paraId="6FEE7661"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Tausa</w:t>
            </w:r>
          </w:p>
        </w:tc>
        <w:tc>
          <w:tcPr>
            <w:tcW w:w="2430" w:type="dxa"/>
          </w:tcPr>
          <w:p w14:paraId="2A405D2D"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PMRRA</w:t>
            </w:r>
          </w:p>
        </w:tc>
        <w:tc>
          <w:tcPr>
            <w:tcW w:w="2221" w:type="dxa"/>
          </w:tcPr>
          <w:p w14:paraId="02435D98"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Aprobado vencido</w:t>
            </w:r>
          </w:p>
        </w:tc>
      </w:tr>
      <w:tr w:rsidR="005C15C7" w:rsidRPr="00131EED" w14:paraId="5B009F5E" w14:textId="77777777" w:rsidTr="00D84213">
        <w:tc>
          <w:tcPr>
            <w:tcW w:w="2196" w:type="dxa"/>
          </w:tcPr>
          <w:p w14:paraId="211870D0"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16117</w:t>
            </w:r>
          </w:p>
        </w:tc>
        <w:tc>
          <w:tcPr>
            <w:tcW w:w="1981" w:type="dxa"/>
          </w:tcPr>
          <w:p w14:paraId="41ACAECF"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Chocontá</w:t>
            </w:r>
          </w:p>
        </w:tc>
        <w:tc>
          <w:tcPr>
            <w:tcW w:w="4651" w:type="dxa"/>
            <w:gridSpan w:val="2"/>
          </w:tcPr>
          <w:p w14:paraId="18BB0D79"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5C15C7" w:rsidRPr="00131EED" w14:paraId="6E38265C" w14:textId="77777777" w:rsidTr="00D84213">
        <w:tc>
          <w:tcPr>
            <w:tcW w:w="2196" w:type="dxa"/>
          </w:tcPr>
          <w:p w14:paraId="41EEACC5"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2644T</w:t>
            </w:r>
          </w:p>
        </w:tc>
        <w:tc>
          <w:tcPr>
            <w:tcW w:w="1981" w:type="dxa"/>
          </w:tcPr>
          <w:p w14:paraId="7C66D050"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Cogua</w:t>
            </w:r>
          </w:p>
        </w:tc>
        <w:tc>
          <w:tcPr>
            <w:tcW w:w="2430" w:type="dxa"/>
          </w:tcPr>
          <w:p w14:paraId="0F528999"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Plan de manejo ambiental</w:t>
            </w:r>
          </w:p>
        </w:tc>
        <w:tc>
          <w:tcPr>
            <w:tcW w:w="2221" w:type="dxa"/>
          </w:tcPr>
          <w:p w14:paraId="6C7561DC"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En trámite</w:t>
            </w:r>
          </w:p>
        </w:tc>
      </w:tr>
      <w:tr w:rsidR="005C15C7" w:rsidRPr="00131EED" w14:paraId="48B3BC4C" w14:textId="77777777" w:rsidTr="00D84213">
        <w:tc>
          <w:tcPr>
            <w:tcW w:w="2196" w:type="dxa"/>
          </w:tcPr>
          <w:p w14:paraId="7B2497EC"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120-91</w:t>
            </w:r>
          </w:p>
        </w:tc>
        <w:tc>
          <w:tcPr>
            <w:tcW w:w="1981" w:type="dxa"/>
          </w:tcPr>
          <w:p w14:paraId="45E5265B"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Cogua, Tausa</w:t>
            </w:r>
          </w:p>
        </w:tc>
        <w:tc>
          <w:tcPr>
            <w:tcW w:w="4651" w:type="dxa"/>
            <w:gridSpan w:val="2"/>
          </w:tcPr>
          <w:p w14:paraId="02FD4103"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5C15C7" w:rsidRPr="00131EED" w14:paraId="72B952A4" w14:textId="77777777" w:rsidTr="00D84213">
        <w:tc>
          <w:tcPr>
            <w:tcW w:w="2196" w:type="dxa"/>
          </w:tcPr>
          <w:p w14:paraId="324B8FE5"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16334</w:t>
            </w:r>
          </w:p>
        </w:tc>
        <w:tc>
          <w:tcPr>
            <w:tcW w:w="1981" w:type="dxa"/>
          </w:tcPr>
          <w:p w14:paraId="17DC1E55"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Sibaté, Soacha</w:t>
            </w:r>
          </w:p>
        </w:tc>
        <w:tc>
          <w:tcPr>
            <w:tcW w:w="2430" w:type="dxa"/>
          </w:tcPr>
          <w:p w14:paraId="72846A0F"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Plan de manejo ambiental</w:t>
            </w:r>
          </w:p>
        </w:tc>
        <w:tc>
          <w:tcPr>
            <w:tcW w:w="2221" w:type="dxa"/>
          </w:tcPr>
          <w:p w14:paraId="5CE5B0B7"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Archivado</w:t>
            </w:r>
          </w:p>
        </w:tc>
      </w:tr>
      <w:tr w:rsidR="005C15C7" w:rsidRPr="00131EED" w14:paraId="3B72418E" w14:textId="77777777" w:rsidTr="00D84213">
        <w:tc>
          <w:tcPr>
            <w:tcW w:w="2196" w:type="dxa"/>
          </w:tcPr>
          <w:p w14:paraId="4AA44893"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1793</w:t>
            </w:r>
          </w:p>
        </w:tc>
        <w:tc>
          <w:tcPr>
            <w:tcW w:w="1981" w:type="dxa"/>
          </w:tcPr>
          <w:p w14:paraId="1B8117EE"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Tausa</w:t>
            </w:r>
          </w:p>
        </w:tc>
        <w:tc>
          <w:tcPr>
            <w:tcW w:w="2430" w:type="dxa"/>
          </w:tcPr>
          <w:p w14:paraId="427FC7D9"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Licencia ambiental</w:t>
            </w:r>
          </w:p>
        </w:tc>
        <w:tc>
          <w:tcPr>
            <w:tcW w:w="2221" w:type="dxa"/>
          </w:tcPr>
          <w:p w14:paraId="3B22A720"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Archivado</w:t>
            </w:r>
          </w:p>
        </w:tc>
      </w:tr>
      <w:tr w:rsidR="005C15C7" w:rsidRPr="00131EED" w14:paraId="79ABD4CA" w14:textId="77777777" w:rsidTr="00D84213">
        <w:tc>
          <w:tcPr>
            <w:tcW w:w="2196" w:type="dxa"/>
          </w:tcPr>
          <w:p w14:paraId="2949B0A4"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15717</w:t>
            </w:r>
          </w:p>
        </w:tc>
        <w:tc>
          <w:tcPr>
            <w:tcW w:w="1981" w:type="dxa"/>
          </w:tcPr>
          <w:p w14:paraId="0B0A4512"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Gachancipá, Guatavita</w:t>
            </w:r>
          </w:p>
        </w:tc>
        <w:tc>
          <w:tcPr>
            <w:tcW w:w="2430" w:type="dxa"/>
          </w:tcPr>
          <w:p w14:paraId="24086D93"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PMRRA</w:t>
            </w:r>
          </w:p>
        </w:tc>
        <w:tc>
          <w:tcPr>
            <w:tcW w:w="2221" w:type="dxa"/>
          </w:tcPr>
          <w:p w14:paraId="7260766B"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Aprobado vencido</w:t>
            </w:r>
          </w:p>
        </w:tc>
      </w:tr>
      <w:tr w:rsidR="005C15C7" w:rsidRPr="00131EED" w14:paraId="73CA0E6A" w14:textId="77777777" w:rsidTr="00D84213">
        <w:tc>
          <w:tcPr>
            <w:tcW w:w="2196" w:type="dxa"/>
          </w:tcPr>
          <w:p w14:paraId="500F3534"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6460</w:t>
            </w:r>
          </w:p>
        </w:tc>
        <w:tc>
          <w:tcPr>
            <w:tcW w:w="1981" w:type="dxa"/>
          </w:tcPr>
          <w:p w14:paraId="7278F46A"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Pacho, Subachoque</w:t>
            </w:r>
          </w:p>
        </w:tc>
        <w:tc>
          <w:tcPr>
            <w:tcW w:w="4651" w:type="dxa"/>
            <w:gridSpan w:val="2"/>
          </w:tcPr>
          <w:p w14:paraId="25456F42"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5C15C7" w:rsidRPr="00131EED" w14:paraId="1822084E" w14:textId="77777777" w:rsidTr="00D84213">
        <w:tc>
          <w:tcPr>
            <w:tcW w:w="2196" w:type="dxa"/>
          </w:tcPr>
          <w:p w14:paraId="2997F7BD"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HBR-111</w:t>
            </w:r>
          </w:p>
        </w:tc>
        <w:tc>
          <w:tcPr>
            <w:tcW w:w="1981" w:type="dxa"/>
          </w:tcPr>
          <w:p w14:paraId="4607D19F"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Zipaquirá</w:t>
            </w:r>
          </w:p>
        </w:tc>
        <w:tc>
          <w:tcPr>
            <w:tcW w:w="4651" w:type="dxa"/>
            <w:gridSpan w:val="2"/>
          </w:tcPr>
          <w:p w14:paraId="350190F0"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5C15C7" w:rsidRPr="00131EED" w14:paraId="196BD741" w14:textId="77777777" w:rsidTr="00D84213">
        <w:tc>
          <w:tcPr>
            <w:tcW w:w="2196" w:type="dxa"/>
          </w:tcPr>
          <w:p w14:paraId="6CA545E4"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GC8-09P</w:t>
            </w:r>
          </w:p>
        </w:tc>
        <w:tc>
          <w:tcPr>
            <w:tcW w:w="1981" w:type="dxa"/>
          </w:tcPr>
          <w:p w14:paraId="1B772674"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Suesca</w:t>
            </w:r>
          </w:p>
        </w:tc>
        <w:tc>
          <w:tcPr>
            <w:tcW w:w="2430" w:type="dxa"/>
          </w:tcPr>
          <w:p w14:paraId="450AF5E6"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PMRRA</w:t>
            </w:r>
          </w:p>
        </w:tc>
        <w:tc>
          <w:tcPr>
            <w:tcW w:w="2221" w:type="dxa"/>
          </w:tcPr>
          <w:p w14:paraId="50885684"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Archivado</w:t>
            </w:r>
          </w:p>
        </w:tc>
      </w:tr>
      <w:tr w:rsidR="005C15C7" w:rsidRPr="00131EED" w14:paraId="3BB0C85D" w14:textId="77777777" w:rsidTr="00D84213">
        <w:tc>
          <w:tcPr>
            <w:tcW w:w="2196" w:type="dxa"/>
          </w:tcPr>
          <w:p w14:paraId="592D8F29"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ELB-111</w:t>
            </w:r>
          </w:p>
        </w:tc>
        <w:tc>
          <w:tcPr>
            <w:tcW w:w="1981" w:type="dxa"/>
          </w:tcPr>
          <w:p w14:paraId="43D9FABA"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Bogotá D.C.</w:t>
            </w:r>
          </w:p>
        </w:tc>
        <w:tc>
          <w:tcPr>
            <w:tcW w:w="4651" w:type="dxa"/>
            <w:gridSpan w:val="2"/>
          </w:tcPr>
          <w:p w14:paraId="1C747B74"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5C15C7" w:rsidRPr="00131EED" w14:paraId="78EA7623" w14:textId="77777777" w:rsidTr="00D84213">
        <w:tc>
          <w:tcPr>
            <w:tcW w:w="2196" w:type="dxa"/>
          </w:tcPr>
          <w:p w14:paraId="08036C9C"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2604</w:t>
            </w:r>
          </w:p>
        </w:tc>
        <w:tc>
          <w:tcPr>
            <w:tcW w:w="1981" w:type="dxa"/>
          </w:tcPr>
          <w:p w14:paraId="066A4177"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Cogua, Gachancipá, Nemocón, Tocancipá, Zipaquirá</w:t>
            </w:r>
          </w:p>
        </w:tc>
        <w:tc>
          <w:tcPr>
            <w:tcW w:w="4651" w:type="dxa"/>
            <w:gridSpan w:val="2"/>
          </w:tcPr>
          <w:p w14:paraId="355E2CD3"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5C15C7" w:rsidRPr="00131EED" w14:paraId="60641598" w14:textId="77777777" w:rsidTr="00D84213">
        <w:tc>
          <w:tcPr>
            <w:tcW w:w="2196" w:type="dxa"/>
          </w:tcPr>
          <w:p w14:paraId="55C31499"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14237</w:t>
            </w:r>
          </w:p>
        </w:tc>
        <w:tc>
          <w:tcPr>
            <w:tcW w:w="1981" w:type="dxa"/>
          </w:tcPr>
          <w:p w14:paraId="37FA2366"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Tausa</w:t>
            </w:r>
          </w:p>
        </w:tc>
        <w:tc>
          <w:tcPr>
            <w:tcW w:w="2430" w:type="dxa"/>
          </w:tcPr>
          <w:p w14:paraId="122CD686"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Licencia ambiental</w:t>
            </w:r>
          </w:p>
        </w:tc>
        <w:tc>
          <w:tcPr>
            <w:tcW w:w="2221" w:type="dxa"/>
          </w:tcPr>
          <w:p w14:paraId="5D2E9DAE"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Negado</w:t>
            </w:r>
          </w:p>
        </w:tc>
      </w:tr>
      <w:tr w:rsidR="005C15C7" w:rsidRPr="00131EED" w14:paraId="792A064D" w14:textId="77777777" w:rsidTr="00D84213">
        <w:tc>
          <w:tcPr>
            <w:tcW w:w="2196" w:type="dxa"/>
          </w:tcPr>
          <w:p w14:paraId="7A9D4BF2"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FL2-151</w:t>
            </w:r>
          </w:p>
        </w:tc>
        <w:tc>
          <w:tcPr>
            <w:tcW w:w="1981" w:type="dxa"/>
          </w:tcPr>
          <w:p w14:paraId="7F777A0C"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Subachoque</w:t>
            </w:r>
          </w:p>
        </w:tc>
        <w:tc>
          <w:tcPr>
            <w:tcW w:w="2430" w:type="dxa"/>
          </w:tcPr>
          <w:p w14:paraId="2592175F"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Licencia ambiental</w:t>
            </w:r>
          </w:p>
        </w:tc>
        <w:tc>
          <w:tcPr>
            <w:tcW w:w="2221" w:type="dxa"/>
          </w:tcPr>
          <w:p w14:paraId="70975879"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Negado</w:t>
            </w:r>
          </w:p>
        </w:tc>
      </w:tr>
      <w:tr w:rsidR="005C15C7" w:rsidRPr="00131EED" w14:paraId="463A42AF" w14:textId="77777777" w:rsidTr="00D84213">
        <w:tc>
          <w:tcPr>
            <w:tcW w:w="2196" w:type="dxa"/>
          </w:tcPr>
          <w:p w14:paraId="5C40AAFC"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IK9-15281</w:t>
            </w:r>
          </w:p>
        </w:tc>
        <w:tc>
          <w:tcPr>
            <w:tcW w:w="1981" w:type="dxa"/>
          </w:tcPr>
          <w:p w14:paraId="37EC7EDB"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Zipaquirá</w:t>
            </w:r>
          </w:p>
        </w:tc>
        <w:tc>
          <w:tcPr>
            <w:tcW w:w="4651" w:type="dxa"/>
            <w:gridSpan w:val="2"/>
          </w:tcPr>
          <w:p w14:paraId="06CB7453"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5C15C7" w:rsidRPr="00131EED" w14:paraId="13FB414F" w14:textId="77777777" w:rsidTr="00D84213">
        <w:tc>
          <w:tcPr>
            <w:tcW w:w="2196" w:type="dxa"/>
          </w:tcPr>
          <w:p w14:paraId="441D05B2"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FFO-131</w:t>
            </w:r>
          </w:p>
        </w:tc>
        <w:tc>
          <w:tcPr>
            <w:tcW w:w="1981" w:type="dxa"/>
          </w:tcPr>
          <w:p w14:paraId="28705A81"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Cogua, Pacho, Tausa, Zipaquirá</w:t>
            </w:r>
          </w:p>
        </w:tc>
        <w:tc>
          <w:tcPr>
            <w:tcW w:w="2430" w:type="dxa"/>
          </w:tcPr>
          <w:p w14:paraId="794CBC5C"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Licencia ambiental</w:t>
            </w:r>
          </w:p>
        </w:tc>
        <w:tc>
          <w:tcPr>
            <w:tcW w:w="2221" w:type="dxa"/>
          </w:tcPr>
          <w:p w14:paraId="0FE309CA"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Negado</w:t>
            </w:r>
          </w:p>
        </w:tc>
      </w:tr>
      <w:tr w:rsidR="005C15C7" w:rsidRPr="00131EED" w14:paraId="00BC0649" w14:textId="77777777" w:rsidTr="00D84213">
        <w:tc>
          <w:tcPr>
            <w:tcW w:w="2196" w:type="dxa"/>
          </w:tcPr>
          <w:p w14:paraId="29052CA5"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13490</w:t>
            </w:r>
          </w:p>
        </w:tc>
        <w:tc>
          <w:tcPr>
            <w:tcW w:w="1981" w:type="dxa"/>
          </w:tcPr>
          <w:p w14:paraId="468E9194"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Sibaté</w:t>
            </w:r>
          </w:p>
        </w:tc>
        <w:tc>
          <w:tcPr>
            <w:tcW w:w="4651" w:type="dxa"/>
            <w:gridSpan w:val="2"/>
          </w:tcPr>
          <w:p w14:paraId="6673BA39"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Archivado</w:t>
            </w:r>
          </w:p>
        </w:tc>
      </w:tr>
      <w:tr w:rsidR="005C15C7" w:rsidRPr="00131EED" w14:paraId="032362B3" w14:textId="77777777" w:rsidTr="00D84213">
        <w:tc>
          <w:tcPr>
            <w:tcW w:w="2196" w:type="dxa"/>
          </w:tcPr>
          <w:p w14:paraId="4849CF5F"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887T</w:t>
            </w:r>
          </w:p>
        </w:tc>
        <w:tc>
          <w:tcPr>
            <w:tcW w:w="1981" w:type="dxa"/>
          </w:tcPr>
          <w:p w14:paraId="52A559D6"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Pacho, Subachoque</w:t>
            </w:r>
          </w:p>
        </w:tc>
        <w:tc>
          <w:tcPr>
            <w:tcW w:w="4651" w:type="dxa"/>
            <w:gridSpan w:val="2"/>
          </w:tcPr>
          <w:p w14:paraId="2C744262"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5C15C7" w:rsidRPr="00131EED" w14:paraId="6BBAC8DE" w14:textId="77777777" w:rsidTr="00D84213">
        <w:tc>
          <w:tcPr>
            <w:tcW w:w="2196" w:type="dxa"/>
          </w:tcPr>
          <w:p w14:paraId="7F8E303C"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GJ4-081</w:t>
            </w:r>
          </w:p>
        </w:tc>
        <w:tc>
          <w:tcPr>
            <w:tcW w:w="1981" w:type="dxa"/>
          </w:tcPr>
          <w:p w14:paraId="0CDD6B62"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Guasca</w:t>
            </w:r>
          </w:p>
        </w:tc>
        <w:tc>
          <w:tcPr>
            <w:tcW w:w="4651" w:type="dxa"/>
            <w:gridSpan w:val="2"/>
          </w:tcPr>
          <w:p w14:paraId="256D4347"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5C15C7" w:rsidRPr="00131EED" w14:paraId="324E49C9" w14:textId="77777777" w:rsidTr="00D84213">
        <w:tc>
          <w:tcPr>
            <w:tcW w:w="2196" w:type="dxa"/>
          </w:tcPr>
          <w:p w14:paraId="77B8D0D3"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FJB-14011X</w:t>
            </w:r>
          </w:p>
        </w:tc>
        <w:tc>
          <w:tcPr>
            <w:tcW w:w="1981" w:type="dxa"/>
          </w:tcPr>
          <w:p w14:paraId="08302950"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Tausa</w:t>
            </w:r>
          </w:p>
        </w:tc>
        <w:tc>
          <w:tcPr>
            <w:tcW w:w="4651" w:type="dxa"/>
            <w:gridSpan w:val="2"/>
          </w:tcPr>
          <w:p w14:paraId="3AADA2E0" w14:textId="77777777" w:rsidR="005C15C7" w:rsidRPr="00131EED" w:rsidRDefault="005C15C7" w:rsidP="00D84213">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bl>
    <w:p w14:paraId="007178C5" w14:textId="77777777" w:rsidR="005C15C7" w:rsidRPr="00131EED" w:rsidRDefault="005C15C7" w:rsidP="005C15C7">
      <w:pPr>
        <w:jc w:val="center"/>
        <w:rPr>
          <w:rFonts w:cs="Arial"/>
          <w:sz w:val="20"/>
          <w:szCs w:val="20"/>
        </w:rPr>
      </w:pPr>
      <w:r w:rsidRPr="00131EED">
        <w:rPr>
          <w:rFonts w:cs="Arial"/>
          <w:sz w:val="20"/>
          <w:szCs w:val="20"/>
        </w:rPr>
        <w:t>Fuente: Corporación Autónoma Regional de Cundinamarca, 2024</w:t>
      </w:r>
    </w:p>
    <w:p w14:paraId="323E9C7F" w14:textId="77777777" w:rsidR="00962A95" w:rsidRPr="00131EED" w:rsidRDefault="00962A95" w:rsidP="000959B9">
      <w:pPr>
        <w:rPr>
          <w:rFonts w:ascii="Baskerville" w:hAnsi="Baskerville" w:cs="Arial"/>
        </w:rPr>
      </w:pPr>
    </w:p>
    <w:p w14:paraId="35433ED8" w14:textId="321C9AE3" w:rsidR="000959B9" w:rsidRPr="00131EED" w:rsidRDefault="008B5A30" w:rsidP="008B5A30">
      <w:pPr>
        <w:pStyle w:val="Caption"/>
        <w:jc w:val="center"/>
        <w:rPr>
          <w:rFonts w:ascii="Baskerville" w:hAnsi="Baskerville"/>
          <w:b/>
          <w:bCs/>
          <w:color w:val="1F3864" w:themeColor="accent1" w:themeShade="80"/>
        </w:rPr>
      </w:pPr>
      <w:bookmarkStart w:id="153" w:name="_Ref210940674"/>
      <w:bookmarkStart w:id="154" w:name="_Toc164763163"/>
      <w:bookmarkStart w:id="155" w:name="_Toc165381214"/>
      <w:bookmarkStart w:id="156" w:name="_Toc216468803"/>
      <w:r w:rsidRPr="00131EED">
        <w:t>Ilustración</w:t>
      </w:r>
      <w:r w:rsidR="000959B9" w:rsidRPr="00131EED">
        <w:t xml:space="preserve"> </w:t>
      </w:r>
      <w:bookmarkEnd w:id="153"/>
      <w:r w:rsidRPr="00131EED">
        <w:fldChar w:fldCharType="begin"/>
      </w:r>
      <w:r w:rsidRPr="00131EED">
        <w:instrText xml:space="preserve"> SEQ Ilustración \* ARABIC </w:instrText>
      </w:r>
      <w:r w:rsidRPr="00131EED">
        <w:fldChar w:fldCharType="separate"/>
      </w:r>
      <w:r w:rsidR="00CE096F">
        <w:rPr>
          <w:noProof/>
        </w:rPr>
        <w:t>38</w:t>
      </w:r>
      <w:r w:rsidRPr="00131EED">
        <w:fldChar w:fldCharType="end"/>
      </w:r>
      <w:r w:rsidR="00F242BF" w:rsidRPr="00131EED">
        <w:t xml:space="preserve"> </w:t>
      </w:r>
      <w:r w:rsidR="000959B9" w:rsidRPr="00131EED">
        <w:t xml:space="preserve">Traslape </w:t>
      </w:r>
      <w:r w:rsidR="00653332" w:rsidRPr="00131EED">
        <w:t xml:space="preserve">de títulos mineros </w:t>
      </w:r>
      <w:r w:rsidR="000959B9" w:rsidRPr="00131EED">
        <w:t>con Páramos en la Sabana de Bogotá</w:t>
      </w:r>
      <w:bookmarkEnd w:id="154"/>
      <w:bookmarkEnd w:id="155"/>
      <w:bookmarkEnd w:id="156"/>
    </w:p>
    <w:p w14:paraId="6FCEA175" w14:textId="6095AD3A" w:rsidR="000959B9" w:rsidRPr="00131EED" w:rsidRDefault="008B5A30" w:rsidP="000959B9">
      <w:pPr>
        <w:jc w:val="center"/>
      </w:pPr>
      <w:r w:rsidRPr="00131EED">
        <w:rPr>
          <w:rFonts w:ascii="Baskerville" w:hAnsi="Baskerville"/>
          <w:noProof/>
          <w:color w:val="2B579A"/>
          <w:shd w:val="clear" w:color="auto" w:fill="E6E6E6"/>
          <w:lang w:eastAsia="en-US"/>
        </w:rPr>
        <w:drawing>
          <wp:inline distT="0" distB="0" distL="0" distR="0" wp14:anchorId="69237B23" wp14:editId="06B3D077">
            <wp:extent cx="4426457" cy="3724275"/>
            <wp:effectExtent l="0" t="0" r="0" b="0"/>
            <wp:docPr id="181229705" name="Imagen 13"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29705" name="Imagen 13" descr="A map of a forest&#10;&#10;AI-generated content may be incorrect."/>
                    <pic:cNvPicPr/>
                  </pic:nvPicPr>
                  <pic:blipFill>
                    <a:blip r:embed="rId74"/>
                    <a:stretch>
                      <a:fillRect/>
                    </a:stretch>
                  </pic:blipFill>
                  <pic:spPr>
                    <a:xfrm>
                      <a:off x="0" y="0"/>
                      <a:ext cx="4441142" cy="3736630"/>
                    </a:xfrm>
                    <a:prstGeom prst="rect">
                      <a:avLst/>
                    </a:prstGeom>
                  </pic:spPr>
                </pic:pic>
              </a:graphicData>
            </a:graphic>
          </wp:inline>
        </w:drawing>
      </w:r>
      <w:r w:rsidR="000959B9" w:rsidRPr="00131EED">
        <w:rPr>
          <w:noProof/>
          <w:color w:val="2B579A"/>
          <w:lang w:eastAsia="en-US"/>
        </w:rPr>
        <mc:AlternateContent>
          <mc:Choice Requires="wps">
            <w:drawing>
              <wp:anchor distT="0" distB="0" distL="114300" distR="114300" simplePos="0" relativeHeight="251573760" behindDoc="0" locked="0" layoutInCell="1" allowOverlap="1" wp14:anchorId="67B5E46A" wp14:editId="57355C70">
                <wp:simplePos x="0" y="0"/>
                <wp:positionH relativeFrom="column">
                  <wp:posOffset>3666526</wp:posOffset>
                </wp:positionH>
                <wp:positionV relativeFrom="paragraph">
                  <wp:posOffset>1239598</wp:posOffset>
                </wp:positionV>
                <wp:extent cx="873457" cy="143839"/>
                <wp:effectExtent l="0" t="0" r="15875" b="8890"/>
                <wp:wrapNone/>
                <wp:docPr id="794846103" name="Rectángulo 1"/>
                <wp:cNvGraphicFramePr/>
                <a:graphic xmlns:a="http://schemas.openxmlformats.org/drawingml/2006/main">
                  <a:graphicData uri="http://schemas.microsoft.com/office/word/2010/wordprocessingShape">
                    <wps:wsp>
                      <wps:cNvSpPr/>
                      <wps:spPr>
                        <a:xfrm>
                          <a:off x="0" y="0"/>
                          <a:ext cx="873457" cy="143839"/>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75B7648" id="Rectángulo 1" o:spid="_x0000_s1026" style="position:absolute;margin-left:288.7pt;margin-top:97.6pt;width:68.8pt;height:11.35pt;z-index:251573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" fillcolor="white [3212]" strokecolor="white [3212]" strokeweight="1pt"/>
            </w:pict>
          </mc:Fallback>
        </mc:AlternateContent>
      </w:r>
    </w:p>
    <w:p w14:paraId="65150029" w14:textId="77777777" w:rsidR="000959B9" w:rsidRPr="00131EED" w:rsidRDefault="000959B9" w:rsidP="000959B9">
      <w:pPr>
        <w:tabs>
          <w:tab w:val="left" w:pos="3969"/>
        </w:tabs>
        <w:jc w:val="center"/>
        <w:rPr>
          <w:rFonts w:cs="Arial"/>
          <w:sz w:val="20"/>
          <w:szCs w:val="20"/>
        </w:rPr>
      </w:pPr>
      <w:r w:rsidRPr="00131EED">
        <w:rPr>
          <w:rFonts w:cs="Arial"/>
          <w:sz w:val="20"/>
          <w:szCs w:val="20"/>
        </w:rPr>
        <w:t>Fuente: Grupo de Gestión Ambiental Minera – MADS, 2024</w:t>
      </w:r>
    </w:p>
    <w:p w14:paraId="71B40C11" w14:textId="77777777" w:rsidR="000959B9" w:rsidRPr="00131EED" w:rsidRDefault="000959B9" w:rsidP="008B5A30"/>
    <w:p w14:paraId="54FAF251" w14:textId="77777777" w:rsidR="000959B9" w:rsidRPr="00131EED" w:rsidRDefault="000959B9" w:rsidP="000959B9">
      <w:pPr>
        <w:jc w:val="center"/>
        <w:rPr>
          <w:rFonts w:ascii="Baskerville" w:hAnsi="Baskerville" w:cs="Arial"/>
          <w:iCs/>
        </w:rPr>
      </w:pPr>
    </w:p>
    <w:p w14:paraId="3A2EE64B" w14:textId="77777777" w:rsidR="000959B9" w:rsidRPr="00131EED" w:rsidRDefault="000959B9" w:rsidP="00410194">
      <w:pPr>
        <w:pStyle w:val="Heading3"/>
        <w:numPr>
          <w:ilvl w:val="3"/>
          <w:numId w:val="31"/>
        </w:numPr>
        <w:rPr>
          <w:i/>
        </w:rPr>
      </w:pPr>
      <w:bookmarkStart w:id="157" w:name="_Toc216468708"/>
      <w:r w:rsidRPr="00131EED">
        <w:rPr>
          <w:i/>
        </w:rPr>
        <w:t>Superposición con humedales</w:t>
      </w:r>
      <w:bookmarkEnd w:id="157"/>
      <w:r w:rsidRPr="00131EED">
        <w:rPr>
          <w:i/>
        </w:rPr>
        <w:t xml:space="preserve"> </w:t>
      </w:r>
    </w:p>
    <w:p w14:paraId="34458F0F" w14:textId="77777777" w:rsidR="000959B9" w:rsidRPr="00131EED" w:rsidRDefault="000959B9" w:rsidP="000959B9">
      <w:pPr>
        <w:rPr>
          <w:rFonts w:ascii="Baskerville" w:hAnsi="Baskerville" w:cs="Arial"/>
        </w:rPr>
      </w:pPr>
    </w:p>
    <w:p w14:paraId="1400897F" w14:textId="77777777" w:rsidR="000959B9" w:rsidRPr="00131EED" w:rsidRDefault="000959B9" w:rsidP="000959B9">
      <w:pPr>
        <w:rPr>
          <w:rFonts w:cs="Arial"/>
        </w:rPr>
      </w:pPr>
      <w:r w:rsidRPr="00131EED">
        <w:rPr>
          <w:rFonts w:cs="Arial"/>
        </w:rPr>
        <w:t xml:space="preserve">Con relación a la Sabana de Bogotá, se presenta un cruce entre áreas compatibles con la minería con 2209,58 ha de humedales. Con relación a los humedales RAMSAR del Complejo de Humedales Urbanos del Distrito Capital de Bogotá, no se evidencia cruces ni con las zonas compatibles con la minería ni títulos mineros </w:t>
      </w:r>
    </w:p>
    <w:p w14:paraId="73A7790B" w14:textId="77777777" w:rsidR="000959B9" w:rsidRPr="00131EED" w:rsidRDefault="000959B9" w:rsidP="000959B9">
      <w:pPr>
        <w:rPr>
          <w:rFonts w:cs="Arial"/>
        </w:rPr>
      </w:pPr>
    </w:p>
    <w:p w14:paraId="7ADB85C4" w14:textId="175CEBD1" w:rsidR="000959B9" w:rsidRPr="00131EED" w:rsidRDefault="00F64375" w:rsidP="008A54DF">
      <w:pPr>
        <w:pStyle w:val="Caption"/>
        <w:jc w:val="center"/>
      </w:pPr>
      <w:bookmarkStart w:id="158" w:name="_Toc164763168"/>
      <w:bookmarkStart w:id="159" w:name="_Toc165381219"/>
      <w:bookmarkStart w:id="160" w:name="_Toc216468804"/>
      <w:r w:rsidRPr="00131EED">
        <w:t>Ilustración</w:t>
      </w:r>
      <w:r w:rsidR="000959B9" w:rsidRPr="00131EED">
        <w:t xml:space="preserve"> </w:t>
      </w:r>
      <w:fldSimple w:instr=" SEQ Ilustración \* ARABIC ">
        <w:r w:rsidR="00CE096F">
          <w:rPr>
            <w:noProof/>
          </w:rPr>
          <w:t>39</w:t>
        </w:r>
      </w:fldSimple>
      <w:r w:rsidR="000959B9" w:rsidRPr="00131EED">
        <w:t xml:space="preserve"> Traslape </w:t>
      </w:r>
      <w:r w:rsidR="008A54DF" w:rsidRPr="00131EED">
        <w:t xml:space="preserve">de títulos mineros </w:t>
      </w:r>
      <w:r w:rsidR="000959B9" w:rsidRPr="00131EED">
        <w:t>con Humedales en la Sabana de Bogotá</w:t>
      </w:r>
      <w:bookmarkEnd w:id="158"/>
      <w:bookmarkEnd w:id="159"/>
      <w:bookmarkEnd w:id="160"/>
    </w:p>
    <w:p w14:paraId="52A7AA43" w14:textId="77777777" w:rsidR="000959B9" w:rsidRPr="00131EED" w:rsidRDefault="000959B9" w:rsidP="000959B9">
      <w:pPr>
        <w:jc w:val="center"/>
        <w:rPr>
          <w:rFonts w:ascii="Baskerville" w:hAnsi="Baskerville" w:cs="Arial"/>
          <w:lang w:eastAsia="es-CO"/>
        </w:rPr>
      </w:pPr>
      <w:r w:rsidRPr="00131EED">
        <w:rPr>
          <w:rFonts w:ascii="Baskerville" w:hAnsi="Baskerville"/>
          <w:noProof/>
          <w:color w:val="2B579A"/>
          <w:lang w:eastAsia="en-US"/>
        </w:rPr>
        <mc:AlternateContent>
          <mc:Choice Requires="wps">
            <w:drawing>
              <wp:anchor distT="0" distB="0" distL="114300" distR="114300" simplePos="0" relativeHeight="251578880" behindDoc="0" locked="0" layoutInCell="1" allowOverlap="1" wp14:anchorId="5E1CB0F3" wp14:editId="35282BE6">
                <wp:simplePos x="0" y="0"/>
                <wp:positionH relativeFrom="column">
                  <wp:posOffset>3665741</wp:posOffset>
                </wp:positionH>
                <wp:positionV relativeFrom="paragraph">
                  <wp:posOffset>1247140</wp:posOffset>
                </wp:positionV>
                <wp:extent cx="873457" cy="143838"/>
                <wp:effectExtent l="0" t="0" r="15875" b="8890"/>
                <wp:wrapNone/>
                <wp:docPr id="244891652" name="Rectángulo 1"/>
                <wp:cNvGraphicFramePr/>
                <a:graphic xmlns:a="http://schemas.openxmlformats.org/drawingml/2006/main">
                  <a:graphicData uri="http://schemas.microsoft.com/office/word/2010/wordprocessingShape">
                    <wps:wsp>
                      <wps:cNvSpPr/>
                      <wps:spPr>
                        <a:xfrm>
                          <a:off x="0" y="0"/>
                          <a:ext cx="873457" cy="143838"/>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5AA1651" id="Rectángulo 1" o:spid="_x0000_s1026" style="position:absolute;margin-left:288.65pt;margin-top:98.2pt;width:68.8pt;height:11.35pt;z-index:251578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" fillcolor="white [3212]" strokecolor="white [3212]" strokeweight="1pt"/>
            </w:pict>
          </mc:Fallback>
        </mc:AlternateContent>
      </w:r>
      <w:r w:rsidRPr="00131EED">
        <w:rPr>
          <w:rFonts w:ascii="Baskerville" w:hAnsi="Baskerville"/>
          <w:noProof/>
          <w:color w:val="2B579A"/>
          <w:shd w:val="clear" w:color="auto" w:fill="E6E6E6"/>
          <w:lang w:eastAsia="en-US"/>
        </w:rPr>
        <w:drawing>
          <wp:inline distT="0" distB="0" distL="0" distR="0" wp14:anchorId="3239C9E5" wp14:editId="0A89A699">
            <wp:extent cx="5612130" cy="4774565"/>
            <wp:effectExtent l="0" t="0" r="1270" b="635"/>
            <wp:docPr id="19" name="Imagen 19"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A map of a forest&#10;&#10;AI-generated content may be incorrect."/>
                    <pic:cNvPicPr/>
                  </pic:nvPicPr>
                  <pic:blipFill>
                    <a:blip r:embed="rId75"/>
                    <a:stretch>
                      <a:fillRect/>
                    </a:stretch>
                  </pic:blipFill>
                  <pic:spPr>
                    <a:xfrm>
                      <a:off x="0" y="0"/>
                      <a:ext cx="5612130" cy="4774565"/>
                    </a:xfrm>
                    <a:prstGeom prst="rect">
                      <a:avLst/>
                    </a:prstGeom>
                  </pic:spPr>
                </pic:pic>
              </a:graphicData>
            </a:graphic>
          </wp:inline>
        </w:drawing>
      </w:r>
    </w:p>
    <w:p w14:paraId="053BA223" w14:textId="77777777" w:rsidR="000959B9" w:rsidRPr="00131EED" w:rsidRDefault="000959B9" w:rsidP="000959B9">
      <w:pPr>
        <w:jc w:val="center"/>
        <w:rPr>
          <w:rFonts w:cs="Arial"/>
          <w:sz w:val="20"/>
          <w:szCs w:val="20"/>
        </w:rPr>
      </w:pPr>
      <w:r w:rsidRPr="00131EED">
        <w:rPr>
          <w:rFonts w:cs="Arial"/>
          <w:sz w:val="20"/>
          <w:szCs w:val="20"/>
        </w:rPr>
        <w:t>Fuente: Grupo de Gestión Ambiental Minera – MADS, 2024</w:t>
      </w:r>
    </w:p>
    <w:p w14:paraId="5BC7CB5D" w14:textId="77777777" w:rsidR="000959B9" w:rsidRPr="00131EED" w:rsidRDefault="000959B9" w:rsidP="000959B9">
      <w:pPr>
        <w:jc w:val="center"/>
        <w:rPr>
          <w:rFonts w:cs="Arial"/>
          <w:sz w:val="20"/>
          <w:szCs w:val="20"/>
        </w:rPr>
      </w:pPr>
    </w:p>
    <w:p w14:paraId="1AD1A6E6" w14:textId="77777777" w:rsidR="000959B9" w:rsidRPr="00131EED" w:rsidRDefault="000959B9" w:rsidP="000959B9">
      <w:pPr>
        <w:jc w:val="center"/>
        <w:rPr>
          <w:rFonts w:ascii="Baskerville" w:hAnsi="Baskerville" w:cs="Arial"/>
          <w:iCs/>
        </w:rPr>
      </w:pPr>
    </w:p>
    <w:p w14:paraId="77FC7F8C" w14:textId="77777777" w:rsidR="000959B9" w:rsidRPr="00131EED" w:rsidRDefault="000959B9" w:rsidP="000959B9">
      <w:pPr>
        <w:jc w:val="center"/>
        <w:rPr>
          <w:rFonts w:ascii="Baskerville" w:hAnsi="Baskerville" w:cs="Arial"/>
          <w:iCs/>
        </w:rPr>
      </w:pPr>
    </w:p>
    <w:p w14:paraId="2CB60E54" w14:textId="77777777" w:rsidR="000959B9" w:rsidRPr="00131EED" w:rsidRDefault="000959B9" w:rsidP="000959B9">
      <w:pPr>
        <w:jc w:val="center"/>
        <w:rPr>
          <w:rFonts w:ascii="Baskerville" w:hAnsi="Baskerville" w:cs="Arial"/>
          <w:iCs/>
        </w:rPr>
      </w:pPr>
    </w:p>
    <w:p w14:paraId="5F5078B7" w14:textId="77777777" w:rsidR="000959B9" w:rsidRPr="00131EED" w:rsidRDefault="000959B9" w:rsidP="00B63CA1"/>
    <w:p w14:paraId="7D60B5F8" w14:textId="77777777" w:rsidR="000959B9" w:rsidRPr="00131EED" w:rsidRDefault="000959B9" w:rsidP="00B63CA1"/>
    <w:p w14:paraId="21A77ED6" w14:textId="7AD3D0FA" w:rsidR="000959B9" w:rsidRPr="00131EED" w:rsidRDefault="0092125B" w:rsidP="00D751D2">
      <w:pPr>
        <w:pStyle w:val="Caption"/>
        <w:jc w:val="center"/>
      </w:pPr>
      <w:bookmarkStart w:id="161" w:name="_Toc164763169"/>
      <w:bookmarkStart w:id="162" w:name="_Toc165381220"/>
      <w:bookmarkStart w:id="163" w:name="_Toc216468805"/>
      <w:r w:rsidRPr="00131EED">
        <w:t>Ilustración</w:t>
      </w:r>
      <w:r w:rsidR="000959B9" w:rsidRPr="00131EED">
        <w:t xml:space="preserve"> </w:t>
      </w:r>
      <w:fldSimple w:instr=" SEQ Ilustración \* ARABIC ">
        <w:r w:rsidR="00CE096F">
          <w:rPr>
            <w:noProof/>
          </w:rPr>
          <w:t>40</w:t>
        </w:r>
      </w:fldSimple>
      <w:r w:rsidR="000959B9" w:rsidRPr="00131EED">
        <w:t>Traslape con Humedales RAMSAR en la Sabana de Bogotá</w:t>
      </w:r>
      <w:bookmarkEnd w:id="161"/>
      <w:bookmarkEnd w:id="162"/>
      <w:bookmarkEnd w:id="163"/>
    </w:p>
    <w:p w14:paraId="31B99A48" w14:textId="77777777" w:rsidR="000959B9" w:rsidRPr="00131EED" w:rsidRDefault="000959B9" w:rsidP="000959B9">
      <w:pPr>
        <w:jc w:val="center"/>
        <w:rPr>
          <w:rFonts w:ascii="Baskerville" w:hAnsi="Baskerville" w:cs="Arial"/>
          <w:lang w:eastAsia="es-CO"/>
        </w:rPr>
      </w:pPr>
      <w:r w:rsidRPr="00131EED">
        <w:rPr>
          <w:rFonts w:ascii="Baskerville" w:hAnsi="Baskerville"/>
          <w:noProof/>
          <w:color w:val="2B579A"/>
          <w:lang w:eastAsia="en-US"/>
        </w:rPr>
        <mc:AlternateContent>
          <mc:Choice Requires="wps">
            <w:drawing>
              <wp:anchor distT="0" distB="0" distL="114300" distR="114300" simplePos="0" relativeHeight="251584000" behindDoc="0" locked="0" layoutInCell="1" allowOverlap="1" wp14:anchorId="08B0131A" wp14:editId="6128F004">
                <wp:simplePos x="0" y="0"/>
                <wp:positionH relativeFrom="column">
                  <wp:posOffset>3666526</wp:posOffset>
                </wp:positionH>
                <wp:positionV relativeFrom="paragraph">
                  <wp:posOffset>1249873</wp:posOffset>
                </wp:positionV>
                <wp:extent cx="873457" cy="133564"/>
                <wp:effectExtent l="0" t="0" r="15875" b="19050"/>
                <wp:wrapNone/>
                <wp:docPr id="2124965948" name="Rectángulo 1"/>
                <wp:cNvGraphicFramePr/>
                <a:graphic xmlns:a="http://schemas.openxmlformats.org/drawingml/2006/main">
                  <a:graphicData uri="http://schemas.microsoft.com/office/word/2010/wordprocessingShape">
                    <wps:wsp>
                      <wps:cNvSpPr/>
                      <wps:spPr>
                        <a:xfrm>
                          <a:off x="0" y="0"/>
                          <a:ext cx="873457" cy="133564"/>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C662887" id="Rectángulo 1" o:spid="_x0000_s1026" style="position:absolute;margin-left:288.7pt;margin-top:98.4pt;width:68.8pt;height:10.5pt;z-index:251584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" fillcolor="white [3212]" strokecolor="white [3212]" strokeweight="1pt"/>
            </w:pict>
          </mc:Fallback>
        </mc:AlternateContent>
      </w:r>
      <w:r w:rsidRPr="00131EED">
        <w:rPr>
          <w:rFonts w:ascii="Baskerville" w:hAnsi="Baskerville"/>
          <w:noProof/>
          <w:color w:val="2B579A"/>
          <w:shd w:val="clear" w:color="auto" w:fill="E6E6E6"/>
          <w:lang w:eastAsia="en-US"/>
        </w:rPr>
        <w:drawing>
          <wp:inline distT="0" distB="0" distL="0" distR="0" wp14:anchorId="66073BA5" wp14:editId="5DC8F8B9">
            <wp:extent cx="5612130" cy="4734560"/>
            <wp:effectExtent l="0" t="0" r="1270" b="2540"/>
            <wp:docPr id="25" name="Imagen 25"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descr="A map of a forest&#10;&#10;AI-generated content may be incorrect."/>
                    <pic:cNvPicPr/>
                  </pic:nvPicPr>
                  <pic:blipFill>
                    <a:blip r:embed="rId76"/>
                    <a:stretch>
                      <a:fillRect/>
                    </a:stretch>
                  </pic:blipFill>
                  <pic:spPr>
                    <a:xfrm>
                      <a:off x="0" y="0"/>
                      <a:ext cx="5612130" cy="4734560"/>
                    </a:xfrm>
                    <a:prstGeom prst="rect">
                      <a:avLst/>
                    </a:prstGeom>
                  </pic:spPr>
                </pic:pic>
              </a:graphicData>
            </a:graphic>
          </wp:inline>
        </w:drawing>
      </w:r>
    </w:p>
    <w:p w14:paraId="38607B06" w14:textId="77777777" w:rsidR="000959B9" w:rsidRPr="00131EED" w:rsidRDefault="000959B9" w:rsidP="000959B9">
      <w:pPr>
        <w:jc w:val="center"/>
        <w:rPr>
          <w:rFonts w:cs="Arial"/>
          <w:sz w:val="20"/>
          <w:szCs w:val="16"/>
        </w:rPr>
      </w:pPr>
      <w:r w:rsidRPr="00131EED">
        <w:rPr>
          <w:rFonts w:cs="Arial"/>
          <w:sz w:val="20"/>
          <w:szCs w:val="16"/>
        </w:rPr>
        <w:t>Fuente: Grupo de Gestión Ambiental Minera – MADS, 2024</w:t>
      </w:r>
    </w:p>
    <w:p w14:paraId="17A3ED50" w14:textId="77777777" w:rsidR="00A310E6" w:rsidRPr="00131EED" w:rsidRDefault="00A310E6" w:rsidP="000959B9">
      <w:pPr>
        <w:jc w:val="center"/>
        <w:rPr>
          <w:rFonts w:ascii="Century Gothic" w:hAnsi="Century Gothic" w:cs="Arial"/>
          <w:iCs/>
          <w:sz w:val="20"/>
          <w:szCs w:val="20"/>
        </w:rPr>
      </w:pPr>
    </w:p>
    <w:p w14:paraId="58B9800B" w14:textId="77777777" w:rsidR="000959B9" w:rsidRPr="00131EED" w:rsidRDefault="000959B9" w:rsidP="00410194">
      <w:pPr>
        <w:pStyle w:val="Heading3"/>
        <w:numPr>
          <w:ilvl w:val="3"/>
          <w:numId w:val="31"/>
        </w:numPr>
      </w:pPr>
      <w:bookmarkStart w:id="164" w:name="_Toc216468709"/>
      <w:r w:rsidRPr="00131EED">
        <w:t>Superposición con áreas del Sistema Nacional de áreas protegidas</w:t>
      </w:r>
      <w:bookmarkEnd w:id="164"/>
      <w:r w:rsidRPr="00131EED">
        <w:t xml:space="preserve"> </w:t>
      </w:r>
    </w:p>
    <w:p w14:paraId="5F71FFC2" w14:textId="77777777" w:rsidR="000959B9" w:rsidRPr="00131EED" w:rsidRDefault="000959B9" w:rsidP="000959B9">
      <w:pPr>
        <w:rPr>
          <w:rFonts w:ascii="Baskerville" w:hAnsi="Baskerville" w:cs="Arial"/>
        </w:rPr>
      </w:pPr>
    </w:p>
    <w:p w14:paraId="336DA68B" w14:textId="451D4AF8" w:rsidR="000959B9" w:rsidRPr="00131EED" w:rsidRDefault="000959B9" w:rsidP="000959B9">
      <w:pPr>
        <w:rPr>
          <w:rFonts w:cs="Arial"/>
        </w:rPr>
      </w:pPr>
      <w:r w:rsidRPr="00131EED">
        <w:rPr>
          <w:rFonts w:cs="Arial"/>
        </w:rPr>
        <w:t xml:space="preserve">Las áreas protegidas corresponden al conjunto de áreas protegidas, actores sociales y estrategias e instrumentos de gestión que las articulan, para contribuir como un todo al cumplimiento de los objetivos de conservación del país. Incluye todas las áreas protegidas de gobernanza pública, privada o comunitaria, y del ámbito de gestión nacional, regional o local </w:t>
      </w:r>
      <w:sdt>
        <w:sdtPr>
          <w:rPr>
            <w:rFonts w:cs="Arial"/>
          </w:rPr>
          <w:id w:val="2012641227"/>
          <w:citation/>
        </w:sdtPr>
        <w:sdtEndPr/>
        <w:sdtContent>
          <w:r w:rsidRPr="00131EED">
            <w:rPr>
              <w:rFonts w:cs="Arial"/>
            </w:rPr>
            <w:fldChar w:fldCharType="begin"/>
          </w:r>
          <w:r w:rsidRPr="00131EED">
            <w:rPr>
              <w:rFonts w:cs="Arial"/>
            </w:rPr>
            <w:instrText xml:space="preserve"> CITATION Par \l 2058 </w:instrText>
          </w:r>
          <w:r w:rsidRPr="00131EED">
            <w:rPr>
              <w:rFonts w:cs="Arial"/>
            </w:rPr>
            <w:fldChar w:fldCharType="separate"/>
          </w:r>
          <w:r w:rsidRPr="00131EED">
            <w:rPr>
              <w:rFonts w:cs="Arial"/>
            </w:rPr>
            <w:t>(Parques Nacionales Naturales de Colombia, s.f.)</w:t>
          </w:r>
          <w:r w:rsidRPr="00131EED">
            <w:rPr>
              <w:rFonts w:cs="Arial"/>
            </w:rPr>
            <w:fldChar w:fldCharType="end"/>
          </w:r>
        </w:sdtContent>
      </w:sdt>
      <w:r w:rsidRPr="00131EED">
        <w:rPr>
          <w:rFonts w:cs="Arial"/>
        </w:rPr>
        <w:t>.</w:t>
      </w:r>
    </w:p>
    <w:p w14:paraId="109B0003" w14:textId="77777777" w:rsidR="000959B9" w:rsidRPr="00131EED" w:rsidRDefault="000959B9" w:rsidP="000959B9">
      <w:pPr>
        <w:rPr>
          <w:rFonts w:cs="Arial"/>
        </w:rPr>
      </w:pPr>
    </w:p>
    <w:p w14:paraId="255C1A94" w14:textId="77777777" w:rsidR="000959B9" w:rsidRPr="00131EED" w:rsidRDefault="000959B9" w:rsidP="000959B9">
      <w:pPr>
        <w:rPr>
          <w:rFonts w:cs="Arial"/>
        </w:rPr>
      </w:pPr>
      <w:r w:rsidRPr="00131EED">
        <w:rPr>
          <w:rFonts w:cs="Arial"/>
        </w:rPr>
        <w:t>Para el caso de la Sabana de Bogotá, se presentan 788,65 ha de intercepción con zonas compatibles para la minería y las cuales corresponde a las Reservas Naturales de la Sociedad Civil correspondientes a El Turpial y Conjunto de Reservas Naturales de Sumicol S.A.S. Predio La Pintada y con el Distrito Regional de Manejo Integrado Páramo de Guargua y Laguna Verde. Lo que equivale al 0,13% del área del ámbito-Ecorregión de Sabana de Bogotá.</w:t>
      </w:r>
    </w:p>
    <w:p w14:paraId="59746F0A" w14:textId="77777777" w:rsidR="000959B9" w:rsidRPr="00131EED" w:rsidRDefault="000959B9" w:rsidP="000959B9">
      <w:pPr>
        <w:rPr>
          <w:rFonts w:cs="Arial"/>
        </w:rPr>
      </w:pPr>
    </w:p>
    <w:p w14:paraId="62D4B337" w14:textId="77777777" w:rsidR="000959B9" w:rsidRPr="00131EED" w:rsidRDefault="000959B9" w:rsidP="000959B9">
      <w:pPr>
        <w:rPr>
          <w:rFonts w:cs="Arial"/>
        </w:rPr>
      </w:pPr>
      <w:r w:rsidRPr="00131EED">
        <w:rPr>
          <w:rFonts w:cs="Arial"/>
        </w:rPr>
        <w:t>Con relación a los títulos mineros se presenta un cruce con 3414,5 ha con áreas SINAP, las cuales corresponden a:  Distritos de Conservación de Suelos, Distritos Regionales de Manejo Integrado, Parques Naturales Regionales, Reserva Natural de la Sociedad Civil y Reservas Forestales Protectoras Regionales. Lo que equivale al 0,59% del área del ámbito-Ecorregión de Sabana de Bogotá.</w:t>
      </w:r>
    </w:p>
    <w:p w14:paraId="14EC23FE" w14:textId="77777777" w:rsidR="000959B9" w:rsidRPr="00131EED" w:rsidRDefault="000959B9" w:rsidP="000959B9">
      <w:pPr>
        <w:rPr>
          <w:rFonts w:ascii="Baskerville" w:hAnsi="Baskerville" w:cs="Arial"/>
        </w:rPr>
      </w:pPr>
    </w:p>
    <w:p w14:paraId="422D870A" w14:textId="0AA4731C" w:rsidR="000959B9" w:rsidRPr="00131EED" w:rsidRDefault="00535F84" w:rsidP="00535F84">
      <w:pPr>
        <w:pStyle w:val="Caption"/>
        <w:jc w:val="center"/>
      </w:pPr>
      <w:bookmarkStart w:id="165" w:name="_Toc164763164"/>
      <w:bookmarkStart w:id="166" w:name="_Toc165381215"/>
      <w:bookmarkStart w:id="167" w:name="_Toc216468806"/>
      <w:r w:rsidRPr="00131EED">
        <w:t xml:space="preserve">Ilustración </w:t>
      </w:r>
      <w:fldSimple w:instr=" SEQ Ilustración \* ARABIC ">
        <w:r w:rsidR="00CE096F">
          <w:rPr>
            <w:noProof/>
          </w:rPr>
          <w:t>41</w:t>
        </w:r>
      </w:fldSimple>
      <w:r w:rsidRPr="00131EED">
        <w:t xml:space="preserve">. </w:t>
      </w:r>
      <w:r w:rsidR="000959B9" w:rsidRPr="00131EED">
        <w:t xml:space="preserve">Traslape </w:t>
      </w:r>
      <w:r w:rsidRPr="00131EED">
        <w:t xml:space="preserve">de títulos mineros </w:t>
      </w:r>
      <w:r w:rsidR="000959B9" w:rsidRPr="00131EED">
        <w:t xml:space="preserve">con Áreas </w:t>
      </w:r>
      <w:r w:rsidRPr="00131EED">
        <w:t>protegidas</w:t>
      </w:r>
      <w:r w:rsidR="000959B9" w:rsidRPr="00131EED">
        <w:t xml:space="preserve"> en la Sabana de Bogotá</w:t>
      </w:r>
      <w:bookmarkEnd w:id="165"/>
      <w:bookmarkEnd w:id="166"/>
      <w:bookmarkEnd w:id="167"/>
    </w:p>
    <w:p w14:paraId="67A25436" w14:textId="77777777" w:rsidR="000959B9" w:rsidRPr="00131EED" w:rsidRDefault="000959B9" w:rsidP="000959B9">
      <w:pPr>
        <w:jc w:val="center"/>
        <w:rPr>
          <w:rFonts w:ascii="Baskerville" w:hAnsi="Baskerville" w:cs="Arial"/>
          <w:iCs/>
          <w:sz w:val="20"/>
        </w:rPr>
      </w:pPr>
      <w:r w:rsidRPr="00131EED">
        <w:rPr>
          <w:rFonts w:ascii="Baskerville" w:hAnsi="Baskerville"/>
          <w:noProof/>
          <w:color w:val="2B579A"/>
          <w:lang w:eastAsia="en-US"/>
        </w:rPr>
        <mc:AlternateContent>
          <mc:Choice Requires="wps">
            <w:drawing>
              <wp:anchor distT="0" distB="0" distL="114300" distR="114300" simplePos="0" relativeHeight="251590144" behindDoc="0" locked="0" layoutInCell="1" allowOverlap="1" wp14:anchorId="03583EE7" wp14:editId="7A8CC502">
                <wp:simplePos x="0" y="0"/>
                <wp:positionH relativeFrom="column">
                  <wp:posOffset>3666490</wp:posOffset>
                </wp:positionH>
                <wp:positionV relativeFrom="paragraph">
                  <wp:posOffset>1410856</wp:posOffset>
                </wp:positionV>
                <wp:extent cx="873457" cy="198413"/>
                <wp:effectExtent l="0" t="0" r="15875" b="17780"/>
                <wp:wrapNone/>
                <wp:docPr id="547017232" name="Rectángulo 1"/>
                <wp:cNvGraphicFramePr/>
                <a:graphic xmlns:a="http://schemas.openxmlformats.org/drawingml/2006/main">
                  <a:graphicData uri="http://schemas.microsoft.com/office/word/2010/wordprocessingShape">
                    <wps:wsp>
                      <wps:cNvSpPr/>
                      <wps:spPr>
                        <a:xfrm>
                          <a:off x="0" y="0"/>
                          <a:ext cx="873457" cy="198413"/>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17A88E0" id="Rectángulo 1" o:spid="_x0000_s1026" style="position:absolute;margin-left:288.7pt;margin-top:111.1pt;width:68.8pt;height:15.6pt;z-index:251590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" fillcolor="white [3212]" strokecolor="white [3212]" strokeweight="1pt"/>
            </w:pict>
          </mc:Fallback>
        </mc:AlternateContent>
      </w:r>
      <w:r w:rsidRPr="00131EED">
        <w:rPr>
          <w:rFonts w:ascii="Baskerville" w:hAnsi="Baskerville"/>
          <w:noProof/>
          <w:color w:val="2B579A"/>
          <w:shd w:val="clear" w:color="auto" w:fill="E6E6E6"/>
          <w:lang w:eastAsia="en-US"/>
        </w:rPr>
        <w:drawing>
          <wp:inline distT="0" distB="0" distL="0" distR="0" wp14:anchorId="065EB207" wp14:editId="0B1EB300">
            <wp:extent cx="4833252" cy="4086225"/>
            <wp:effectExtent l="0" t="0" r="5715" b="0"/>
            <wp:docPr id="30" name="Imagen 30"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descr="A map of a forest&#10;&#10;AI-generated content may be incorrect."/>
                    <pic:cNvPicPr/>
                  </pic:nvPicPr>
                  <pic:blipFill>
                    <a:blip r:embed="rId77"/>
                    <a:stretch>
                      <a:fillRect/>
                    </a:stretch>
                  </pic:blipFill>
                  <pic:spPr>
                    <a:xfrm>
                      <a:off x="0" y="0"/>
                      <a:ext cx="4846969" cy="4097822"/>
                    </a:xfrm>
                    <a:prstGeom prst="rect">
                      <a:avLst/>
                    </a:prstGeom>
                  </pic:spPr>
                </pic:pic>
              </a:graphicData>
            </a:graphic>
          </wp:inline>
        </w:drawing>
      </w:r>
    </w:p>
    <w:p w14:paraId="598583B1" w14:textId="77777777" w:rsidR="000959B9" w:rsidRPr="00131EED" w:rsidRDefault="000959B9" w:rsidP="000959B9">
      <w:pPr>
        <w:jc w:val="center"/>
        <w:rPr>
          <w:rFonts w:cs="Arial"/>
          <w:sz w:val="20"/>
        </w:rPr>
      </w:pPr>
      <w:r w:rsidRPr="00131EED">
        <w:rPr>
          <w:rFonts w:cs="Arial"/>
          <w:sz w:val="20"/>
        </w:rPr>
        <w:t>Fuente: Grupo de Gestión Ambiental Minera – MADS, 2024</w:t>
      </w:r>
    </w:p>
    <w:p w14:paraId="721A029A" w14:textId="77777777" w:rsidR="000959B9" w:rsidRPr="00131EED" w:rsidRDefault="000959B9" w:rsidP="000959B9">
      <w:pPr>
        <w:rPr>
          <w:rFonts w:cs="Arial"/>
        </w:rPr>
      </w:pPr>
    </w:p>
    <w:p w14:paraId="6AE2BDF6" w14:textId="77777777" w:rsidR="000959B9" w:rsidRPr="00131EED" w:rsidRDefault="000959B9" w:rsidP="000959B9">
      <w:pPr>
        <w:rPr>
          <w:rFonts w:cs="Arial"/>
        </w:rPr>
      </w:pPr>
      <w:r w:rsidRPr="00131EED">
        <w:rPr>
          <w:rFonts w:cs="Arial"/>
        </w:rPr>
        <w:t>Con relación al inventario de Áreas protegidas declaradas por la Corporación Autónoma Regional (CAR), para el área de la Sabana de Bogotá, se evidencia un cruce de 780,99 ha con Zonas Compatibles para la minería correspondiente al Páramo de Guargua y Laguna Verde (0,13% del área del ámbito-Ecorregión de Sabana de Bogotá). En cuanto a los títulos mineros se presenta un cruce de 7171,48 ha (1,23% del área del ámbito-Ecorregión de Sabana de Bogotá.) correspondientes a la cuenca Alta del Río Bogotá, el Bosque Oriental de Bogotá, el Distrito de Conservación de Suelos Laguna de Suesca, la Laguna de Suesca, el Nacimiento del Río Subachoque y pantano de Arce, Pantano Redondo y Nacimiento del Río Susagua, el Páramo de Guargua y Laguna Verde, el Páramo de Guerrero, el Sector Salto de Tequendama Cerro Manjui, Bosque Oriental de Bogotá, Cuchilla de El Choque, Macizo El Tablazo, Vista Hermosa de Monquetiva.</w:t>
      </w:r>
    </w:p>
    <w:p w14:paraId="3BBE85C7" w14:textId="77777777" w:rsidR="005101E6" w:rsidRPr="00131EED" w:rsidRDefault="005101E6" w:rsidP="000959B9">
      <w:pPr>
        <w:rPr>
          <w:rFonts w:ascii="Baskerville" w:hAnsi="Baskerville" w:cs="Arial"/>
        </w:rPr>
      </w:pPr>
    </w:p>
    <w:p w14:paraId="179E757D" w14:textId="77777777" w:rsidR="000959B9" w:rsidRPr="00131EED" w:rsidRDefault="000959B9" w:rsidP="000959B9">
      <w:pPr>
        <w:rPr>
          <w:rFonts w:ascii="Baskerville" w:hAnsi="Baskerville" w:cs="Arial"/>
        </w:rPr>
      </w:pPr>
    </w:p>
    <w:p w14:paraId="350DFE46" w14:textId="3EF7C358" w:rsidR="000959B9" w:rsidRPr="00131EED" w:rsidRDefault="007B49AE" w:rsidP="00A310E6">
      <w:pPr>
        <w:pStyle w:val="Caption"/>
        <w:jc w:val="center"/>
        <w:rPr>
          <w:rStyle w:val="Strong"/>
          <w:rFonts w:ascii="Baskerville" w:hAnsi="Baskerville"/>
          <w:i w:val="0"/>
          <w:iCs w:val="0"/>
        </w:rPr>
      </w:pPr>
      <w:bookmarkStart w:id="168" w:name="_Toc216468807"/>
      <w:r w:rsidRPr="00131EED">
        <w:t>Ilustración</w:t>
      </w:r>
      <w:r w:rsidR="000959B9" w:rsidRPr="00131EED">
        <w:t xml:space="preserve"> </w:t>
      </w:r>
      <w:r w:rsidRPr="00131EED">
        <w:fldChar w:fldCharType="begin"/>
      </w:r>
      <w:r w:rsidRPr="00131EED">
        <w:instrText>SEQ Ilustración \* ARABIC</w:instrText>
      </w:r>
      <w:r w:rsidRPr="00131EED">
        <w:fldChar w:fldCharType="separate"/>
      </w:r>
      <w:r w:rsidR="00CE096F">
        <w:rPr>
          <w:noProof/>
        </w:rPr>
        <w:t>42</w:t>
      </w:r>
      <w:r w:rsidRPr="00131EED">
        <w:fldChar w:fldCharType="end"/>
      </w:r>
      <w:r w:rsidR="000959B9" w:rsidRPr="00131EED">
        <w:t xml:space="preserve"> Traslape </w:t>
      </w:r>
      <w:r w:rsidR="00535F84" w:rsidRPr="00131EED">
        <w:t xml:space="preserve">de títulos mineros </w:t>
      </w:r>
      <w:r w:rsidR="000959B9" w:rsidRPr="00131EED">
        <w:t xml:space="preserve">con Áreas Protegidas </w:t>
      </w:r>
      <w:r w:rsidR="00535F84" w:rsidRPr="00131EED">
        <w:t xml:space="preserve">y estrategias de </w:t>
      </w:r>
      <w:r w:rsidR="00A52E61" w:rsidRPr="00131EED">
        <w:t>conservación</w:t>
      </w:r>
      <w:r w:rsidR="00535F84" w:rsidRPr="00131EED">
        <w:t xml:space="preserve"> in situ </w:t>
      </w:r>
      <w:r w:rsidR="000959B9" w:rsidRPr="00131EED">
        <w:t xml:space="preserve"> en la Sabana de Bogotá</w:t>
      </w:r>
      <w:bookmarkEnd w:id="168"/>
    </w:p>
    <w:p w14:paraId="74E0904E" w14:textId="77777777" w:rsidR="000959B9" w:rsidRPr="00131EED" w:rsidRDefault="000959B9" w:rsidP="000959B9">
      <w:pPr>
        <w:jc w:val="center"/>
        <w:rPr>
          <w:rFonts w:ascii="Baskerville" w:hAnsi="Baskerville" w:cs="Arial"/>
        </w:rPr>
      </w:pPr>
      <w:r w:rsidRPr="00131EED">
        <w:rPr>
          <w:rFonts w:ascii="Baskerville" w:hAnsi="Baskerville"/>
          <w:noProof/>
          <w:color w:val="2B579A"/>
          <w:lang w:eastAsia="en-US"/>
        </w:rPr>
        <mc:AlternateContent>
          <mc:Choice Requires="wps">
            <w:drawing>
              <wp:anchor distT="0" distB="0" distL="114300" distR="114300" simplePos="0" relativeHeight="251739648" behindDoc="0" locked="0" layoutInCell="1" allowOverlap="1" wp14:anchorId="300E21F9" wp14:editId="056ECBBA">
                <wp:simplePos x="0" y="0"/>
                <wp:positionH relativeFrom="column">
                  <wp:posOffset>3676800</wp:posOffset>
                </wp:positionH>
                <wp:positionV relativeFrom="paragraph">
                  <wp:posOffset>1222232</wp:posOffset>
                </wp:positionV>
                <wp:extent cx="873457" cy="143839"/>
                <wp:effectExtent l="0" t="0" r="15875" b="8890"/>
                <wp:wrapNone/>
                <wp:docPr id="1308300811" name="Rectángulo 1"/>
                <wp:cNvGraphicFramePr/>
                <a:graphic xmlns:a="http://schemas.openxmlformats.org/drawingml/2006/main">
                  <a:graphicData uri="http://schemas.microsoft.com/office/word/2010/wordprocessingShape">
                    <wps:wsp>
                      <wps:cNvSpPr/>
                      <wps:spPr>
                        <a:xfrm>
                          <a:off x="0" y="0"/>
                          <a:ext cx="873457" cy="143839"/>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68DB216" id="Rectángulo 1" o:spid="_x0000_s1026" style="position:absolute;margin-left:289.5pt;margin-top:96.25pt;width:68.8pt;height:11.35pt;z-index:251739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" fillcolor="white [3212]" strokecolor="white [3212]" strokeweight="1pt"/>
            </w:pict>
          </mc:Fallback>
        </mc:AlternateContent>
      </w:r>
      <w:r w:rsidRPr="00131EED">
        <w:rPr>
          <w:rFonts w:ascii="Baskerville" w:hAnsi="Baskerville"/>
          <w:noProof/>
          <w:color w:val="2B579A"/>
          <w:shd w:val="clear" w:color="auto" w:fill="E6E6E6"/>
          <w:lang w:eastAsia="en-US"/>
        </w:rPr>
        <w:drawing>
          <wp:inline distT="0" distB="0" distL="0" distR="0" wp14:anchorId="3724DEBB" wp14:editId="09C2AE8D">
            <wp:extent cx="5230368" cy="4403025"/>
            <wp:effectExtent l="0" t="0" r="2540" b="4445"/>
            <wp:docPr id="31" name="Imagen 31"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descr="A map of a forest&#10;&#10;AI-generated content may be incorrect."/>
                    <pic:cNvPicPr/>
                  </pic:nvPicPr>
                  <pic:blipFill>
                    <a:blip r:embed="rId78"/>
                    <a:stretch>
                      <a:fillRect/>
                    </a:stretch>
                  </pic:blipFill>
                  <pic:spPr>
                    <a:xfrm>
                      <a:off x="0" y="0"/>
                      <a:ext cx="5231518" cy="4403993"/>
                    </a:xfrm>
                    <a:prstGeom prst="rect">
                      <a:avLst/>
                    </a:prstGeom>
                  </pic:spPr>
                </pic:pic>
              </a:graphicData>
            </a:graphic>
          </wp:inline>
        </w:drawing>
      </w:r>
    </w:p>
    <w:p w14:paraId="465602EA" w14:textId="77777777" w:rsidR="005101E6" w:rsidRPr="00131EED" w:rsidRDefault="005101E6" w:rsidP="000959B9">
      <w:pPr>
        <w:jc w:val="center"/>
        <w:rPr>
          <w:rFonts w:cs="Arial"/>
          <w:sz w:val="20"/>
          <w:szCs w:val="20"/>
        </w:rPr>
      </w:pPr>
    </w:p>
    <w:p w14:paraId="660CE81C" w14:textId="7CB1A6B9" w:rsidR="000959B9" w:rsidRPr="00131EED" w:rsidRDefault="000959B9" w:rsidP="000959B9">
      <w:pPr>
        <w:jc w:val="center"/>
        <w:rPr>
          <w:rFonts w:cs="Arial"/>
          <w:sz w:val="20"/>
          <w:szCs w:val="16"/>
        </w:rPr>
      </w:pPr>
      <w:r w:rsidRPr="00131EED">
        <w:rPr>
          <w:rFonts w:cs="Arial"/>
          <w:sz w:val="20"/>
          <w:szCs w:val="16"/>
        </w:rPr>
        <w:t>Fuente: Grupo de Gestión Ambiental Minera – MADS, 2024, a partir de la Corporación Autónoma Regional de Cundinamarca, 2023.</w:t>
      </w:r>
    </w:p>
    <w:p w14:paraId="18316A0B" w14:textId="77777777" w:rsidR="000959B9" w:rsidRPr="00131EED" w:rsidRDefault="000959B9" w:rsidP="000959B9">
      <w:pPr>
        <w:jc w:val="center"/>
        <w:rPr>
          <w:rFonts w:ascii="Century Gothic" w:hAnsi="Century Gothic" w:cs="Arial"/>
        </w:rPr>
      </w:pPr>
    </w:p>
    <w:p w14:paraId="1CE707E7" w14:textId="77777777" w:rsidR="005101E6" w:rsidRPr="00131EED" w:rsidRDefault="005101E6" w:rsidP="000959B9">
      <w:pPr>
        <w:jc w:val="center"/>
        <w:rPr>
          <w:rFonts w:ascii="Century Gothic" w:hAnsi="Century Gothic" w:cs="Arial"/>
          <w:iCs/>
        </w:rPr>
      </w:pPr>
    </w:p>
    <w:p w14:paraId="3ABDE2BE" w14:textId="77777777" w:rsidR="000959B9" w:rsidRPr="00131EED" w:rsidRDefault="000959B9" w:rsidP="00410194">
      <w:pPr>
        <w:pStyle w:val="Heading3"/>
        <w:numPr>
          <w:ilvl w:val="3"/>
          <w:numId w:val="31"/>
        </w:numPr>
      </w:pPr>
      <w:bookmarkStart w:id="169" w:name="_Toc216468710"/>
      <w:r w:rsidRPr="00131EED">
        <w:t>Superposición estructuras ecológicas principales</w:t>
      </w:r>
      <w:bookmarkEnd w:id="169"/>
      <w:r w:rsidRPr="00131EED">
        <w:t xml:space="preserve"> </w:t>
      </w:r>
    </w:p>
    <w:p w14:paraId="21B05616" w14:textId="77777777" w:rsidR="000959B9" w:rsidRPr="00131EED" w:rsidRDefault="000959B9" w:rsidP="000959B9">
      <w:pPr>
        <w:jc w:val="center"/>
        <w:rPr>
          <w:rFonts w:ascii="Baskerville" w:hAnsi="Baskerville" w:cs="Arial"/>
          <w:iCs/>
        </w:rPr>
      </w:pPr>
    </w:p>
    <w:p w14:paraId="04E35347" w14:textId="77777777" w:rsidR="000959B9" w:rsidRPr="00131EED" w:rsidRDefault="000959B9" w:rsidP="000959B9">
      <w:pPr>
        <w:rPr>
          <w:rFonts w:cs="Arial"/>
        </w:rPr>
      </w:pPr>
      <w:r w:rsidRPr="00131EED">
        <w:rPr>
          <w:rFonts w:cs="Arial"/>
        </w:rPr>
        <w:t>Con relación a las Áreas catalogadas por el Decreto Distrital 555 de 2021 como Estructura Ecológica Principal-EEP de Bogotá D.C., se evidencia un traslape de 932,5 Ha para títulos mineros, lo que equivale al 0,16% del área del ámbito-Ecorregión de Sabana de Bogotá. Un traslape de estas áreas de 1064,47 Ha en zona compatible con minería; lo que equivale al 0,18% del área del ámbito-Ecorregión de Sabana de Bogotá.</w:t>
      </w:r>
    </w:p>
    <w:p w14:paraId="1FFE70A2" w14:textId="77777777" w:rsidR="000959B9" w:rsidRPr="00131EED" w:rsidRDefault="000959B9" w:rsidP="000959B9">
      <w:pPr>
        <w:rPr>
          <w:rFonts w:ascii="Baskerville" w:hAnsi="Baskerville" w:cs="Arial"/>
        </w:rPr>
      </w:pPr>
    </w:p>
    <w:p w14:paraId="7F33C646" w14:textId="6D794007" w:rsidR="000959B9" w:rsidRPr="00131EED" w:rsidRDefault="00247CE3" w:rsidP="00A52E61">
      <w:pPr>
        <w:pStyle w:val="Caption"/>
        <w:jc w:val="center"/>
        <w:rPr>
          <w:rStyle w:val="Strong"/>
          <w:rFonts w:ascii="Baskerville" w:hAnsi="Baskerville"/>
          <w:i w:val="0"/>
          <w:color w:val="1F3864" w:themeColor="accent1" w:themeShade="80"/>
        </w:rPr>
      </w:pPr>
      <w:bookmarkStart w:id="170" w:name="_Toc216468808"/>
      <w:r w:rsidRPr="00131EED">
        <w:t>Ilustración</w:t>
      </w:r>
      <w:r w:rsidR="000959B9" w:rsidRPr="00131EED">
        <w:t xml:space="preserve"> </w:t>
      </w:r>
      <w:r w:rsidRPr="00131EED">
        <w:fldChar w:fldCharType="begin"/>
      </w:r>
      <w:r w:rsidRPr="00131EED">
        <w:instrText>SEQ Ilustración \* ARABIC</w:instrText>
      </w:r>
      <w:r w:rsidRPr="00131EED">
        <w:fldChar w:fldCharType="separate"/>
      </w:r>
      <w:r w:rsidR="00CE096F">
        <w:rPr>
          <w:noProof/>
        </w:rPr>
        <w:t>43</w:t>
      </w:r>
      <w:r w:rsidRPr="00131EED">
        <w:fldChar w:fldCharType="end"/>
      </w:r>
      <w:r w:rsidR="000959B9" w:rsidRPr="00131EED">
        <w:t xml:space="preserve"> Traslape </w:t>
      </w:r>
      <w:r w:rsidRPr="00131EED">
        <w:t xml:space="preserve">de títulos mineros </w:t>
      </w:r>
      <w:r w:rsidR="000959B9" w:rsidRPr="00131EED">
        <w:t>con áreas de Estructura Ecológica Principal Bogotá D.C. Decreto Distrital 555 de 2021</w:t>
      </w:r>
      <w:bookmarkEnd w:id="170"/>
    </w:p>
    <w:p w14:paraId="004A59F4" w14:textId="77777777" w:rsidR="000959B9" w:rsidRPr="00131EED" w:rsidRDefault="000959B9" w:rsidP="000959B9">
      <w:pPr>
        <w:jc w:val="center"/>
        <w:rPr>
          <w:rFonts w:ascii="Baskerville" w:hAnsi="Baskerville" w:cs="Arial"/>
          <w:iCs/>
        </w:rPr>
      </w:pPr>
      <w:r w:rsidRPr="00131EED">
        <w:rPr>
          <w:rFonts w:ascii="Baskerville" w:hAnsi="Baskerville"/>
          <w:noProof/>
          <w:color w:val="2B579A"/>
          <w:lang w:eastAsia="en-US"/>
        </w:rPr>
        <mc:AlternateContent>
          <mc:Choice Requires="wps">
            <w:drawing>
              <wp:anchor distT="0" distB="0" distL="114300" distR="114300" simplePos="0" relativeHeight="251744768" behindDoc="0" locked="0" layoutInCell="1" allowOverlap="1" wp14:anchorId="2E3B2285" wp14:editId="068A4490">
                <wp:simplePos x="0" y="0"/>
                <wp:positionH relativeFrom="column">
                  <wp:posOffset>3552190</wp:posOffset>
                </wp:positionH>
                <wp:positionV relativeFrom="paragraph">
                  <wp:posOffset>960234</wp:posOffset>
                </wp:positionV>
                <wp:extent cx="708917" cy="113015"/>
                <wp:effectExtent l="0" t="0" r="15240" b="14605"/>
                <wp:wrapNone/>
                <wp:docPr id="372419730" name="Rectángulo 1"/>
                <wp:cNvGraphicFramePr/>
                <a:graphic xmlns:a="http://schemas.openxmlformats.org/drawingml/2006/main">
                  <a:graphicData uri="http://schemas.microsoft.com/office/word/2010/wordprocessingShape">
                    <wps:wsp>
                      <wps:cNvSpPr/>
                      <wps:spPr>
                        <a:xfrm>
                          <a:off x="0" y="0"/>
                          <a:ext cx="708917" cy="11301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133C7" id="Rectángulo 1" o:spid="_x0000_s1026" style="position:absolute;margin-left:279.7pt;margin-top:75.6pt;width:55.8pt;height:8.9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" fillcolor="white [3212]" strokecolor="white [3212]" strokeweight="1pt"/>
            </w:pict>
          </mc:Fallback>
        </mc:AlternateContent>
      </w:r>
      <w:r w:rsidRPr="00131EED">
        <w:rPr>
          <w:rFonts w:ascii="Baskerville" w:hAnsi="Baskerville"/>
          <w:noProof/>
          <w:color w:val="2B579A"/>
          <w:shd w:val="clear" w:color="auto" w:fill="E6E6E6"/>
          <w:lang w:eastAsia="en-US"/>
        </w:rPr>
        <w:drawing>
          <wp:inline distT="0" distB="0" distL="0" distR="0" wp14:anchorId="2381493E" wp14:editId="0CAF090E">
            <wp:extent cx="4821291" cy="4078841"/>
            <wp:effectExtent l="0" t="0" r="5080" b="0"/>
            <wp:docPr id="15" name="Imagen 15"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descr="A map of a forest&#10;&#10;AI-generated content may be incorrect."/>
                    <pic:cNvPicPr/>
                  </pic:nvPicPr>
                  <pic:blipFill>
                    <a:blip r:embed="rId79"/>
                    <a:stretch>
                      <a:fillRect/>
                    </a:stretch>
                  </pic:blipFill>
                  <pic:spPr>
                    <a:xfrm>
                      <a:off x="0" y="0"/>
                      <a:ext cx="4836401" cy="4091624"/>
                    </a:xfrm>
                    <a:prstGeom prst="rect">
                      <a:avLst/>
                    </a:prstGeom>
                  </pic:spPr>
                </pic:pic>
              </a:graphicData>
            </a:graphic>
          </wp:inline>
        </w:drawing>
      </w:r>
    </w:p>
    <w:p w14:paraId="3F69961F" w14:textId="77777777" w:rsidR="000959B9" w:rsidRPr="00131EED" w:rsidRDefault="000959B9" w:rsidP="000959B9">
      <w:pPr>
        <w:jc w:val="center"/>
        <w:rPr>
          <w:rFonts w:cs="Arial"/>
          <w:sz w:val="20"/>
          <w:szCs w:val="20"/>
        </w:rPr>
      </w:pPr>
      <w:r w:rsidRPr="00131EED">
        <w:rPr>
          <w:rFonts w:cs="Arial"/>
          <w:sz w:val="20"/>
          <w:szCs w:val="20"/>
        </w:rPr>
        <w:t>Fuente: Grupo de Gestión Ambiental Minera – MADS, 2024.</w:t>
      </w:r>
    </w:p>
    <w:p w14:paraId="50B0EABE" w14:textId="77777777" w:rsidR="000959B9" w:rsidRPr="00131EED" w:rsidRDefault="000959B9" w:rsidP="000959B9">
      <w:pPr>
        <w:rPr>
          <w:rFonts w:cs="Arial"/>
        </w:rPr>
      </w:pPr>
    </w:p>
    <w:p w14:paraId="2E2A6E31" w14:textId="77777777" w:rsidR="000959B9" w:rsidRPr="00131EED" w:rsidRDefault="000959B9" w:rsidP="000959B9">
      <w:pPr>
        <w:rPr>
          <w:rFonts w:cs="Arial"/>
        </w:rPr>
      </w:pPr>
      <w:r w:rsidRPr="00131EED">
        <w:rPr>
          <w:rFonts w:cs="Arial"/>
        </w:rPr>
        <w:t xml:space="preserve">Con relación a las áreas catalogadas dentro de la Estructura Ecológica Principal-EEP de la CAR Cundinamarca, se evidencia un traslape de 11481,59 Ha para títulos mineros (1,98% del área del ámbito-Ecorregión de Sabana de Bogotá.)  y un traslape de estas áreas de 4247,52 Ha en zona compatible con minería (0,73% del área del ámbito-Ecorregión de Sabana de Bogotá.); presentado en el mapa a continuación. </w:t>
      </w:r>
    </w:p>
    <w:p w14:paraId="2CD2083F" w14:textId="77777777" w:rsidR="000959B9" w:rsidRPr="00131EED" w:rsidRDefault="000959B9" w:rsidP="000959B9">
      <w:pPr>
        <w:rPr>
          <w:rFonts w:ascii="Baskerville" w:hAnsi="Baskerville" w:cs="Arial"/>
        </w:rPr>
      </w:pPr>
    </w:p>
    <w:p w14:paraId="10932671" w14:textId="0DC89482" w:rsidR="00A44B3A" w:rsidRPr="00131EED" w:rsidRDefault="00A44B3A" w:rsidP="00A44B3A"/>
    <w:p w14:paraId="10121070" w14:textId="12C879BB" w:rsidR="000959B9" w:rsidRPr="00131EED" w:rsidRDefault="00247CE3" w:rsidP="00623E0B">
      <w:pPr>
        <w:pStyle w:val="Caption"/>
        <w:jc w:val="center"/>
        <w:rPr>
          <w:rStyle w:val="Strong"/>
          <w:rFonts w:ascii="Baskerville" w:hAnsi="Baskerville"/>
          <w:b w:val="0"/>
          <w:bCs w:val="0"/>
          <w:i w:val="0"/>
          <w:color w:val="1F3864" w:themeColor="accent1" w:themeShade="80"/>
        </w:rPr>
      </w:pPr>
      <w:bookmarkStart w:id="171" w:name="_Toc216468809"/>
      <w:r w:rsidRPr="00131EED">
        <w:t xml:space="preserve">Ilustración </w:t>
      </w:r>
      <w:r w:rsidRPr="00131EED">
        <w:fldChar w:fldCharType="begin"/>
      </w:r>
      <w:r w:rsidRPr="00131EED">
        <w:instrText>SEQ Ilustración \* ARABIC</w:instrText>
      </w:r>
      <w:r w:rsidRPr="00131EED">
        <w:fldChar w:fldCharType="separate"/>
      </w:r>
      <w:r w:rsidR="00CE096F">
        <w:rPr>
          <w:noProof/>
        </w:rPr>
        <w:t>44</w:t>
      </w:r>
      <w:r w:rsidRPr="00131EED">
        <w:fldChar w:fldCharType="end"/>
      </w:r>
      <w:r w:rsidRPr="00131EED">
        <w:t xml:space="preserve"> </w:t>
      </w:r>
      <w:r w:rsidR="000959B9" w:rsidRPr="00131EED">
        <w:t xml:space="preserve">Traslape </w:t>
      </w:r>
      <w:r w:rsidRPr="00131EED">
        <w:t xml:space="preserve">de títulos mineros con </w:t>
      </w:r>
      <w:r w:rsidR="000959B9" w:rsidRPr="00131EED">
        <w:t xml:space="preserve">áreas de Estructura Ecológica </w:t>
      </w:r>
      <w:r w:rsidR="00A52E61" w:rsidRPr="00131EED">
        <w:t>Principal</w:t>
      </w:r>
      <w:r w:rsidR="00DF7766" w:rsidRPr="00131EED">
        <w:t xml:space="preserve"> regional</w:t>
      </w:r>
      <w:r w:rsidR="000959B9" w:rsidRPr="00131EED">
        <w:t xml:space="preserve"> CAR</w:t>
      </w:r>
      <w:bookmarkEnd w:id="171"/>
    </w:p>
    <w:p w14:paraId="200D5349" w14:textId="77777777" w:rsidR="000959B9" w:rsidRPr="00131EED" w:rsidRDefault="000959B9" w:rsidP="000959B9">
      <w:pPr>
        <w:jc w:val="center"/>
        <w:rPr>
          <w:rFonts w:ascii="Baskerville" w:hAnsi="Baskerville" w:cs="Arial"/>
          <w:iCs/>
        </w:rPr>
      </w:pPr>
      <w:r w:rsidRPr="00131EED">
        <w:rPr>
          <w:rFonts w:ascii="Baskerville" w:hAnsi="Baskerville"/>
          <w:noProof/>
          <w:color w:val="2B579A"/>
          <w:lang w:eastAsia="en-US"/>
        </w:rPr>
        <mc:AlternateContent>
          <mc:Choice Requires="wps">
            <w:drawing>
              <wp:anchor distT="0" distB="0" distL="114300" distR="114300" simplePos="0" relativeHeight="251749888" behindDoc="0" locked="0" layoutInCell="1" allowOverlap="1" wp14:anchorId="0491F5B9" wp14:editId="0174FF50">
                <wp:simplePos x="0" y="0"/>
                <wp:positionH relativeFrom="column">
                  <wp:posOffset>3645535</wp:posOffset>
                </wp:positionH>
                <wp:positionV relativeFrom="paragraph">
                  <wp:posOffset>1279411</wp:posOffset>
                </wp:positionV>
                <wp:extent cx="976045" cy="164387"/>
                <wp:effectExtent l="0" t="0" r="14605" b="13970"/>
                <wp:wrapNone/>
                <wp:docPr id="256845545" name="Rectángulo 1"/>
                <wp:cNvGraphicFramePr/>
                <a:graphic xmlns:a="http://schemas.openxmlformats.org/drawingml/2006/main">
                  <a:graphicData uri="http://schemas.microsoft.com/office/word/2010/wordprocessingShape">
                    <wps:wsp>
                      <wps:cNvSpPr/>
                      <wps:spPr>
                        <a:xfrm>
                          <a:off x="0" y="0"/>
                          <a:ext cx="976045" cy="164387"/>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122FA8" id="Rectángulo 1" o:spid="_x0000_s1026" style="position:absolute;margin-left:287.05pt;margin-top:100.75pt;width:76.85pt;height:12.95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" fillcolor="white [3212]" strokecolor="white [3212]" strokeweight="1pt"/>
            </w:pict>
          </mc:Fallback>
        </mc:AlternateContent>
      </w:r>
      <w:r w:rsidRPr="00131EED">
        <w:rPr>
          <w:rFonts w:ascii="Baskerville" w:hAnsi="Baskerville"/>
          <w:noProof/>
          <w:color w:val="2B579A"/>
          <w:shd w:val="clear" w:color="auto" w:fill="E6E6E6"/>
          <w:lang w:eastAsia="en-US"/>
        </w:rPr>
        <w:drawing>
          <wp:inline distT="0" distB="0" distL="0" distR="0" wp14:anchorId="1A6A3A7E" wp14:editId="31FB208A">
            <wp:extent cx="5612130" cy="4761865"/>
            <wp:effectExtent l="0" t="0" r="1270" b="635"/>
            <wp:docPr id="10" name="Imagen 10"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A map of a forest&#10;&#10;AI-generated content may be incorrect."/>
                    <pic:cNvPicPr/>
                  </pic:nvPicPr>
                  <pic:blipFill>
                    <a:blip r:embed="rId80"/>
                    <a:stretch>
                      <a:fillRect/>
                    </a:stretch>
                  </pic:blipFill>
                  <pic:spPr>
                    <a:xfrm>
                      <a:off x="0" y="0"/>
                      <a:ext cx="5612130" cy="4761865"/>
                    </a:xfrm>
                    <a:prstGeom prst="rect">
                      <a:avLst/>
                    </a:prstGeom>
                  </pic:spPr>
                </pic:pic>
              </a:graphicData>
            </a:graphic>
          </wp:inline>
        </w:drawing>
      </w:r>
    </w:p>
    <w:p w14:paraId="3A40CCA5" w14:textId="77777777" w:rsidR="000959B9" w:rsidRPr="00131EED" w:rsidRDefault="000959B9" w:rsidP="000959B9">
      <w:pPr>
        <w:jc w:val="center"/>
        <w:rPr>
          <w:rFonts w:cs="Arial"/>
          <w:sz w:val="16"/>
          <w:szCs w:val="16"/>
        </w:rPr>
      </w:pPr>
      <w:r w:rsidRPr="00131EED">
        <w:rPr>
          <w:rFonts w:cs="Arial"/>
          <w:sz w:val="20"/>
          <w:szCs w:val="16"/>
        </w:rPr>
        <w:t>Fuente: Grupo de Gestión Ambiental Minera – MADS, 2024.</w:t>
      </w:r>
    </w:p>
    <w:p w14:paraId="5EFA0752" w14:textId="77777777" w:rsidR="00623E0B" w:rsidRPr="00131EED" w:rsidRDefault="00623E0B" w:rsidP="000959B9">
      <w:pPr>
        <w:jc w:val="center"/>
        <w:rPr>
          <w:rFonts w:cs="Arial"/>
          <w:sz w:val="20"/>
          <w:szCs w:val="20"/>
        </w:rPr>
      </w:pPr>
    </w:p>
    <w:p w14:paraId="51E04BAF" w14:textId="54B0CAB0" w:rsidR="000959B9" w:rsidRPr="00131EED" w:rsidRDefault="000959B9" w:rsidP="00A60EC2">
      <w:pPr>
        <w:pStyle w:val="Caption"/>
        <w:jc w:val="center"/>
      </w:pPr>
      <w:bookmarkStart w:id="172" w:name="_Toc216468938"/>
      <w:r w:rsidRPr="00131EED">
        <w:t xml:space="preserve">Tabla </w:t>
      </w:r>
      <w:fldSimple w:instr=" SEQ Tabla \* ARABIC ">
        <w:r w:rsidR="00CE096F">
          <w:rPr>
            <w:noProof/>
          </w:rPr>
          <w:t>28</w:t>
        </w:r>
      </w:fldSimple>
      <w:r w:rsidRPr="00131EED">
        <w:t xml:space="preserve"> Títulos mineros traslapados con las áreas protegidas de la CAR</w:t>
      </w:r>
      <w:bookmarkEnd w:id="172"/>
    </w:p>
    <w:tbl>
      <w:tblPr>
        <w:tblStyle w:val="TableGrid"/>
        <w:tblW w:w="0" w:type="auto"/>
        <w:tblLook w:val="04A0" w:firstRow="1" w:lastRow="0" w:firstColumn="1" w:lastColumn="0" w:noHBand="0" w:noVBand="1"/>
      </w:tblPr>
      <w:tblGrid>
        <w:gridCol w:w="2196"/>
        <w:gridCol w:w="1981"/>
        <w:gridCol w:w="2430"/>
        <w:gridCol w:w="2221"/>
      </w:tblGrid>
      <w:tr w:rsidR="000959B9" w:rsidRPr="00131EED" w14:paraId="69BE61A1" w14:textId="77777777" w:rsidTr="00053167">
        <w:trPr>
          <w:tblHeader/>
        </w:trPr>
        <w:tc>
          <w:tcPr>
            <w:tcW w:w="2196" w:type="dxa"/>
          </w:tcPr>
          <w:p w14:paraId="24C44F0B" w14:textId="77777777" w:rsidR="000959B9" w:rsidRPr="00131EED" w:rsidRDefault="762C8BE5" w:rsidP="567C331E">
            <w:pPr>
              <w:jc w:val="center"/>
              <w:rPr>
                <w:rFonts w:eastAsia="Baskerville Old Face" w:cs="Baskerville Old Face"/>
                <w:b/>
                <w:sz w:val="20"/>
                <w:szCs w:val="20"/>
              </w:rPr>
            </w:pPr>
            <w:r w:rsidRPr="00131EED">
              <w:rPr>
                <w:rFonts w:eastAsia="Baskerville Old Face" w:cs="Baskerville Old Face"/>
                <w:b/>
                <w:sz w:val="20"/>
                <w:szCs w:val="20"/>
              </w:rPr>
              <w:t>Titulo</w:t>
            </w:r>
          </w:p>
        </w:tc>
        <w:tc>
          <w:tcPr>
            <w:tcW w:w="1981" w:type="dxa"/>
          </w:tcPr>
          <w:p w14:paraId="1A192401" w14:textId="77777777" w:rsidR="000959B9" w:rsidRPr="00131EED" w:rsidRDefault="762C8BE5" w:rsidP="567C331E">
            <w:pPr>
              <w:jc w:val="center"/>
              <w:rPr>
                <w:rFonts w:eastAsia="Baskerville Old Face" w:cs="Baskerville Old Face"/>
                <w:b/>
                <w:sz w:val="20"/>
                <w:szCs w:val="20"/>
              </w:rPr>
            </w:pPr>
            <w:r w:rsidRPr="00131EED">
              <w:rPr>
                <w:rFonts w:eastAsia="Baskerville Old Face" w:cs="Baskerville Old Face"/>
                <w:b/>
                <w:sz w:val="20"/>
                <w:szCs w:val="20"/>
              </w:rPr>
              <w:t>Municipio</w:t>
            </w:r>
          </w:p>
        </w:tc>
        <w:tc>
          <w:tcPr>
            <w:tcW w:w="2430" w:type="dxa"/>
          </w:tcPr>
          <w:p w14:paraId="5186E705" w14:textId="77777777" w:rsidR="000959B9" w:rsidRPr="00131EED" w:rsidRDefault="762C8BE5" w:rsidP="567C331E">
            <w:pPr>
              <w:jc w:val="center"/>
              <w:rPr>
                <w:rFonts w:eastAsia="Baskerville Old Face" w:cs="Baskerville Old Face"/>
                <w:b/>
                <w:sz w:val="20"/>
                <w:szCs w:val="20"/>
              </w:rPr>
            </w:pPr>
            <w:r w:rsidRPr="00131EED">
              <w:rPr>
                <w:rFonts w:eastAsia="Baskerville Old Face" w:cs="Baskerville Old Face"/>
                <w:b/>
                <w:sz w:val="20"/>
                <w:szCs w:val="20"/>
              </w:rPr>
              <w:t>Instrumento ambiental</w:t>
            </w:r>
          </w:p>
        </w:tc>
        <w:tc>
          <w:tcPr>
            <w:tcW w:w="2221" w:type="dxa"/>
          </w:tcPr>
          <w:p w14:paraId="3F598E8C" w14:textId="77777777" w:rsidR="000959B9" w:rsidRPr="00131EED" w:rsidRDefault="762C8BE5" w:rsidP="567C331E">
            <w:pPr>
              <w:jc w:val="center"/>
              <w:rPr>
                <w:rFonts w:eastAsia="Baskerville Old Face" w:cs="Baskerville Old Face"/>
                <w:b/>
                <w:sz w:val="20"/>
                <w:szCs w:val="20"/>
              </w:rPr>
            </w:pPr>
            <w:r w:rsidRPr="00131EED">
              <w:rPr>
                <w:rFonts w:eastAsia="Baskerville Old Face" w:cs="Baskerville Old Face"/>
                <w:b/>
                <w:sz w:val="20"/>
                <w:szCs w:val="20"/>
              </w:rPr>
              <w:t>Estado</w:t>
            </w:r>
          </w:p>
        </w:tc>
      </w:tr>
      <w:tr w:rsidR="000959B9" w:rsidRPr="00131EED" w14:paraId="595770FC" w14:textId="77777777" w:rsidTr="00053167">
        <w:tc>
          <w:tcPr>
            <w:tcW w:w="2196" w:type="dxa"/>
          </w:tcPr>
          <w:p w14:paraId="47B45659"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EJ3-101</w:t>
            </w:r>
          </w:p>
        </w:tc>
        <w:tc>
          <w:tcPr>
            <w:tcW w:w="1981" w:type="dxa"/>
          </w:tcPr>
          <w:p w14:paraId="6C616DA5"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Bogotá D.C.</w:t>
            </w:r>
          </w:p>
        </w:tc>
        <w:tc>
          <w:tcPr>
            <w:tcW w:w="2430" w:type="dxa"/>
          </w:tcPr>
          <w:p w14:paraId="70B8408F"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Licencia ambiental</w:t>
            </w:r>
          </w:p>
        </w:tc>
        <w:tc>
          <w:tcPr>
            <w:tcW w:w="2221" w:type="dxa"/>
          </w:tcPr>
          <w:p w14:paraId="6791A442"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Negado</w:t>
            </w:r>
          </w:p>
        </w:tc>
      </w:tr>
      <w:tr w:rsidR="000959B9" w:rsidRPr="00131EED" w14:paraId="0682E893" w14:textId="77777777" w:rsidTr="00053167">
        <w:tc>
          <w:tcPr>
            <w:tcW w:w="2196" w:type="dxa"/>
          </w:tcPr>
          <w:p w14:paraId="0A965ACD"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LHU-08221</w:t>
            </w:r>
          </w:p>
        </w:tc>
        <w:tc>
          <w:tcPr>
            <w:tcW w:w="1981" w:type="dxa"/>
          </w:tcPr>
          <w:p w14:paraId="4526297D"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Tocancipá</w:t>
            </w:r>
          </w:p>
        </w:tc>
        <w:tc>
          <w:tcPr>
            <w:tcW w:w="2430" w:type="dxa"/>
          </w:tcPr>
          <w:p w14:paraId="64127108"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Licencia ambiental</w:t>
            </w:r>
          </w:p>
        </w:tc>
        <w:tc>
          <w:tcPr>
            <w:tcW w:w="2221" w:type="dxa"/>
          </w:tcPr>
          <w:p w14:paraId="32872AD4"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Desistimiento</w:t>
            </w:r>
          </w:p>
        </w:tc>
      </w:tr>
      <w:tr w:rsidR="000959B9" w:rsidRPr="00131EED" w14:paraId="12A8BEFD" w14:textId="77777777" w:rsidTr="00053167">
        <w:tc>
          <w:tcPr>
            <w:tcW w:w="2196" w:type="dxa"/>
          </w:tcPr>
          <w:p w14:paraId="672115E8"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HH2-14471</w:t>
            </w:r>
          </w:p>
        </w:tc>
        <w:tc>
          <w:tcPr>
            <w:tcW w:w="1981" w:type="dxa"/>
          </w:tcPr>
          <w:p w14:paraId="7B52628F"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Chocontá</w:t>
            </w:r>
          </w:p>
        </w:tc>
        <w:tc>
          <w:tcPr>
            <w:tcW w:w="2430" w:type="dxa"/>
          </w:tcPr>
          <w:p w14:paraId="229BFCC4"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Licencia ambiental</w:t>
            </w:r>
          </w:p>
        </w:tc>
        <w:tc>
          <w:tcPr>
            <w:tcW w:w="2221" w:type="dxa"/>
          </w:tcPr>
          <w:p w14:paraId="553CA592"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trámite</w:t>
            </w:r>
          </w:p>
        </w:tc>
      </w:tr>
      <w:tr w:rsidR="000959B9" w:rsidRPr="00131EED" w14:paraId="1389D565" w14:textId="77777777" w:rsidTr="00053167">
        <w:tc>
          <w:tcPr>
            <w:tcW w:w="2196" w:type="dxa"/>
          </w:tcPr>
          <w:p w14:paraId="6EB3A76E"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13626</w:t>
            </w:r>
          </w:p>
        </w:tc>
        <w:tc>
          <w:tcPr>
            <w:tcW w:w="1981" w:type="dxa"/>
          </w:tcPr>
          <w:p w14:paraId="7D2B17A6"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Mosquera</w:t>
            </w:r>
          </w:p>
        </w:tc>
        <w:tc>
          <w:tcPr>
            <w:tcW w:w="2430" w:type="dxa"/>
          </w:tcPr>
          <w:p w14:paraId="793742B2"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Proceso sancionatorio ambiental</w:t>
            </w:r>
          </w:p>
        </w:tc>
        <w:tc>
          <w:tcPr>
            <w:tcW w:w="2221" w:type="dxa"/>
          </w:tcPr>
          <w:p w14:paraId="5806AF8F"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trámite</w:t>
            </w:r>
          </w:p>
        </w:tc>
      </w:tr>
      <w:tr w:rsidR="000959B9" w:rsidRPr="00131EED" w14:paraId="533108BF" w14:textId="77777777" w:rsidTr="00053167">
        <w:tc>
          <w:tcPr>
            <w:tcW w:w="2196" w:type="dxa"/>
          </w:tcPr>
          <w:p w14:paraId="29CC525E"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11349</w:t>
            </w:r>
          </w:p>
        </w:tc>
        <w:tc>
          <w:tcPr>
            <w:tcW w:w="1981" w:type="dxa"/>
          </w:tcPr>
          <w:p w14:paraId="1E80AF5A"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Zipaquirá</w:t>
            </w:r>
          </w:p>
        </w:tc>
        <w:tc>
          <w:tcPr>
            <w:tcW w:w="2430" w:type="dxa"/>
          </w:tcPr>
          <w:p w14:paraId="49D3C2F2"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Licencia ambiental</w:t>
            </w:r>
          </w:p>
        </w:tc>
        <w:tc>
          <w:tcPr>
            <w:tcW w:w="2221" w:type="dxa"/>
          </w:tcPr>
          <w:p w14:paraId="5BEAA10B"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Negado</w:t>
            </w:r>
          </w:p>
        </w:tc>
      </w:tr>
      <w:tr w:rsidR="000959B9" w:rsidRPr="00131EED" w14:paraId="025ABD40" w14:textId="77777777" w:rsidTr="00053167">
        <w:tc>
          <w:tcPr>
            <w:tcW w:w="2196" w:type="dxa"/>
          </w:tcPr>
          <w:p w14:paraId="1B297ADB"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GCH-152</w:t>
            </w:r>
          </w:p>
        </w:tc>
        <w:tc>
          <w:tcPr>
            <w:tcW w:w="1981" w:type="dxa"/>
          </w:tcPr>
          <w:p w14:paraId="215AD384"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Nemocón</w:t>
            </w:r>
          </w:p>
        </w:tc>
        <w:tc>
          <w:tcPr>
            <w:tcW w:w="2430" w:type="dxa"/>
          </w:tcPr>
          <w:p w14:paraId="34712C05"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Proceso sancionatorio ambiental</w:t>
            </w:r>
          </w:p>
        </w:tc>
        <w:tc>
          <w:tcPr>
            <w:tcW w:w="2221" w:type="dxa"/>
          </w:tcPr>
          <w:p w14:paraId="74B29714"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trámite</w:t>
            </w:r>
          </w:p>
        </w:tc>
      </w:tr>
      <w:tr w:rsidR="000959B9" w:rsidRPr="00131EED" w14:paraId="2106A66F" w14:textId="77777777" w:rsidTr="00053167">
        <w:tc>
          <w:tcPr>
            <w:tcW w:w="2196" w:type="dxa"/>
          </w:tcPr>
          <w:p w14:paraId="6E1AF1C6"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FEE-151</w:t>
            </w:r>
          </w:p>
        </w:tc>
        <w:tc>
          <w:tcPr>
            <w:tcW w:w="1981" w:type="dxa"/>
          </w:tcPr>
          <w:p w14:paraId="1ABA3B9C"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Suesca</w:t>
            </w:r>
          </w:p>
        </w:tc>
        <w:tc>
          <w:tcPr>
            <w:tcW w:w="2430" w:type="dxa"/>
          </w:tcPr>
          <w:p w14:paraId="758D91D5"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Licencia ambiental</w:t>
            </w:r>
          </w:p>
        </w:tc>
        <w:tc>
          <w:tcPr>
            <w:tcW w:w="2221" w:type="dxa"/>
          </w:tcPr>
          <w:p w14:paraId="53208121"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Negado</w:t>
            </w:r>
          </w:p>
        </w:tc>
      </w:tr>
      <w:tr w:rsidR="000959B9" w:rsidRPr="00131EED" w14:paraId="5BD1A1E6" w14:textId="77777777" w:rsidTr="00053167">
        <w:tc>
          <w:tcPr>
            <w:tcW w:w="2196" w:type="dxa"/>
          </w:tcPr>
          <w:p w14:paraId="172BA2D4"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112-88</w:t>
            </w:r>
          </w:p>
        </w:tc>
        <w:tc>
          <w:tcPr>
            <w:tcW w:w="1981" w:type="dxa"/>
          </w:tcPr>
          <w:p w14:paraId="001262D4"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Suesca</w:t>
            </w:r>
          </w:p>
        </w:tc>
        <w:tc>
          <w:tcPr>
            <w:tcW w:w="2430" w:type="dxa"/>
          </w:tcPr>
          <w:p w14:paraId="5C662140"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Licencia ambiental</w:t>
            </w:r>
          </w:p>
        </w:tc>
        <w:tc>
          <w:tcPr>
            <w:tcW w:w="2221" w:type="dxa"/>
          </w:tcPr>
          <w:p w14:paraId="551683F8"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Negado</w:t>
            </w:r>
          </w:p>
        </w:tc>
      </w:tr>
      <w:tr w:rsidR="000959B9" w:rsidRPr="00131EED" w14:paraId="16CB1684" w14:textId="77777777" w:rsidTr="00053167">
        <w:tc>
          <w:tcPr>
            <w:tcW w:w="2196" w:type="dxa"/>
          </w:tcPr>
          <w:p w14:paraId="143CE879"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7373</w:t>
            </w:r>
          </w:p>
        </w:tc>
        <w:tc>
          <w:tcPr>
            <w:tcW w:w="1981" w:type="dxa"/>
          </w:tcPr>
          <w:p w14:paraId="7FAF1D5B"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Soacha</w:t>
            </w:r>
          </w:p>
        </w:tc>
        <w:tc>
          <w:tcPr>
            <w:tcW w:w="2430" w:type="dxa"/>
          </w:tcPr>
          <w:p w14:paraId="7C061D1F"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Plan de manejo ambiental</w:t>
            </w:r>
          </w:p>
        </w:tc>
        <w:tc>
          <w:tcPr>
            <w:tcW w:w="2221" w:type="dxa"/>
          </w:tcPr>
          <w:p w14:paraId="11983237"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Negado</w:t>
            </w:r>
          </w:p>
        </w:tc>
      </w:tr>
      <w:tr w:rsidR="000959B9" w:rsidRPr="00131EED" w14:paraId="53B70C7F" w14:textId="77777777" w:rsidTr="00053167">
        <w:tc>
          <w:tcPr>
            <w:tcW w:w="2196" w:type="dxa"/>
          </w:tcPr>
          <w:p w14:paraId="082B71B7"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8150</w:t>
            </w:r>
          </w:p>
        </w:tc>
        <w:tc>
          <w:tcPr>
            <w:tcW w:w="1981" w:type="dxa"/>
          </w:tcPr>
          <w:p w14:paraId="05B62FF5"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Mosquera</w:t>
            </w:r>
          </w:p>
        </w:tc>
        <w:tc>
          <w:tcPr>
            <w:tcW w:w="2430" w:type="dxa"/>
          </w:tcPr>
          <w:p w14:paraId="395A7F81"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Plan de manejo ambiental</w:t>
            </w:r>
          </w:p>
        </w:tc>
        <w:tc>
          <w:tcPr>
            <w:tcW w:w="2221" w:type="dxa"/>
          </w:tcPr>
          <w:p w14:paraId="5FDA45DD"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Traslado</w:t>
            </w:r>
          </w:p>
        </w:tc>
      </w:tr>
      <w:tr w:rsidR="000959B9" w:rsidRPr="00131EED" w14:paraId="563CAA6B" w14:textId="77777777" w:rsidTr="00053167">
        <w:tc>
          <w:tcPr>
            <w:tcW w:w="2196" w:type="dxa"/>
          </w:tcPr>
          <w:p w14:paraId="30673C7A"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22302</w:t>
            </w:r>
          </w:p>
        </w:tc>
        <w:tc>
          <w:tcPr>
            <w:tcW w:w="1981" w:type="dxa"/>
          </w:tcPr>
          <w:p w14:paraId="0387F415"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El Rosal, San Francisco</w:t>
            </w:r>
          </w:p>
        </w:tc>
        <w:tc>
          <w:tcPr>
            <w:tcW w:w="2430" w:type="dxa"/>
          </w:tcPr>
          <w:p w14:paraId="11AB825A"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Licencia ambiental</w:t>
            </w:r>
          </w:p>
        </w:tc>
        <w:tc>
          <w:tcPr>
            <w:tcW w:w="2221" w:type="dxa"/>
          </w:tcPr>
          <w:p w14:paraId="7BB47D6D"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Aprobado en seguimiento</w:t>
            </w:r>
          </w:p>
        </w:tc>
      </w:tr>
      <w:tr w:rsidR="000959B9" w:rsidRPr="00131EED" w14:paraId="0293B964" w14:textId="77777777" w:rsidTr="00053167">
        <w:tc>
          <w:tcPr>
            <w:tcW w:w="2196" w:type="dxa"/>
          </w:tcPr>
          <w:p w14:paraId="7062B365"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17964</w:t>
            </w:r>
          </w:p>
        </w:tc>
        <w:tc>
          <w:tcPr>
            <w:tcW w:w="1981" w:type="dxa"/>
          </w:tcPr>
          <w:p w14:paraId="15891272"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El Rosal, San Francisco</w:t>
            </w:r>
          </w:p>
        </w:tc>
        <w:tc>
          <w:tcPr>
            <w:tcW w:w="2430" w:type="dxa"/>
          </w:tcPr>
          <w:p w14:paraId="4695507E"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 xml:space="preserve">Plan de Manejo Ambiental </w:t>
            </w:r>
          </w:p>
        </w:tc>
        <w:tc>
          <w:tcPr>
            <w:tcW w:w="2221" w:type="dxa"/>
          </w:tcPr>
          <w:p w14:paraId="693DCAA3"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Aprobado vencido</w:t>
            </w:r>
          </w:p>
        </w:tc>
      </w:tr>
      <w:tr w:rsidR="000959B9" w:rsidRPr="00131EED" w14:paraId="0B3FB502" w14:textId="77777777" w:rsidTr="00053167">
        <w:tc>
          <w:tcPr>
            <w:tcW w:w="2196" w:type="dxa"/>
          </w:tcPr>
          <w:p w14:paraId="783BF390"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FKT-137</w:t>
            </w:r>
          </w:p>
        </w:tc>
        <w:tc>
          <w:tcPr>
            <w:tcW w:w="1981" w:type="dxa"/>
          </w:tcPr>
          <w:p w14:paraId="2EFBCB09"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Tabio</w:t>
            </w:r>
          </w:p>
        </w:tc>
        <w:tc>
          <w:tcPr>
            <w:tcW w:w="2430" w:type="dxa"/>
          </w:tcPr>
          <w:p w14:paraId="0CA8DC15"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Licencia ambiental</w:t>
            </w:r>
          </w:p>
        </w:tc>
        <w:tc>
          <w:tcPr>
            <w:tcW w:w="2221" w:type="dxa"/>
          </w:tcPr>
          <w:p w14:paraId="450FD3DE"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La información no se visualiza en SAE</w:t>
            </w:r>
          </w:p>
        </w:tc>
      </w:tr>
      <w:tr w:rsidR="000959B9" w:rsidRPr="00131EED" w14:paraId="5C82164F" w14:textId="77777777" w:rsidTr="00053167">
        <w:tc>
          <w:tcPr>
            <w:tcW w:w="2196" w:type="dxa"/>
          </w:tcPr>
          <w:p w14:paraId="260FBA89"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15962</w:t>
            </w:r>
          </w:p>
        </w:tc>
        <w:tc>
          <w:tcPr>
            <w:tcW w:w="1981" w:type="dxa"/>
          </w:tcPr>
          <w:p w14:paraId="4473E513"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La Calera</w:t>
            </w:r>
          </w:p>
        </w:tc>
        <w:tc>
          <w:tcPr>
            <w:tcW w:w="2430" w:type="dxa"/>
          </w:tcPr>
          <w:p w14:paraId="2D27D26F"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PMRRA</w:t>
            </w:r>
          </w:p>
        </w:tc>
        <w:tc>
          <w:tcPr>
            <w:tcW w:w="2221" w:type="dxa"/>
          </w:tcPr>
          <w:p w14:paraId="6BC0BF91"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Negado</w:t>
            </w:r>
          </w:p>
        </w:tc>
      </w:tr>
      <w:tr w:rsidR="000959B9" w:rsidRPr="00131EED" w14:paraId="2E57E287" w14:textId="77777777" w:rsidTr="00053167">
        <w:tc>
          <w:tcPr>
            <w:tcW w:w="2196" w:type="dxa"/>
          </w:tcPr>
          <w:p w14:paraId="059EBFA0"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13549</w:t>
            </w:r>
          </w:p>
        </w:tc>
        <w:tc>
          <w:tcPr>
            <w:tcW w:w="1981" w:type="dxa"/>
          </w:tcPr>
          <w:p w14:paraId="362A1852"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Guasca</w:t>
            </w:r>
          </w:p>
        </w:tc>
        <w:tc>
          <w:tcPr>
            <w:tcW w:w="4651" w:type="dxa"/>
            <w:gridSpan w:val="2"/>
          </w:tcPr>
          <w:p w14:paraId="07F3C84D"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00CCD6F0" w14:textId="77777777" w:rsidTr="00053167">
        <w:tc>
          <w:tcPr>
            <w:tcW w:w="2196" w:type="dxa"/>
          </w:tcPr>
          <w:p w14:paraId="7C9A237D"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GD4-132</w:t>
            </w:r>
          </w:p>
        </w:tc>
        <w:tc>
          <w:tcPr>
            <w:tcW w:w="1981" w:type="dxa"/>
          </w:tcPr>
          <w:p w14:paraId="4050796E"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Sesquilé</w:t>
            </w:r>
          </w:p>
        </w:tc>
        <w:tc>
          <w:tcPr>
            <w:tcW w:w="4651" w:type="dxa"/>
            <w:gridSpan w:val="2"/>
          </w:tcPr>
          <w:p w14:paraId="6A4F5716"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743948DD" w14:textId="77777777" w:rsidTr="00053167">
        <w:tc>
          <w:tcPr>
            <w:tcW w:w="2196" w:type="dxa"/>
          </w:tcPr>
          <w:p w14:paraId="4D5E76E6"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7372</w:t>
            </w:r>
          </w:p>
        </w:tc>
        <w:tc>
          <w:tcPr>
            <w:tcW w:w="1981" w:type="dxa"/>
          </w:tcPr>
          <w:p w14:paraId="3C043ADC"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Bojacá. Soacha</w:t>
            </w:r>
          </w:p>
        </w:tc>
        <w:tc>
          <w:tcPr>
            <w:tcW w:w="2430" w:type="dxa"/>
          </w:tcPr>
          <w:p w14:paraId="0952DF0B"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Plan de manejo ambiental</w:t>
            </w:r>
          </w:p>
        </w:tc>
        <w:tc>
          <w:tcPr>
            <w:tcW w:w="2221" w:type="dxa"/>
          </w:tcPr>
          <w:p w14:paraId="4B4369A9"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Aprobado en seguimiento</w:t>
            </w:r>
          </w:p>
        </w:tc>
      </w:tr>
      <w:tr w:rsidR="000959B9" w:rsidRPr="00131EED" w14:paraId="58F6CB73" w14:textId="77777777" w:rsidTr="00053167">
        <w:tc>
          <w:tcPr>
            <w:tcW w:w="2196" w:type="dxa"/>
          </w:tcPr>
          <w:p w14:paraId="54AD49A2"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17183</w:t>
            </w:r>
          </w:p>
        </w:tc>
        <w:tc>
          <w:tcPr>
            <w:tcW w:w="1981" w:type="dxa"/>
          </w:tcPr>
          <w:p w14:paraId="16EEB5BA"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 xml:space="preserve">Bojacá </w:t>
            </w:r>
          </w:p>
        </w:tc>
        <w:tc>
          <w:tcPr>
            <w:tcW w:w="2430" w:type="dxa"/>
          </w:tcPr>
          <w:p w14:paraId="5EBE6D4C"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Plan de manejo ambiental</w:t>
            </w:r>
          </w:p>
        </w:tc>
        <w:tc>
          <w:tcPr>
            <w:tcW w:w="2221" w:type="dxa"/>
          </w:tcPr>
          <w:p w14:paraId="4A73D673"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Aprobado vencido</w:t>
            </w:r>
          </w:p>
        </w:tc>
      </w:tr>
      <w:tr w:rsidR="000959B9" w:rsidRPr="00131EED" w14:paraId="1D224959" w14:textId="77777777" w:rsidTr="00053167">
        <w:tc>
          <w:tcPr>
            <w:tcW w:w="2196" w:type="dxa"/>
          </w:tcPr>
          <w:p w14:paraId="0EE7D42C"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1999</w:t>
            </w:r>
          </w:p>
        </w:tc>
        <w:tc>
          <w:tcPr>
            <w:tcW w:w="1981" w:type="dxa"/>
          </w:tcPr>
          <w:p w14:paraId="6EC343D8"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Mosquera</w:t>
            </w:r>
          </w:p>
        </w:tc>
        <w:tc>
          <w:tcPr>
            <w:tcW w:w="2430" w:type="dxa"/>
          </w:tcPr>
          <w:p w14:paraId="540EA795"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Sin información</w:t>
            </w:r>
          </w:p>
        </w:tc>
        <w:tc>
          <w:tcPr>
            <w:tcW w:w="2221" w:type="dxa"/>
          </w:tcPr>
          <w:p w14:paraId="513FF18B"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Sin información</w:t>
            </w:r>
          </w:p>
        </w:tc>
      </w:tr>
      <w:tr w:rsidR="000959B9" w:rsidRPr="00131EED" w14:paraId="06C9CB13" w14:textId="77777777" w:rsidTr="00053167">
        <w:tc>
          <w:tcPr>
            <w:tcW w:w="2196" w:type="dxa"/>
          </w:tcPr>
          <w:p w14:paraId="4764ABBB"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13316</w:t>
            </w:r>
          </w:p>
        </w:tc>
        <w:tc>
          <w:tcPr>
            <w:tcW w:w="1981" w:type="dxa"/>
          </w:tcPr>
          <w:p w14:paraId="7C1CFAF3"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El Rosal, Madrid, Subachoque</w:t>
            </w:r>
          </w:p>
        </w:tc>
        <w:tc>
          <w:tcPr>
            <w:tcW w:w="2430" w:type="dxa"/>
          </w:tcPr>
          <w:p w14:paraId="7ED42A32"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PMRRA</w:t>
            </w:r>
          </w:p>
        </w:tc>
        <w:tc>
          <w:tcPr>
            <w:tcW w:w="2221" w:type="dxa"/>
          </w:tcPr>
          <w:p w14:paraId="2C63ABFD"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Aprobado vencido</w:t>
            </w:r>
          </w:p>
        </w:tc>
      </w:tr>
      <w:tr w:rsidR="000959B9" w:rsidRPr="00131EED" w14:paraId="6ED7D4D8" w14:textId="77777777" w:rsidTr="00053167">
        <w:tc>
          <w:tcPr>
            <w:tcW w:w="2196" w:type="dxa"/>
          </w:tcPr>
          <w:p w14:paraId="06805A4B"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26</w:t>
            </w:r>
          </w:p>
        </w:tc>
        <w:tc>
          <w:tcPr>
            <w:tcW w:w="1981" w:type="dxa"/>
          </w:tcPr>
          <w:p w14:paraId="0514A02E"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Chía</w:t>
            </w:r>
          </w:p>
        </w:tc>
        <w:tc>
          <w:tcPr>
            <w:tcW w:w="4651" w:type="dxa"/>
            <w:gridSpan w:val="2"/>
          </w:tcPr>
          <w:p w14:paraId="0351A948"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39201D63" w14:textId="77777777" w:rsidTr="00053167">
        <w:tc>
          <w:tcPr>
            <w:tcW w:w="2196" w:type="dxa"/>
          </w:tcPr>
          <w:p w14:paraId="690D4A52"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13188</w:t>
            </w:r>
          </w:p>
        </w:tc>
        <w:tc>
          <w:tcPr>
            <w:tcW w:w="1981" w:type="dxa"/>
          </w:tcPr>
          <w:p w14:paraId="3DE91344"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Chía, Sopó</w:t>
            </w:r>
          </w:p>
        </w:tc>
        <w:tc>
          <w:tcPr>
            <w:tcW w:w="4651" w:type="dxa"/>
            <w:gridSpan w:val="2"/>
          </w:tcPr>
          <w:p w14:paraId="3194EBA0"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458D0114" w14:textId="77777777" w:rsidTr="00053167">
        <w:tc>
          <w:tcPr>
            <w:tcW w:w="2196" w:type="dxa"/>
          </w:tcPr>
          <w:p w14:paraId="201424A7"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17071</w:t>
            </w:r>
          </w:p>
        </w:tc>
        <w:tc>
          <w:tcPr>
            <w:tcW w:w="1981" w:type="dxa"/>
          </w:tcPr>
          <w:p w14:paraId="3FCECB4C"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Guasca</w:t>
            </w:r>
          </w:p>
        </w:tc>
        <w:tc>
          <w:tcPr>
            <w:tcW w:w="4651" w:type="dxa"/>
            <w:gridSpan w:val="2"/>
          </w:tcPr>
          <w:p w14:paraId="7B59F806"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41F40431" w14:textId="77777777" w:rsidTr="00053167">
        <w:tc>
          <w:tcPr>
            <w:tcW w:w="2196" w:type="dxa"/>
          </w:tcPr>
          <w:p w14:paraId="4D6F42B1"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Nemocón</w:t>
            </w:r>
          </w:p>
        </w:tc>
        <w:tc>
          <w:tcPr>
            <w:tcW w:w="1981" w:type="dxa"/>
          </w:tcPr>
          <w:p w14:paraId="405E65C1"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Nemocón</w:t>
            </w:r>
          </w:p>
        </w:tc>
        <w:tc>
          <w:tcPr>
            <w:tcW w:w="4651" w:type="dxa"/>
            <w:gridSpan w:val="2"/>
          </w:tcPr>
          <w:p w14:paraId="007274B5"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0098508B" w14:textId="77777777" w:rsidTr="00053167">
        <w:tc>
          <w:tcPr>
            <w:tcW w:w="2196" w:type="dxa"/>
          </w:tcPr>
          <w:p w14:paraId="4951ADBC"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HD6-082</w:t>
            </w:r>
          </w:p>
        </w:tc>
        <w:tc>
          <w:tcPr>
            <w:tcW w:w="1981" w:type="dxa"/>
          </w:tcPr>
          <w:p w14:paraId="5D82D3BF"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Suesca</w:t>
            </w:r>
          </w:p>
        </w:tc>
        <w:tc>
          <w:tcPr>
            <w:tcW w:w="2430" w:type="dxa"/>
          </w:tcPr>
          <w:p w14:paraId="7F02270A"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Proceso sancionatorio ambiental</w:t>
            </w:r>
          </w:p>
        </w:tc>
        <w:tc>
          <w:tcPr>
            <w:tcW w:w="2221" w:type="dxa"/>
          </w:tcPr>
          <w:p w14:paraId="10A0B6FA"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trámite</w:t>
            </w:r>
          </w:p>
        </w:tc>
      </w:tr>
      <w:tr w:rsidR="000959B9" w:rsidRPr="00131EED" w14:paraId="0C17FF4B" w14:textId="77777777" w:rsidTr="00053167">
        <w:tc>
          <w:tcPr>
            <w:tcW w:w="2196" w:type="dxa"/>
          </w:tcPr>
          <w:p w14:paraId="6E568F0E"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20263</w:t>
            </w:r>
          </w:p>
        </w:tc>
        <w:tc>
          <w:tcPr>
            <w:tcW w:w="1981" w:type="dxa"/>
          </w:tcPr>
          <w:p w14:paraId="09BAEC86"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 xml:space="preserve">Bojacá </w:t>
            </w:r>
          </w:p>
        </w:tc>
        <w:tc>
          <w:tcPr>
            <w:tcW w:w="4651" w:type="dxa"/>
            <w:gridSpan w:val="2"/>
          </w:tcPr>
          <w:p w14:paraId="63108700"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11AFD5F8" w14:textId="77777777" w:rsidTr="00053167">
        <w:tc>
          <w:tcPr>
            <w:tcW w:w="2196" w:type="dxa"/>
            <w:vAlign w:val="bottom"/>
          </w:tcPr>
          <w:p w14:paraId="0FA99021"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color w:val="000000" w:themeColor="text1"/>
                <w:sz w:val="20"/>
                <w:szCs w:val="20"/>
              </w:rPr>
              <w:t>GCV-082A</w:t>
            </w:r>
          </w:p>
        </w:tc>
        <w:tc>
          <w:tcPr>
            <w:tcW w:w="1981" w:type="dxa"/>
          </w:tcPr>
          <w:p w14:paraId="770AF815"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Bojacá</w:t>
            </w:r>
          </w:p>
        </w:tc>
        <w:tc>
          <w:tcPr>
            <w:tcW w:w="2430" w:type="dxa"/>
          </w:tcPr>
          <w:p w14:paraId="7ADC435F"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Licencia ambiental</w:t>
            </w:r>
          </w:p>
        </w:tc>
        <w:tc>
          <w:tcPr>
            <w:tcW w:w="2221" w:type="dxa"/>
          </w:tcPr>
          <w:p w14:paraId="6F119C8E"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Aprobado en seguimiento</w:t>
            </w:r>
          </w:p>
        </w:tc>
      </w:tr>
      <w:tr w:rsidR="000959B9" w:rsidRPr="00131EED" w14:paraId="5F8E17F4" w14:textId="77777777" w:rsidTr="00053167">
        <w:tc>
          <w:tcPr>
            <w:tcW w:w="2196" w:type="dxa"/>
            <w:vAlign w:val="bottom"/>
          </w:tcPr>
          <w:p w14:paraId="21B0519A"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color w:val="000000" w:themeColor="text1"/>
                <w:sz w:val="20"/>
                <w:szCs w:val="20"/>
              </w:rPr>
              <w:t>GI8-081</w:t>
            </w:r>
          </w:p>
        </w:tc>
        <w:tc>
          <w:tcPr>
            <w:tcW w:w="1981" w:type="dxa"/>
          </w:tcPr>
          <w:p w14:paraId="043757DE"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Mosquera</w:t>
            </w:r>
          </w:p>
        </w:tc>
        <w:tc>
          <w:tcPr>
            <w:tcW w:w="4651" w:type="dxa"/>
            <w:gridSpan w:val="2"/>
          </w:tcPr>
          <w:p w14:paraId="5A3287BC"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2541EFDA" w14:textId="77777777" w:rsidTr="00053167">
        <w:tc>
          <w:tcPr>
            <w:tcW w:w="2196" w:type="dxa"/>
            <w:vAlign w:val="bottom"/>
          </w:tcPr>
          <w:p w14:paraId="6939D19E"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color w:val="000000" w:themeColor="text1"/>
                <w:sz w:val="20"/>
                <w:szCs w:val="20"/>
              </w:rPr>
              <w:t>FJR-128</w:t>
            </w:r>
          </w:p>
        </w:tc>
        <w:tc>
          <w:tcPr>
            <w:tcW w:w="1981" w:type="dxa"/>
          </w:tcPr>
          <w:p w14:paraId="6A2B7C67"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 xml:space="preserve">Bogotá D.C. </w:t>
            </w:r>
          </w:p>
        </w:tc>
        <w:tc>
          <w:tcPr>
            <w:tcW w:w="4651" w:type="dxa"/>
            <w:gridSpan w:val="2"/>
          </w:tcPr>
          <w:p w14:paraId="21506BBD"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518F09E6" w14:textId="77777777" w:rsidTr="00053167">
        <w:tc>
          <w:tcPr>
            <w:tcW w:w="2196" w:type="dxa"/>
          </w:tcPr>
          <w:p w14:paraId="6D9B4EE4"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59</w:t>
            </w:r>
          </w:p>
          <w:p w14:paraId="7A2E72B7" w14:textId="77777777" w:rsidR="000959B9" w:rsidRPr="00131EED" w:rsidRDefault="000959B9" w:rsidP="567C331E">
            <w:pPr>
              <w:jc w:val="center"/>
              <w:rPr>
                <w:rFonts w:eastAsia="Baskerville Old Face" w:cs="Baskerville Old Face"/>
                <w:sz w:val="20"/>
                <w:szCs w:val="20"/>
              </w:rPr>
            </w:pPr>
          </w:p>
        </w:tc>
        <w:tc>
          <w:tcPr>
            <w:tcW w:w="1981" w:type="dxa"/>
          </w:tcPr>
          <w:p w14:paraId="62F3DA47"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Subachoque, Tabio</w:t>
            </w:r>
          </w:p>
        </w:tc>
        <w:tc>
          <w:tcPr>
            <w:tcW w:w="4651" w:type="dxa"/>
            <w:gridSpan w:val="2"/>
          </w:tcPr>
          <w:p w14:paraId="4009C31D"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23B5F760" w14:textId="77777777" w:rsidTr="00053167">
        <w:tc>
          <w:tcPr>
            <w:tcW w:w="2196" w:type="dxa"/>
            <w:vAlign w:val="bottom"/>
          </w:tcPr>
          <w:p w14:paraId="777B98A3"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color w:val="000000" w:themeColor="text1"/>
                <w:sz w:val="20"/>
                <w:szCs w:val="20"/>
              </w:rPr>
              <w:t>IG6-15281</w:t>
            </w:r>
          </w:p>
        </w:tc>
        <w:tc>
          <w:tcPr>
            <w:tcW w:w="1981" w:type="dxa"/>
          </w:tcPr>
          <w:p w14:paraId="5B9BAE7B"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Tocancipá</w:t>
            </w:r>
          </w:p>
        </w:tc>
        <w:tc>
          <w:tcPr>
            <w:tcW w:w="2430" w:type="dxa"/>
          </w:tcPr>
          <w:p w14:paraId="7E819BE4"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Licencia ambiental</w:t>
            </w:r>
          </w:p>
        </w:tc>
        <w:tc>
          <w:tcPr>
            <w:tcW w:w="2221" w:type="dxa"/>
          </w:tcPr>
          <w:p w14:paraId="4D4679A8"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Negado</w:t>
            </w:r>
          </w:p>
        </w:tc>
      </w:tr>
      <w:tr w:rsidR="000959B9" w:rsidRPr="00131EED" w14:paraId="6A683824" w14:textId="77777777" w:rsidTr="00053167">
        <w:tc>
          <w:tcPr>
            <w:tcW w:w="2196" w:type="dxa"/>
            <w:vAlign w:val="bottom"/>
          </w:tcPr>
          <w:p w14:paraId="16DFF372"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color w:val="000000" w:themeColor="text1"/>
                <w:sz w:val="20"/>
                <w:szCs w:val="20"/>
              </w:rPr>
              <w:t>058-92</w:t>
            </w:r>
          </w:p>
        </w:tc>
        <w:tc>
          <w:tcPr>
            <w:tcW w:w="1981" w:type="dxa"/>
          </w:tcPr>
          <w:p w14:paraId="288B2087"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Suesca</w:t>
            </w:r>
          </w:p>
        </w:tc>
        <w:tc>
          <w:tcPr>
            <w:tcW w:w="2430" w:type="dxa"/>
          </w:tcPr>
          <w:p w14:paraId="7C6B92C9"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Licencia ambiental</w:t>
            </w:r>
          </w:p>
        </w:tc>
        <w:tc>
          <w:tcPr>
            <w:tcW w:w="2221" w:type="dxa"/>
          </w:tcPr>
          <w:p w14:paraId="45EB2E9E"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Negado</w:t>
            </w:r>
          </w:p>
        </w:tc>
      </w:tr>
      <w:tr w:rsidR="000959B9" w:rsidRPr="00131EED" w14:paraId="2B78A369" w14:textId="77777777" w:rsidTr="00053167">
        <w:tc>
          <w:tcPr>
            <w:tcW w:w="2196" w:type="dxa"/>
            <w:vAlign w:val="bottom"/>
          </w:tcPr>
          <w:p w14:paraId="3B3EA7A0"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color w:val="000000" w:themeColor="text1"/>
                <w:sz w:val="20"/>
                <w:szCs w:val="20"/>
              </w:rPr>
              <w:t>15256</w:t>
            </w:r>
          </w:p>
        </w:tc>
        <w:tc>
          <w:tcPr>
            <w:tcW w:w="1981" w:type="dxa"/>
          </w:tcPr>
          <w:p w14:paraId="6DB18A33"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Guasca</w:t>
            </w:r>
          </w:p>
        </w:tc>
        <w:tc>
          <w:tcPr>
            <w:tcW w:w="4651" w:type="dxa"/>
            <w:gridSpan w:val="2"/>
          </w:tcPr>
          <w:p w14:paraId="4F0FC801"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01CCB58A" w14:textId="77777777" w:rsidTr="00053167">
        <w:tc>
          <w:tcPr>
            <w:tcW w:w="2196" w:type="dxa"/>
            <w:vAlign w:val="bottom"/>
          </w:tcPr>
          <w:p w14:paraId="4E21ACD7"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color w:val="000000" w:themeColor="text1"/>
                <w:sz w:val="20"/>
                <w:szCs w:val="20"/>
              </w:rPr>
              <w:t>22212</w:t>
            </w:r>
          </w:p>
        </w:tc>
        <w:tc>
          <w:tcPr>
            <w:tcW w:w="1981" w:type="dxa"/>
          </w:tcPr>
          <w:p w14:paraId="7CF088B2"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 xml:space="preserve">Guatavita </w:t>
            </w:r>
          </w:p>
        </w:tc>
        <w:tc>
          <w:tcPr>
            <w:tcW w:w="4651" w:type="dxa"/>
            <w:gridSpan w:val="2"/>
          </w:tcPr>
          <w:p w14:paraId="32B917A4"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48A13F8A" w14:textId="77777777" w:rsidTr="00053167">
        <w:tc>
          <w:tcPr>
            <w:tcW w:w="2196" w:type="dxa"/>
            <w:vAlign w:val="bottom"/>
          </w:tcPr>
          <w:p w14:paraId="255D2323"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color w:val="000000" w:themeColor="text1"/>
                <w:sz w:val="20"/>
                <w:szCs w:val="20"/>
              </w:rPr>
              <w:t>AIT-145</w:t>
            </w:r>
          </w:p>
        </w:tc>
        <w:tc>
          <w:tcPr>
            <w:tcW w:w="1981" w:type="dxa"/>
          </w:tcPr>
          <w:p w14:paraId="0119AB72"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Nemocón, Tausa</w:t>
            </w:r>
          </w:p>
        </w:tc>
        <w:tc>
          <w:tcPr>
            <w:tcW w:w="2430" w:type="dxa"/>
          </w:tcPr>
          <w:p w14:paraId="50D2E198"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 xml:space="preserve">Licencia ambiental </w:t>
            </w:r>
          </w:p>
        </w:tc>
        <w:tc>
          <w:tcPr>
            <w:tcW w:w="2221" w:type="dxa"/>
          </w:tcPr>
          <w:p w14:paraId="4525725D"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Desistimiento</w:t>
            </w:r>
          </w:p>
        </w:tc>
      </w:tr>
      <w:tr w:rsidR="000959B9" w:rsidRPr="00131EED" w14:paraId="2AC5D9B8" w14:textId="77777777" w:rsidTr="00053167">
        <w:tc>
          <w:tcPr>
            <w:tcW w:w="2196" w:type="dxa"/>
            <w:vAlign w:val="bottom"/>
          </w:tcPr>
          <w:p w14:paraId="6D0F5E3B" w14:textId="77777777" w:rsidR="000959B9" w:rsidRPr="00131EED" w:rsidRDefault="762C8BE5" w:rsidP="567C331E">
            <w:pPr>
              <w:jc w:val="center"/>
              <w:rPr>
                <w:rFonts w:eastAsia="Baskerville Old Face" w:cs="Baskerville Old Face"/>
                <w:color w:val="000000"/>
                <w:sz w:val="20"/>
                <w:szCs w:val="20"/>
              </w:rPr>
            </w:pPr>
            <w:r w:rsidRPr="00131EED">
              <w:rPr>
                <w:rFonts w:eastAsia="Baskerville Old Face" w:cs="Baskerville Old Face"/>
                <w:color w:val="000000" w:themeColor="text1"/>
                <w:sz w:val="20"/>
                <w:szCs w:val="20"/>
              </w:rPr>
              <w:t>HKL-12541</w:t>
            </w:r>
          </w:p>
        </w:tc>
        <w:tc>
          <w:tcPr>
            <w:tcW w:w="1981" w:type="dxa"/>
          </w:tcPr>
          <w:p w14:paraId="019EFA1E"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 xml:space="preserve">Nemocón </w:t>
            </w:r>
          </w:p>
        </w:tc>
        <w:tc>
          <w:tcPr>
            <w:tcW w:w="2430" w:type="dxa"/>
          </w:tcPr>
          <w:p w14:paraId="4AEE0DF7"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Licencia ambiental</w:t>
            </w:r>
          </w:p>
        </w:tc>
        <w:tc>
          <w:tcPr>
            <w:tcW w:w="2221" w:type="dxa"/>
          </w:tcPr>
          <w:p w14:paraId="299A97FF"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Negado</w:t>
            </w:r>
          </w:p>
        </w:tc>
      </w:tr>
      <w:tr w:rsidR="000959B9" w:rsidRPr="00131EED" w14:paraId="5336B870" w14:textId="77777777" w:rsidTr="00053167">
        <w:tc>
          <w:tcPr>
            <w:tcW w:w="2196" w:type="dxa"/>
            <w:vAlign w:val="bottom"/>
          </w:tcPr>
          <w:p w14:paraId="033E37A5" w14:textId="77777777" w:rsidR="000959B9" w:rsidRPr="00131EED" w:rsidRDefault="762C8BE5" w:rsidP="567C331E">
            <w:pPr>
              <w:jc w:val="center"/>
              <w:rPr>
                <w:rFonts w:eastAsia="Baskerville Old Face" w:cs="Baskerville Old Face"/>
                <w:color w:val="000000"/>
                <w:sz w:val="20"/>
                <w:szCs w:val="20"/>
              </w:rPr>
            </w:pPr>
            <w:r w:rsidRPr="00131EED">
              <w:rPr>
                <w:rFonts w:eastAsia="Baskerville Old Face" w:cs="Baskerville Old Face"/>
                <w:color w:val="000000" w:themeColor="text1"/>
                <w:sz w:val="20"/>
                <w:szCs w:val="20"/>
              </w:rPr>
              <w:t>14236</w:t>
            </w:r>
          </w:p>
        </w:tc>
        <w:tc>
          <w:tcPr>
            <w:tcW w:w="1981" w:type="dxa"/>
          </w:tcPr>
          <w:p w14:paraId="04E97994"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Nemocón</w:t>
            </w:r>
          </w:p>
        </w:tc>
        <w:tc>
          <w:tcPr>
            <w:tcW w:w="2430" w:type="dxa"/>
          </w:tcPr>
          <w:p w14:paraId="0BE9E4EF"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 xml:space="preserve">Plan de manejo ambiental </w:t>
            </w:r>
          </w:p>
        </w:tc>
        <w:tc>
          <w:tcPr>
            <w:tcW w:w="2221" w:type="dxa"/>
          </w:tcPr>
          <w:p w14:paraId="270057D8"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Negado</w:t>
            </w:r>
          </w:p>
        </w:tc>
      </w:tr>
      <w:tr w:rsidR="000959B9" w:rsidRPr="00131EED" w14:paraId="3FD65062" w14:textId="77777777" w:rsidTr="00053167">
        <w:tc>
          <w:tcPr>
            <w:tcW w:w="2196" w:type="dxa"/>
            <w:vAlign w:val="bottom"/>
          </w:tcPr>
          <w:p w14:paraId="754E71C2" w14:textId="77777777" w:rsidR="000959B9" w:rsidRPr="00131EED" w:rsidRDefault="762C8BE5" w:rsidP="567C331E">
            <w:pPr>
              <w:jc w:val="center"/>
              <w:rPr>
                <w:rFonts w:eastAsia="Baskerville Old Face" w:cs="Baskerville Old Face"/>
                <w:color w:val="000000"/>
                <w:sz w:val="20"/>
                <w:szCs w:val="20"/>
              </w:rPr>
            </w:pPr>
            <w:r w:rsidRPr="00131EED">
              <w:rPr>
                <w:rFonts w:eastAsia="Baskerville Old Face" w:cs="Baskerville Old Face"/>
                <w:color w:val="000000" w:themeColor="text1"/>
                <w:sz w:val="20"/>
                <w:szCs w:val="20"/>
              </w:rPr>
              <w:t>IK1-11231</w:t>
            </w:r>
          </w:p>
        </w:tc>
        <w:tc>
          <w:tcPr>
            <w:tcW w:w="1981" w:type="dxa"/>
          </w:tcPr>
          <w:p w14:paraId="5D6F0DD8"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Mosquera</w:t>
            </w:r>
          </w:p>
        </w:tc>
        <w:tc>
          <w:tcPr>
            <w:tcW w:w="4651" w:type="dxa"/>
            <w:gridSpan w:val="2"/>
          </w:tcPr>
          <w:p w14:paraId="087306BE"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36567523" w14:textId="77777777" w:rsidTr="00053167">
        <w:tc>
          <w:tcPr>
            <w:tcW w:w="2196" w:type="dxa"/>
            <w:vAlign w:val="bottom"/>
          </w:tcPr>
          <w:p w14:paraId="1BD6A3A2" w14:textId="77777777" w:rsidR="000959B9" w:rsidRPr="00131EED" w:rsidRDefault="762C8BE5" w:rsidP="567C331E">
            <w:pPr>
              <w:jc w:val="center"/>
              <w:rPr>
                <w:rFonts w:eastAsia="Baskerville Old Face" w:cs="Baskerville Old Face"/>
                <w:color w:val="000000"/>
                <w:sz w:val="20"/>
                <w:szCs w:val="20"/>
              </w:rPr>
            </w:pPr>
            <w:r w:rsidRPr="00131EED">
              <w:rPr>
                <w:rFonts w:eastAsia="Baskerville Old Face" w:cs="Baskerville Old Face"/>
                <w:color w:val="000000" w:themeColor="text1"/>
                <w:sz w:val="20"/>
                <w:szCs w:val="20"/>
              </w:rPr>
              <w:t>HJ9-08191</w:t>
            </w:r>
          </w:p>
        </w:tc>
        <w:tc>
          <w:tcPr>
            <w:tcW w:w="1981" w:type="dxa"/>
          </w:tcPr>
          <w:p w14:paraId="14504423"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Bojacá, Mosquera</w:t>
            </w:r>
          </w:p>
        </w:tc>
        <w:tc>
          <w:tcPr>
            <w:tcW w:w="2430" w:type="dxa"/>
          </w:tcPr>
          <w:p w14:paraId="6652B4BA"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Licencia ambiental</w:t>
            </w:r>
          </w:p>
        </w:tc>
        <w:tc>
          <w:tcPr>
            <w:tcW w:w="2221" w:type="dxa"/>
          </w:tcPr>
          <w:p w14:paraId="0DEC1E63"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Negado</w:t>
            </w:r>
          </w:p>
        </w:tc>
      </w:tr>
      <w:tr w:rsidR="000959B9" w:rsidRPr="00131EED" w14:paraId="7A1BB0FE" w14:textId="77777777" w:rsidTr="00053167">
        <w:tc>
          <w:tcPr>
            <w:tcW w:w="2196" w:type="dxa"/>
            <w:vAlign w:val="bottom"/>
          </w:tcPr>
          <w:p w14:paraId="2DD889E5" w14:textId="77777777" w:rsidR="000959B9" w:rsidRPr="00131EED" w:rsidRDefault="762C8BE5" w:rsidP="567C331E">
            <w:pPr>
              <w:jc w:val="center"/>
              <w:rPr>
                <w:rFonts w:eastAsia="Baskerville Old Face" w:cs="Baskerville Old Face"/>
                <w:color w:val="000000"/>
                <w:sz w:val="20"/>
                <w:szCs w:val="20"/>
              </w:rPr>
            </w:pPr>
            <w:r w:rsidRPr="00131EED">
              <w:rPr>
                <w:rFonts w:eastAsia="Baskerville Old Face" w:cs="Baskerville Old Face"/>
                <w:color w:val="000000" w:themeColor="text1"/>
                <w:sz w:val="20"/>
                <w:szCs w:val="20"/>
              </w:rPr>
              <w:t>IE8-14584X</w:t>
            </w:r>
          </w:p>
        </w:tc>
        <w:tc>
          <w:tcPr>
            <w:tcW w:w="1981" w:type="dxa"/>
          </w:tcPr>
          <w:p w14:paraId="672EE949"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Facatativá, San Francisco</w:t>
            </w:r>
          </w:p>
        </w:tc>
        <w:tc>
          <w:tcPr>
            <w:tcW w:w="4651" w:type="dxa"/>
            <w:gridSpan w:val="2"/>
          </w:tcPr>
          <w:p w14:paraId="0DB88039"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0DD83EE9" w14:textId="77777777" w:rsidTr="00053167">
        <w:tc>
          <w:tcPr>
            <w:tcW w:w="2196" w:type="dxa"/>
            <w:vAlign w:val="bottom"/>
          </w:tcPr>
          <w:p w14:paraId="1361F983" w14:textId="77777777" w:rsidR="000959B9" w:rsidRPr="00131EED" w:rsidRDefault="762C8BE5" w:rsidP="567C331E">
            <w:pPr>
              <w:jc w:val="center"/>
              <w:rPr>
                <w:rFonts w:eastAsia="Baskerville Old Face" w:cs="Baskerville Old Face"/>
                <w:color w:val="000000"/>
                <w:sz w:val="20"/>
                <w:szCs w:val="20"/>
              </w:rPr>
            </w:pPr>
            <w:r w:rsidRPr="00131EED">
              <w:rPr>
                <w:rFonts w:eastAsia="Baskerville Old Face" w:cs="Baskerville Old Face"/>
                <w:color w:val="000000" w:themeColor="text1"/>
                <w:sz w:val="20"/>
                <w:szCs w:val="20"/>
              </w:rPr>
              <w:t>21802</w:t>
            </w:r>
          </w:p>
        </w:tc>
        <w:tc>
          <w:tcPr>
            <w:tcW w:w="1981" w:type="dxa"/>
          </w:tcPr>
          <w:p w14:paraId="30ADC62C"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Soacha</w:t>
            </w:r>
          </w:p>
        </w:tc>
        <w:tc>
          <w:tcPr>
            <w:tcW w:w="4651" w:type="dxa"/>
            <w:gridSpan w:val="2"/>
          </w:tcPr>
          <w:p w14:paraId="15984693"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27978BE0" w14:textId="77777777" w:rsidTr="00053167">
        <w:tc>
          <w:tcPr>
            <w:tcW w:w="2196" w:type="dxa"/>
            <w:vAlign w:val="bottom"/>
          </w:tcPr>
          <w:p w14:paraId="3BF22B64" w14:textId="77777777" w:rsidR="000959B9" w:rsidRPr="00131EED" w:rsidRDefault="762C8BE5" w:rsidP="567C331E">
            <w:pPr>
              <w:jc w:val="center"/>
              <w:rPr>
                <w:rFonts w:eastAsia="Baskerville Old Face" w:cs="Baskerville Old Face"/>
                <w:color w:val="000000"/>
                <w:sz w:val="20"/>
                <w:szCs w:val="20"/>
              </w:rPr>
            </w:pPr>
            <w:r w:rsidRPr="00131EED">
              <w:rPr>
                <w:rFonts w:eastAsia="Baskerville Old Face" w:cs="Baskerville Old Face"/>
                <w:color w:val="000000" w:themeColor="text1"/>
                <w:sz w:val="20"/>
                <w:szCs w:val="20"/>
              </w:rPr>
              <w:t>60</w:t>
            </w:r>
          </w:p>
        </w:tc>
        <w:tc>
          <w:tcPr>
            <w:tcW w:w="1981" w:type="dxa"/>
          </w:tcPr>
          <w:p w14:paraId="54775E63"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Bogotá D.C.</w:t>
            </w:r>
          </w:p>
        </w:tc>
        <w:tc>
          <w:tcPr>
            <w:tcW w:w="4651" w:type="dxa"/>
            <w:gridSpan w:val="2"/>
          </w:tcPr>
          <w:p w14:paraId="026CEB9D"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33D9F6AA" w14:textId="77777777" w:rsidTr="00053167">
        <w:tc>
          <w:tcPr>
            <w:tcW w:w="2196" w:type="dxa"/>
            <w:vAlign w:val="bottom"/>
          </w:tcPr>
          <w:p w14:paraId="7BDDDFCC" w14:textId="77777777" w:rsidR="000959B9" w:rsidRPr="00131EED" w:rsidRDefault="762C8BE5" w:rsidP="567C331E">
            <w:pPr>
              <w:jc w:val="center"/>
              <w:rPr>
                <w:rFonts w:eastAsia="Baskerville Old Face" w:cs="Baskerville Old Face"/>
                <w:color w:val="000000"/>
                <w:sz w:val="20"/>
                <w:szCs w:val="20"/>
              </w:rPr>
            </w:pPr>
            <w:r w:rsidRPr="00131EED">
              <w:rPr>
                <w:rFonts w:eastAsia="Baskerville Old Face" w:cs="Baskerville Old Face"/>
                <w:color w:val="000000" w:themeColor="text1"/>
                <w:sz w:val="20"/>
                <w:szCs w:val="20"/>
              </w:rPr>
              <w:t>16073</w:t>
            </w:r>
          </w:p>
        </w:tc>
        <w:tc>
          <w:tcPr>
            <w:tcW w:w="1981" w:type="dxa"/>
          </w:tcPr>
          <w:p w14:paraId="09DF9AA3"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Sopó</w:t>
            </w:r>
          </w:p>
        </w:tc>
        <w:tc>
          <w:tcPr>
            <w:tcW w:w="4651" w:type="dxa"/>
            <w:gridSpan w:val="2"/>
          </w:tcPr>
          <w:p w14:paraId="623C06B3"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52176DD6" w14:textId="77777777" w:rsidTr="00053167">
        <w:tc>
          <w:tcPr>
            <w:tcW w:w="2196" w:type="dxa"/>
            <w:vAlign w:val="bottom"/>
          </w:tcPr>
          <w:p w14:paraId="4BD8B857" w14:textId="77777777" w:rsidR="000959B9" w:rsidRPr="00131EED" w:rsidRDefault="762C8BE5" w:rsidP="567C331E">
            <w:pPr>
              <w:jc w:val="center"/>
              <w:rPr>
                <w:rFonts w:eastAsia="Baskerville Old Face" w:cs="Baskerville Old Face"/>
                <w:color w:val="000000"/>
                <w:sz w:val="20"/>
                <w:szCs w:val="20"/>
              </w:rPr>
            </w:pPr>
            <w:r w:rsidRPr="00131EED">
              <w:rPr>
                <w:rFonts w:eastAsia="Baskerville Old Face" w:cs="Baskerville Old Face"/>
                <w:color w:val="000000" w:themeColor="text1"/>
                <w:sz w:val="20"/>
                <w:szCs w:val="20"/>
              </w:rPr>
              <w:t>9098</w:t>
            </w:r>
          </w:p>
        </w:tc>
        <w:tc>
          <w:tcPr>
            <w:tcW w:w="1981" w:type="dxa"/>
          </w:tcPr>
          <w:p w14:paraId="5424C09D"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Nemocón, Suesca</w:t>
            </w:r>
          </w:p>
        </w:tc>
        <w:tc>
          <w:tcPr>
            <w:tcW w:w="4651" w:type="dxa"/>
            <w:gridSpan w:val="2"/>
          </w:tcPr>
          <w:p w14:paraId="20FE2D2A"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2287C10A" w14:textId="77777777" w:rsidTr="00053167">
        <w:tc>
          <w:tcPr>
            <w:tcW w:w="2196" w:type="dxa"/>
            <w:vAlign w:val="bottom"/>
          </w:tcPr>
          <w:p w14:paraId="67DD92D1" w14:textId="77777777" w:rsidR="000959B9" w:rsidRPr="00131EED" w:rsidRDefault="762C8BE5" w:rsidP="567C331E">
            <w:pPr>
              <w:jc w:val="center"/>
              <w:rPr>
                <w:rFonts w:eastAsia="Baskerville Old Face" w:cs="Baskerville Old Face"/>
                <w:color w:val="000000"/>
                <w:sz w:val="20"/>
                <w:szCs w:val="20"/>
              </w:rPr>
            </w:pPr>
            <w:r w:rsidRPr="00131EED">
              <w:rPr>
                <w:rFonts w:eastAsia="Baskerville Old Face" w:cs="Baskerville Old Face"/>
                <w:color w:val="000000" w:themeColor="text1"/>
                <w:sz w:val="20"/>
                <w:szCs w:val="20"/>
              </w:rPr>
              <w:t>IEI-08001X</w:t>
            </w:r>
          </w:p>
        </w:tc>
        <w:tc>
          <w:tcPr>
            <w:tcW w:w="1981" w:type="dxa"/>
          </w:tcPr>
          <w:p w14:paraId="3A56413B"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Mosquera</w:t>
            </w:r>
          </w:p>
        </w:tc>
        <w:tc>
          <w:tcPr>
            <w:tcW w:w="4651" w:type="dxa"/>
            <w:gridSpan w:val="2"/>
          </w:tcPr>
          <w:p w14:paraId="1A113E17"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18286005" w14:textId="77777777" w:rsidTr="00053167">
        <w:tc>
          <w:tcPr>
            <w:tcW w:w="2196" w:type="dxa"/>
            <w:vAlign w:val="bottom"/>
          </w:tcPr>
          <w:p w14:paraId="4D055773" w14:textId="77777777" w:rsidR="000959B9" w:rsidRPr="00131EED" w:rsidRDefault="762C8BE5" w:rsidP="567C331E">
            <w:pPr>
              <w:jc w:val="center"/>
              <w:rPr>
                <w:rFonts w:eastAsia="Baskerville Old Face" w:cs="Baskerville Old Face"/>
                <w:color w:val="000000"/>
                <w:sz w:val="20"/>
                <w:szCs w:val="20"/>
              </w:rPr>
            </w:pPr>
            <w:r w:rsidRPr="00131EED">
              <w:rPr>
                <w:rFonts w:eastAsia="Baskerville Old Face" w:cs="Baskerville Old Face"/>
                <w:color w:val="000000" w:themeColor="text1"/>
                <w:sz w:val="20"/>
                <w:szCs w:val="20"/>
              </w:rPr>
              <w:t>15148</w:t>
            </w:r>
          </w:p>
        </w:tc>
        <w:tc>
          <w:tcPr>
            <w:tcW w:w="1981" w:type="dxa"/>
          </w:tcPr>
          <w:p w14:paraId="60F8C72B"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Bogotá D.C., La Calera</w:t>
            </w:r>
          </w:p>
        </w:tc>
        <w:tc>
          <w:tcPr>
            <w:tcW w:w="4651" w:type="dxa"/>
            <w:gridSpan w:val="2"/>
          </w:tcPr>
          <w:p w14:paraId="42FDA825"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1518962B" w14:textId="77777777" w:rsidTr="00053167">
        <w:tc>
          <w:tcPr>
            <w:tcW w:w="2196" w:type="dxa"/>
            <w:vAlign w:val="bottom"/>
          </w:tcPr>
          <w:p w14:paraId="5FF86BB8" w14:textId="77777777" w:rsidR="000959B9" w:rsidRPr="00131EED" w:rsidRDefault="762C8BE5" w:rsidP="567C331E">
            <w:pPr>
              <w:jc w:val="center"/>
              <w:rPr>
                <w:rFonts w:eastAsia="Baskerville Old Face" w:cs="Baskerville Old Face"/>
                <w:color w:val="000000"/>
                <w:sz w:val="20"/>
                <w:szCs w:val="20"/>
              </w:rPr>
            </w:pPr>
            <w:r w:rsidRPr="00131EED">
              <w:rPr>
                <w:rFonts w:eastAsia="Baskerville Old Face" w:cs="Baskerville Old Face"/>
                <w:color w:val="000000" w:themeColor="text1"/>
                <w:sz w:val="20"/>
                <w:szCs w:val="20"/>
              </w:rPr>
              <w:t>13281</w:t>
            </w:r>
          </w:p>
        </w:tc>
        <w:tc>
          <w:tcPr>
            <w:tcW w:w="1981" w:type="dxa"/>
          </w:tcPr>
          <w:p w14:paraId="58494BC2"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Cajicá, Tabio</w:t>
            </w:r>
          </w:p>
        </w:tc>
        <w:tc>
          <w:tcPr>
            <w:tcW w:w="4651" w:type="dxa"/>
            <w:gridSpan w:val="2"/>
          </w:tcPr>
          <w:p w14:paraId="0EEC2A1F"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19795C91" w14:textId="77777777" w:rsidTr="00053167">
        <w:tc>
          <w:tcPr>
            <w:tcW w:w="2196" w:type="dxa"/>
            <w:vAlign w:val="bottom"/>
          </w:tcPr>
          <w:p w14:paraId="6B45BE38" w14:textId="77777777" w:rsidR="000959B9" w:rsidRPr="00131EED" w:rsidRDefault="762C8BE5" w:rsidP="567C331E">
            <w:pPr>
              <w:jc w:val="center"/>
              <w:rPr>
                <w:rFonts w:eastAsia="Baskerville Old Face" w:cs="Baskerville Old Face"/>
                <w:color w:val="000000"/>
                <w:sz w:val="20"/>
                <w:szCs w:val="20"/>
              </w:rPr>
            </w:pPr>
            <w:r w:rsidRPr="00131EED">
              <w:rPr>
                <w:rFonts w:eastAsia="Baskerville Old Face" w:cs="Baskerville Old Face"/>
                <w:color w:val="000000" w:themeColor="text1"/>
                <w:sz w:val="20"/>
                <w:szCs w:val="20"/>
              </w:rPr>
              <w:t>HBA-081</w:t>
            </w:r>
          </w:p>
        </w:tc>
        <w:tc>
          <w:tcPr>
            <w:tcW w:w="1981" w:type="dxa"/>
          </w:tcPr>
          <w:p w14:paraId="6D9F58EF"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Guatavita</w:t>
            </w:r>
          </w:p>
        </w:tc>
        <w:tc>
          <w:tcPr>
            <w:tcW w:w="4651" w:type="dxa"/>
            <w:gridSpan w:val="2"/>
          </w:tcPr>
          <w:p w14:paraId="1523CCED"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5C46A2FD" w14:textId="77777777" w:rsidTr="00053167">
        <w:tc>
          <w:tcPr>
            <w:tcW w:w="2196" w:type="dxa"/>
            <w:vAlign w:val="bottom"/>
          </w:tcPr>
          <w:p w14:paraId="5FE0F08E" w14:textId="77777777" w:rsidR="000959B9" w:rsidRPr="00131EED" w:rsidRDefault="762C8BE5" w:rsidP="567C331E">
            <w:pPr>
              <w:jc w:val="center"/>
              <w:rPr>
                <w:rFonts w:eastAsia="Baskerville Old Face" w:cs="Baskerville Old Face"/>
                <w:color w:val="000000"/>
                <w:sz w:val="20"/>
                <w:szCs w:val="20"/>
              </w:rPr>
            </w:pPr>
            <w:r w:rsidRPr="00131EED">
              <w:rPr>
                <w:rFonts w:eastAsia="Baskerville Old Face" w:cs="Baskerville Old Face"/>
                <w:color w:val="000000" w:themeColor="text1"/>
                <w:sz w:val="20"/>
                <w:szCs w:val="20"/>
              </w:rPr>
              <w:t>JDF-08081</w:t>
            </w:r>
          </w:p>
        </w:tc>
        <w:tc>
          <w:tcPr>
            <w:tcW w:w="1981" w:type="dxa"/>
          </w:tcPr>
          <w:p w14:paraId="5379552C"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Nemocón, Suesca</w:t>
            </w:r>
          </w:p>
        </w:tc>
        <w:tc>
          <w:tcPr>
            <w:tcW w:w="4651" w:type="dxa"/>
            <w:gridSpan w:val="2"/>
          </w:tcPr>
          <w:p w14:paraId="70C54DCD"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1BCF63E5" w14:textId="77777777" w:rsidTr="00053167">
        <w:tc>
          <w:tcPr>
            <w:tcW w:w="2196" w:type="dxa"/>
            <w:vAlign w:val="bottom"/>
          </w:tcPr>
          <w:p w14:paraId="1CE7A4F2" w14:textId="77777777" w:rsidR="000959B9" w:rsidRPr="00131EED" w:rsidRDefault="762C8BE5" w:rsidP="567C331E">
            <w:pPr>
              <w:jc w:val="center"/>
              <w:rPr>
                <w:rFonts w:eastAsia="Baskerville Old Face" w:cs="Baskerville Old Face"/>
                <w:color w:val="000000"/>
                <w:sz w:val="20"/>
                <w:szCs w:val="20"/>
              </w:rPr>
            </w:pPr>
            <w:r w:rsidRPr="00131EED">
              <w:rPr>
                <w:rFonts w:eastAsia="Baskerville Old Face" w:cs="Baskerville Old Face"/>
                <w:color w:val="000000" w:themeColor="text1"/>
                <w:sz w:val="20"/>
                <w:szCs w:val="20"/>
              </w:rPr>
              <w:t>19311</w:t>
            </w:r>
          </w:p>
        </w:tc>
        <w:tc>
          <w:tcPr>
            <w:tcW w:w="1981" w:type="dxa"/>
          </w:tcPr>
          <w:p w14:paraId="7DAF9401"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Tausa</w:t>
            </w:r>
          </w:p>
        </w:tc>
        <w:tc>
          <w:tcPr>
            <w:tcW w:w="4651" w:type="dxa"/>
            <w:gridSpan w:val="2"/>
          </w:tcPr>
          <w:p w14:paraId="53CDDE20"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r w:rsidR="000959B9" w:rsidRPr="00131EED" w14:paraId="7F22EE03" w14:textId="77777777" w:rsidTr="00053167">
        <w:tc>
          <w:tcPr>
            <w:tcW w:w="2196" w:type="dxa"/>
            <w:vAlign w:val="bottom"/>
          </w:tcPr>
          <w:p w14:paraId="7E37FBBD" w14:textId="77777777" w:rsidR="000959B9" w:rsidRPr="00131EED" w:rsidRDefault="762C8BE5" w:rsidP="567C331E">
            <w:pPr>
              <w:jc w:val="center"/>
              <w:rPr>
                <w:rFonts w:eastAsia="Baskerville Old Face" w:cs="Baskerville Old Face"/>
                <w:color w:val="000000"/>
                <w:sz w:val="20"/>
                <w:szCs w:val="20"/>
              </w:rPr>
            </w:pPr>
            <w:r w:rsidRPr="00131EED">
              <w:rPr>
                <w:rFonts w:eastAsia="Baskerville Old Face" w:cs="Baskerville Old Face"/>
                <w:color w:val="000000" w:themeColor="text1"/>
                <w:sz w:val="20"/>
                <w:szCs w:val="20"/>
              </w:rPr>
              <w:t>GFE-131</w:t>
            </w:r>
          </w:p>
        </w:tc>
        <w:tc>
          <w:tcPr>
            <w:tcW w:w="1981" w:type="dxa"/>
          </w:tcPr>
          <w:p w14:paraId="44C180AA"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Cucunubá, Suesca</w:t>
            </w:r>
          </w:p>
        </w:tc>
        <w:tc>
          <w:tcPr>
            <w:tcW w:w="4651" w:type="dxa"/>
            <w:gridSpan w:val="2"/>
          </w:tcPr>
          <w:p w14:paraId="4E71CF1A"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En proceso de verificación</w:t>
            </w:r>
          </w:p>
        </w:tc>
      </w:tr>
    </w:tbl>
    <w:p w14:paraId="7A11D38F" w14:textId="6F146785" w:rsidR="000959B9" w:rsidRPr="00131EED" w:rsidRDefault="000959B9" w:rsidP="000959B9">
      <w:pPr>
        <w:jc w:val="center"/>
        <w:rPr>
          <w:rFonts w:cs="Arial"/>
          <w:sz w:val="20"/>
          <w:szCs w:val="16"/>
        </w:rPr>
      </w:pPr>
      <w:r w:rsidRPr="00131EED">
        <w:rPr>
          <w:rFonts w:cs="Arial"/>
          <w:sz w:val="20"/>
          <w:szCs w:val="16"/>
        </w:rPr>
        <w:t>Fuente: Corporación Autónoma Regional de Cundinamarca, 2024</w:t>
      </w:r>
    </w:p>
    <w:p w14:paraId="18EE1980" w14:textId="69D6E44B" w:rsidR="000959B9" w:rsidRPr="00131EED" w:rsidRDefault="000959B9" w:rsidP="000959B9">
      <w:pPr>
        <w:jc w:val="center"/>
        <w:rPr>
          <w:rFonts w:ascii="Century Gothic" w:hAnsi="Century Gothic" w:cs="Arial"/>
        </w:rPr>
      </w:pPr>
    </w:p>
    <w:p w14:paraId="0155036B" w14:textId="77777777" w:rsidR="000959B9" w:rsidRPr="00131EED" w:rsidRDefault="000959B9" w:rsidP="00410194">
      <w:pPr>
        <w:pStyle w:val="Heading3"/>
        <w:numPr>
          <w:ilvl w:val="3"/>
          <w:numId w:val="31"/>
        </w:numPr>
      </w:pPr>
      <w:bookmarkStart w:id="173" w:name="_Toc216468711"/>
      <w:r w:rsidRPr="00131EED">
        <w:t>Superposición con posibles Zonas de recarga de acuíferos</w:t>
      </w:r>
      <w:bookmarkEnd w:id="173"/>
    </w:p>
    <w:p w14:paraId="3570D106" w14:textId="77777777" w:rsidR="000959B9" w:rsidRPr="00131EED" w:rsidRDefault="000959B9" w:rsidP="000959B9">
      <w:pPr>
        <w:rPr>
          <w:rFonts w:ascii="Baskerville" w:hAnsi="Baskerville" w:cs="Arial"/>
        </w:rPr>
      </w:pPr>
    </w:p>
    <w:p w14:paraId="25BCCF53" w14:textId="1C37C279" w:rsidR="000959B9" w:rsidRPr="00131EED" w:rsidRDefault="00B93D67" w:rsidP="000959B9">
      <w:pPr>
        <w:rPr>
          <w:rFonts w:cs="Arial"/>
        </w:rPr>
      </w:pPr>
      <w:r w:rsidRPr="00131EED">
        <w:rPr>
          <w:rFonts w:cs="Arial"/>
        </w:rPr>
        <w:t>A</w:t>
      </w:r>
      <w:r w:rsidR="00A221F1" w:rsidRPr="00131EED">
        <w:rPr>
          <w:rFonts w:cs="Arial"/>
        </w:rPr>
        <w:t>l realizar</w:t>
      </w:r>
      <w:r w:rsidR="000959B9" w:rsidRPr="00131EED">
        <w:rPr>
          <w:rFonts w:cs="Arial"/>
        </w:rPr>
        <w:t xml:space="preserve"> el </w:t>
      </w:r>
      <w:r w:rsidR="00A221F1" w:rsidRPr="00131EED">
        <w:rPr>
          <w:rFonts w:cs="Arial"/>
        </w:rPr>
        <w:t>análisis</w:t>
      </w:r>
      <w:r w:rsidR="009B4CB1" w:rsidRPr="00131EED">
        <w:rPr>
          <w:rFonts w:cs="Arial"/>
        </w:rPr>
        <w:t xml:space="preserve"> entre </w:t>
      </w:r>
      <w:r w:rsidRPr="00131EED">
        <w:rPr>
          <w:rFonts w:cs="Arial"/>
        </w:rPr>
        <w:t>las zonas de  recarga identificadas en el POMCA del Río Bogotá, con las áreas compatibles con la minería y con los títulos mineros</w:t>
      </w:r>
      <w:r w:rsidR="00A221F1" w:rsidRPr="00131EED">
        <w:rPr>
          <w:rFonts w:cs="Arial"/>
        </w:rPr>
        <w:t>, se</w:t>
      </w:r>
      <w:r w:rsidR="000959B9" w:rsidRPr="00131EED">
        <w:rPr>
          <w:rFonts w:cs="Arial"/>
        </w:rPr>
        <w:t xml:space="preserve"> presenta cruce en todos los 28 polígonos compatibles </w:t>
      </w:r>
      <w:r w:rsidR="008C39AA" w:rsidRPr="00131EED">
        <w:rPr>
          <w:rFonts w:cs="Arial"/>
        </w:rPr>
        <w:t xml:space="preserve">con la minería identificados en las resoluciones 2001 de 2016 y 1499 de 2018, </w:t>
      </w:r>
      <w:r w:rsidR="000959B9" w:rsidRPr="00131EED">
        <w:rPr>
          <w:rFonts w:cs="Arial"/>
        </w:rPr>
        <w:t>con un área de 13</w:t>
      </w:r>
      <w:r w:rsidR="000947E0" w:rsidRPr="00131EED">
        <w:rPr>
          <w:rFonts w:cs="Arial"/>
        </w:rPr>
        <w:t>.</w:t>
      </w:r>
      <w:r w:rsidR="000959B9" w:rsidRPr="00131EED">
        <w:rPr>
          <w:rFonts w:cs="Arial"/>
        </w:rPr>
        <w:t xml:space="preserve">258,68 ha y con 242 títulos mineros correspondientes a 18.568,08 ha. </w:t>
      </w:r>
    </w:p>
    <w:p w14:paraId="222C586D" w14:textId="77777777" w:rsidR="000959B9" w:rsidRPr="00131EED" w:rsidRDefault="000959B9" w:rsidP="000959B9">
      <w:pPr>
        <w:rPr>
          <w:rFonts w:cs="Arial"/>
        </w:rPr>
      </w:pPr>
    </w:p>
    <w:p w14:paraId="6C5E09E5" w14:textId="26E487DC" w:rsidR="000959B9" w:rsidRPr="00131EED" w:rsidRDefault="00701EC8" w:rsidP="00701EC8">
      <w:pPr>
        <w:pStyle w:val="Caption"/>
        <w:jc w:val="center"/>
      </w:pPr>
      <w:bookmarkStart w:id="174" w:name="_Toc164763170"/>
      <w:bookmarkStart w:id="175" w:name="_Toc165381221"/>
      <w:bookmarkStart w:id="176" w:name="_Toc216468810"/>
      <w:r w:rsidRPr="00131EED">
        <w:t>Ilustración</w:t>
      </w:r>
      <w:r w:rsidR="000959B9" w:rsidRPr="00131EED">
        <w:t xml:space="preserve"> </w:t>
      </w:r>
      <w:r w:rsidRPr="00131EED">
        <w:fldChar w:fldCharType="begin"/>
      </w:r>
      <w:r w:rsidRPr="00131EED">
        <w:instrText>SEQ Ilustración \* ARABIC</w:instrText>
      </w:r>
      <w:r w:rsidRPr="00131EED">
        <w:fldChar w:fldCharType="separate"/>
      </w:r>
      <w:r w:rsidR="00CE096F">
        <w:rPr>
          <w:noProof/>
        </w:rPr>
        <w:t>45</w:t>
      </w:r>
      <w:r w:rsidRPr="00131EED">
        <w:fldChar w:fldCharType="end"/>
      </w:r>
      <w:r w:rsidR="000959B9" w:rsidRPr="00131EED">
        <w:t xml:space="preserve"> Traslape </w:t>
      </w:r>
      <w:r w:rsidR="00E1467D" w:rsidRPr="00131EED">
        <w:t>de títulos mineros</w:t>
      </w:r>
      <w:r w:rsidR="000959B9" w:rsidRPr="00131EED">
        <w:t xml:space="preserve"> con Zonas de recarga acuífero en la Sabana de Bogotá</w:t>
      </w:r>
      <w:bookmarkEnd w:id="174"/>
      <w:bookmarkEnd w:id="175"/>
      <w:bookmarkEnd w:id="176"/>
    </w:p>
    <w:p w14:paraId="6EAE7C9E" w14:textId="4513EE5E" w:rsidR="000959B9" w:rsidRPr="00131EED" w:rsidRDefault="000959B9" w:rsidP="000959B9">
      <w:pPr>
        <w:jc w:val="center"/>
        <w:rPr>
          <w:rFonts w:ascii="Baskerville" w:hAnsi="Baskerville" w:cs="Arial"/>
        </w:rPr>
      </w:pPr>
      <w:r w:rsidRPr="00131EED">
        <w:rPr>
          <w:rFonts w:ascii="Baskerville" w:hAnsi="Baskerville"/>
          <w:noProof/>
          <w:lang w:eastAsia="en-US"/>
        </w:rPr>
        <w:drawing>
          <wp:inline distT="0" distB="0" distL="0" distR="0" wp14:anchorId="1898F4E3" wp14:editId="7DFA9008">
            <wp:extent cx="5008950" cy="4229100"/>
            <wp:effectExtent l="0" t="0" r="1270" b="0"/>
            <wp:docPr id="35" name="Imagen 35"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35" descr="Mapa&#10;&#10;Descripción generada automáticamente"/>
                    <pic:cNvPicPr/>
                  </pic:nvPicPr>
                  <pic:blipFill>
                    <a:blip r:embed="rId81"/>
                    <a:stretch>
                      <a:fillRect/>
                    </a:stretch>
                  </pic:blipFill>
                  <pic:spPr>
                    <a:xfrm>
                      <a:off x="0" y="0"/>
                      <a:ext cx="5025787" cy="4243316"/>
                    </a:xfrm>
                    <a:prstGeom prst="rect">
                      <a:avLst/>
                    </a:prstGeom>
                  </pic:spPr>
                </pic:pic>
              </a:graphicData>
            </a:graphic>
          </wp:inline>
        </w:drawing>
      </w:r>
    </w:p>
    <w:p w14:paraId="36EF9EED" w14:textId="77777777" w:rsidR="000959B9" w:rsidRPr="00131EED" w:rsidRDefault="000959B9" w:rsidP="000959B9">
      <w:pPr>
        <w:jc w:val="center"/>
        <w:rPr>
          <w:rFonts w:cs="Arial"/>
          <w:sz w:val="20"/>
          <w:szCs w:val="16"/>
        </w:rPr>
      </w:pPr>
      <w:r w:rsidRPr="00131EED">
        <w:rPr>
          <w:rFonts w:cs="Arial"/>
          <w:sz w:val="20"/>
          <w:szCs w:val="16"/>
        </w:rPr>
        <w:t>Fuente: Grupo de Gestión Ambiental Minera – MADS, 2024, con información del POMCA del río Bogotá</w:t>
      </w:r>
    </w:p>
    <w:p w14:paraId="21B0C8BC" w14:textId="77777777" w:rsidR="000959B9" w:rsidRPr="00131EED" w:rsidRDefault="000959B9" w:rsidP="000959B9">
      <w:pPr>
        <w:jc w:val="center"/>
        <w:rPr>
          <w:rFonts w:cs="Arial"/>
        </w:rPr>
      </w:pPr>
    </w:p>
    <w:p w14:paraId="4132062C" w14:textId="77777777" w:rsidR="008241A7" w:rsidRPr="00131EED" w:rsidRDefault="008241A7" w:rsidP="000959B9">
      <w:pPr>
        <w:jc w:val="center"/>
        <w:rPr>
          <w:rFonts w:cs="Arial"/>
        </w:rPr>
      </w:pPr>
    </w:p>
    <w:p w14:paraId="16119796" w14:textId="6AC8BB57" w:rsidR="000959B9" w:rsidRPr="00131EED" w:rsidRDefault="000959B9" w:rsidP="000959B9">
      <w:pPr>
        <w:rPr>
          <w:rFonts w:cs="Arial"/>
        </w:rPr>
      </w:pPr>
      <w:r w:rsidRPr="00131EED">
        <w:rPr>
          <w:rFonts w:cs="Arial"/>
        </w:rPr>
        <w:t>De acuerdo con el análisis cartográfico realizado a continuación se presenta el consolidado de la información de áreas de importancia ambiental y sus respectivos cruces con áreas compatibles con la minería y títulos mineros:</w:t>
      </w:r>
    </w:p>
    <w:p w14:paraId="45CA5068" w14:textId="77777777" w:rsidR="008F1232" w:rsidRPr="00131EED" w:rsidRDefault="008F1232" w:rsidP="000959B9">
      <w:pPr>
        <w:rPr>
          <w:rFonts w:cs="Arial"/>
        </w:rPr>
      </w:pPr>
    </w:p>
    <w:p w14:paraId="04974959" w14:textId="5293C6A2" w:rsidR="000959B9" w:rsidRPr="00131EED" w:rsidRDefault="000959B9" w:rsidP="00A52E61">
      <w:pPr>
        <w:pStyle w:val="Caption"/>
        <w:jc w:val="center"/>
      </w:pPr>
      <w:bookmarkStart w:id="177" w:name="_Toc164763187"/>
      <w:bookmarkStart w:id="178" w:name="_Toc216468939"/>
      <w:r w:rsidRPr="00131EED">
        <w:t xml:space="preserve">Tabla </w:t>
      </w:r>
      <w:fldSimple w:instr=" SEQ Tabla \* ARABIC ">
        <w:r w:rsidR="00CE096F">
          <w:rPr>
            <w:noProof/>
          </w:rPr>
          <w:t>29</w:t>
        </w:r>
      </w:fldSimple>
      <w:r w:rsidRPr="00131EED">
        <w:t xml:space="preserve">. Superposiciones de la actividad minera con </w:t>
      </w:r>
      <w:r w:rsidR="00EE2263" w:rsidRPr="00131EED">
        <w:t>humedales, subxerofitia, bosque andino y páramos</w:t>
      </w:r>
      <w:bookmarkEnd w:id="177"/>
      <w:bookmarkEnd w:id="178"/>
    </w:p>
    <w:tbl>
      <w:tblPr>
        <w:tblStyle w:val="TableGrid"/>
        <w:tblW w:w="5325" w:type="pct"/>
        <w:tblInd w:w="-572" w:type="dxa"/>
        <w:tblLook w:val="04A0" w:firstRow="1" w:lastRow="0" w:firstColumn="1" w:lastColumn="0" w:noHBand="0" w:noVBand="1"/>
      </w:tblPr>
      <w:tblGrid>
        <w:gridCol w:w="1653"/>
        <w:gridCol w:w="1593"/>
        <w:gridCol w:w="1252"/>
        <w:gridCol w:w="1299"/>
        <w:gridCol w:w="1155"/>
        <w:gridCol w:w="1155"/>
        <w:gridCol w:w="1295"/>
      </w:tblGrid>
      <w:tr w:rsidR="00D14A58" w:rsidRPr="00131EED" w14:paraId="5527A562" w14:textId="77777777" w:rsidTr="567C331E">
        <w:trPr>
          <w:tblHeader/>
        </w:trPr>
        <w:tc>
          <w:tcPr>
            <w:tcW w:w="905" w:type="pct"/>
            <w:vAlign w:val="center"/>
          </w:tcPr>
          <w:p w14:paraId="3AE58AEA" w14:textId="4279F17D" w:rsidR="000959B9" w:rsidRPr="00131EED" w:rsidRDefault="762C8BE5" w:rsidP="008F1232">
            <w:pPr>
              <w:jc w:val="center"/>
              <w:rPr>
                <w:rFonts w:eastAsia="Baskerville Old Face" w:cs="Baskerville Old Face"/>
                <w:b/>
                <w:sz w:val="20"/>
                <w:szCs w:val="20"/>
              </w:rPr>
            </w:pPr>
            <w:r w:rsidRPr="00131EED">
              <w:rPr>
                <w:rFonts w:eastAsia="Baskerville Old Face" w:cs="Baskerville Old Face"/>
                <w:b/>
                <w:sz w:val="20"/>
                <w:szCs w:val="20"/>
              </w:rPr>
              <w:t>Área de</w:t>
            </w:r>
            <w:r w:rsidR="03DA0EC7" w:rsidRPr="00131EED">
              <w:rPr>
                <w:rFonts w:eastAsia="Baskerville Old Face" w:cs="Baskerville Old Face"/>
                <w:b/>
                <w:sz w:val="20"/>
                <w:szCs w:val="20"/>
              </w:rPr>
              <w:t xml:space="preserve"> </w:t>
            </w:r>
            <w:r w:rsidRPr="00131EED">
              <w:rPr>
                <w:rFonts w:eastAsia="Baskerville Old Face" w:cs="Baskerville Old Face"/>
                <w:b/>
                <w:sz w:val="20"/>
                <w:szCs w:val="20"/>
              </w:rPr>
              <w:t>importancia ambiental</w:t>
            </w:r>
          </w:p>
        </w:tc>
        <w:tc>
          <w:tcPr>
            <w:tcW w:w="873" w:type="pct"/>
            <w:vAlign w:val="center"/>
          </w:tcPr>
          <w:p w14:paraId="130EF399" w14:textId="77777777" w:rsidR="000959B9" w:rsidRPr="00131EED" w:rsidRDefault="762C8BE5" w:rsidP="008F1232">
            <w:pPr>
              <w:jc w:val="center"/>
              <w:rPr>
                <w:rFonts w:eastAsia="Baskerville Old Face" w:cs="Baskerville Old Face"/>
                <w:b/>
                <w:sz w:val="20"/>
                <w:szCs w:val="20"/>
              </w:rPr>
            </w:pPr>
            <w:r w:rsidRPr="00131EED">
              <w:rPr>
                <w:rFonts w:eastAsia="Baskerville Old Face" w:cs="Baskerville Old Face"/>
                <w:b/>
                <w:sz w:val="20"/>
                <w:szCs w:val="20"/>
              </w:rPr>
              <w:t>Polígonos zonas compatibles con la minería</w:t>
            </w:r>
          </w:p>
        </w:tc>
        <w:tc>
          <w:tcPr>
            <w:tcW w:w="692" w:type="pct"/>
            <w:vAlign w:val="center"/>
          </w:tcPr>
          <w:p w14:paraId="3FA3FE16" w14:textId="77777777" w:rsidR="000959B9" w:rsidRPr="00131EED" w:rsidRDefault="762C8BE5" w:rsidP="008F1232">
            <w:pPr>
              <w:jc w:val="center"/>
              <w:rPr>
                <w:rFonts w:eastAsia="Baskerville Old Face" w:cs="Baskerville Old Face"/>
                <w:b/>
                <w:sz w:val="20"/>
                <w:szCs w:val="20"/>
              </w:rPr>
            </w:pPr>
            <w:r w:rsidRPr="00131EED">
              <w:rPr>
                <w:rFonts w:eastAsia="Baskerville Old Face" w:cs="Baskerville Old Face"/>
                <w:b/>
                <w:sz w:val="20"/>
                <w:szCs w:val="20"/>
              </w:rPr>
              <w:t>Área de las zonas compatibles con la minería (ha)</w:t>
            </w:r>
          </w:p>
        </w:tc>
        <w:tc>
          <w:tcPr>
            <w:tcW w:w="717" w:type="pct"/>
          </w:tcPr>
          <w:p w14:paraId="1157731A" w14:textId="345A702A" w:rsidR="000959B9" w:rsidRPr="00131EED" w:rsidRDefault="762C8BE5" w:rsidP="008F1232">
            <w:pPr>
              <w:jc w:val="center"/>
              <w:rPr>
                <w:rFonts w:eastAsia="Baskerville Old Face" w:cs="Baskerville Old Face"/>
                <w:b/>
                <w:sz w:val="20"/>
                <w:szCs w:val="20"/>
              </w:rPr>
            </w:pPr>
            <w:r w:rsidRPr="00131EED">
              <w:rPr>
                <w:rFonts w:eastAsia="Baskerville Old Face" w:cs="Baskerville Old Face"/>
                <w:b/>
                <w:sz w:val="20"/>
                <w:szCs w:val="20"/>
              </w:rPr>
              <w:t>Relación del % de área Total del ámbito-Ecorregión de Sabana de Bogotá, para Área de las zonas compatibles con la minería</w:t>
            </w:r>
          </w:p>
        </w:tc>
        <w:tc>
          <w:tcPr>
            <w:tcW w:w="506" w:type="pct"/>
            <w:vAlign w:val="center"/>
          </w:tcPr>
          <w:p w14:paraId="62E76F81" w14:textId="77777777" w:rsidR="000959B9" w:rsidRPr="00131EED" w:rsidRDefault="762C8BE5" w:rsidP="008F1232">
            <w:pPr>
              <w:jc w:val="center"/>
              <w:rPr>
                <w:rFonts w:eastAsia="Baskerville Old Face" w:cs="Baskerville Old Face"/>
                <w:b/>
                <w:sz w:val="20"/>
                <w:szCs w:val="20"/>
              </w:rPr>
            </w:pPr>
            <w:r w:rsidRPr="00131EED">
              <w:rPr>
                <w:rFonts w:eastAsia="Baskerville Old Face" w:cs="Baskerville Old Face"/>
                <w:b/>
                <w:sz w:val="20"/>
                <w:szCs w:val="20"/>
              </w:rPr>
              <w:t>Número de títulos mineros en (Ecorregión Sabana de Bogotá)</w:t>
            </w:r>
          </w:p>
        </w:tc>
        <w:tc>
          <w:tcPr>
            <w:tcW w:w="592" w:type="pct"/>
            <w:vAlign w:val="center"/>
          </w:tcPr>
          <w:p w14:paraId="63AD9781" w14:textId="77777777" w:rsidR="000959B9" w:rsidRPr="00131EED" w:rsidRDefault="762C8BE5" w:rsidP="008F1232">
            <w:pPr>
              <w:jc w:val="center"/>
              <w:rPr>
                <w:rFonts w:eastAsia="Baskerville Old Face" w:cs="Baskerville Old Face"/>
                <w:b/>
                <w:sz w:val="20"/>
                <w:szCs w:val="20"/>
              </w:rPr>
            </w:pPr>
            <w:r w:rsidRPr="00131EED">
              <w:rPr>
                <w:rFonts w:eastAsia="Baskerville Old Face" w:cs="Baskerville Old Face"/>
                <w:b/>
                <w:sz w:val="20"/>
                <w:szCs w:val="20"/>
              </w:rPr>
              <w:t>Área Títulos mineros (ha) (Ecorregión Sabana de Bogotá)</w:t>
            </w:r>
          </w:p>
        </w:tc>
        <w:tc>
          <w:tcPr>
            <w:tcW w:w="715" w:type="pct"/>
          </w:tcPr>
          <w:p w14:paraId="159A226E" w14:textId="361E49CF" w:rsidR="000959B9" w:rsidRPr="00131EED" w:rsidRDefault="762C8BE5" w:rsidP="008F1232">
            <w:pPr>
              <w:jc w:val="center"/>
              <w:rPr>
                <w:rFonts w:eastAsia="Baskerville Old Face" w:cs="Baskerville Old Face"/>
                <w:b/>
                <w:sz w:val="20"/>
                <w:szCs w:val="20"/>
              </w:rPr>
            </w:pPr>
            <w:r w:rsidRPr="00131EED">
              <w:rPr>
                <w:rFonts w:eastAsia="Baskerville Old Face" w:cs="Baskerville Old Face"/>
                <w:b/>
                <w:sz w:val="20"/>
                <w:szCs w:val="20"/>
              </w:rPr>
              <w:t>Relación del % de área Total del ámbito-Ecorregión de Sabana de Bogotá</w:t>
            </w:r>
            <w:r w:rsidR="7AD7AABA" w:rsidRPr="00131EED">
              <w:rPr>
                <w:rFonts w:eastAsia="Baskerville Old Face" w:cs="Baskerville Old Face"/>
                <w:b/>
                <w:sz w:val="20"/>
                <w:szCs w:val="20"/>
              </w:rPr>
              <w:t xml:space="preserve">, </w:t>
            </w:r>
            <w:r w:rsidRPr="00131EED">
              <w:rPr>
                <w:rFonts w:eastAsia="Baskerville Old Face" w:cs="Baskerville Old Face"/>
                <w:b/>
                <w:sz w:val="20"/>
                <w:szCs w:val="20"/>
              </w:rPr>
              <w:t>para Área Títulos mineros.</w:t>
            </w:r>
          </w:p>
        </w:tc>
      </w:tr>
      <w:tr w:rsidR="00555E4A" w:rsidRPr="00131EED" w14:paraId="3FF60C44" w14:textId="77777777" w:rsidTr="567C331E">
        <w:tc>
          <w:tcPr>
            <w:tcW w:w="905" w:type="pct"/>
            <w:vAlign w:val="center"/>
          </w:tcPr>
          <w:p w14:paraId="6D008F1E"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Ecosistema subxerofítico</w:t>
            </w:r>
          </w:p>
        </w:tc>
        <w:tc>
          <w:tcPr>
            <w:tcW w:w="873" w:type="pct"/>
            <w:vAlign w:val="center"/>
          </w:tcPr>
          <w:p w14:paraId="497F6F07"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3, 4, 6, 7, 12, 13, 14, 15, 16, 17, 18, 19, 20, 21, 22, 23, 25, 26 y 27</w:t>
            </w:r>
          </w:p>
        </w:tc>
        <w:tc>
          <w:tcPr>
            <w:tcW w:w="692" w:type="pct"/>
            <w:vAlign w:val="center"/>
          </w:tcPr>
          <w:p w14:paraId="38D34692" w14:textId="77777777" w:rsidR="000959B9" w:rsidRPr="00131EED" w:rsidRDefault="762C8BE5" w:rsidP="007A4AA9">
            <w:pPr>
              <w:jc w:val="right"/>
              <w:rPr>
                <w:rFonts w:eastAsia="Baskerville Old Face" w:cs="Baskerville Old Face"/>
                <w:sz w:val="20"/>
                <w:szCs w:val="20"/>
              </w:rPr>
            </w:pPr>
            <w:r w:rsidRPr="00131EED">
              <w:rPr>
                <w:rFonts w:eastAsia="Baskerville Old Face" w:cs="Baskerville Old Face"/>
                <w:sz w:val="20"/>
                <w:szCs w:val="20"/>
              </w:rPr>
              <w:t>2.300, 42</w:t>
            </w:r>
          </w:p>
        </w:tc>
        <w:tc>
          <w:tcPr>
            <w:tcW w:w="717" w:type="pct"/>
            <w:vAlign w:val="center"/>
          </w:tcPr>
          <w:p w14:paraId="1C471F84"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0,40</w:t>
            </w:r>
          </w:p>
        </w:tc>
        <w:tc>
          <w:tcPr>
            <w:tcW w:w="506" w:type="pct"/>
            <w:vAlign w:val="center"/>
          </w:tcPr>
          <w:p w14:paraId="6F90C193"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128</w:t>
            </w:r>
          </w:p>
        </w:tc>
        <w:tc>
          <w:tcPr>
            <w:tcW w:w="592" w:type="pct"/>
            <w:vAlign w:val="center"/>
          </w:tcPr>
          <w:p w14:paraId="1F5F0E34" w14:textId="77777777" w:rsidR="000959B9" w:rsidRPr="00131EED" w:rsidRDefault="762C8BE5" w:rsidP="007A4AA9">
            <w:pPr>
              <w:jc w:val="right"/>
              <w:rPr>
                <w:rFonts w:eastAsia="Baskerville Old Face" w:cs="Baskerville Old Face"/>
                <w:sz w:val="20"/>
                <w:szCs w:val="20"/>
              </w:rPr>
            </w:pPr>
            <w:r w:rsidRPr="00131EED">
              <w:rPr>
                <w:rFonts w:eastAsia="Baskerville Old Face" w:cs="Baskerville Old Face"/>
                <w:sz w:val="20"/>
                <w:szCs w:val="20"/>
              </w:rPr>
              <w:t>3235,99</w:t>
            </w:r>
          </w:p>
        </w:tc>
        <w:tc>
          <w:tcPr>
            <w:tcW w:w="715" w:type="pct"/>
            <w:vAlign w:val="center"/>
          </w:tcPr>
          <w:p w14:paraId="1CB0A6A7"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0,56</w:t>
            </w:r>
          </w:p>
        </w:tc>
      </w:tr>
      <w:tr w:rsidR="00555E4A" w:rsidRPr="00131EED" w14:paraId="51101B0E" w14:textId="77777777" w:rsidTr="567C331E">
        <w:tc>
          <w:tcPr>
            <w:tcW w:w="905" w:type="pct"/>
            <w:vAlign w:val="center"/>
          </w:tcPr>
          <w:p w14:paraId="5D415E00"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Páramos</w:t>
            </w:r>
          </w:p>
        </w:tc>
        <w:tc>
          <w:tcPr>
            <w:tcW w:w="873" w:type="pct"/>
            <w:vAlign w:val="center"/>
          </w:tcPr>
          <w:p w14:paraId="2FC002EA"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4</w:t>
            </w:r>
          </w:p>
        </w:tc>
        <w:tc>
          <w:tcPr>
            <w:tcW w:w="692" w:type="pct"/>
            <w:vAlign w:val="center"/>
          </w:tcPr>
          <w:p w14:paraId="743C8779" w14:textId="77777777" w:rsidR="000959B9" w:rsidRPr="00131EED" w:rsidRDefault="762C8BE5" w:rsidP="007A4AA9">
            <w:pPr>
              <w:jc w:val="right"/>
              <w:rPr>
                <w:rFonts w:eastAsia="Baskerville Old Face" w:cs="Baskerville Old Face"/>
                <w:sz w:val="20"/>
                <w:szCs w:val="20"/>
              </w:rPr>
            </w:pPr>
            <w:r w:rsidRPr="00131EED">
              <w:rPr>
                <w:rFonts w:eastAsia="Baskerville Old Face" w:cs="Baskerville Old Face"/>
                <w:sz w:val="20"/>
                <w:szCs w:val="20"/>
              </w:rPr>
              <w:t>0,013</w:t>
            </w:r>
          </w:p>
        </w:tc>
        <w:tc>
          <w:tcPr>
            <w:tcW w:w="717" w:type="pct"/>
            <w:vAlign w:val="center"/>
          </w:tcPr>
          <w:p w14:paraId="51261D33"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0,0000022</w:t>
            </w:r>
          </w:p>
        </w:tc>
        <w:tc>
          <w:tcPr>
            <w:tcW w:w="506" w:type="pct"/>
            <w:vAlign w:val="center"/>
          </w:tcPr>
          <w:p w14:paraId="3E3B0B43"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26</w:t>
            </w:r>
          </w:p>
        </w:tc>
        <w:tc>
          <w:tcPr>
            <w:tcW w:w="592" w:type="pct"/>
            <w:vAlign w:val="center"/>
          </w:tcPr>
          <w:p w14:paraId="7A2BEC18" w14:textId="77777777" w:rsidR="000959B9" w:rsidRPr="00131EED" w:rsidRDefault="762C8BE5" w:rsidP="007A4AA9">
            <w:pPr>
              <w:jc w:val="right"/>
              <w:rPr>
                <w:rFonts w:eastAsia="Baskerville Old Face" w:cs="Baskerville Old Face"/>
                <w:sz w:val="20"/>
                <w:szCs w:val="20"/>
              </w:rPr>
            </w:pPr>
            <w:r w:rsidRPr="00131EED">
              <w:rPr>
                <w:rFonts w:eastAsia="Baskerville Old Face" w:cs="Baskerville Old Face"/>
                <w:sz w:val="20"/>
                <w:szCs w:val="20"/>
              </w:rPr>
              <w:t>2091,72</w:t>
            </w:r>
          </w:p>
        </w:tc>
        <w:tc>
          <w:tcPr>
            <w:tcW w:w="715" w:type="pct"/>
            <w:vAlign w:val="center"/>
          </w:tcPr>
          <w:p w14:paraId="020D3DFF"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0,36</w:t>
            </w:r>
          </w:p>
        </w:tc>
      </w:tr>
      <w:tr w:rsidR="00555E4A" w:rsidRPr="00131EED" w14:paraId="576167C2" w14:textId="77777777" w:rsidTr="567C331E">
        <w:tc>
          <w:tcPr>
            <w:tcW w:w="905" w:type="pct"/>
            <w:vAlign w:val="center"/>
          </w:tcPr>
          <w:p w14:paraId="71EAC380"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Humedales</w:t>
            </w:r>
          </w:p>
        </w:tc>
        <w:tc>
          <w:tcPr>
            <w:tcW w:w="873" w:type="pct"/>
            <w:vAlign w:val="center"/>
          </w:tcPr>
          <w:p w14:paraId="565AE70E"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2, 7, 8, 9, 10, 12, 15, 19, 21 y 23</w:t>
            </w:r>
          </w:p>
        </w:tc>
        <w:tc>
          <w:tcPr>
            <w:tcW w:w="692" w:type="pct"/>
            <w:vAlign w:val="center"/>
          </w:tcPr>
          <w:p w14:paraId="785EF11A" w14:textId="77777777" w:rsidR="000959B9" w:rsidRPr="00131EED" w:rsidRDefault="762C8BE5" w:rsidP="007A4AA9">
            <w:pPr>
              <w:jc w:val="right"/>
              <w:rPr>
                <w:rFonts w:eastAsia="Baskerville Old Face" w:cs="Baskerville Old Face"/>
                <w:sz w:val="20"/>
                <w:szCs w:val="20"/>
              </w:rPr>
            </w:pPr>
            <w:r w:rsidRPr="00131EED">
              <w:rPr>
                <w:rFonts w:eastAsia="Baskerville Old Face" w:cs="Baskerville Old Face"/>
                <w:sz w:val="20"/>
                <w:szCs w:val="20"/>
              </w:rPr>
              <w:t>2209,58</w:t>
            </w:r>
          </w:p>
        </w:tc>
        <w:tc>
          <w:tcPr>
            <w:tcW w:w="717" w:type="pct"/>
            <w:vAlign w:val="center"/>
          </w:tcPr>
          <w:p w14:paraId="6D547DA9"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0,38</w:t>
            </w:r>
          </w:p>
        </w:tc>
        <w:tc>
          <w:tcPr>
            <w:tcW w:w="506" w:type="pct"/>
            <w:vAlign w:val="center"/>
          </w:tcPr>
          <w:p w14:paraId="5D65A91D"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36</w:t>
            </w:r>
          </w:p>
        </w:tc>
        <w:tc>
          <w:tcPr>
            <w:tcW w:w="592" w:type="pct"/>
            <w:vAlign w:val="center"/>
          </w:tcPr>
          <w:p w14:paraId="2015ACF5" w14:textId="77777777" w:rsidR="000959B9" w:rsidRPr="00131EED" w:rsidRDefault="762C8BE5" w:rsidP="007A4AA9">
            <w:pPr>
              <w:jc w:val="right"/>
              <w:rPr>
                <w:rFonts w:eastAsia="Baskerville Old Face" w:cs="Baskerville Old Face"/>
                <w:sz w:val="20"/>
                <w:szCs w:val="20"/>
              </w:rPr>
            </w:pPr>
            <w:r w:rsidRPr="00131EED">
              <w:rPr>
                <w:rFonts w:eastAsia="Baskerville Old Face" w:cs="Baskerville Old Face"/>
                <w:sz w:val="20"/>
                <w:szCs w:val="20"/>
              </w:rPr>
              <w:t>1861,21</w:t>
            </w:r>
          </w:p>
        </w:tc>
        <w:tc>
          <w:tcPr>
            <w:tcW w:w="715" w:type="pct"/>
            <w:vAlign w:val="center"/>
          </w:tcPr>
          <w:p w14:paraId="7A98EA4C"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0,32</w:t>
            </w:r>
          </w:p>
        </w:tc>
      </w:tr>
      <w:tr w:rsidR="00555E4A" w:rsidRPr="00131EED" w14:paraId="5848B9CB" w14:textId="77777777" w:rsidTr="567C331E">
        <w:tc>
          <w:tcPr>
            <w:tcW w:w="905" w:type="pct"/>
            <w:vAlign w:val="center"/>
          </w:tcPr>
          <w:p w14:paraId="4ED66AF2"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Áreas SINAP</w:t>
            </w:r>
          </w:p>
        </w:tc>
        <w:tc>
          <w:tcPr>
            <w:tcW w:w="873" w:type="pct"/>
            <w:vAlign w:val="center"/>
          </w:tcPr>
          <w:p w14:paraId="12D1AE38"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6, 13, 14 y 15</w:t>
            </w:r>
          </w:p>
        </w:tc>
        <w:tc>
          <w:tcPr>
            <w:tcW w:w="692" w:type="pct"/>
            <w:vAlign w:val="center"/>
          </w:tcPr>
          <w:p w14:paraId="111547D4" w14:textId="77777777" w:rsidR="000959B9" w:rsidRPr="00131EED" w:rsidRDefault="762C8BE5" w:rsidP="007A4AA9">
            <w:pPr>
              <w:jc w:val="right"/>
              <w:rPr>
                <w:rFonts w:eastAsia="Baskerville Old Face" w:cs="Baskerville Old Face"/>
                <w:sz w:val="20"/>
                <w:szCs w:val="20"/>
              </w:rPr>
            </w:pPr>
            <w:r w:rsidRPr="00131EED">
              <w:rPr>
                <w:rFonts w:eastAsia="Baskerville Old Face" w:cs="Baskerville Old Face"/>
                <w:sz w:val="20"/>
                <w:szCs w:val="20"/>
              </w:rPr>
              <w:t>788,65</w:t>
            </w:r>
          </w:p>
        </w:tc>
        <w:tc>
          <w:tcPr>
            <w:tcW w:w="717" w:type="pct"/>
            <w:vAlign w:val="center"/>
          </w:tcPr>
          <w:p w14:paraId="78714D4E"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0,13</w:t>
            </w:r>
          </w:p>
        </w:tc>
        <w:tc>
          <w:tcPr>
            <w:tcW w:w="506" w:type="pct"/>
            <w:vAlign w:val="center"/>
          </w:tcPr>
          <w:p w14:paraId="2DAF9981"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44</w:t>
            </w:r>
          </w:p>
        </w:tc>
        <w:tc>
          <w:tcPr>
            <w:tcW w:w="592" w:type="pct"/>
            <w:vAlign w:val="center"/>
          </w:tcPr>
          <w:p w14:paraId="44A0C08E" w14:textId="77777777" w:rsidR="000959B9" w:rsidRPr="00131EED" w:rsidRDefault="762C8BE5" w:rsidP="007A4AA9">
            <w:pPr>
              <w:jc w:val="right"/>
              <w:rPr>
                <w:rFonts w:eastAsia="Baskerville Old Face" w:cs="Baskerville Old Face"/>
                <w:sz w:val="20"/>
                <w:szCs w:val="20"/>
              </w:rPr>
            </w:pPr>
            <w:r w:rsidRPr="00131EED">
              <w:rPr>
                <w:rFonts w:eastAsia="Baskerville Old Face" w:cs="Baskerville Old Face"/>
                <w:sz w:val="20"/>
                <w:szCs w:val="20"/>
              </w:rPr>
              <w:t>3414,5</w:t>
            </w:r>
          </w:p>
        </w:tc>
        <w:tc>
          <w:tcPr>
            <w:tcW w:w="715" w:type="pct"/>
            <w:vAlign w:val="center"/>
          </w:tcPr>
          <w:p w14:paraId="6607E77E"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0,59</w:t>
            </w:r>
          </w:p>
        </w:tc>
      </w:tr>
      <w:tr w:rsidR="00555E4A" w:rsidRPr="00131EED" w14:paraId="5BD1EBAE" w14:textId="77777777" w:rsidTr="567C331E">
        <w:tc>
          <w:tcPr>
            <w:tcW w:w="905" w:type="pct"/>
            <w:vAlign w:val="center"/>
          </w:tcPr>
          <w:p w14:paraId="790C8599"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Áreas protegidas CAR</w:t>
            </w:r>
          </w:p>
        </w:tc>
        <w:tc>
          <w:tcPr>
            <w:tcW w:w="873" w:type="pct"/>
            <w:vAlign w:val="center"/>
          </w:tcPr>
          <w:p w14:paraId="706E2B27"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13</w:t>
            </w:r>
          </w:p>
        </w:tc>
        <w:tc>
          <w:tcPr>
            <w:tcW w:w="692" w:type="pct"/>
            <w:vAlign w:val="center"/>
          </w:tcPr>
          <w:p w14:paraId="4D7A58A6" w14:textId="77777777" w:rsidR="000959B9" w:rsidRPr="00131EED" w:rsidRDefault="762C8BE5" w:rsidP="007A4AA9">
            <w:pPr>
              <w:jc w:val="right"/>
              <w:rPr>
                <w:rFonts w:eastAsia="Baskerville Old Face" w:cs="Baskerville Old Face"/>
                <w:sz w:val="20"/>
                <w:szCs w:val="20"/>
              </w:rPr>
            </w:pPr>
            <w:r w:rsidRPr="00131EED">
              <w:rPr>
                <w:rFonts w:eastAsia="Baskerville Old Face" w:cs="Baskerville Old Face"/>
                <w:sz w:val="20"/>
                <w:szCs w:val="20"/>
              </w:rPr>
              <w:t>780,99</w:t>
            </w:r>
          </w:p>
        </w:tc>
        <w:tc>
          <w:tcPr>
            <w:tcW w:w="717" w:type="pct"/>
            <w:vAlign w:val="center"/>
          </w:tcPr>
          <w:p w14:paraId="69A7BE48"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0,13</w:t>
            </w:r>
          </w:p>
        </w:tc>
        <w:tc>
          <w:tcPr>
            <w:tcW w:w="506" w:type="pct"/>
            <w:vAlign w:val="center"/>
          </w:tcPr>
          <w:p w14:paraId="633BB229"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89</w:t>
            </w:r>
          </w:p>
        </w:tc>
        <w:tc>
          <w:tcPr>
            <w:tcW w:w="592" w:type="pct"/>
            <w:vAlign w:val="center"/>
          </w:tcPr>
          <w:p w14:paraId="042EBF37" w14:textId="77777777" w:rsidR="000959B9" w:rsidRPr="00131EED" w:rsidRDefault="762C8BE5" w:rsidP="007A4AA9">
            <w:pPr>
              <w:jc w:val="right"/>
              <w:rPr>
                <w:rFonts w:eastAsia="Baskerville Old Face" w:cs="Baskerville Old Face"/>
                <w:sz w:val="20"/>
                <w:szCs w:val="20"/>
              </w:rPr>
            </w:pPr>
            <w:r w:rsidRPr="00131EED">
              <w:rPr>
                <w:rFonts w:eastAsia="Baskerville Old Face" w:cs="Baskerville Old Face"/>
                <w:sz w:val="20"/>
                <w:szCs w:val="20"/>
              </w:rPr>
              <w:t>7171,48</w:t>
            </w:r>
          </w:p>
        </w:tc>
        <w:tc>
          <w:tcPr>
            <w:tcW w:w="715" w:type="pct"/>
            <w:vAlign w:val="center"/>
          </w:tcPr>
          <w:p w14:paraId="106A5F2D"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1,23</w:t>
            </w:r>
          </w:p>
        </w:tc>
      </w:tr>
      <w:tr w:rsidR="00555E4A" w:rsidRPr="00131EED" w14:paraId="61BD41C9" w14:textId="77777777" w:rsidTr="567C331E">
        <w:tc>
          <w:tcPr>
            <w:tcW w:w="905" w:type="pct"/>
            <w:vAlign w:val="center"/>
          </w:tcPr>
          <w:p w14:paraId="1F4B641B"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EEP Bogotá D.C.</w:t>
            </w:r>
          </w:p>
        </w:tc>
        <w:tc>
          <w:tcPr>
            <w:tcW w:w="873" w:type="pct"/>
            <w:vAlign w:val="center"/>
          </w:tcPr>
          <w:p w14:paraId="2A4C16E2" w14:textId="77777777" w:rsidR="000959B9" w:rsidRPr="00131EED" w:rsidRDefault="000959B9" w:rsidP="567C331E">
            <w:pPr>
              <w:jc w:val="center"/>
              <w:rPr>
                <w:rFonts w:eastAsia="Baskerville Old Face" w:cs="Baskerville Old Face"/>
                <w:sz w:val="20"/>
                <w:szCs w:val="20"/>
              </w:rPr>
            </w:pPr>
          </w:p>
        </w:tc>
        <w:tc>
          <w:tcPr>
            <w:tcW w:w="692" w:type="pct"/>
            <w:vAlign w:val="center"/>
          </w:tcPr>
          <w:p w14:paraId="4416A2FC" w14:textId="744D0B55" w:rsidR="000959B9" w:rsidRPr="00131EED" w:rsidRDefault="762C8BE5" w:rsidP="007A4AA9">
            <w:pPr>
              <w:jc w:val="right"/>
              <w:rPr>
                <w:rFonts w:eastAsia="Baskerville Old Face" w:cs="Baskerville Old Face"/>
                <w:sz w:val="20"/>
                <w:szCs w:val="20"/>
              </w:rPr>
            </w:pPr>
            <w:r w:rsidRPr="00131EED">
              <w:rPr>
                <w:rFonts w:eastAsia="Baskerville Old Face" w:cs="Baskerville Old Face"/>
                <w:sz w:val="20"/>
                <w:szCs w:val="20"/>
              </w:rPr>
              <w:t xml:space="preserve">1064,47 </w:t>
            </w:r>
          </w:p>
        </w:tc>
        <w:tc>
          <w:tcPr>
            <w:tcW w:w="717" w:type="pct"/>
            <w:vAlign w:val="center"/>
          </w:tcPr>
          <w:p w14:paraId="337770F1"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0,18</w:t>
            </w:r>
          </w:p>
        </w:tc>
        <w:tc>
          <w:tcPr>
            <w:tcW w:w="506" w:type="pct"/>
            <w:vAlign w:val="center"/>
          </w:tcPr>
          <w:p w14:paraId="0834ADC3" w14:textId="77777777" w:rsidR="000959B9" w:rsidRPr="00131EED" w:rsidRDefault="000959B9" w:rsidP="567C331E">
            <w:pPr>
              <w:jc w:val="center"/>
              <w:rPr>
                <w:rFonts w:eastAsia="Baskerville Old Face" w:cs="Baskerville Old Face"/>
                <w:sz w:val="20"/>
                <w:szCs w:val="20"/>
              </w:rPr>
            </w:pPr>
          </w:p>
        </w:tc>
        <w:tc>
          <w:tcPr>
            <w:tcW w:w="592" w:type="pct"/>
            <w:vAlign w:val="center"/>
          </w:tcPr>
          <w:p w14:paraId="67FACE01" w14:textId="15348E4E" w:rsidR="000959B9" w:rsidRPr="00131EED" w:rsidRDefault="762C8BE5" w:rsidP="007A4AA9">
            <w:pPr>
              <w:jc w:val="right"/>
              <w:rPr>
                <w:rFonts w:eastAsia="Baskerville Old Face" w:cs="Baskerville Old Face"/>
                <w:sz w:val="20"/>
                <w:szCs w:val="20"/>
              </w:rPr>
            </w:pPr>
            <w:r w:rsidRPr="00131EED">
              <w:rPr>
                <w:rFonts w:eastAsia="Baskerville Old Face" w:cs="Baskerville Old Face"/>
                <w:sz w:val="20"/>
                <w:szCs w:val="20"/>
              </w:rPr>
              <w:t>932,5</w:t>
            </w:r>
          </w:p>
        </w:tc>
        <w:tc>
          <w:tcPr>
            <w:tcW w:w="715" w:type="pct"/>
            <w:vAlign w:val="center"/>
          </w:tcPr>
          <w:p w14:paraId="1BBDF719"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0,16</w:t>
            </w:r>
          </w:p>
        </w:tc>
      </w:tr>
      <w:tr w:rsidR="00555E4A" w:rsidRPr="00131EED" w14:paraId="5E2670C5" w14:textId="77777777" w:rsidTr="567C331E">
        <w:tc>
          <w:tcPr>
            <w:tcW w:w="905" w:type="pct"/>
            <w:vAlign w:val="center"/>
          </w:tcPr>
          <w:p w14:paraId="3491B5B4"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EEP CAR Cundinamarca</w:t>
            </w:r>
          </w:p>
        </w:tc>
        <w:tc>
          <w:tcPr>
            <w:tcW w:w="873" w:type="pct"/>
            <w:vAlign w:val="center"/>
          </w:tcPr>
          <w:p w14:paraId="54F493A1" w14:textId="77777777" w:rsidR="000959B9" w:rsidRPr="00131EED" w:rsidRDefault="000959B9" w:rsidP="567C331E">
            <w:pPr>
              <w:jc w:val="center"/>
              <w:rPr>
                <w:rFonts w:eastAsia="Baskerville Old Face" w:cs="Baskerville Old Face"/>
                <w:sz w:val="20"/>
                <w:szCs w:val="20"/>
              </w:rPr>
            </w:pPr>
          </w:p>
        </w:tc>
        <w:tc>
          <w:tcPr>
            <w:tcW w:w="692" w:type="pct"/>
            <w:vAlign w:val="center"/>
          </w:tcPr>
          <w:p w14:paraId="45D06E24" w14:textId="71CB4FD8" w:rsidR="000959B9" w:rsidRPr="00131EED" w:rsidRDefault="762C8BE5" w:rsidP="007A4AA9">
            <w:pPr>
              <w:jc w:val="right"/>
              <w:rPr>
                <w:rFonts w:eastAsia="Baskerville Old Face" w:cs="Baskerville Old Face"/>
                <w:sz w:val="20"/>
                <w:szCs w:val="20"/>
              </w:rPr>
            </w:pPr>
            <w:r w:rsidRPr="00131EED">
              <w:rPr>
                <w:rFonts w:eastAsia="Baskerville Old Face" w:cs="Baskerville Old Face"/>
                <w:sz w:val="20"/>
                <w:szCs w:val="20"/>
              </w:rPr>
              <w:t>4247,52</w:t>
            </w:r>
          </w:p>
        </w:tc>
        <w:tc>
          <w:tcPr>
            <w:tcW w:w="717" w:type="pct"/>
            <w:vAlign w:val="center"/>
          </w:tcPr>
          <w:p w14:paraId="681E2F12"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0,73</w:t>
            </w:r>
          </w:p>
        </w:tc>
        <w:tc>
          <w:tcPr>
            <w:tcW w:w="506" w:type="pct"/>
            <w:vAlign w:val="center"/>
          </w:tcPr>
          <w:p w14:paraId="6900B721" w14:textId="77777777" w:rsidR="000959B9" w:rsidRPr="00131EED" w:rsidRDefault="000959B9" w:rsidP="567C331E">
            <w:pPr>
              <w:jc w:val="center"/>
              <w:rPr>
                <w:rFonts w:eastAsia="Baskerville Old Face" w:cs="Baskerville Old Face"/>
                <w:sz w:val="20"/>
                <w:szCs w:val="20"/>
              </w:rPr>
            </w:pPr>
          </w:p>
        </w:tc>
        <w:tc>
          <w:tcPr>
            <w:tcW w:w="592" w:type="pct"/>
            <w:vAlign w:val="center"/>
          </w:tcPr>
          <w:p w14:paraId="5B7E54EA" w14:textId="3C22917F" w:rsidR="000959B9" w:rsidRPr="00131EED" w:rsidRDefault="762C8BE5" w:rsidP="007A4AA9">
            <w:pPr>
              <w:jc w:val="right"/>
              <w:rPr>
                <w:rFonts w:eastAsia="Baskerville Old Face" w:cs="Baskerville Old Face"/>
                <w:sz w:val="20"/>
                <w:szCs w:val="20"/>
              </w:rPr>
            </w:pPr>
            <w:r w:rsidRPr="00131EED">
              <w:rPr>
                <w:rFonts w:eastAsia="Baskerville Old Face" w:cs="Baskerville Old Face"/>
                <w:sz w:val="20"/>
                <w:szCs w:val="20"/>
              </w:rPr>
              <w:t>11481,59</w:t>
            </w:r>
          </w:p>
        </w:tc>
        <w:tc>
          <w:tcPr>
            <w:tcW w:w="715" w:type="pct"/>
            <w:vAlign w:val="center"/>
          </w:tcPr>
          <w:p w14:paraId="188C6C60"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1,98</w:t>
            </w:r>
          </w:p>
        </w:tc>
      </w:tr>
      <w:tr w:rsidR="00555E4A" w:rsidRPr="00131EED" w14:paraId="278B4126" w14:textId="77777777" w:rsidTr="567C331E">
        <w:tc>
          <w:tcPr>
            <w:tcW w:w="905" w:type="pct"/>
            <w:vAlign w:val="center"/>
          </w:tcPr>
          <w:p w14:paraId="03C123DD" w14:textId="5DB77CC6"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 xml:space="preserve">Zonas de recarga </w:t>
            </w:r>
            <w:r w:rsidR="24EB8CB6" w:rsidRPr="00131EED">
              <w:rPr>
                <w:rFonts w:eastAsia="Baskerville Old Face" w:cs="Baskerville Old Face"/>
                <w:sz w:val="20"/>
                <w:szCs w:val="20"/>
              </w:rPr>
              <w:t>de acuíferos</w:t>
            </w:r>
          </w:p>
        </w:tc>
        <w:tc>
          <w:tcPr>
            <w:tcW w:w="873" w:type="pct"/>
            <w:vAlign w:val="center"/>
          </w:tcPr>
          <w:p w14:paraId="23899726"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1, 2, 3, 4, 5, 6, 7, 8, 9, 10, 11, 12, 13, 14, 16, 17, 18, 19, 20, 21, 22, 23, 24, 25, 26, 27 y 28</w:t>
            </w:r>
          </w:p>
        </w:tc>
        <w:tc>
          <w:tcPr>
            <w:tcW w:w="692" w:type="pct"/>
            <w:vAlign w:val="center"/>
          </w:tcPr>
          <w:p w14:paraId="707859AE" w14:textId="05F2C8F1" w:rsidR="000959B9" w:rsidRPr="00131EED" w:rsidRDefault="762C8BE5" w:rsidP="007A4AA9">
            <w:pPr>
              <w:jc w:val="right"/>
              <w:rPr>
                <w:rFonts w:eastAsia="Baskerville Old Face" w:cs="Baskerville Old Face"/>
                <w:sz w:val="20"/>
                <w:szCs w:val="20"/>
              </w:rPr>
            </w:pPr>
            <w:r w:rsidRPr="00131EED">
              <w:rPr>
                <w:rFonts w:eastAsia="Baskerville Old Face" w:cs="Baskerville Old Face"/>
                <w:sz w:val="20"/>
                <w:szCs w:val="20"/>
              </w:rPr>
              <w:t>13258,68</w:t>
            </w:r>
          </w:p>
        </w:tc>
        <w:tc>
          <w:tcPr>
            <w:tcW w:w="717" w:type="pct"/>
            <w:vAlign w:val="center"/>
          </w:tcPr>
          <w:p w14:paraId="54154FFC"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2,28</w:t>
            </w:r>
          </w:p>
        </w:tc>
        <w:tc>
          <w:tcPr>
            <w:tcW w:w="506" w:type="pct"/>
            <w:vAlign w:val="center"/>
          </w:tcPr>
          <w:p w14:paraId="50AA666A"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242</w:t>
            </w:r>
          </w:p>
        </w:tc>
        <w:tc>
          <w:tcPr>
            <w:tcW w:w="592" w:type="pct"/>
            <w:vAlign w:val="center"/>
          </w:tcPr>
          <w:p w14:paraId="3427D19E" w14:textId="1F4DAB2E" w:rsidR="000959B9" w:rsidRPr="00131EED" w:rsidRDefault="762C8BE5" w:rsidP="007A4AA9">
            <w:pPr>
              <w:jc w:val="right"/>
              <w:rPr>
                <w:rFonts w:eastAsia="Baskerville Old Face" w:cs="Baskerville Old Face"/>
                <w:sz w:val="20"/>
                <w:szCs w:val="20"/>
              </w:rPr>
            </w:pPr>
            <w:r w:rsidRPr="00131EED">
              <w:rPr>
                <w:rFonts w:eastAsia="Baskerville Old Face" w:cs="Baskerville Old Face"/>
                <w:sz w:val="20"/>
                <w:szCs w:val="20"/>
              </w:rPr>
              <w:t>18568,08</w:t>
            </w:r>
          </w:p>
        </w:tc>
        <w:tc>
          <w:tcPr>
            <w:tcW w:w="715" w:type="pct"/>
            <w:vAlign w:val="center"/>
          </w:tcPr>
          <w:p w14:paraId="76A15D75"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3,20</w:t>
            </w:r>
          </w:p>
        </w:tc>
      </w:tr>
      <w:tr w:rsidR="00F7495B" w:rsidRPr="00131EED" w14:paraId="3A73D7C8" w14:textId="77777777" w:rsidTr="567C331E">
        <w:tc>
          <w:tcPr>
            <w:tcW w:w="905" w:type="pct"/>
            <w:vAlign w:val="center"/>
          </w:tcPr>
          <w:p w14:paraId="244F1B29"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TOTAL</w:t>
            </w:r>
          </w:p>
        </w:tc>
        <w:tc>
          <w:tcPr>
            <w:tcW w:w="873" w:type="pct"/>
            <w:vAlign w:val="center"/>
          </w:tcPr>
          <w:p w14:paraId="09D1AAE5" w14:textId="77777777" w:rsidR="000959B9" w:rsidRPr="00131EED" w:rsidRDefault="000959B9" w:rsidP="567C331E">
            <w:pPr>
              <w:jc w:val="center"/>
              <w:rPr>
                <w:rFonts w:eastAsia="Baskerville Old Face" w:cs="Baskerville Old Face"/>
                <w:sz w:val="20"/>
                <w:szCs w:val="20"/>
              </w:rPr>
            </w:pPr>
          </w:p>
        </w:tc>
        <w:tc>
          <w:tcPr>
            <w:tcW w:w="692" w:type="pct"/>
            <w:vAlign w:val="center"/>
          </w:tcPr>
          <w:p w14:paraId="4B95D31B" w14:textId="7E5950F7" w:rsidR="000959B9" w:rsidRPr="00131EED" w:rsidRDefault="762C8BE5" w:rsidP="007A4AA9">
            <w:pPr>
              <w:jc w:val="right"/>
              <w:rPr>
                <w:rFonts w:eastAsia="Baskerville Old Face" w:cs="Baskerville Old Face"/>
                <w:sz w:val="20"/>
                <w:szCs w:val="20"/>
              </w:rPr>
            </w:pPr>
            <w:r w:rsidRPr="00131EED">
              <w:rPr>
                <w:rFonts w:eastAsia="Baskerville Old Face" w:cs="Baskerville Old Face"/>
                <w:sz w:val="20"/>
                <w:szCs w:val="20"/>
              </w:rPr>
              <w:t>22349,92</w:t>
            </w:r>
          </w:p>
        </w:tc>
        <w:tc>
          <w:tcPr>
            <w:tcW w:w="717" w:type="pct"/>
          </w:tcPr>
          <w:p w14:paraId="4DD08A53" w14:textId="4384022D"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4,2300022</w:t>
            </w:r>
          </w:p>
        </w:tc>
        <w:tc>
          <w:tcPr>
            <w:tcW w:w="506" w:type="pct"/>
            <w:vAlign w:val="center"/>
          </w:tcPr>
          <w:p w14:paraId="545771FC" w14:textId="77777777" w:rsidR="000959B9" w:rsidRPr="00131EED" w:rsidRDefault="000959B9" w:rsidP="567C331E">
            <w:pPr>
              <w:jc w:val="center"/>
              <w:rPr>
                <w:rFonts w:eastAsia="Baskerville Old Face" w:cs="Baskerville Old Face"/>
                <w:sz w:val="20"/>
                <w:szCs w:val="20"/>
              </w:rPr>
            </w:pPr>
          </w:p>
        </w:tc>
        <w:tc>
          <w:tcPr>
            <w:tcW w:w="592" w:type="pct"/>
            <w:vAlign w:val="center"/>
          </w:tcPr>
          <w:p w14:paraId="39BCB69A" w14:textId="424684A9" w:rsidR="000959B9" w:rsidRPr="00131EED" w:rsidRDefault="762C8BE5" w:rsidP="007A4AA9">
            <w:pPr>
              <w:jc w:val="right"/>
              <w:rPr>
                <w:rFonts w:eastAsia="Baskerville Old Face" w:cs="Baskerville Old Face"/>
                <w:sz w:val="20"/>
                <w:szCs w:val="20"/>
              </w:rPr>
            </w:pPr>
            <w:r w:rsidRPr="00131EED">
              <w:rPr>
                <w:rFonts w:eastAsia="Baskerville Old Face" w:cs="Baskerville Old Face"/>
                <w:sz w:val="20"/>
                <w:szCs w:val="20"/>
              </w:rPr>
              <w:t>48757,07</w:t>
            </w:r>
          </w:p>
        </w:tc>
        <w:tc>
          <w:tcPr>
            <w:tcW w:w="715" w:type="pct"/>
          </w:tcPr>
          <w:p w14:paraId="17B5F48F" w14:textId="77777777" w:rsidR="000959B9" w:rsidRPr="00131EED" w:rsidRDefault="762C8BE5" w:rsidP="567C331E">
            <w:pPr>
              <w:jc w:val="center"/>
              <w:rPr>
                <w:rFonts w:eastAsia="Baskerville Old Face" w:cs="Baskerville Old Face"/>
                <w:sz w:val="20"/>
                <w:szCs w:val="20"/>
              </w:rPr>
            </w:pPr>
            <w:r w:rsidRPr="00131EED">
              <w:rPr>
                <w:rFonts w:eastAsia="Baskerville Old Face" w:cs="Baskerville Old Face"/>
                <w:sz w:val="20"/>
                <w:szCs w:val="20"/>
              </w:rPr>
              <w:t>8,4%</w:t>
            </w:r>
          </w:p>
        </w:tc>
      </w:tr>
    </w:tbl>
    <w:p w14:paraId="2A325FAC" w14:textId="77777777" w:rsidR="000959B9" w:rsidRPr="00131EED" w:rsidRDefault="000959B9" w:rsidP="000959B9">
      <w:pPr>
        <w:jc w:val="center"/>
        <w:rPr>
          <w:rFonts w:cs="Arial"/>
          <w:sz w:val="20"/>
          <w:szCs w:val="20"/>
        </w:rPr>
      </w:pPr>
      <w:r w:rsidRPr="00131EED">
        <w:rPr>
          <w:rFonts w:cs="Arial"/>
          <w:sz w:val="20"/>
          <w:szCs w:val="20"/>
        </w:rPr>
        <w:t>Fuente: Grupo de Gestión Ambiental Minera – MADS, 2024</w:t>
      </w:r>
    </w:p>
    <w:p w14:paraId="2AEB343D" w14:textId="6D651EE8" w:rsidR="00996FB2" w:rsidRPr="00131EED" w:rsidRDefault="00DF1C93" w:rsidP="00410194">
      <w:pPr>
        <w:pStyle w:val="Heading3"/>
        <w:numPr>
          <w:ilvl w:val="2"/>
          <w:numId w:val="31"/>
        </w:numPr>
      </w:pPr>
      <w:bookmarkStart w:id="179" w:name="_Toc216468712"/>
      <w:r w:rsidRPr="00131EED">
        <w:t>Justificación de restricción de la actividad de explotación y explotación minera en ecosistemas anteriormente relacionados de la sabana de Bogotá.</w:t>
      </w:r>
      <w:bookmarkEnd w:id="179"/>
    </w:p>
    <w:p w14:paraId="25BA79B5" w14:textId="156B9EEA" w:rsidR="00996FB2" w:rsidRPr="00131EED" w:rsidRDefault="00996FB2" w:rsidP="00996FB2">
      <w:pPr>
        <w:rPr>
          <w:lang w:eastAsia="en-US"/>
        </w:rPr>
      </w:pPr>
    </w:p>
    <w:p w14:paraId="1C3FC8FA" w14:textId="74F4F44C" w:rsidR="00996FB2" w:rsidRPr="00131EED" w:rsidRDefault="00996FB2" w:rsidP="00996FB2">
      <w:r w:rsidRPr="00131EED">
        <w:t xml:space="preserve">Los ecosistemas de Humedales, páramos, Subxerofitia Andina, las áreas SINAP, la EEP del POT de Bogotá, la EEP de la CAR y demás áreas </w:t>
      </w:r>
      <w:r w:rsidR="00E1467D" w:rsidRPr="00131EED">
        <w:t>identifica</w:t>
      </w:r>
      <w:r w:rsidRPr="00131EED">
        <w:t>das anteriormente, son zonas de alta importancia ambiental dadas las características físico-bióticas existentes en estas, las cuales sustentan los servicios ecosistémicos (servicios de aprovisionamiento, de regulación y soporte y servicios culturales). Dichas áreas son objeto de especial protección y conservación, para asegurar la continuidad de los procesos ecológicos y evolutivos naturales, para mantener la diversidad biológica con especies únicas en cada Área; para garantizar la oferta de servicios ambientales y   la permanencia del medio natural; siendo de prohibición actividades altamente impactantes dentro de estas como la exploración-explotación de yacimientos mineros. Estas Áreas se constituyen como determinantes ambientales del ordenamiento territorial.</w:t>
      </w:r>
    </w:p>
    <w:p w14:paraId="4C61F937" w14:textId="77777777" w:rsidR="0000019D" w:rsidRPr="00131EED" w:rsidRDefault="0000019D" w:rsidP="00996FB2"/>
    <w:p w14:paraId="560DD6DE" w14:textId="5D191E1E" w:rsidR="00996FB2" w:rsidRPr="00131EED" w:rsidRDefault="00996FB2" w:rsidP="00996FB2">
      <w:r w:rsidRPr="00131EED">
        <w:t>Las zonas de exclusión o restricción de la actividad minera no son única y exclusivamente las señaladas en el Código de Minas en los artículos 34 y 35, sino que, a estas se les puede agregar otro tipo de áreas por razones ambientales, como el caso de las AEIA existentes en La Sabana de Bogotá mencionadas en el presente DTS. Lo anterior se sustenta a nivel normativo y técnico, principalmente en:</w:t>
      </w:r>
    </w:p>
    <w:p w14:paraId="6BF8D764" w14:textId="319E01BD" w:rsidR="00996FB2" w:rsidRPr="00131EED" w:rsidRDefault="00996FB2" w:rsidP="00996FB2"/>
    <w:p w14:paraId="446C01E0" w14:textId="6E318A53" w:rsidR="00996FB2" w:rsidRPr="00131EED" w:rsidRDefault="00996FB2" w:rsidP="00996FB2">
      <w:r w:rsidRPr="00131EED">
        <w:t>El Decreto Ley 2811 de 1974 o Código de Recursos Naturales en su artículo 1 define que “el ambiente es patrimonio común”. El Estado y los particulares deben participar en su preservación y manejo, que son de utilidad pública e interés social. La preservación y manejo de los recursos naturales renovables también son de utilidad pública e interés social, tal como lo establece la Constitución Nacional, en su artículo 30.</w:t>
      </w:r>
    </w:p>
    <w:p w14:paraId="6C1F2B7E" w14:textId="4A5AB807" w:rsidR="00996FB2" w:rsidRPr="00131EED" w:rsidRDefault="00996FB2" w:rsidP="00996FB2"/>
    <w:p w14:paraId="7E90D39A" w14:textId="00D3B9A9" w:rsidR="00996FB2" w:rsidRPr="00131EED" w:rsidRDefault="00996FB2" w:rsidP="00996FB2">
      <w:r w:rsidRPr="00131EED">
        <w:t>El artículo </w:t>
      </w:r>
      <w:hyperlink r:id="rId82" w:anchor="164">
        <w:r w:rsidRPr="00131EED">
          <w:t>164</w:t>
        </w:r>
      </w:hyperlink>
      <w:r w:rsidRPr="00131EED">
        <w:t> del Decreto-ley número </w:t>
      </w:r>
      <w:hyperlink r:id="rId83" w:anchor="Inicio">
        <w:r w:rsidRPr="00131EED">
          <w:t>2811</w:t>
        </w:r>
      </w:hyperlink>
      <w:r w:rsidRPr="00131EED">
        <w:t> de 1974 - Código Nacional de los Recursos Naturales Renovables y de Protección al Medio Ambiente - establece que "Corresponde al Estado la protección del ambiente marino, constituido por las aguas, por el suelo, el subsuelo y el espacio aéreo del mar territorial y el de la zona económica, y por las playas y recursos naturales renovables de la zona”.</w:t>
      </w:r>
    </w:p>
    <w:p w14:paraId="2A3FECC8" w14:textId="17F3DD53" w:rsidR="00996FB2" w:rsidRPr="00131EED" w:rsidRDefault="00996FB2" w:rsidP="00996FB2"/>
    <w:p w14:paraId="1512A3FF" w14:textId="3D5E83DF" w:rsidR="00996FB2" w:rsidRPr="00131EED" w:rsidRDefault="00996FB2" w:rsidP="00996FB2">
      <w:pPr>
        <w:rPr>
          <w:rFonts w:cs="Arial"/>
        </w:rPr>
      </w:pPr>
      <w:r w:rsidRPr="00131EED">
        <w:rPr>
          <w:rFonts w:cs="Arial"/>
        </w:rPr>
        <w:t>La Resolución No.1499 de 2018, en su Artículo No 8, se establecieron unos criterios y necesidades de actualización a las zonas compatibles existentes con la minería.</w:t>
      </w:r>
    </w:p>
    <w:p w14:paraId="6E7A6FB6" w14:textId="77777777" w:rsidR="0000019D" w:rsidRPr="00131EED" w:rsidRDefault="0000019D" w:rsidP="00996FB2">
      <w:pPr>
        <w:rPr>
          <w:rFonts w:cs="Arial"/>
        </w:rPr>
      </w:pPr>
    </w:p>
    <w:p w14:paraId="072A3A98" w14:textId="18AB3796" w:rsidR="00996FB2" w:rsidRPr="00131EED" w:rsidRDefault="00996FB2" w:rsidP="00996FB2">
      <w:pPr>
        <w:rPr>
          <w:rFonts w:cs="Arial"/>
        </w:rPr>
      </w:pPr>
      <w:r w:rsidRPr="00131EED">
        <w:rPr>
          <w:rFonts w:cs="Arial"/>
        </w:rPr>
        <w:t>La Corte Constitucional en la Sentencia </w:t>
      </w:r>
      <w:hyperlink r:id="rId84">
        <w:r w:rsidRPr="00131EED">
          <w:rPr>
            <w:rFonts w:cs="Arial"/>
          </w:rPr>
          <w:t>C-339</w:t>
        </w:r>
      </w:hyperlink>
      <w:r w:rsidRPr="00131EED">
        <w:rPr>
          <w:rFonts w:cs="Arial"/>
        </w:rPr>
        <w:t> de 2002, de manera específica se refiere al deber de las autoridades administrativas de aplicar el principio de precaución, como condición de constitucionalidad para dar aplicación al inciso </w:t>
      </w:r>
      <w:hyperlink r:id="rId85" w:anchor="34.i.3">
        <w:r w:rsidRPr="00131EED">
          <w:rPr>
            <w:rFonts w:cs="Arial"/>
          </w:rPr>
          <w:t>3</w:t>
        </w:r>
      </w:hyperlink>
      <w:r w:rsidRPr="00131EED">
        <w:rPr>
          <w:rFonts w:cs="Arial"/>
        </w:rPr>
        <w:t xml:space="preserve"> de la citada norma, que en palabras de la misma Corte, "en caso de presentarse una falta de certeza científica absoluta frente a la exploración o explotación minera de una zona determinada; la decisión debe inclinarse necesariamente hacia la protección de medio ambiente, pues si se adelanta la actividad minera y luego se demuestra que ocasionaba un grave daño ambiental, sería imposible revertir sus consecuencias ". </w:t>
      </w:r>
    </w:p>
    <w:p w14:paraId="43F39A73" w14:textId="0A3204B3" w:rsidR="00996FB2" w:rsidRPr="00131EED" w:rsidRDefault="00996FB2" w:rsidP="00996FB2">
      <w:pPr>
        <w:rPr>
          <w:rFonts w:cs="Arial"/>
        </w:rPr>
      </w:pPr>
    </w:p>
    <w:p w14:paraId="7A167B3C" w14:textId="7B802F7C" w:rsidR="00996FB2" w:rsidRPr="00131EED" w:rsidRDefault="00996FB2" w:rsidP="00996FB2">
      <w:pPr>
        <w:rPr>
          <w:rFonts w:cs="Arial"/>
        </w:rPr>
      </w:pPr>
      <w:r w:rsidRPr="00131EED">
        <w:rPr>
          <w:rFonts w:cs="Arial"/>
        </w:rPr>
        <w:t>La Corte Constitucional en Sentencia C-293 de 2002 declaró constitucional el principio de precaución contenido en la Ley </w:t>
      </w:r>
      <w:hyperlink r:id="rId86">
        <w:r w:rsidRPr="00131EED">
          <w:rPr>
            <w:rFonts w:cs="Arial"/>
          </w:rPr>
          <w:t>99</w:t>
        </w:r>
      </w:hyperlink>
      <w:r w:rsidRPr="00131EED">
        <w:rPr>
          <w:rFonts w:cs="Arial"/>
        </w:rPr>
        <w:t> de 1993 y estableció que la autoridad ambiental es competente para aplicarlo, mediante un acto administrativo motivado, en el caso de observarse "un peligro de daño, que éste sea grave e irreversible, que exista un principio de certeza científica, así no sea ésta absoluta, que la decisión que la autoridad adopte esté encaminada a impedir la degradación del medio ambiente".</w:t>
      </w:r>
    </w:p>
    <w:p w14:paraId="4B829878" w14:textId="4AC60E30" w:rsidR="00996FB2" w:rsidRPr="00131EED" w:rsidRDefault="00996FB2" w:rsidP="00996FB2">
      <w:pPr>
        <w:rPr>
          <w:rFonts w:cs="Arial"/>
        </w:rPr>
      </w:pPr>
    </w:p>
    <w:p w14:paraId="6C200E2E" w14:textId="12DEDC24" w:rsidR="00996FB2" w:rsidRPr="00131EED" w:rsidRDefault="00996FB2" w:rsidP="00996FB2">
      <w:r w:rsidRPr="00131EED">
        <w:rPr>
          <w:rFonts w:cs="Arial"/>
        </w:rPr>
        <w:t>-</w:t>
      </w:r>
      <w:r w:rsidRPr="00131EED">
        <w:t xml:space="preserve"> La Corte Constitucional mediante Sentencia C-431 de 2000, dispuso que le corresponde al Estado con referencia a la protección del ambiente: ". 1) proteger su diversidad e integridad, 2) salvaguardar las riquezas naturales de la Nación, 3) conservar las áreas de especial importancia ecológica, 4) fomentar la educación ambiental, 5) planificar el manejo y aprovechamiento de los recursos naturales para así garantizar su desarrollo sostenible, su conservación, restauración o sustitución, 6) prevenir y controlar los factores de deterioro ambiental, 7) imponer las sanciones legales y exigir la reparación de los daños causados al ambiente y 8) cooperar con otras naciones en la protección de los ecosistemas situados en las zonas de frontera".</w:t>
      </w:r>
    </w:p>
    <w:p w14:paraId="17836376" w14:textId="35FB0F83" w:rsidR="00996FB2" w:rsidRPr="00131EED" w:rsidRDefault="00996FB2" w:rsidP="00996FB2">
      <w:pPr>
        <w:rPr>
          <w:rFonts w:cs="Arial"/>
        </w:rPr>
      </w:pPr>
    </w:p>
    <w:p w14:paraId="24CCEBB4" w14:textId="4D96A760" w:rsidR="00996FB2" w:rsidRPr="00131EED" w:rsidRDefault="00996FB2" w:rsidP="00996FB2">
      <w:pPr>
        <w:rPr>
          <w:rFonts w:cs="Arial"/>
        </w:rPr>
      </w:pPr>
      <w:r w:rsidRPr="00131EED">
        <w:rPr>
          <w:rFonts w:cs="Arial"/>
        </w:rPr>
        <w:t>De igual forma, la actividad de exploración y explotación de yacimientos mineros en áreas que contienen este tipo de ecosistemas estratégicos en La Sabana de Bogotá, y que actualmente se encuentran poco caracterizadas, pero que, tienen un alto grado de singularidad y rareza por sus endemismos (como el caso de la Subxerofitia Andina); pueden generarles una afectación grave e irreversible, principalmente asociados a:</w:t>
      </w:r>
    </w:p>
    <w:p w14:paraId="4E285186" w14:textId="7F2729B7" w:rsidR="00996FB2" w:rsidRPr="00131EED" w:rsidRDefault="00996FB2" w:rsidP="00996FB2">
      <w:pPr>
        <w:rPr>
          <w:rFonts w:cs="Arial"/>
        </w:rPr>
      </w:pPr>
    </w:p>
    <w:p w14:paraId="647B2EEE" w14:textId="2A2AF51D" w:rsidR="00996FB2" w:rsidRPr="00131EED" w:rsidRDefault="00996FB2" w:rsidP="00996FB2">
      <w:pPr>
        <w:rPr>
          <w:rFonts w:cs="Arial"/>
        </w:rPr>
      </w:pPr>
      <w:r w:rsidRPr="00131EED">
        <w:rPr>
          <w:rFonts w:cs="Arial"/>
        </w:rPr>
        <w:t>- Las perturbaciones antrópicas que genera cambios en el microclima al modificarse factores de luz, temperatura y la humedad, lo que genera extinción de especies que no posean las adaptaciones que le permitan, resistir, evadir, o responder individualmente a estos efectos (Gowda y Kitberger)</w:t>
      </w:r>
    </w:p>
    <w:p w14:paraId="64C458CB" w14:textId="2F056629" w:rsidR="00996FB2" w:rsidRPr="00131EED" w:rsidRDefault="00996FB2" w:rsidP="00996FB2">
      <w:pPr>
        <w:rPr>
          <w:rFonts w:cs="Arial"/>
        </w:rPr>
      </w:pPr>
      <w:r w:rsidRPr="00131EED">
        <w:rPr>
          <w:rFonts w:cs="Arial"/>
        </w:rPr>
        <w:t> - La fragmentación de ecosistemas generando cambios en la calidad de las interacciones biológicas, disminución de la riqueza de las especies.</w:t>
      </w:r>
    </w:p>
    <w:p w14:paraId="5B8F5902" w14:textId="77026284" w:rsidR="00996FB2" w:rsidRPr="00131EED" w:rsidRDefault="00996FB2" w:rsidP="00996FB2">
      <w:pPr>
        <w:rPr>
          <w:rFonts w:cs="Arial"/>
        </w:rPr>
      </w:pPr>
      <w:r w:rsidRPr="00131EED">
        <w:rPr>
          <w:rFonts w:cs="Arial"/>
        </w:rPr>
        <w:t> - Afectación de la funcionalidad y estructura de los ecosistemas al desplazar las especies nativas, modificar el nivel trófico, lo cual generaría un efecto irreversible sobre los servicios ecosistémicos relacionados con la biodiversidad.</w:t>
      </w:r>
    </w:p>
    <w:p w14:paraId="255685D5" w14:textId="318D935B" w:rsidR="00996FB2" w:rsidRPr="00131EED" w:rsidRDefault="00996FB2" w:rsidP="00996FB2">
      <w:pPr>
        <w:rPr>
          <w:rFonts w:cs="Arial"/>
        </w:rPr>
      </w:pPr>
      <w:r w:rsidRPr="00131EED">
        <w:rPr>
          <w:rFonts w:cs="Arial"/>
        </w:rPr>
        <w:t> - La remoción de cobertura vegetal aumenta el efecto de las precipitaciones sobre el suelo desprovisto de vegetación, causando erosión por el escurrimiento superficial.</w:t>
      </w:r>
    </w:p>
    <w:p w14:paraId="035909A2" w14:textId="5D7D07F6" w:rsidR="00996FB2" w:rsidRPr="00131EED" w:rsidRDefault="00996FB2" w:rsidP="00996FB2">
      <w:pPr>
        <w:rPr>
          <w:rFonts w:cs="Arial"/>
        </w:rPr>
      </w:pPr>
      <w:r w:rsidRPr="00131EED">
        <w:rPr>
          <w:rFonts w:cs="Arial"/>
        </w:rPr>
        <w:t> - Alteración y pérdida de la diversidad biológica y sus procesos ecológicos, como la dispersión de diferentes especies de fauna y flora silvestre.</w:t>
      </w:r>
    </w:p>
    <w:p w14:paraId="09D349BF" w14:textId="76255527" w:rsidR="00996FB2" w:rsidRPr="00131EED" w:rsidRDefault="00996FB2" w:rsidP="00996FB2">
      <w:pPr>
        <w:rPr>
          <w:rFonts w:cs="Arial"/>
        </w:rPr>
      </w:pPr>
      <w:r w:rsidRPr="00131EED">
        <w:rPr>
          <w:rFonts w:cs="Arial"/>
        </w:rPr>
        <w:t> - Disminución de servicios de regulación hídrica  asociado al régimen hidrológico, en especial asociado a la oferta del agua y la calidad del agua.</w:t>
      </w:r>
    </w:p>
    <w:p w14:paraId="09C0D937" w14:textId="2B9A0E80" w:rsidR="00996FB2" w:rsidRPr="00131EED" w:rsidRDefault="00996FB2" w:rsidP="00996FB2">
      <w:pPr>
        <w:rPr>
          <w:rFonts w:cs="Arial"/>
        </w:rPr>
      </w:pPr>
      <w:r w:rsidRPr="00131EED">
        <w:rPr>
          <w:rFonts w:cs="Arial"/>
        </w:rPr>
        <w:t>- Los impactos generados sobre el componente hídrico son  sobre todo un sistema ambienta/ y ecológico integrado por varias fuentes hídricas conectadas entre sí; lo que hace que las afectaciones sean sinérgicas.</w:t>
      </w:r>
    </w:p>
    <w:p w14:paraId="4659C8A1" w14:textId="76A87D1A" w:rsidR="00996FB2" w:rsidRPr="00131EED" w:rsidRDefault="00996FB2" w:rsidP="00996FB2">
      <w:pPr>
        <w:rPr>
          <w:rFonts w:cs="Arial"/>
        </w:rPr>
      </w:pPr>
      <w:r w:rsidRPr="00131EED">
        <w:rPr>
          <w:rFonts w:cs="Arial"/>
        </w:rPr>
        <w:t>- Disminución de la capacidad de resiliencia del socio-ecosistema.</w:t>
      </w:r>
    </w:p>
    <w:p w14:paraId="7D72A46C" w14:textId="6DB97F46" w:rsidR="00996FB2" w:rsidRPr="00131EED" w:rsidRDefault="00996FB2" w:rsidP="00996FB2">
      <w:pPr>
        <w:rPr>
          <w:rFonts w:cs="Arial"/>
        </w:rPr>
      </w:pPr>
      <w:r w:rsidRPr="00131EED">
        <w:rPr>
          <w:rFonts w:cs="Arial"/>
        </w:rPr>
        <w:t xml:space="preserve">-Disminución en la capacidad de adaptación al cambio climático del socio-ecosistema. </w:t>
      </w:r>
    </w:p>
    <w:p w14:paraId="321ABE91" w14:textId="5D69D645" w:rsidR="00996FB2" w:rsidRPr="00131EED" w:rsidRDefault="00996FB2" w:rsidP="00996FB2">
      <w:pPr>
        <w:rPr>
          <w:rFonts w:cs="Arial"/>
        </w:rPr>
      </w:pPr>
      <w:r w:rsidRPr="00131EED">
        <w:rPr>
          <w:rFonts w:cs="Arial"/>
        </w:rPr>
        <w:t>-Alteración del régimen climatológico.</w:t>
      </w:r>
    </w:p>
    <w:p w14:paraId="470D99EA" w14:textId="1BC3E96F" w:rsidR="00996FB2" w:rsidRPr="00131EED" w:rsidRDefault="00996FB2" w:rsidP="00996FB2">
      <w:pPr>
        <w:rPr>
          <w:rFonts w:cs="Arial"/>
        </w:rPr>
      </w:pPr>
      <w:r w:rsidRPr="00131EED">
        <w:rPr>
          <w:rFonts w:cs="Arial"/>
        </w:rPr>
        <w:t>-Afectación a los recursos hidrobiológicos.</w:t>
      </w:r>
    </w:p>
    <w:p w14:paraId="6FD68CA8" w14:textId="01800434" w:rsidR="00996FB2" w:rsidRPr="00131EED" w:rsidRDefault="00996FB2" w:rsidP="00996FB2">
      <w:pPr>
        <w:rPr>
          <w:rFonts w:cs="Arial"/>
        </w:rPr>
      </w:pPr>
      <w:r w:rsidRPr="00131EED">
        <w:rPr>
          <w:rFonts w:cs="Arial"/>
        </w:rPr>
        <w:t>-Alteraciones en los procesos de recarga de acuíferos.</w:t>
      </w:r>
    </w:p>
    <w:p w14:paraId="14DF0364" w14:textId="4DBB1535" w:rsidR="00996FB2" w:rsidRPr="00131EED" w:rsidRDefault="00996FB2" w:rsidP="00996FB2">
      <w:pPr>
        <w:rPr>
          <w:rFonts w:cs="Arial"/>
        </w:rPr>
      </w:pPr>
      <w:r w:rsidRPr="00131EED">
        <w:rPr>
          <w:rFonts w:cs="Arial"/>
        </w:rPr>
        <w:t>-Afectación de la composición del suelo.</w:t>
      </w:r>
    </w:p>
    <w:p w14:paraId="4A91DEA1" w14:textId="03590D8C" w:rsidR="00996FB2" w:rsidRPr="00131EED" w:rsidRDefault="00996FB2" w:rsidP="00996FB2">
      <w:pPr>
        <w:rPr>
          <w:rFonts w:cs="Arial"/>
        </w:rPr>
      </w:pPr>
    </w:p>
    <w:p w14:paraId="5916B562" w14:textId="73A34039" w:rsidR="00996FB2" w:rsidRPr="00131EED" w:rsidRDefault="4E981477" w:rsidP="6E4FD105">
      <w:pPr>
        <w:rPr>
          <w:rFonts w:cs="Arial"/>
        </w:rPr>
      </w:pPr>
      <w:r w:rsidRPr="00131EED">
        <w:rPr>
          <w:rFonts w:cs="Arial"/>
        </w:rPr>
        <w:t>Por ende, es fundamental conservar los humedales, la subxerofitia, los bosques andinos, las áreas del SINAP y las áreas OMEC de la Sabana de Bogotá, par</w:t>
      </w:r>
      <w:r w:rsidR="00996FB2" w:rsidRPr="00131EED">
        <w:rPr>
          <w:rFonts w:cs="Arial"/>
        </w:rPr>
        <w:t>a:</w:t>
      </w:r>
    </w:p>
    <w:p w14:paraId="573943D9" w14:textId="2B086698" w:rsidR="00996FB2" w:rsidRPr="00131EED" w:rsidRDefault="00996FB2" w:rsidP="00996FB2">
      <w:pPr>
        <w:rPr>
          <w:rFonts w:cs="Arial"/>
        </w:rPr>
      </w:pPr>
    </w:p>
    <w:p w14:paraId="4AECAE1A" w14:textId="576C97B9" w:rsidR="00996FB2" w:rsidRPr="00131EED" w:rsidRDefault="00996FB2" w:rsidP="00996FB2">
      <w:pPr>
        <w:rPr>
          <w:rFonts w:cs="Arial"/>
        </w:rPr>
      </w:pPr>
      <w:r w:rsidRPr="00131EED">
        <w:rPr>
          <w:rFonts w:cs="Arial"/>
        </w:rPr>
        <w:t>-Preservar las poblaciones y los hábitats necesarios para la sobrevivencia de las especies con condiciones particulares, endémicas y de especial interés para la conservación de la biodiversidad.</w:t>
      </w:r>
    </w:p>
    <w:p w14:paraId="515B65F7" w14:textId="3D21EAC2" w:rsidR="00996FB2" w:rsidRPr="00131EED" w:rsidRDefault="00996FB2" w:rsidP="00996FB2">
      <w:pPr>
        <w:rPr>
          <w:rFonts w:cs="Arial"/>
        </w:rPr>
      </w:pPr>
      <w:r w:rsidRPr="00131EED">
        <w:rPr>
          <w:rFonts w:cs="Arial"/>
        </w:rPr>
        <w:t>- Conservar la capacidad productiva de ecosistemas naturales, así como las condiciones ambientales necesarias para regular la oferta de bienes y servicios ambientales.</w:t>
      </w:r>
    </w:p>
    <w:p w14:paraId="16B7DBDB" w14:textId="6E5D8A2A" w:rsidR="00996FB2" w:rsidRPr="00131EED" w:rsidRDefault="00996FB2" w:rsidP="00996FB2">
      <w:pPr>
        <w:rPr>
          <w:rFonts w:cs="Arial"/>
        </w:rPr>
      </w:pPr>
      <w:r w:rsidRPr="00131EED">
        <w:rPr>
          <w:rFonts w:cs="Arial"/>
        </w:rPr>
        <w:t>-  Conservar espacios naturales asociados a elementos de cultura de grupos étnicos de La Sabana.</w:t>
      </w:r>
    </w:p>
    <w:p w14:paraId="267A0FB1" w14:textId="184DFC3F" w:rsidR="00996FB2" w:rsidRPr="00131EED" w:rsidRDefault="00996FB2" w:rsidP="00996FB2">
      <w:pPr>
        <w:rPr>
          <w:rFonts w:cs="Arial"/>
        </w:rPr>
      </w:pPr>
    </w:p>
    <w:p w14:paraId="33B8B671" w14:textId="742B3B43" w:rsidR="00996FB2" w:rsidRPr="00131EED" w:rsidRDefault="00996FB2" w:rsidP="00996FB2">
      <w:pPr>
        <w:rPr>
          <w:rFonts w:cs="Arial"/>
        </w:rPr>
      </w:pPr>
      <w:r w:rsidRPr="00131EED">
        <w:rPr>
          <w:rFonts w:cs="Arial"/>
        </w:rPr>
        <w:t>- La adaptación y mitigación al cambio climático.</w:t>
      </w:r>
    </w:p>
    <w:p w14:paraId="503BEF48" w14:textId="0510A2A4" w:rsidR="00996FB2" w:rsidRPr="00131EED" w:rsidRDefault="00996FB2" w:rsidP="00996FB2">
      <w:pPr>
        <w:rPr>
          <w:rFonts w:cs="Arial"/>
        </w:rPr>
      </w:pPr>
    </w:p>
    <w:p w14:paraId="26577C04" w14:textId="08DF26D8" w:rsidR="00996FB2" w:rsidRPr="00131EED" w:rsidRDefault="00996FB2" w:rsidP="00996FB2">
      <w:pPr>
        <w:rPr>
          <w:rFonts w:cs="Arial"/>
        </w:rPr>
      </w:pPr>
      <w:r w:rsidRPr="00131EED">
        <w:rPr>
          <w:rFonts w:cs="Arial"/>
        </w:rPr>
        <w:t>- Para el caso de la subxerofitia andina, se destaca por poseer importantes coberturas vegetales de los principales ecosistemas montanos y paramunos conocidos para la cordillera Oriental. Conforman microecosistemas altamente diversos que promueven fenómenos como la meteorización de los lechos minerales, retención de humedad, fijación de nitrógeno y aportes de carbono, agregación de partículas de suelo, estabilización de sustratos y prevención de la erosión, sirviendo de soporte para los bancos de semillas, sus procesos germinativos, y la nutrición de las propias plantas vasculares adaptadas específicamente a estos enclaves únicos (Castillo-Monroy &amp; Maestre 2011).</w:t>
      </w:r>
    </w:p>
    <w:p w14:paraId="053D7DA6" w14:textId="5C217158" w:rsidR="00996FB2" w:rsidRPr="00131EED" w:rsidRDefault="00996FB2" w:rsidP="00996FB2">
      <w:pPr>
        <w:rPr>
          <w:rFonts w:cs="Arial"/>
        </w:rPr>
      </w:pPr>
    </w:p>
    <w:p w14:paraId="2309F4C4" w14:textId="79EB6306" w:rsidR="00996FB2" w:rsidRPr="00131EED" w:rsidRDefault="00996FB2" w:rsidP="00996FB2">
      <w:pPr>
        <w:rPr>
          <w:rFonts w:cs="Arial"/>
        </w:rPr>
      </w:pPr>
      <w:r w:rsidRPr="00131EED">
        <w:rPr>
          <w:rFonts w:cs="Arial"/>
        </w:rPr>
        <w:t>- Para la amortiguación y conectividad ecosistémica</w:t>
      </w:r>
    </w:p>
    <w:p w14:paraId="4FFFC42A" w14:textId="296CDCA6" w:rsidR="00996FB2" w:rsidRPr="00131EED" w:rsidRDefault="00996FB2" w:rsidP="00996FB2">
      <w:pPr>
        <w:rPr>
          <w:rFonts w:cs="Arial"/>
        </w:rPr>
      </w:pPr>
    </w:p>
    <w:p w14:paraId="22156B9B" w14:textId="3588BDE6" w:rsidR="00996FB2" w:rsidRPr="00131EED" w:rsidRDefault="00996FB2" w:rsidP="00996FB2">
      <w:pPr>
        <w:rPr>
          <w:rFonts w:cs="Arial"/>
        </w:rPr>
      </w:pPr>
      <w:r w:rsidRPr="00131EED">
        <w:rPr>
          <w:rFonts w:cs="Arial"/>
        </w:rPr>
        <w:t>-Para la transición ecosistémica entre los enclaves secos del altiplano y las laderas húmedas paramunas. (subxerofitia Andina).</w:t>
      </w:r>
    </w:p>
    <w:p w14:paraId="2ACDE5D0" w14:textId="1E89BAB8" w:rsidR="00996FB2" w:rsidRPr="00131EED" w:rsidRDefault="00996FB2" w:rsidP="00996FB2">
      <w:pPr>
        <w:rPr>
          <w:rFonts w:cs="Arial"/>
        </w:rPr>
      </w:pPr>
    </w:p>
    <w:p w14:paraId="37F6217F" w14:textId="3618535A" w:rsidR="00996FB2" w:rsidRPr="00131EED" w:rsidRDefault="00996FB2" w:rsidP="00996FB2">
      <w:pPr>
        <w:rPr>
          <w:rFonts w:cs="Arial"/>
        </w:rPr>
      </w:pPr>
      <w:r w:rsidRPr="00131EED">
        <w:rPr>
          <w:rFonts w:cs="Arial"/>
        </w:rPr>
        <w:t>-Garantizar las zonas de recarga de acuífero</w:t>
      </w:r>
    </w:p>
    <w:p w14:paraId="776AE73F" w14:textId="7CDEAB1A" w:rsidR="00996FB2" w:rsidRPr="00131EED" w:rsidRDefault="00996FB2" w:rsidP="00996FB2">
      <w:pPr>
        <w:rPr>
          <w:rFonts w:cs="Arial"/>
        </w:rPr>
      </w:pPr>
      <w:r w:rsidRPr="00131EED">
        <w:rPr>
          <w:rFonts w:cs="Arial"/>
        </w:rPr>
        <w:t>- Permitir el tránsito de especies de aves migratorias.</w:t>
      </w:r>
    </w:p>
    <w:p w14:paraId="4F5531A7" w14:textId="50D53F40" w:rsidR="00996FB2" w:rsidRPr="00131EED" w:rsidRDefault="00996FB2" w:rsidP="00996FB2">
      <w:pPr>
        <w:rPr>
          <w:rFonts w:cs="Arial"/>
        </w:rPr>
      </w:pPr>
      <w:r w:rsidRPr="00131EED">
        <w:rPr>
          <w:rFonts w:cs="Arial"/>
        </w:rPr>
        <w:t>-Para la Regulación del ciclo hídrico superficial y subterráneo.</w:t>
      </w:r>
    </w:p>
    <w:p w14:paraId="125EBF1E" w14:textId="25B4D590" w:rsidR="00996FB2" w:rsidRPr="00131EED" w:rsidRDefault="00996FB2" w:rsidP="00996FB2">
      <w:pPr>
        <w:rPr>
          <w:rFonts w:cs="Arial"/>
        </w:rPr>
      </w:pPr>
      <w:r w:rsidRPr="00131EED">
        <w:rPr>
          <w:rFonts w:cs="Arial"/>
        </w:rPr>
        <w:t>-Mejorar la seguridad hídrica.</w:t>
      </w:r>
    </w:p>
    <w:p w14:paraId="57D6A781" w14:textId="1A60EDD8" w:rsidR="00996FB2" w:rsidRPr="00131EED" w:rsidRDefault="00996FB2" w:rsidP="00996FB2">
      <w:pPr>
        <w:rPr>
          <w:rFonts w:cs="Arial"/>
        </w:rPr>
      </w:pPr>
      <w:r w:rsidRPr="00131EED">
        <w:rPr>
          <w:rFonts w:cs="Arial"/>
        </w:rPr>
        <w:t>- Garantizar la Retención de sedimentos.</w:t>
      </w:r>
    </w:p>
    <w:p w14:paraId="4AC7CECA" w14:textId="1F8FF93F" w:rsidR="00996FB2" w:rsidRPr="00131EED" w:rsidRDefault="00996FB2" w:rsidP="00996FB2">
      <w:pPr>
        <w:rPr>
          <w:rFonts w:cs="Arial"/>
        </w:rPr>
      </w:pPr>
      <w:r w:rsidRPr="00131EED">
        <w:rPr>
          <w:rFonts w:cs="Arial"/>
        </w:rPr>
        <w:t>- El Control de la erosión.</w:t>
      </w:r>
    </w:p>
    <w:p w14:paraId="4CA9795F" w14:textId="43D7F04D" w:rsidR="00996FB2" w:rsidRPr="00131EED" w:rsidRDefault="00996FB2" w:rsidP="00996FB2">
      <w:pPr>
        <w:rPr>
          <w:rFonts w:cs="Arial"/>
        </w:rPr>
      </w:pPr>
      <w:r w:rsidRPr="00131EED">
        <w:rPr>
          <w:rFonts w:cs="Arial"/>
        </w:rPr>
        <w:t>-La Estabilización microclimática.</w:t>
      </w:r>
    </w:p>
    <w:p w14:paraId="0DA623E0" w14:textId="51FE2A6E" w:rsidR="00996FB2" w:rsidRPr="00131EED" w:rsidRDefault="00996FB2" w:rsidP="00996FB2">
      <w:pPr>
        <w:rPr>
          <w:rFonts w:cs="Arial"/>
        </w:rPr>
      </w:pPr>
      <w:r w:rsidRPr="00131EED">
        <w:rPr>
          <w:rFonts w:cs="Arial"/>
        </w:rPr>
        <w:t>-La regulación de ciclos de nutrientes (retención, filtración y liberación).</w:t>
      </w:r>
    </w:p>
    <w:p w14:paraId="53854113" w14:textId="0F900FA5" w:rsidR="00996FB2" w:rsidRPr="00131EED" w:rsidRDefault="00996FB2" w:rsidP="00996FB2">
      <w:pPr>
        <w:rPr>
          <w:rFonts w:cs="Arial"/>
        </w:rPr>
      </w:pPr>
      <w:r w:rsidRPr="00131EED">
        <w:rPr>
          <w:rFonts w:cs="Arial"/>
        </w:rPr>
        <w:t>-Garantizar la productividad de los sistemas acuáticos.</w:t>
      </w:r>
    </w:p>
    <w:p w14:paraId="3B61159B" w14:textId="398144DD" w:rsidR="00996FB2" w:rsidRPr="00131EED" w:rsidRDefault="00996FB2" w:rsidP="00996FB2">
      <w:pPr>
        <w:rPr>
          <w:rFonts w:cs="Arial"/>
        </w:rPr>
      </w:pPr>
      <w:r w:rsidRPr="00131EED">
        <w:rPr>
          <w:rFonts w:cs="Arial"/>
        </w:rPr>
        <w:t xml:space="preserve">- Brindar la estabilidad e integridad de ecosistemas y la retención de dióxido de carbono. </w:t>
      </w:r>
    </w:p>
    <w:p w14:paraId="4714592B" w14:textId="4B016C9F" w:rsidR="00996FB2" w:rsidRPr="00131EED" w:rsidRDefault="00996FB2" w:rsidP="00996FB2">
      <w:pPr>
        <w:rPr>
          <w:rFonts w:cs="Arial"/>
        </w:rPr>
      </w:pPr>
      <w:r w:rsidRPr="00131EED">
        <w:rPr>
          <w:rFonts w:cs="Arial"/>
        </w:rPr>
        <w:t>-Aumentar la resiliencia de los sistemas socioecológicos.</w:t>
      </w:r>
    </w:p>
    <w:p w14:paraId="0AF454E7" w14:textId="3142BD4A" w:rsidR="00996FB2" w:rsidRPr="00131EED" w:rsidRDefault="00996FB2" w:rsidP="00996FB2">
      <w:pPr>
        <w:rPr>
          <w:rFonts w:cs="Arial"/>
        </w:rPr>
      </w:pPr>
      <w:r w:rsidRPr="00131EED">
        <w:rPr>
          <w:rFonts w:cs="Arial"/>
        </w:rPr>
        <w:t>-Mejorar la calidad de vida de los habitantes del territorio.</w:t>
      </w:r>
    </w:p>
    <w:p w14:paraId="6D17FF15" w14:textId="696ACD4C" w:rsidR="000959B9" w:rsidRPr="00131EED" w:rsidRDefault="000959B9" w:rsidP="00410194">
      <w:pPr>
        <w:pStyle w:val="Heading3"/>
        <w:numPr>
          <w:ilvl w:val="2"/>
          <w:numId w:val="31"/>
        </w:numPr>
      </w:pPr>
      <w:bookmarkStart w:id="180" w:name="_Toc216468713"/>
      <w:r w:rsidRPr="00131EED">
        <w:t xml:space="preserve">Los instrumentos ambientales </w:t>
      </w:r>
      <w:r w:rsidR="001B6F65" w:rsidRPr="00131EED">
        <w:t>en función de las actividades mineras</w:t>
      </w:r>
      <w:bookmarkEnd w:id="180"/>
      <w:r w:rsidRPr="00131EED">
        <w:t xml:space="preserve"> </w:t>
      </w:r>
    </w:p>
    <w:p w14:paraId="4CA1A77D" w14:textId="77777777" w:rsidR="000959B9" w:rsidRPr="00131EED" w:rsidRDefault="000959B9" w:rsidP="000959B9">
      <w:pPr>
        <w:rPr>
          <w:rFonts w:cs="Arial"/>
        </w:rPr>
      </w:pPr>
    </w:p>
    <w:p w14:paraId="70A33EBF" w14:textId="77777777" w:rsidR="000959B9" w:rsidRPr="00131EED" w:rsidRDefault="000959B9" w:rsidP="000959B9">
      <w:pPr>
        <w:rPr>
          <w:rFonts w:cs="Arial"/>
        </w:rPr>
      </w:pPr>
      <w:r w:rsidRPr="00131EED">
        <w:rPr>
          <w:rFonts w:cs="Arial"/>
        </w:rPr>
        <w:t>En función de lo dispuesto por la Ley 99 de 1993 y ratificado por la Sentencia del Río Bogotá, el Ministerio en el marco de sus competencias ha determinado zonas compatibles con la minería. Una vez establecidas, correspondía a las autoridades ambientales revocar los instrumentos en zonas no compatibles e imponer los Planes de Manejo, Restauración y Recuperación Ambiental (PMRRA). La CAR Cundinamarca, autoridad con la mayor jurisdicción en términos de área sobre la Sabana de Bogotá, al primer semestre de 2023 reportó el estado de avance con el cumplimiento de la mencionada sentencia, indicando que, aún existen 7 Licencias Ambientales y 10 Planes de Manejo Ambiental vigentes por fuera de las zonas compatibles con la minería, que según la sentencia deben ser revocados.</w:t>
      </w:r>
    </w:p>
    <w:p w14:paraId="1E9F4B94" w14:textId="2B6F16BF" w:rsidR="002C73AD" w:rsidRPr="00131EED" w:rsidRDefault="002C73AD" w:rsidP="000959B9">
      <w:pPr>
        <w:rPr>
          <w:rFonts w:cs="Arial"/>
        </w:rPr>
      </w:pPr>
    </w:p>
    <w:p w14:paraId="5E3EBAB4" w14:textId="7BDCB76B" w:rsidR="00782376" w:rsidRPr="00131EED" w:rsidRDefault="00782376" w:rsidP="00782376">
      <w:pPr>
        <w:rPr>
          <w:rFonts w:cs="Arial"/>
        </w:rPr>
      </w:pPr>
      <w:r w:rsidRPr="00131EED">
        <w:rPr>
          <w:rFonts w:cs="Arial"/>
        </w:rPr>
        <w:t xml:space="preserve">De igual forma, como la Secretaría Distrital de Ambiente (2025) señala en el documento técnico </w:t>
      </w:r>
      <w:r w:rsidR="00E7181C" w:rsidRPr="00131EED">
        <w:rPr>
          <w:rFonts w:cs="Arial"/>
        </w:rPr>
        <w:t>remitido a</w:t>
      </w:r>
      <w:r w:rsidRPr="00131EED">
        <w:rPr>
          <w:rFonts w:cs="Arial"/>
        </w:rPr>
        <w:t xml:space="preserve"> este Ministerio, </w:t>
      </w:r>
      <w:r w:rsidRPr="00131EED">
        <w:rPr>
          <w:rFonts w:ascii="Calibri" w:eastAsia="Calibri" w:hAnsi="Calibri" w:cs="Calibri"/>
          <w:sz w:val="22"/>
          <w:szCs w:val="22"/>
          <w:lang w:eastAsia="es-CO"/>
        </w:rPr>
        <w:t xml:space="preserve">El </w:t>
      </w:r>
      <w:r w:rsidRPr="00131EED">
        <w:rPr>
          <w:rFonts w:cs="Arial"/>
        </w:rPr>
        <w:t>PMRRA es establecido o impuesto por parte de la autoridad ambiental competente con un término de ejecución de hasta 5 años, con posibilidad de ser prorrogado y debe contener, entre otros, los componentes: geotécnicos, geomorfológico, edáfico, hídrico, ecosistémico, paisajístico, y demás obligaciones que se dispongan en el acto administrativo que lo defina. Este instrumento aplica para actividades desarrolladas en zonas no compatibles con la minería y que se encuentren en fase de cierre de la actividad (pg. 47).</w:t>
      </w:r>
    </w:p>
    <w:p w14:paraId="528C1BDF" w14:textId="5FC86D09" w:rsidR="00782376" w:rsidRPr="00131EED" w:rsidRDefault="00782376" w:rsidP="00782376">
      <w:pPr>
        <w:rPr>
          <w:rFonts w:cs="Arial"/>
        </w:rPr>
      </w:pPr>
    </w:p>
    <w:p w14:paraId="5425CD2A" w14:textId="57BA8AF5" w:rsidR="00782376" w:rsidRPr="00131EED" w:rsidRDefault="00782376" w:rsidP="00782376">
      <w:pPr>
        <w:rPr>
          <w:rFonts w:cs="Arial"/>
        </w:rPr>
      </w:pPr>
      <w:r w:rsidRPr="00131EED">
        <w:rPr>
          <w:rFonts w:cs="Arial"/>
        </w:rPr>
        <w:t>Por su parte, el Plan de Restauración y Recuperación - PRR es un instrumento que también se implementa actividades mineras realizadas en zonas no compatibles con la minería, y en los cuales haya sido imposible para las autoridades ambientales identificar o individualizar a los presuntos responsables de infracciones ambientales de conformidad con lo señalado en la Ley 1333 de 2009, o la norma que la modifique o la sustituya. Estos tienen un término de ejecución de 3 años y se implementan conforme con los lineamientos establecidos para los PMRRA, con el fin de que las áreas afectadas sean recuperadas y restauradas. Los PRR se establecen por solicitud de personas jurídicas de derecho privado y/o de derecho público, organismos de cooperación internacional, ONG y/o fundaciones, siempre y cuando ninguna de las anteriores haya sido sancionada en materia ambiental o que dicha sanción haya recaído en alguno de los miembros que las conforman.</w:t>
      </w:r>
      <w:r w:rsidR="007A4AA9" w:rsidRPr="00131EED">
        <w:rPr>
          <w:rFonts w:cs="Arial"/>
        </w:rPr>
        <w:t xml:space="preserve"> </w:t>
      </w:r>
      <w:r w:rsidRPr="00131EED">
        <w:rPr>
          <w:rFonts w:cs="Arial"/>
        </w:rPr>
        <w:t>De acuerdo al inventario de predios afectados por actividad extractiva de arcillas y materiales de construcción dentro del perímetro urbano de Bogotá DC., la Secretaría Distrital de Ambiente realiza evaluación, control seguimiento ambiental a 93 usuarios con 205 predios afectados por la actividad extractiva de materiales de construcción y arcilla en el perímetro urbano de Bogotá. (Secretaría Distrital de Ambiente, 2025, pg 47)</w:t>
      </w:r>
    </w:p>
    <w:p w14:paraId="36490431" w14:textId="270BCF55" w:rsidR="00782376" w:rsidRPr="00131EED" w:rsidRDefault="00782376" w:rsidP="000959B9">
      <w:pPr>
        <w:rPr>
          <w:rFonts w:cs="Arial"/>
        </w:rPr>
      </w:pPr>
    </w:p>
    <w:p w14:paraId="5EB0F975" w14:textId="77777777" w:rsidR="000959B9" w:rsidRPr="00131EED" w:rsidRDefault="000959B9" w:rsidP="000959B9">
      <w:pPr>
        <w:rPr>
          <w:rFonts w:cs="Arial"/>
        </w:rPr>
      </w:pPr>
      <w:r w:rsidRPr="00131EED">
        <w:rPr>
          <w:rFonts w:cs="Arial"/>
        </w:rPr>
        <w:t>Frente a las actividades mineras que son objeto de revocatoria en cumplimiento a la sentencia, la CAR Cundinamarca tiene un avance de un 53% de cumplimiento frente a la Orden 4.26 Numeral 2, ya que se han revocado un total de 19 de 36 instrumentos ambientales en zonas fuera de las áreas compatibles con la actividad minera; esto desde 2016, así:</w:t>
      </w:r>
      <w:bookmarkStart w:id="181" w:name="OLE_LINK1"/>
      <w:r w:rsidRPr="00131EED">
        <w:rPr>
          <w:rFonts w:cs="Arial"/>
        </w:rPr>
        <w:t xml:space="preserve"> se revocaron por año: 2016 (2), 2017 (9), 2018 (2), 2019 (2), 2020 (1), 2021 (1), 2022 (0) y 2023 (2)</w:t>
      </w:r>
      <w:bookmarkEnd w:id="181"/>
      <w:r w:rsidRPr="00131EED">
        <w:rPr>
          <w:rFonts w:cs="Arial"/>
        </w:rPr>
        <w:t>.</w:t>
      </w:r>
    </w:p>
    <w:p w14:paraId="465EF889" w14:textId="77777777" w:rsidR="000959B9" w:rsidRPr="00131EED" w:rsidRDefault="000959B9" w:rsidP="000959B9">
      <w:pPr>
        <w:rPr>
          <w:rFonts w:cs="Arial"/>
        </w:rPr>
      </w:pPr>
    </w:p>
    <w:p w14:paraId="51C8D688" w14:textId="2D1F9460" w:rsidR="000959B9" w:rsidRPr="00131EED" w:rsidRDefault="000959B9" w:rsidP="000959B9">
      <w:pPr>
        <w:rPr>
          <w:rFonts w:ascii="Baskerville" w:hAnsi="Baskerville" w:cs="Arial"/>
        </w:rPr>
      </w:pPr>
      <w:r w:rsidRPr="00131EED">
        <w:rPr>
          <w:rFonts w:cs="Arial"/>
        </w:rPr>
        <w:t xml:space="preserve">Por otro lado, se encontró que, a escala Distrital, el contrato de concesión minera No. 14810 del 28 de septiembre de 2003, con vigencia hasta el pasado 28 de abril de 2024, en su frente norte con 18 hectáreas se ubica dentro del Parque Ecológico Distrital de Montaña Entrenubes, el cual hace parte de la Estructura Ecológica Principal de Bogotá D.C, estando por fuera de Zona compatible con Minería. La Secretaría Distrital de Ambiente (SDA) impuso mediante Resolución No. 1423 de 2012, medida preventiva de suspensión de la actividad minera desarrollada por la Ladrillera Zigurat S.A.S. en la zona en cuestión; sin embargo, el contrato de concesión está incluido en el polígono 1 de las zonas compatibles con la minería establecidas en la Resolución 2001 de 2016, por lo que se solicitó la conciliación judicial que a 2022 se encontraba en estudio por parte de la mencionada autoridad ambiental </w:t>
      </w:r>
      <w:r w:rsidRPr="00131EED">
        <w:rPr>
          <w:rFonts w:cs="Arial"/>
        </w:rPr>
        <w:fldChar w:fldCharType="begin"/>
      </w:r>
      <w:r w:rsidRPr="00131EED">
        <w:rPr>
          <w:rFonts w:cs="Arial"/>
        </w:rPr>
        <w:instrText xml:space="preserve"> ADDIN ZOTERO_ITEM CSL_CITATION {"citationID":"XsP8JNoO","properties":{"formattedCitation":"(Secretar\\uc0\\u237{}a Distrital de Ambiente, 2022)","plainCitation":"(Secretaría Distrital de Ambiente, 2022)","noteIndex":0},"citationItems":[{"id":892,"uris":["http://zotero.org/users/6347308/items/DSZ3BWXR"],"itemData":{"id":892,"type":"report","event-place":"Bogotá, D.C.","page":"77","publisher":"Secretaría Distrital de Ambiente, Subdirección del Recurso Hídrico y del Suelo","publisher-place":"Bogotá, D.C.","title":"Informe Sentencia de Río Bogotá 2021 - 2022","URL":"https://drive.google.com/file/d/1oqhPoaBCDPqPXzfXVYIAKQOO9iXYtTWM/view","author":[{"literal":"Secretaría Distrital de Ambiente"}],"issued":{"date-parts":[["2022"]]}}}],"schema":"https://github.com/citation-style-language/schema/raw/master/csl-citation.json"} </w:instrText>
      </w:r>
      <w:r w:rsidRPr="00131EED">
        <w:rPr>
          <w:rFonts w:cs="Arial"/>
        </w:rPr>
        <w:fldChar w:fldCharType="separate"/>
      </w:r>
      <w:r w:rsidRPr="00131EED">
        <w:rPr>
          <w:rFonts w:cs="Arial"/>
        </w:rPr>
        <w:t>(Secretaría Distrital de Ambiente, 2022)</w:t>
      </w:r>
      <w:r w:rsidRPr="00131EED">
        <w:rPr>
          <w:rFonts w:cs="Arial"/>
        </w:rPr>
        <w:fldChar w:fldCharType="end"/>
      </w:r>
    </w:p>
    <w:p w14:paraId="60B7D77D" w14:textId="77777777" w:rsidR="002C73AD" w:rsidRPr="00131EED" w:rsidRDefault="002C73AD" w:rsidP="000959B9">
      <w:pPr>
        <w:rPr>
          <w:rFonts w:ascii="Baskerville" w:hAnsi="Baskerville" w:cs="Arial"/>
        </w:rPr>
      </w:pPr>
    </w:p>
    <w:p w14:paraId="20DAFA26" w14:textId="4F9EAED6" w:rsidR="000959B9" w:rsidRPr="00131EED" w:rsidRDefault="000959B9" w:rsidP="00701EC8">
      <w:pPr>
        <w:pStyle w:val="Caption"/>
        <w:jc w:val="center"/>
      </w:pPr>
      <w:bookmarkStart w:id="182" w:name="_Toc164763188"/>
      <w:bookmarkStart w:id="183" w:name="_Toc216468940"/>
      <w:r w:rsidRPr="00131EED">
        <w:t xml:space="preserve">Tabla </w:t>
      </w:r>
      <w:fldSimple w:instr=" SEQ Tabla \* ARABIC ">
        <w:r w:rsidR="00CE096F">
          <w:rPr>
            <w:noProof/>
          </w:rPr>
          <w:t>30</w:t>
        </w:r>
      </w:fldSimple>
      <w:r w:rsidRPr="00131EED">
        <w:t>. instrumentos mineros fuera de zonas compatibles en la Sabana</w:t>
      </w:r>
      <w:bookmarkEnd w:id="182"/>
      <w:bookmarkEnd w:id="183"/>
    </w:p>
    <w:tbl>
      <w:tblPr>
        <w:tblStyle w:val="TableGrid"/>
        <w:tblW w:w="9086" w:type="dxa"/>
        <w:tblLook w:val="04A0" w:firstRow="1" w:lastRow="0" w:firstColumn="1" w:lastColumn="0" w:noHBand="0" w:noVBand="1"/>
      </w:tblPr>
      <w:tblGrid>
        <w:gridCol w:w="2380"/>
        <w:gridCol w:w="1819"/>
        <w:gridCol w:w="1309"/>
        <w:gridCol w:w="1006"/>
        <w:gridCol w:w="1014"/>
        <w:gridCol w:w="1558"/>
      </w:tblGrid>
      <w:tr w:rsidR="000959B9" w:rsidRPr="00131EED" w14:paraId="5A0D2BA6" w14:textId="77777777" w:rsidTr="00053167">
        <w:trPr>
          <w:trHeight w:val="228"/>
        </w:trPr>
        <w:tc>
          <w:tcPr>
            <w:tcW w:w="2380" w:type="dxa"/>
            <w:noWrap/>
            <w:hideMark/>
          </w:tcPr>
          <w:p w14:paraId="0BBB3603" w14:textId="77777777" w:rsidR="000959B9" w:rsidRPr="00131EED" w:rsidRDefault="000959B9" w:rsidP="00B60DA2">
            <w:pPr>
              <w:rPr>
                <w:b/>
                <w:sz w:val="20"/>
                <w:szCs w:val="20"/>
                <w:lang w:eastAsia="es-ES"/>
              </w:rPr>
            </w:pPr>
            <w:r w:rsidRPr="00131EED">
              <w:rPr>
                <w:b/>
                <w:sz w:val="20"/>
                <w:szCs w:val="20"/>
                <w:lang w:eastAsia="es-ES"/>
              </w:rPr>
              <w:t>ESTADO TITULO</w:t>
            </w:r>
          </w:p>
        </w:tc>
        <w:tc>
          <w:tcPr>
            <w:tcW w:w="1819" w:type="dxa"/>
            <w:noWrap/>
            <w:hideMark/>
          </w:tcPr>
          <w:p w14:paraId="2813B907" w14:textId="77777777" w:rsidR="000959B9" w:rsidRPr="00131EED" w:rsidRDefault="000959B9" w:rsidP="00B60DA2">
            <w:pPr>
              <w:rPr>
                <w:b/>
                <w:sz w:val="20"/>
                <w:szCs w:val="20"/>
                <w:lang w:eastAsia="es-ES"/>
              </w:rPr>
            </w:pPr>
            <w:r w:rsidRPr="00131EED">
              <w:rPr>
                <w:b/>
                <w:sz w:val="20"/>
                <w:szCs w:val="20"/>
                <w:lang w:eastAsia="es-ES"/>
              </w:rPr>
              <w:t>MINERALES</w:t>
            </w:r>
          </w:p>
        </w:tc>
        <w:tc>
          <w:tcPr>
            <w:tcW w:w="1309" w:type="dxa"/>
            <w:noWrap/>
            <w:hideMark/>
          </w:tcPr>
          <w:p w14:paraId="17AE1444" w14:textId="77777777" w:rsidR="000959B9" w:rsidRPr="00131EED" w:rsidRDefault="000959B9" w:rsidP="00B60DA2">
            <w:pPr>
              <w:rPr>
                <w:b/>
                <w:sz w:val="20"/>
                <w:szCs w:val="20"/>
                <w:lang w:eastAsia="es-ES"/>
              </w:rPr>
            </w:pPr>
            <w:r w:rsidRPr="00131EED">
              <w:rPr>
                <w:b/>
                <w:sz w:val="20"/>
                <w:szCs w:val="20"/>
                <w:lang w:eastAsia="es-ES"/>
              </w:rPr>
              <w:t>No Reporta</w:t>
            </w:r>
          </w:p>
        </w:tc>
        <w:tc>
          <w:tcPr>
            <w:tcW w:w="1006" w:type="dxa"/>
            <w:noWrap/>
            <w:hideMark/>
          </w:tcPr>
          <w:p w14:paraId="0C4C3C90" w14:textId="77777777" w:rsidR="000959B9" w:rsidRPr="00131EED" w:rsidRDefault="000959B9" w:rsidP="00B60DA2">
            <w:pPr>
              <w:rPr>
                <w:b/>
                <w:sz w:val="20"/>
                <w:szCs w:val="20"/>
                <w:lang w:eastAsia="es-ES"/>
              </w:rPr>
            </w:pPr>
            <w:r w:rsidRPr="00131EED">
              <w:rPr>
                <w:b/>
                <w:sz w:val="20"/>
                <w:szCs w:val="20"/>
                <w:lang w:eastAsia="es-ES"/>
              </w:rPr>
              <w:t>Mediana</w:t>
            </w:r>
          </w:p>
        </w:tc>
        <w:tc>
          <w:tcPr>
            <w:tcW w:w="1014" w:type="dxa"/>
            <w:noWrap/>
            <w:hideMark/>
          </w:tcPr>
          <w:p w14:paraId="63BC1B34" w14:textId="77777777" w:rsidR="000959B9" w:rsidRPr="00131EED" w:rsidRDefault="000959B9" w:rsidP="00B60DA2">
            <w:pPr>
              <w:rPr>
                <w:b/>
                <w:sz w:val="20"/>
                <w:szCs w:val="20"/>
                <w:lang w:eastAsia="es-ES"/>
              </w:rPr>
            </w:pPr>
            <w:r w:rsidRPr="00131EED">
              <w:rPr>
                <w:b/>
                <w:sz w:val="20"/>
                <w:szCs w:val="20"/>
                <w:lang w:eastAsia="es-ES"/>
              </w:rPr>
              <w:t>Pequeña</w:t>
            </w:r>
          </w:p>
        </w:tc>
        <w:tc>
          <w:tcPr>
            <w:tcW w:w="1558" w:type="dxa"/>
            <w:noWrap/>
            <w:hideMark/>
          </w:tcPr>
          <w:p w14:paraId="426C9140" w14:textId="77777777" w:rsidR="000959B9" w:rsidRPr="00131EED" w:rsidRDefault="000959B9" w:rsidP="00B60DA2">
            <w:pPr>
              <w:rPr>
                <w:b/>
                <w:sz w:val="20"/>
                <w:szCs w:val="20"/>
                <w:lang w:eastAsia="es-ES"/>
              </w:rPr>
            </w:pPr>
            <w:r w:rsidRPr="00131EED">
              <w:rPr>
                <w:b/>
                <w:sz w:val="20"/>
                <w:szCs w:val="20"/>
                <w:lang w:eastAsia="es-ES"/>
              </w:rPr>
              <w:t>Total general</w:t>
            </w:r>
          </w:p>
        </w:tc>
      </w:tr>
      <w:tr w:rsidR="000959B9" w:rsidRPr="00131EED" w14:paraId="15E20161" w14:textId="77777777" w:rsidTr="00B60DA2">
        <w:trPr>
          <w:trHeight w:val="228"/>
        </w:trPr>
        <w:tc>
          <w:tcPr>
            <w:tcW w:w="2380" w:type="dxa"/>
            <w:vMerge w:val="restart"/>
            <w:noWrap/>
            <w:hideMark/>
          </w:tcPr>
          <w:p w14:paraId="3AD249CD" w14:textId="77777777" w:rsidR="006C4ED4" w:rsidRPr="00131EED" w:rsidRDefault="000959B9" w:rsidP="00B60DA2">
            <w:pPr>
              <w:rPr>
                <w:b/>
                <w:sz w:val="20"/>
                <w:szCs w:val="20"/>
                <w:lang w:eastAsia="es-ES"/>
              </w:rPr>
            </w:pPr>
            <w:r w:rsidRPr="00131EED">
              <w:rPr>
                <w:b/>
                <w:sz w:val="20"/>
                <w:szCs w:val="20"/>
                <w:lang w:eastAsia="es-ES"/>
              </w:rPr>
              <w:t>Activo</w:t>
            </w:r>
          </w:p>
          <w:p w14:paraId="306614EA" w14:textId="77777777" w:rsidR="006C4ED4" w:rsidRPr="00131EED" w:rsidRDefault="006C4ED4" w:rsidP="00B60DA2">
            <w:pPr>
              <w:rPr>
                <w:b/>
                <w:sz w:val="20"/>
                <w:szCs w:val="20"/>
                <w:lang w:eastAsia="es-ES"/>
              </w:rPr>
            </w:pPr>
            <w:r w:rsidRPr="00131EED">
              <w:rPr>
                <w:b/>
                <w:sz w:val="20"/>
                <w:szCs w:val="20"/>
                <w:lang w:eastAsia="es-ES"/>
              </w:rPr>
              <w:t> </w:t>
            </w:r>
          </w:p>
          <w:p w14:paraId="4650729F" w14:textId="573D2DDF" w:rsidR="000959B9" w:rsidRPr="00131EED" w:rsidRDefault="006C4ED4" w:rsidP="00B60DA2">
            <w:pPr>
              <w:rPr>
                <w:b/>
                <w:sz w:val="20"/>
                <w:szCs w:val="20"/>
                <w:lang w:eastAsia="es-ES"/>
              </w:rPr>
            </w:pPr>
            <w:r w:rsidRPr="00131EED">
              <w:rPr>
                <w:b/>
                <w:sz w:val="20"/>
                <w:szCs w:val="20"/>
                <w:lang w:eastAsia="es-ES"/>
              </w:rPr>
              <w:t> </w:t>
            </w:r>
          </w:p>
        </w:tc>
        <w:tc>
          <w:tcPr>
            <w:tcW w:w="1819" w:type="dxa"/>
            <w:noWrap/>
            <w:hideMark/>
          </w:tcPr>
          <w:p w14:paraId="174A0625" w14:textId="77777777" w:rsidR="000959B9" w:rsidRPr="00131EED" w:rsidRDefault="000959B9" w:rsidP="00B60DA2">
            <w:pPr>
              <w:rPr>
                <w:sz w:val="20"/>
                <w:szCs w:val="20"/>
                <w:lang w:eastAsia="es-ES"/>
              </w:rPr>
            </w:pPr>
            <w:r w:rsidRPr="00131EED">
              <w:rPr>
                <w:sz w:val="20"/>
                <w:szCs w:val="20"/>
                <w:lang w:eastAsia="es-ES"/>
              </w:rPr>
              <w:t>Carbón</w:t>
            </w:r>
          </w:p>
        </w:tc>
        <w:tc>
          <w:tcPr>
            <w:tcW w:w="1309" w:type="dxa"/>
            <w:noWrap/>
            <w:hideMark/>
          </w:tcPr>
          <w:p w14:paraId="0DDA7EC1" w14:textId="189A9A02" w:rsidR="000959B9" w:rsidRPr="00131EED" w:rsidRDefault="000959B9" w:rsidP="002F6CAB">
            <w:pPr>
              <w:jc w:val="center"/>
              <w:rPr>
                <w:sz w:val="20"/>
                <w:szCs w:val="20"/>
                <w:lang w:eastAsia="es-ES"/>
              </w:rPr>
            </w:pPr>
          </w:p>
        </w:tc>
        <w:tc>
          <w:tcPr>
            <w:tcW w:w="1006" w:type="dxa"/>
            <w:noWrap/>
            <w:hideMark/>
          </w:tcPr>
          <w:p w14:paraId="123D6644" w14:textId="77777777" w:rsidR="000959B9" w:rsidRPr="00131EED" w:rsidRDefault="000959B9" w:rsidP="002F6CAB">
            <w:pPr>
              <w:jc w:val="center"/>
              <w:rPr>
                <w:sz w:val="20"/>
                <w:szCs w:val="20"/>
                <w:lang w:eastAsia="es-ES"/>
              </w:rPr>
            </w:pPr>
            <w:r w:rsidRPr="00131EED">
              <w:rPr>
                <w:sz w:val="20"/>
                <w:szCs w:val="20"/>
                <w:lang w:eastAsia="es-ES"/>
              </w:rPr>
              <w:t>5</w:t>
            </w:r>
          </w:p>
        </w:tc>
        <w:tc>
          <w:tcPr>
            <w:tcW w:w="1014" w:type="dxa"/>
            <w:noWrap/>
            <w:hideMark/>
          </w:tcPr>
          <w:p w14:paraId="5889025D" w14:textId="77777777" w:rsidR="000959B9" w:rsidRPr="00131EED" w:rsidRDefault="000959B9" w:rsidP="002F6CAB">
            <w:pPr>
              <w:jc w:val="center"/>
              <w:rPr>
                <w:sz w:val="20"/>
                <w:szCs w:val="20"/>
                <w:lang w:eastAsia="es-ES"/>
              </w:rPr>
            </w:pPr>
            <w:r w:rsidRPr="00131EED">
              <w:rPr>
                <w:sz w:val="20"/>
                <w:szCs w:val="20"/>
                <w:lang w:eastAsia="es-ES"/>
              </w:rPr>
              <w:t>15</w:t>
            </w:r>
          </w:p>
        </w:tc>
        <w:tc>
          <w:tcPr>
            <w:tcW w:w="1558" w:type="dxa"/>
            <w:noWrap/>
            <w:hideMark/>
          </w:tcPr>
          <w:p w14:paraId="1B2C8473" w14:textId="77777777" w:rsidR="000959B9" w:rsidRPr="00131EED" w:rsidRDefault="000959B9" w:rsidP="002F6CAB">
            <w:pPr>
              <w:jc w:val="center"/>
              <w:rPr>
                <w:sz w:val="20"/>
                <w:szCs w:val="20"/>
                <w:lang w:eastAsia="es-ES"/>
              </w:rPr>
            </w:pPr>
            <w:r w:rsidRPr="00131EED">
              <w:rPr>
                <w:sz w:val="20"/>
                <w:szCs w:val="20"/>
                <w:lang w:eastAsia="es-ES"/>
              </w:rPr>
              <w:t>20</w:t>
            </w:r>
          </w:p>
        </w:tc>
      </w:tr>
      <w:tr w:rsidR="000959B9" w:rsidRPr="00131EED" w14:paraId="42B66BD3" w14:textId="77777777" w:rsidTr="00B60DA2">
        <w:trPr>
          <w:trHeight w:val="228"/>
        </w:trPr>
        <w:tc>
          <w:tcPr>
            <w:tcW w:w="2380" w:type="dxa"/>
            <w:vMerge/>
            <w:noWrap/>
            <w:hideMark/>
          </w:tcPr>
          <w:p w14:paraId="1A5B924C" w14:textId="7FF083DD" w:rsidR="000959B9" w:rsidRPr="00131EED" w:rsidRDefault="000959B9" w:rsidP="00B60DA2">
            <w:pPr>
              <w:rPr>
                <w:b/>
                <w:sz w:val="20"/>
                <w:szCs w:val="20"/>
                <w:lang w:eastAsia="es-ES"/>
              </w:rPr>
            </w:pPr>
          </w:p>
        </w:tc>
        <w:tc>
          <w:tcPr>
            <w:tcW w:w="1819" w:type="dxa"/>
            <w:noWrap/>
            <w:hideMark/>
          </w:tcPr>
          <w:p w14:paraId="46083FF5" w14:textId="77777777" w:rsidR="000959B9" w:rsidRPr="00131EED" w:rsidRDefault="000959B9" w:rsidP="00B60DA2">
            <w:pPr>
              <w:rPr>
                <w:sz w:val="20"/>
                <w:szCs w:val="20"/>
                <w:lang w:eastAsia="es-ES"/>
              </w:rPr>
            </w:pPr>
            <w:r w:rsidRPr="00131EED">
              <w:rPr>
                <w:sz w:val="20"/>
                <w:szCs w:val="20"/>
                <w:lang w:eastAsia="es-ES"/>
              </w:rPr>
              <w:t>Materiales de construcción</w:t>
            </w:r>
          </w:p>
        </w:tc>
        <w:tc>
          <w:tcPr>
            <w:tcW w:w="1309" w:type="dxa"/>
            <w:noWrap/>
            <w:hideMark/>
          </w:tcPr>
          <w:p w14:paraId="458A6562" w14:textId="7E12FF50" w:rsidR="000959B9" w:rsidRPr="00131EED" w:rsidRDefault="000959B9" w:rsidP="002F6CAB">
            <w:pPr>
              <w:jc w:val="center"/>
              <w:rPr>
                <w:sz w:val="20"/>
                <w:szCs w:val="20"/>
                <w:lang w:eastAsia="es-ES"/>
              </w:rPr>
            </w:pPr>
          </w:p>
        </w:tc>
        <w:tc>
          <w:tcPr>
            <w:tcW w:w="1006" w:type="dxa"/>
            <w:noWrap/>
            <w:hideMark/>
          </w:tcPr>
          <w:p w14:paraId="69603019" w14:textId="77777777" w:rsidR="000959B9" w:rsidRPr="00131EED" w:rsidRDefault="000959B9" w:rsidP="002F6CAB">
            <w:pPr>
              <w:jc w:val="center"/>
              <w:rPr>
                <w:sz w:val="20"/>
                <w:szCs w:val="20"/>
                <w:lang w:eastAsia="es-ES"/>
              </w:rPr>
            </w:pPr>
            <w:r w:rsidRPr="00131EED">
              <w:rPr>
                <w:sz w:val="20"/>
                <w:szCs w:val="20"/>
                <w:lang w:eastAsia="es-ES"/>
              </w:rPr>
              <w:t>10</w:t>
            </w:r>
          </w:p>
        </w:tc>
        <w:tc>
          <w:tcPr>
            <w:tcW w:w="1014" w:type="dxa"/>
            <w:noWrap/>
            <w:hideMark/>
          </w:tcPr>
          <w:p w14:paraId="2A222492" w14:textId="77777777" w:rsidR="000959B9" w:rsidRPr="00131EED" w:rsidRDefault="000959B9" w:rsidP="002F6CAB">
            <w:pPr>
              <w:jc w:val="center"/>
              <w:rPr>
                <w:sz w:val="20"/>
                <w:szCs w:val="20"/>
                <w:lang w:eastAsia="es-ES"/>
              </w:rPr>
            </w:pPr>
            <w:r w:rsidRPr="00131EED">
              <w:rPr>
                <w:sz w:val="20"/>
                <w:szCs w:val="20"/>
                <w:lang w:eastAsia="es-ES"/>
              </w:rPr>
              <w:t>13</w:t>
            </w:r>
          </w:p>
        </w:tc>
        <w:tc>
          <w:tcPr>
            <w:tcW w:w="1558" w:type="dxa"/>
            <w:noWrap/>
            <w:hideMark/>
          </w:tcPr>
          <w:p w14:paraId="7AE1C7AF" w14:textId="77777777" w:rsidR="000959B9" w:rsidRPr="00131EED" w:rsidRDefault="000959B9" w:rsidP="002F6CAB">
            <w:pPr>
              <w:jc w:val="center"/>
              <w:rPr>
                <w:sz w:val="20"/>
                <w:szCs w:val="20"/>
                <w:lang w:eastAsia="es-ES"/>
              </w:rPr>
            </w:pPr>
            <w:r w:rsidRPr="00131EED">
              <w:rPr>
                <w:sz w:val="20"/>
                <w:szCs w:val="20"/>
                <w:lang w:eastAsia="es-ES"/>
              </w:rPr>
              <w:t>23</w:t>
            </w:r>
          </w:p>
        </w:tc>
      </w:tr>
      <w:tr w:rsidR="000959B9" w:rsidRPr="00131EED" w14:paraId="4BB60A96" w14:textId="77777777" w:rsidTr="00B60DA2">
        <w:trPr>
          <w:trHeight w:val="228"/>
        </w:trPr>
        <w:tc>
          <w:tcPr>
            <w:tcW w:w="2380" w:type="dxa"/>
            <w:vMerge/>
            <w:noWrap/>
            <w:hideMark/>
          </w:tcPr>
          <w:p w14:paraId="6B53632E" w14:textId="612E57A9" w:rsidR="000959B9" w:rsidRPr="00131EED" w:rsidRDefault="000959B9" w:rsidP="00B60DA2">
            <w:pPr>
              <w:rPr>
                <w:b/>
                <w:sz w:val="20"/>
                <w:szCs w:val="20"/>
                <w:lang w:eastAsia="es-ES"/>
              </w:rPr>
            </w:pPr>
          </w:p>
        </w:tc>
        <w:tc>
          <w:tcPr>
            <w:tcW w:w="1819" w:type="dxa"/>
            <w:noWrap/>
            <w:hideMark/>
          </w:tcPr>
          <w:p w14:paraId="7910BA44" w14:textId="77777777" w:rsidR="000959B9" w:rsidRPr="00131EED" w:rsidRDefault="000959B9" w:rsidP="00B60DA2">
            <w:pPr>
              <w:rPr>
                <w:sz w:val="20"/>
                <w:szCs w:val="20"/>
                <w:lang w:eastAsia="es-ES"/>
              </w:rPr>
            </w:pPr>
            <w:r w:rsidRPr="00131EED">
              <w:rPr>
                <w:sz w:val="20"/>
                <w:szCs w:val="20"/>
                <w:lang w:eastAsia="es-ES"/>
              </w:rPr>
              <w:t>Metálicos</w:t>
            </w:r>
          </w:p>
        </w:tc>
        <w:tc>
          <w:tcPr>
            <w:tcW w:w="1309" w:type="dxa"/>
            <w:noWrap/>
            <w:hideMark/>
          </w:tcPr>
          <w:p w14:paraId="11C6CBE6" w14:textId="39D98FEE" w:rsidR="000959B9" w:rsidRPr="00131EED" w:rsidRDefault="000959B9" w:rsidP="002F6CAB">
            <w:pPr>
              <w:jc w:val="center"/>
              <w:rPr>
                <w:sz w:val="20"/>
                <w:szCs w:val="20"/>
                <w:lang w:eastAsia="es-ES"/>
              </w:rPr>
            </w:pPr>
          </w:p>
        </w:tc>
        <w:tc>
          <w:tcPr>
            <w:tcW w:w="1006" w:type="dxa"/>
            <w:noWrap/>
            <w:hideMark/>
          </w:tcPr>
          <w:p w14:paraId="12890083" w14:textId="77777777" w:rsidR="000959B9" w:rsidRPr="00131EED" w:rsidRDefault="000959B9" w:rsidP="002F6CAB">
            <w:pPr>
              <w:jc w:val="center"/>
              <w:rPr>
                <w:sz w:val="20"/>
                <w:szCs w:val="20"/>
                <w:lang w:eastAsia="es-ES"/>
              </w:rPr>
            </w:pPr>
            <w:r w:rsidRPr="00131EED">
              <w:rPr>
                <w:sz w:val="20"/>
                <w:szCs w:val="20"/>
                <w:lang w:eastAsia="es-ES"/>
              </w:rPr>
              <w:t>1</w:t>
            </w:r>
          </w:p>
        </w:tc>
        <w:tc>
          <w:tcPr>
            <w:tcW w:w="1014" w:type="dxa"/>
            <w:noWrap/>
            <w:hideMark/>
          </w:tcPr>
          <w:p w14:paraId="2CE55FC8" w14:textId="77777777" w:rsidR="000959B9" w:rsidRPr="00131EED" w:rsidRDefault="000959B9" w:rsidP="002F6CAB">
            <w:pPr>
              <w:jc w:val="center"/>
              <w:rPr>
                <w:sz w:val="20"/>
                <w:szCs w:val="20"/>
                <w:lang w:eastAsia="es-ES"/>
              </w:rPr>
            </w:pPr>
            <w:r w:rsidRPr="00131EED">
              <w:rPr>
                <w:sz w:val="20"/>
                <w:szCs w:val="20"/>
                <w:lang w:eastAsia="es-ES"/>
              </w:rPr>
              <w:t>2</w:t>
            </w:r>
          </w:p>
        </w:tc>
        <w:tc>
          <w:tcPr>
            <w:tcW w:w="1558" w:type="dxa"/>
            <w:noWrap/>
            <w:hideMark/>
          </w:tcPr>
          <w:p w14:paraId="76984C5A" w14:textId="77777777" w:rsidR="000959B9" w:rsidRPr="00131EED" w:rsidRDefault="000959B9" w:rsidP="002F6CAB">
            <w:pPr>
              <w:jc w:val="center"/>
              <w:rPr>
                <w:sz w:val="20"/>
                <w:szCs w:val="20"/>
                <w:lang w:eastAsia="es-ES"/>
              </w:rPr>
            </w:pPr>
            <w:r w:rsidRPr="00131EED">
              <w:rPr>
                <w:sz w:val="20"/>
                <w:szCs w:val="20"/>
                <w:lang w:eastAsia="es-ES"/>
              </w:rPr>
              <w:t>3</w:t>
            </w:r>
          </w:p>
        </w:tc>
      </w:tr>
      <w:tr w:rsidR="000959B9" w:rsidRPr="00131EED" w14:paraId="3694946F" w14:textId="77777777" w:rsidTr="00053167">
        <w:trPr>
          <w:trHeight w:val="228"/>
        </w:trPr>
        <w:tc>
          <w:tcPr>
            <w:tcW w:w="5508" w:type="dxa"/>
            <w:gridSpan w:val="3"/>
            <w:noWrap/>
            <w:hideMark/>
          </w:tcPr>
          <w:p w14:paraId="6BD1915D" w14:textId="6ED6A8C8" w:rsidR="000959B9" w:rsidRPr="00131EED" w:rsidRDefault="006C4ED4" w:rsidP="006C4ED4">
            <w:pPr>
              <w:rPr>
                <w:b/>
                <w:sz w:val="20"/>
                <w:szCs w:val="20"/>
                <w:lang w:eastAsia="es-ES"/>
              </w:rPr>
            </w:pPr>
            <w:r w:rsidRPr="00131EED">
              <w:rPr>
                <w:b/>
                <w:bCs/>
                <w:sz w:val="20"/>
                <w:szCs w:val="20"/>
                <w:lang w:eastAsia="es-ES"/>
              </w:rPr>
              <w:t>Total Activo </w:t>
            </w:r>
          </w:p>
        </w:tc>
        <w:tc>
          <w:tcPr>
            <w:tcW w:w="1006" w:type="dxa"/>
            <w:noWrap/>
            <w:hideMark/>
          </w:tcPr>
          <w:p w14:paraId="61C27CFE" w14:textId="77777777" w:rsidR="000959B9" w:rsidRPr="00131EED" w:rsidRDefault="000959B9" w:rsidP="002F6CAB">
            <w:pPr>
              <w:jc w:val="center"/>
              <w:rPr>
                <w:b/>
                <w:sz w:val="20"/>
                <w:szCs w:val="20"/>
                <w:lang w:eastAsia="es-ES"/>
              </w:rPr>
            </w:pPr>
            <w:r w:rsidRPr="00131EED">
              <w:rPr>
                <w:b/>
                <w:sz w:val="20"/>
                <w:szCs w:val="20"/>
                <w:lang w:eastAsia="es-ES"/>
              </w:rPr>
              <w:t>21</w:t>
            </w:r>
          </w:p>
        </w:tc>
        <w:tc>
          <w:tcPr>
            <w:tcW w:w="1014" w:type="dxa"/>
            <w:noWrap/>
            <w:hideMark/>
          </w:tcPr>
          <w:p w14:paraId="7D4215E1" w14:textId="77777777" w:rsidR="000959B9" w:rsidRPr="00131EED" w:rsidRDefault="000959B9" w:rsidP="002F6CAB">
            <w:pPr>
              <w:jc w:val="center"/>
              <w:rPr>
                <w:b/>
                <w:sz w:val="20"/>
                <w:szCs w:val="20"/>
                <w:lang w:eastAsia="es-ES"/>
              </w:rPr>
            </w:pPr>
            <w:r w:rsidRPr="00131EED">
              <w:rPr>
                <w:b/>
                <w:sz w:val="20"/>
                <w:szCs w:val="20"/>
                <w:lang w:eastAsia="es-ES"/>
              </w:rPr>
              <w:t>32</w:t>
            </w:r>
          </w:p>
        </w:tc>
        <w:tc>
          <w:tcPr>
            <w:tcW w:w="1558" w:type="dxa"/>
            <w:noWrap/>
            <w:hideMark/>
          </w:tcPr>
          <w:p w14:paraId="6B4E515F" w14:textId="77777777" w:rsidR="000959B9" w:rsidRPr="00131EED" w:rsidRDefault="000959B9" w:rsidP="002F6CAB">
            <w:pPr>
              <w:jc w:val="center"/>
              <w:rPr>
                <w:b/>
                <w:sz w:val="20"/>
                <w:szCs w:val="20"/>
                <w:lang w:eastAsia="es-ES"/>
              </w:rPr>
            </w:pPr>
            <w:r w:rsidRPr="00131EED">
              <w:rPr>
                <w:b/>
                <w:sz w:val="20"/>
                <w:szCs w:val="20"/>
                <w:lang w:eastAsia="es-ES"/>
              </w:rPr>
              <w:t>53</w:t>
            </w:r>
          </w:p>
        </w:tc>
      </w:tr>
      <w:tr w:rsidR="000959B9" w:rsidRPr="00131EED" w14:paraId="21F42B27" w14:textId="77777777" w:rsidTr="00B60DA2">
        <w:trPr>
          <w:trHeight w:val="228"/>
        </w:trPr>
        <w:tc>
          <w:tcPr>
            <w:tcW w:w="2380" w:type="dxa"/>
            <w:vMerge w:val="restart"/>
            <w:noWrap/>
            <w:hideMark/>
          </w:tcPr>
          <w:p w14:paraId="4D09C157" w14:textId="77777777" w:rsidR="006C4ED4" w:rsidRPr="00131EED" w:rsidRDefault="000959B9" w:rsidP="00B60DA2">
            <w:pPr>
              <w:rPr>
                <w:b/>
                <w:sz w:val="20"/>
                <w:szCs w:val="20"/>
                <w:lang w:eastAsia="es-ES"/>
              </w:rPr>
            </w:pPr>
            <w:r w:rsidRPr="00131EED">
              <w:rPr>
                <w:b/>
                <w:sz w:val="20"/>
                <w:szCs w:val="20"/>
                <w:lang w:eastAsia="es-ES"/>
              </w:rPr>
              <w:t>Terminado</w:t>
            </w:r>
          </w:p>
          <w:p w14:paraId="7D0F47F4" w14:textId="0A4AF4D6" w:rsidR="000959B9" w:rsidRPr="00131EED" w:rsidRDefault="006C4ED4" w:rsidP="00B60DA2">
            <w:pPr>
              <w:rPr>
                <w:b/>
                <w:sz w:val="20"/>
                <w:szCs w:val="20"/>
                <w:lang w:eastAsia="es-ES"/>
              </w:rPr>
            </w:pPr>
            <w:r w:rsidRPr="00131EED">
              <w:rPr>
                <w:b/>
                <w:sz w:val="20"/>
                <w:szCs w:val="20"/>
                <w:lang w:eastAsia="es-ES"/>
              </w:rPr>
              <w:t> </w:t>
            </w:r>
          </w:p>
        </w:tc>
        <w:tc>
          <w:tcPr>
            <w:tcW w:w="1819" w:type="dxa"/>
            <w:noWrap/>
            <w:hideMark/>
          </w:tcPr>
          <w:p w14:paraId="4E484F7B" w14:textId="77777777" w:rsidR="000959B9" w:rsidRPr="00131EED" w:rsidRDefault="000959B9" w:rsidP="00B60DA2">
            <w:pPr>
              <w:rPr>
                <w:sz w:val="20"/>
                <w:szCs w:val="20"/>
                <w:lang w:eastAsia="es-ES"/>
              </w:rPr>
            </w:pPr>
            <w:r w:rsidRPr="00131EED">
              <w:rPr>
                <w:sz w:val="20"/>
                <w:szCs w:val="20"/>
                <w:lang w:eastAsia="es-ES"/>
              </w:rPr>
              <w:t>Carbón</w:t>
            </w:r>
          </w:p>
        </w:tc>
        <w:tc>
          <w:tcPr>
            <w:tcW w:w="1309" w:type="dxa"/>
            <w:noWrap/>
            <w:hideMark/>
          </w:tcPr>
          <w:p w14:paraId="471DF4A1" w14:textId="6BCE49F8" w:rsidR="000959B9" w:rsidRPr="00131EED" w:rsidRDefault="000959B9" w:rsidP="002F6CAB">
            <w:pPr>
              <w:jc w:val="center"/>
              <w:rPr>
                <w:sz w:val="20"/>
                <w:szCs w:val="20"/>
                <w:lang w:eastAsia="es-ES"/>
              </w:rPr>
            </w:pPr>
          </w:p>
        </w:tc>
        <w:tc>
          <w:tcPr>
            <w:tcW w:w="1006" w:type="dxa"/>
            <w:noWrap/>
            <w:hideMark/>
          </w:tcPr>
          <w:p w14:paraId="633EA13F" w14:textId="77777777" w:rsidR="000959B9" w:rsidRPr="00131EED" w:rsidRDefault="000959B9" w:rsidP="002F6CAB">
            <w:pPr>
              <w:jc w:val="center"/>
              <w:rPr>
                <w:sz w:val="20"/>
                <w:szCs w:val="20"/>
                <w:lang w:eastAsia="es-ES"/>
              </w:rPr>
            </w:pPr>
            <w:r w:rsidRPr="00131EED">
              <w:rPr>
                <w:sz w:val="20"/>
                <w:szCs w:val="20"/>
                <w:lang w:eastAsia="es-ES"/>
              </w:rPr>
              <w:t>1</w:t>
            </w:r>
          </w:p>
        </w:tc>
        <w:tc>
          <w:tcPr>
            <w:tcW w:w="1014" w:type="dxa"/>
            <w:noWrap/>
            <w:hideMark/>
          </w:tcPr>
          <w:p w14:paraId="74BCE924" w14:textId="63F89A9D" w:rsidR="000959B9" w:rsidRPr="00131EED" w:rsidRDefault="000959B9" w:rsidP="002F6CAB">
            <w:pPr>
              <w:jc w:val="center"/>
              <w:rPr>
                <w:sz w:val="20"/>
                <w:szCs w:val="20"/>
                <w:lang w:eastAsia="es-ES"/>
              </w:rPr>
            </w:pPr>
          </w:p>
        </w:tc>
        <w:tc>
          <w:tcPr>
            <w:tcW w:w="1558" w:type="dxa"/>
            <w:noWrap/>
            <w:hideMark/>
          </w:tcPr>
          <w:p w14:paraId="0E490291" w14:textId="77777777" w:rsidR="000959B9" w:rsidRPr="00131EED" w:rsidRDefault="000959B9" w:rsidP="002F6CAB">
            <w:pPr>
              <w:jc w:val="center"/>
              <w:rPr>
                <w:sz w:val="20"/>
                <w:szCs w:val="20"/>
                <w:lang w:eastAsia="es-ES"/>
              </w:rPr>
            </w:pPr>
            <w:r w:rsidRPr="00131EED">
              <w:rPr>
                <w:sz w:val="20"/>
                <w:szCs w:val="20"/>
                <w:lang w:eastAsia="es-ES"/>
              </w:rPr>
              <w:t>1</w:t>
            </w:r>
          </w:p>
        </w:tc>
      </w:tr>
      <w:tr w:rsidR="000959B9" w:rsidRPr="00131EED" w14:paraId="084E8688" w14:textId="77777777" w:rsidTr="00B60DA2">
        <w:trPr>
          <w:trHeight w:val="228"/>
        </w:trPr>
        <w:tc>
          <w:tcPr>
            <w:tcW w:w="2380" w:type="dxa"/>
            <w:vMerge/>
            <w:noWrap/>
            <w:hideMark/>
          </w:tcPr>
          <w:p w14:paraId="2F282CAB" w14:textId="21AB0989" w:rsidR="000959B9" w:rsidRPr="00131EED" w:rsidRDefault="000959B9" w:rsidP="00B60DA2">
            <w:pPr>
              <w:rPr>
                <w:b/>
                <w:sz w:val="20"/>
                <w:szCs w:val="20"/>
                <w:lang w:eastAsia="es-ES"/>
              </w:rPr>
            </w:pPr>
          </w:p>
        </w:tc>
        <w:tc>
          <w:tcPr>
            <w:tcW w:w="1819" w:type="dxa"/>
            <w:noWrap/>
            <w:hideMark/>
          </w:tcPr>
          <w:p w14:paraId="33466A1F" w14:textId="77777777" w:rsidR="000959B9" w:rsidRPr="00131EED" w:rsidRDefault="000959B9" w:rsidP="00B60DA2">
            <w:pPr>
              <w:rPr>
                <w:sz w:val="20"/>
                <w:szCs w:val="20"/>
                <w:lang w:eastAsia="es-ES"/>
              </w:rPr>
            </w:pPr>
            <w:r w:rsidRPr="00131EED">
              <w:rPr>
                <w:sz w:val="20"/>
                <w:szCs w:val="20"/>
                <w:lang w:eastAsia="es-ES"/>
              </w:rPr>
              <w:t>Materiales de construcción</w:t>
            </w:r>
          </w:p>
        </w:tc>
        <w:tc>
          <w:tcPr>
            <w:tcW w:w="1309" w:type="dxa"/>
            <w:noWrap/>
            <w:hideMark/>
          </w:tcPr>
          <w:p w14:paraId="2F620479" w14:textId="53506C0D" w:rsidR="000959B9" w:rsidRPr="00131EED" w:rsidRDefault="000959B9" w:rsidP="002F6CAB">
            <w:pPr>
              <w:jc w:val="center"/>
              <w:rPr>
                <w:sz w:val="20"/>
                <w:szCs w:val="20"/>
                <w:lang w:eastAsia="es-ES"/>
              </w:rPr>
            </w:pPr>
          </w:p>
        </w:tc>
        <w:tc>
          <w:tcPr>
            <w:tcW w:w="1006" w:type="dxa"/>
            <w:noWrap/>
            <w:hideMark/>
          </w:tcPr>
          <w:p w14:paraId="5E526E4C" w14:textId="77777777" w:rsidR="000959B9" w:rsidRPr="00131EED" w:rsidRDefault="000959B9" w:rsidP="002F6CAB">
            <w:pPr>
              <w:jc w:val="center"/>
              <w:rPr>
                <w:sz w:val="20"/>
                <w:szCs w:val="20"/>
                <w:lang w:eastAsia="es-ES"/>
              </w:rPr>
            </w:pPr>
            <w:r w:rsidRPr="00131EED">
              <w:rPr>
                <w:sz w:val="20"/>
                <w:szCs w:val="20"/>
                <w:lang w:eastAsia="es-ES"/>
              </w:rPr>
              <w:t>1</w:t>
            </w:r>
          </w:p>
        </w:tc>
        <w:tc>
          <w:tcPr>
            <w:tcW w:w="1014" w:type="dxa"/>
            <w:noWrap/>
            <w:hideMark/>
          </w:tcPr>
          <w:p w14:paraId="1B5E395F" w14:textId="77777777" w:rsidR="000959B9" w:rsidRPr="00131EED" w:rsidRDefault="000959B9" w:rsidP="002F6CAB">
            <w:pPr>
              <w:jc w:val="center"/>
              <w:rPr>
                <w:sz w:val="20"/>
                <w:szCs w:val="20"/>
                <w:lang w:eastAsia="es-ES"/>
              </w:rPr>
            </w:pPr>
            <w:r w:rsidRPr="00131EED">
              <w:rPr>
                <w:sz w:val="20"/>
                <w:szCs w:val="20"/>
                <w:lang w:eastAsia="es-ES"/>
              </w:rPr>
              <w:t>1</w:t>
            </w:r>
          </w:p>
        </w:tc>
        <w:tc>
          <w:tcPr>
            <w:tcW w:w="1558" w:type="dxa"/>
            <w:noWrap/>
            <w:hideMark/>
          </w:tcPr>
          <w:p w14:paraId="08CBAA3C" w14:textId="77777777" w:rsidR="000959B9" w:rsidRPr="00131EED" w:rsidRDefault="000959B9" w:rsidP="002F6CAB">
            <w:pPr>
              <w:jc w:val="center"/>
              <w:rPr>
                <w:sz w:val="20"/>
                <w:szCs w:val="20"/>
                <w:lang w:eastAsia="es-ES"/>
              </w:rPr>
            </w:pPr>
            <w:r w:rsidRPr="00131EED">
              <w:rPr>
                <w:sz w:val="20"/>
                <w:szCs w:val="20"/>
                <w:lang w:eastAsia="es-ES"/>
              </w:rPr>
              <w:t>2</w:t>
            </w:r>
          </w:p>
        </w:tc>
      </w:tr>
      <w:tr w:rsidR="000959B9" w:rsidRPr="00131EED" w14:paraId="71AED588" w14:textId="77777777" w:rsidTr="00053167">
        <w:trPr>
          <w:trHeight w:val="228"/>
        </w:trPr>
        <w:tc>
          <w:tcPr>
            <w:tcW w:w="5508" w:type="dxa"/>
            <w:gridSpan w:val="3"/>
            <w:noWrap/>
            <w:hideMark/>
          </w:tcPr>
          <w:p w14:paraId="6412B014" w14:textId="4AD8436C" w:rsidR="000959B9" w:rsidRPr="00131EED" w:rsidRDefault="006C4ED4" w:rsidP="006C4ED4">
            <w:pPr>
              <w:rPr>
                <w:b/>
                <w:sz w:val="20"/>
                <w:szCs w:val="20"/>
                <w:lang w:eastAsia="es-ES"/>
              </w:rPr>
            </w:pPr>
            <w:r w:rsidRPr="00131EED">
              <w:rPr>
                <w:b/>
                <w:bCs/>
                <w:sz w:val="20"/>
                <w:szCs w:val="20"/>
                <w:lang w:eastAsia="es-ES"/>
              </w:rPr>
              <w:t>Total Terminado </w:t>
            </w:r>
          </w:p>
        </w:tc>
        <w:tc>
          <w:tcPr>
            <w:tcW w:w="1006" w:type="dxa"/>
            <w:noWrap/>
            <w:hideMark/>
          </w:tcPr>
          <w:p w14:paraId="3BF9CAAE" w14:textId="77777777" w:rsidR="000959B9" w:rsidRPr="00131EED" w:rsidRDefault="000959B9" w:rsidP="002F6CAB">
            <w:pPr>
              <w:jc w:val="center"/>
              <w:rPr>
                <w:b/>
                <w:sz w:val="20"/>
                <w:szCs w:val="20"/>
                <w:lang w:eastAsia="es-ES"/>
              </w:rPr>
            </w:pPr>
            <w:r w:rsidRPr="00131EED">
              <w:rPr>
                <w:b/>
                <w:sz w:val="20"/>
                <w:szCs w:val="20"/>
                <w:lang w:eastAsia="es-ES"/>
              </w:rPr>
              <w:t>2</w:t>
            </w:r>
          </w:p>
        </w:tc>
        <w:tc>
          <w:tcPr>
            <w:tcW w:w="1014" w:type="dxa"/>
            <w:noWrap/>
            <w:hideMark/>
          </w:tcPr>
          <w:p w14:paraId="78E13FC3" w14:textId="77777777" w:rsidR="000959B9" w:rsidRPr="00131EED" w:rsidRDefault="000959B9" w:rsidP="002F6CAB">
            <w:pPr>
              <w:jc w:val="center"/>
              <w:rPr>
                <w:b/>
                <w:sz w:val="20"/>
                <w:szCs w:val="20"/>
                <w:lang w:eastAsia="es-ES"/>
              </w:rPr>
            </w:pPr>
            <w:r w:rsidRPr="00131EED">
              <w:rPr>
                <w:b/>
                <w:sz w:val="20"/>
                <w:szCs w:val="20"/>
                <w:lang w:eastAsia="es-ES"/>
              </w:rPr>
              <w:t>1</w:t>
            </w:r>
          </w:p>
        </w:tc>
        <w:tc>
          <w:tcPr>
            <w:tcW w:w="1558" w:type="dxa"/>
            <w:noWrap/>
            <w:hideMark/>
          </w:tcPr>
          <w:p w14:paraId="745811C6" w14:textId="77777777" w:rsidR="000959B9" w:rsidRPr="00131EED" w:rsidRDefault="000959B9" w:rsidP="002F6CAB">
            <w:pPr>
              <w:jc w:val="center"/>
              <w:rPr>
                <w:b/>
                <w:sz w:val="20"/>
                <w:szCs w:val="20"/>
                <w:lang w:eastAsia="es-ES"/>
              </w:rPr>
            </w:pPr>
            <w:r w:rsidRPr="00131EED">
              <w:rPr>
                <w:b/>
                <w:sz w:val="20"/>
                <w:szCs w:val="20"/>
                <w:lang w:eastAsia="es-ES"/>
              </w:rPr>
              <w:t>3</w:t>
            </w:r>
          </w:p>
        </w:tc>
      </w:tr>
      <w:tr w:rsidR="000959B9" w:rsidRPr="00131EED" w14:paraId="55D411F2" w14:textId="77777777" w:rsidTr="00B60DA2">
        <w:trPr>
          <w:trHeight w:val="228"/>
        </w:trPr>
        <w:tc>
          <w:tcPr>
            <w:tcW w:w="2380" w:type="dxa"/>
            <w:vMerge w:val="restart"/>
            <w:noWrap/>
            <w:hideMark/>
          </w:tcPr>
          <w:p w14:paraId="3EC67629" w14:textId="77777777" w:rsidR="006C4ED4" w:rsidRPr="00131EED" w:rsidRDefault="000959B9" w:rsidP="00B60DA2">
            <w:pPr>
              <w:rPr>
                <w:b/>
                <w:sz w:val="20"/>
                <w:szCs w:val="20"/>
                <w:lang w:eastAsia="es-ES"/>
              </w:rPr>
            </w:pPr>
            <w:r w:rsidRPr="00131EED">
              <w:rPr>
                <w:b/>
                <w:sz w:val="20"/>
                <w:szCs w:val="20"/>
                <w:lang w:eastAsia="es-ES"/>
              </w:rPr>
              <w:t>Título terminado-en proceso de liquidación</w:t>
            </w:r>
          </w:p>
          <w:p w14:paraId="5B42C54E" w14:textId="5EAFC74D" w:rsidR="000959B9" w:rsidRPr="00131EED" w:rsidRDefault="006C4ED4" w:rsidP="00B60DA2">
            <w:pPr>
              <w:rPr>
                <w:b/>
                <w:sz w:val="20"/>
                <w:szCs w:val="20"/>
                <w:lang w:eastAsia="es-ES"/>
              </w:rPr>
            </w:pPr>
            <w:r w:rsidRPr="00131EED">
              <w:rPr>
                <w:b/>
                <w:sz w:val="20"/>
                <w:szCs w:val="20"/>
                <w:lang w:eastAsia="es-ES"/>
              </w:rPr>
              <w:t> </w:t>
            </w:r>
          </w:p>
        </w:tc>
        <w:tc>
          <w:tcPr>
            <w:tcW w:w="1819" w:type="dxa"/>
            <w:noWrap/>
            <w:hideMark/>
          </w:tcPr>
          <w:p w14:paraId="2B9827C4" w14:textId="77777777" w:rsidR="000959B9" w:rsidRPr="00131EED" w:rsidRDefault="000959B9" w:rsidP="00B60DA2">
            <w:pPr>
              <w:rPr>
                <w:sz w:val="20"/>
                <w:szCs w:val="20"/>
                <w:lang w:eastAsia="es-ES"/>
              </w:rPr>
            </w:pPr>
            <w:r w:rsidRPr="00131EED">
              <w:rPr>
                <w:sz w:val="20"/>
                <w:szCs w:val="20"/>
                <w:lang w:eastAsia="es-ES"/>
              </w:rPr>
              <w:t>Carbón</w:t>
            </w:r>
          </w:p>
        </w:tc>
        <w:tc>
          <w:tcPr>
            <w:tcW w:w="1309" w:type="dxa"/>
            <w:noWrap/>
            <w:hideMark/>
          </w:tcPr>
          <w:p w14:paraId="073A494C" w14:textId="77777777" w:rsidR="000959B9" w:rsidRPr="00131EED" w:rsidRDefault="000959B9" w:rsidP="002F6CAB">
            <w:pPr>
              <w:jc w:val="center"/>
              <w:rPr>
                <w:sz w:val="20"/>
                <w:szCs w:val="20"/>
                <w:lang w:eastAsia="es-ES"/>
              </w:rPr>
            </w:pPr>
            <w:r w:rsidRPr="00131EED">
              <w:rPr>
                <w:sz w:val="20"/>
                <w:szCs w:val="20"/>
                <w:lang w:eastAsia="es-ES"/>
              </w:rPr>
              <w:t>1</w:t>
            </w:r>
          </w:p>
        </w:tc>
        <w:tc>
          <w:tcPr>
            <w:tcW w:w="1006" w:type="dxa"/>
            <w:noWrap/>
            <w:hideMark/>
          </w:tcPr>
          <w:p w14:paraId="621A99D6" w14:textId="77777777" w:rsidR="000959B9" w:rsidRPr="00131EED" w:rsidRDefault="000959B9" w:rsidP="002F6CAB">
            <w:pPr>
              <w:jc w:val="center"/>
              <w:rPr>
                <w:sz w:val="20"/>
                <w:szCs w:val="20"/>
                <w:lang w:eastAsia="es-ES"/>
              </w:rPr>
            </w:pPr>
            <w:r w:rsidRPr="00131EED">
              <w:rPr>
                <w:sz w:val="20"/>
                <w:szCs w:val="20"/>
                <w:lang w:eastAsia="es-ES"/>
              </w:rPr>
              <w:t>2</w:t>
            </w:r>
          </w:p>
        </w:tc>
        <w:tc>
          <w:tcPr>
            <w:tcW w:w="1014" w:type="dxa"/>
            <w:noWrap/>
            <w:hideMark/>
          </w:tcPr>
          <w:p w14:paraId="318C8D8C" w14:textId="7E9FFA02" w:rsidR="000959B9" w:rsidRPr="00131EED" w:rsidRDefault="000959B9" w:rsidP="002F6CAB">
            <w:pPr>
              <w:jc w:val="center"/>
              <w:rPr>
                <w:sz w:val="20"/>
                <w:szCs w:val="20"/>
                <w:lang w:eastAsia="es-ES"/>
              </w:rPr>
            </w:pPr>
          </w:p>
        </w:tc>
        <w:tc>
          <w:tcPr>
            <w:tcW w:w="1558" w:type="dxa"/>
            <w:noWrap/>
            <w:hideMark/>
          </w:tcPr>
          <w:p w14:paraId="781EEF6D" w14:textId="77777777" w:rsidR="000959B9" w:rsidRPr="00131EED" w:rsidRDefault="000959B9" w:rsidP="002F6CAB">
            <w:pPr>
              <w:jc w:val="center"/>
              <w:rPr>
                <w:sz w:val="20"/>
                <w:szCs w:val="20"/>
                <w:lang w:eastAsia="es-ES"/>
              </w:rPr>
            </w:pPr>
            <w:r w:rsidRPr="00131EED">
              <w:rPr>
                <w:sz w:val="20"/>
                <w:szCs w:val="20"/>
                <w:lang w:eastAsia="es-ES"/>
              </w:rPr>
              <w:t>3</w:t>
            </w:r>
          </w:p>
        </w:tc>
      </w:tr>
      <w:tr w:rsidR="000959B9" w:rsidRPr="00131EED" w14:paraId="127DFE15" w14:textId="77777777" w:rsidTr="00B60DA2">
        <w:trPr>
          <w:trHeight w:val="228"/>
        </w:trPr>
        <w:tc>
          <w:tcPr>
            <w:tcW w:w="2380" w:type="dxa"/>
            <w:vMerge/>
            <w:noWrap/>
            <w:hideMark/>
          </w:tcPr>
          <w:p w14:paraId="43C159BD" w14:textId="20AFC9D8" w:rsidR="000959B9" w:rsidRPr="00131EED" w:rsidRDefault="000959B9" w:rsidP="00B60DA2">
            <w:pPr>
              <w:rPr>
                <w:sz w:val="20"/>
                <w:szCs w:val="20"/>
                <w:lang w:eastAsia="es-ES"/>
              </w:rPr>
            </w:pPr>
          </w:p>
        </w:tc>
        <w:tc>
          <w:tcPr>
            <w:tcW w:w="1819" w:type="dxa"/>
            <w:noWrap/>
            <w:hideMark/>
          </w:tcPr>
          <w:p w14:paraId="6B9C85EB" w14:textId="77777777" w:rsidR="000959B9" w:rsidRPr="00131EED" w:rsidRDefault="000959B9" w:rsidP="00B60DA2">
            <w:pPr>
              <w:rPr>
                <w:sz w:val="20"/>
                <w:szCs w:val="20"/>
                <w:lang w:eastAsia="es-ES"/>
              </w:rPr>
            </w:pPr>
            <w:r w:rsidRPr="00131EED">
              <w:rPr>
                <w:sz w:val="20"/>
                <w:szCs w:val="20"/>
                <w:lang w:eastAsia="es-ES"/>
              </w:rPr>
              <w:t>Materiales de construcción</w:t>
            </w:r>
          </w:p>
        </w:tc>
        <w:tc>
          <w:tcPr>
            <w:tcW w:w="1309" w:type="dxa"/>
            <w:noWrap/>
            <w:hideMark/>
          </w:tcPr>
          <w:p w14:paraId="6ECA758A" w14:textId="77777777" w:rsidR="000959B9" w:rsidRPr="00131EED" w:rsidRDefault="000959B9" w:rsidP="002F6CAB">
            <w:pPr>
              <w:jc w:val="center"/>
              <w:rPr>
                <w:sz w:val="20"/>
                <w:szCs w:val="20"/>
                <w:lang w:eastAsia="es-ES"/>
              </w:rPr>
            </w:pPr>
            <w:r w:rsidRPr="00131EED">
              <w:rPr>
                <w:sz w:val="20"/>
                <w:szCs w:val="20"/>
                <w:lang w:eastAsia="es-ES"/>
              </w:rPr>
              <w:t>3</w:t>
            </w:r>
          </w:p>
        </w:tc>
        <w:tc>
          <w:tcPr>
            <w:tcW w:w="1006" w:type="dxa"/>
            <w:noWrap/>
            <w:hideMark/>
          </w:tcPr>
          <w:p w14:paraId="680C21FF" w14:textId="77777777" w:rsidR="000959B9" w:rsidRPr="00131EED" w:rsidRDefault="000959B9" w:rsidP="002F6CAB">
            <w:pPr>
              <w:jc w:val="center"/>
              <w:rPr>
                <w:sz w:val="20"/>
                <w:szCs w:val="20"/>
                <w:lang w:eastAsia="es-ES"/>
              </w:rPr>
            </w:pPr>
          </w:p>
        </w:tc>
        <w:tc>
          <w:tcPr>
            <w:tcW w:w="1014" w:type="dxa"/>
            <w:noWrap/>
            <w:hideMark/>
          </w:tcPr>
          <w:p w14:paraId="34811F03" w14:textId="77777777" w:rsidR="000959B9" w:rsidRPr="00131EED" w:rsidRDefault="000959B9" w:rsidP="002F6CAB">
            <w:pPr>
              <w:jc w:val="center"/>
              <w:rPr>
                <w:sz w:val="20"/>
                <w:szCs w:val="20"/>
                <w:lang w:eastAsia="es-ES"/>
              </w:rPr>
            </w:pPr>
          </w:p>
        </w:tc>
        <w:tc>
          <w:tcPr>
            <w:tcW w:w="1558" w:type="dxa"/>
            <w:noWrap/>
            <w:hideMark/>
          </w:tcPr>
          <w:p w14:paraId="588F74BB" w14:textId="77777777" w:rsidR="000959B9" w:rsidRPr="00131EED" w:rsidRDefault="000959B9" w:rsidP="002F6CAB">
            <w:pPr>
              <w:jc w:val="center"/>
              <w:rPr>
                <w:sz w:val="20"/>
                <w:szCs w:val="20"/>
                <w:lang w:eastAsia="es-ES"/>
              </w:rPr>
            </w:pPr>
            <w:r w:rsidRPr="00131EED">
              <w:rPr>
                <w:sz w:val="20"/>
                <w:szCs w:val="20"/>
                <w:lang w:eastAsia="es-ES"/>
              </w:rPr>
              <w:t>3</w:t>
            </w:r>
          </w:p>
        </w:tc>
      </w:tr>
      <w:tr w:rsidR="000959B9" w:rsidRPr="00131EED" w14:paraId="10E73AD9" w14:textId="77777777" w:rsidTr="00053167">
        <w:trPr>
          <w:trHeight w:val="228"/>
        </w:trPr>
        <w:tc>
          <w:tcPr>
            <w:tcW w:w="4199" w:type="dxa"/>
            <w:gridSpan w:val="2"/>
            <w:noWrap/>
            <w:hideMark/>
          </w:tcPr>
          <w:p w14:paraId="06891E6F" w14:textId="77777777" w:rsidR="000959B9" w:rsidRPr="00131EED" w:rsidRDefault="000959B9" w:rsidP="00B60DA2">
            <w:pPr>
              <w:rPr>
                <w:b/>
                <w:sz w:val="20"/>
                <w:szCs w:val="20"/>
                <w:lang w:eastAsia="es-ES"/>
              </w:rPr>
            </w:pPr>
            <w:r w:rsidRPr="00131EED">
              <w:rPr>
                <w:b/>
                <w:sz w:val="20"/>
                <w:szCs w:val="20"/>
                <w:lang w:eastAsia="es-ES"/>
              </w:rPr>
              <w:t>Total Titulo terminado-en proceso de liquidación</w:t>
            </w:r>
          </w:p>
        </w:tc>
        <w:tc>
          <w:tcPr>
            <w:tcW w:w="1309" w:type="dxa"/>
            <w:noWrap/>
            <w:hideMark/>
          </w:tcPr>
          <w:p w14:paraId="556141A5" w14:textId="77777777" w:rsidR="000959B9" w:rsidRPr="00131EED" w:rsidRDefault="000959B9" w:rsidP="002F6CAB">
            <w:pPr>
              <w:jc w:val="center"/>
              <w:rPr>
                <w:b/>
                <w:sz w:val="20"/>
                <w:szCs w:val="20"/>
                <w:lang w:eastAsia="es-ES"/>
              </w:rPr>
            </w:pPr>
            <w:r w:rsidRPr="00131EED">
              <w:rPr>
                <w:b/>
                <w:sz w:val="20"/>
                <w:szCs w:val="20"/>
                <w:lang w:eastAsia="es-ES"/>
              </w:rPr>
              <w:t>4</w:t>
            </w:r>
          </w:p>
        </w:tc>
        <w:tc>
          <w:tcPr>
            <w:tcW w:w="1006" w:type="dxa"/>
            <w:noWrap/>
            <w:hideMark/>
          </w:tcPr>
          <w:p w14:paraId="0F202F0F" w14:textId="77777777" w:rsidR="000959B9" w:rsidRPr="00131EED" w:rsidRDefault="000959B9" w:rsidP="002F6CAB">
            <w:pPr>
              <w:jc w:val="center"/>
              <w:rPr>
                <w:b/>
                <w:sz w:val="20"/>
                <w:szCs w:val="20"/>
                <w:lang w:eastAsia="es-ES"/>
              </w:rPr>
            </w:pPr>
            <w:r w:rsidRPr="00131EED">
              <w:rPr>
                <w:b/>
                <w:sz w:val="20"/>
                <w:szCs w:val="20"/>
                <w:lang w:eastAsia="es-ES"/>
              </w:rPr>
              <w:t>2</w:t>
            </w:r>
          </w:p>
        </w:tc>
        <w:tc>
          <w:tcPr>
            <w:tcW w:w="1014" w:type="dxa"/>
            <w:noWrap/>
            <w:hideMark/>
          </w:tcPr>
          <w:p w14:paraId="60BA1D4D" w14:textId="5A471E1A" w:rsidR="000959B9" w:rsidRPr="00131EED" w:rsidRDefault="000959B9" w:rsidP="002F6CAB">
            <w:pPr>
              <w:jc w:val="center"/>
              <w:rPr>
                <w:b/>
                <w:sz w:val="20"/>
                <w:szCs w:val="20"/>
                <w:lang w:eastAsia="es-ES"/>
              </w:rPr>
            </w:pPr>
          </w:p>
        </w:tc>
        <w:tc>
          <w:tcPr>
            <w:tcW w:w="1558" w:type="dxa"/>
            <w:noWrap/>
            <w:hideMark/>
          </w:tcPr>
          <w:p w14:paraId="5F02FE6B" w14:textId="77777777" w:rsidR="000959B9" w:rsidRPr="00131EED" w:rsidRDefault="000959B9" w:rsidP="002F6CAB">
            <w:pPr>
              <w:jc w:val="center"/>
              <w:rPr>
                <w:b/>
                <w:sz w:val="20"/>
                <w:szCs w:val="20"/>
                <w:lang w:eastAsia="es-ES"/>
              </w:rPr>
            </w:pPr>
            <w:r w:rsidRPr="00131EED">
              <w:rPr>
                <w:b/>
                <w:sz w:val="20"/>
                <w:szCs w:val="20"/>
                <w:lang w:eastAsia="es-ES"/>
              </w:rPr>
              <w:t>6</w:t>
            </w:r>
          </w:p>
        </w:tc>
      </w:tr>
      <w:tr w:rsidR="000959B9" w:rsidRPr="00131EED" w14:paraId="7D273005" w14:textId="77777777" w:rsidTr="00053167">
        <w:trPr>
          <w:trHeight w:val="228"/>
        </w:trPr>
        <w:tc>
          <w:tcPr>
            <w:tcW w:w="2380" w:type="dxa"/>
            <w:noWrap/>
            <w:hideMark/>
          </w:tcPr>
          <w:p w14:paraId="11C9407F" w14:textId="77777777" w:rsidR="000959B9" w:rsidRPr="00131EED" w:rsidRDefault="000959B9" w:rsidP="00B60DA2">
            <w:pPr>
              <w:rPr>
                <w:b/>
                <w:sz w:val="20"/>
                <w:szCs w:val="20"/>
                <w:lang w:eastAsia="es-ES"/>
              </w:rPr>
            </w:pPr>
            <w:r w:rsidRPr="00131EED">
              <w:rPr>
                <w:b/>
                <w:sz w:val="20"/>
                <w:szCs w:val="20"/>
                <w:lang w:eastAsia="es-ES"/>
              </w:rPr>
              <w:t>Total general</w:t>
            </w:r>
          </w:p>
        </w:tc>
        <w:tc>
          <w:tcPr>
            <w:tcW w:w="1819" w:type="dxa"/>
            <w:noWrap/>
            <w:hideMark/>
          </w:tcPr>
          <w:p w14:paraId="70BBFB4F" w14:textId="77777777" w:rsidR="000959B9" w:rsidRPr="00131EED" w:rsidRDefault="000959B9" w:rsidP="00B60DA2">
            <w:pPr>
              <w:rPr>
                <w:b/>
                <w:sz w:val="20"/>
                <w:szCs w:val="20"/>
                <w:lang w:eastAsia="es-ES"/>
              </w:rPr>
            </w:pPr>
            <w:r w:rsidRPr="00131EED">
              <w:rPr>
                <w:b/>
                <w:sz w:val="20"/>
                <w:szCs w:val="20"/>
                <w:lang w:eastAsia="es-ES"/>
              </w:rPr>
              <w:t> </w:t>
            </w:r>
          </w:p>
        </w:tc>
        <w:tc>
          <w:tcPr>
            <w:tcW w:w="1309" w:type="dxa"/>
            <w:noWrap/>
            <w:hideMark/>
          </w:tcPr>
          <w:p w14:paraId="76A50839" w14:textId="77777777" w:rsidR="000959B9" w:rsidRPr="00131EED" w:rsidRDefault="000959B9" w:rsidP="002F6CAB">
            <w:pPr>
              <w:jc w:val="center"/>
              <w:rPr>
                <w:b/>
                <w:sz w:val="20"/>
                <w:szCs w:val="20"/>
                <w:lang w:eastAsia="es-ES"/>
              </w:rPr>
            </w:pPr>
            <w:r w:rsidRPr="00131EED">
              <w:rPr>
                <w:b/>
                <w:sz w:val="20"/>
                <w:szCs w:val="20"/>
                <w:lang w:eastAsia="es-ES"/>
              </w:rPr>
              <w:t>4</w:t>
            </w:r>
          </w:p>
        </w:tc>
        <w:tc>
          <w:tcPr>
            <w:tcW w:w="1006" w:type="dxa"/>
            <w:noWrap/>
            <w:hideMark/>
          </w:tcPr>
          <w:p w14:paraId="34395CBB" w14:textId="77777777" w:rsidR="000959B9" w:rsidRPr="00131EED" w:rsidRDefault="000959B9" w:rsidP="002F6CAB">
            <w:pPr>
              <w:jc w:val="center"/>
              <w:rPr>
                <w:b/>
                <w:sz w:val="20"/>
                <w:szCs w:val="20"/>
                <w:lang w:eastAsia="es-ES"/>
              </w:rPr>
            </w:pPr>
            <w:r w:rsidRPr="00131EED">
              <w:rPr>
                <w:b/>
                <w:sz w:val="20"/>
                <w:szCs w:val="20"/>
                <w:lang w:eastAsia="es-ES"/>
              </w:rPr>
              <w:t>25</w:t>
            </w:r>
          </w:p>
        </w:tc>
        <w:tc>
          <w:tcPr>
            <w:tcW w:w="1014" w:type="dxa"/>
            <w:noWrap/>
            <w:hideMark/>
          </w:tcPr>
          <w:p w14:paraId="17A74CAD" w14:textId="77777777" w:rsidR="000959B9" w:rsidRPr="00131EED" w:rsidRDefault="000959B9" w:rsidP="002F6CAB">
            <w:pPr>
              <w:jc w:val="center"/>
              <w:rPr>
                <w:b/>
                <w:sz w:val="20"/>
                <w:szCs w:val="20"/>
                <w:lang w:eastAsia="es-ES"/>
              </w:rPr>
            </w:pPr>
            <w:r w:rsidRPr="00131EED">
              <w:rPr>
                <w:b/>
                <w:sz w:val="20"/>
                <w:szCs w:val="20"/>
                <w:lang w:eastAsia="es-ES"/>
              </w:rPr>
              <w:t>33</w:t>
            </w:r>
          </w:p>
        </w:tc>
        <w:tc>
          <w:tcPr>
            <w:tcW w:w="1558" w:type="dxa"/>
            <w:noWrap/>
            <w:hideMark/>
          </w:tcPr>
          <w:p w14:paraId="08353B0E" w14:textId="77777777" w:rsidR="000959B9" w:rsidRPr="00131EED" w:rsidRDefault="000959B9" w:rsidP="002F6CAB">
            <w:pPr>
              <w:jc w:val="center"/>
              <w:rPr>
                <w:b/>
                <w:sz w:val="20"/>
                <w:szCs w:val="20"/>
                <w:lang w:eastAsia="es-ES"/>
              </w:rPr>
            </w:pPr>
            <w:r w:rsidRPr="00131EED">
              <w:rPr>
                <w:b/>
                <w:sz w:val="20"/>
                <w:szCs w:val="20"/>
                <w:lang w:eastAsia="es-ES"/>
              </w:rPr>
              <w:t>55</w:t>
            </w:r>
          </w:p>
        </w:tc>
      </w:tr>
    </w:tbl>
    <w:p w14:paraId="636A28E6" w14:textId="77777777" w:rsidR="000959B9" w:rsidRPr="00131EED" w:rsidRDefault="000959B9" w:rsidP="000959B9">
      <w:pPr>
        <w:jc w:val="center"/>
        <w:rPr>
          <w:rFonts w:cs="Arial"/>
          <w:sz w:val="20"/>
          <w:szCs w:val="20"/>
          <w:lang w:eastAsia="es-ES"/>
        </w:rPr>
      </w:pPr>
      <w:r w:rsidRPr="00131EED">
        <w:rPr>
          <w:sz w:val="20"/>
          <w:szCs w:val="20"/>
        </w:rPr>
        <w:t>No incluye siete (7) títulos de y</w:t>
      </w:r>
      <w:r w:rsidRPr="00131EED">
        <w:rPr>
          <w:rFonts w:cs="Arial"/>
          <w:sz w:val="20"/>
          <w:szCs w:val="20"/>
          <w:lang w:eastAsia="es-ES"/>
        </w:rPr>
        <w:t>acimientos de sal y minerales para el mejoramiento de la red vial veredal o terciaria de los municipios.</w:t>
      </w:r>
    </w:p>
    <w:p w14:paraId="7AAFEDC5" w14:textId="77777777" w:rsidR="000959B9" w:rsidRPr="00131EED" w:rsidRDefault="000959B9" w:rsidP="000959B9">
      <w:pPr>
        <w:jc w:val="center"/>
        <w:rPr>
          <w:rFonts w:cs="Arial"/>
          <w:sz w:val="20"/>
          <w:szCs w:val="20"/>
          <w:lang w:eastAsia="es-ES"/>
        </w:rPr>
      </w:pPr>
    </w:p>
    <w:p w14:paraId="648ABB7B" w14:textId="77777777" w:rsidR="00B53A59" w:rsidRPr="00131EED" w:rsidRDefault="00B53A59" w:rsidP="003E14A7">
      <w:pPr>
        <w:rPr>
          <w:lang w:eastAsia="es-ES"/>
        </w:rPr>
      </w:pPr>
    </w:p>
    <w:p w14:paraId="53915095" w14:textId="0B5C6D2E" w:rsidR="000959B9" w:rsidRPr="00131EED" w:rsidRDefault="000959B9" w:rsidP="00701EC8">
      <w:pPr>
        <w:pStyle w:val="Caption"/>
        <w:jc w:val="center"/>
      </w:pPr>
      <w:bookmarkStart w:id="184" w:name="_Toc216468941"/>
      <w:r w:rsidRPr="00131EED">
        <w:t xml:space="preserve">Tabla </w:t>
      </w:r>
      <w:fldSimple w:instr=" SEQ Tabla \* ARABIC ">
        <w:r w:rsidR="00CE096F">
          <w:rPr>
            <w:noProof/>
          </w:rPr>
          <w:t>31</w:t>
        </w:r>
      </w:fldSimple>
      <w:r w:rsidRPr="00131EED">
        <w:t>. Desagregado de los instrumentos mineros</w:t>
      </w:r>
      <w:bookmarkEnd w:id="184"/>
    </w:p>
    <w:tbl>
      <w:tblPr>
        <w:tblStyle w:val="TableGrid"/>
        <w:tblW w:w="0" w:type="auto"/>
        <w:jc w:val="center"/>
        <w:tblLook w:val="04A0" w:firstRow="1" w:lastRow="0" w:firstColumn="1" w:lastColumn="0" w:noHBand="0" w:noVBand="1"/>
      </w:tblPr>
      <w:tblGrid>
        <w:gridCol w:w="2263"/>
        <w:gridCol w:w="2835"/>
        <w:gridCol w:w="3730"/>
      </w:tblGrid>
      <w:tr w:rsidR="000959B9" w:rsidRPr="00131EED" w14:paraId="48682BDC" w14:textId="77777777" w:rsidTr="003E14A7">
        <w:trPr>
          <w:trHeight w:val="255"/>
          <w:tblHeader/>
          <w:jc w:val="center"/>
        </w:trPr>
        <w:tc>
          <w:tcPr>
            <w:tcW w:w="2263" w:type="dxa"/>
            <w:noWrap/>
            <w:hideMark/>
          </w:tcPr>
          <w:p w14:paraId="08CD5978" w14:textId="77777777" w:rsidR="000959B9" w:rsidRPr="00131EED" w:rsidRDefault="000959B9" w:rsidP="00B60DA2">
            <w:pPr>
              <w:jc w:val="center"/>
              <w:rPr>
                <w:b/>
                <w:sz w:val="20"/>
                <w:szCs w:val="20"/>
                <w:lang w:eastAsia="es-ES"/>
              </w:rPr>
            </w:pPr>
            <w:r w:rsidRPr="00131EED">
              <w:rPr>
                <w:b/>
                <w:sz w:val="20"/>
                <w:szCs w:val="20"/>
              </w:rPr>
              <w:t>Código Expediente ANM</w:t>
            </w:r>
          </w:p>
        </w:tc>
        <w:tc>
          <w:tcPr>
            <w:tcW w:w="2835" w:type="dxa"/>
            <w:noWrap/>
            <w:hideMark/>
          </w:tcPr>
          <w:p w14:paraId="48EE154E" w14:textId="77777777" w:rsidR="000959B9" w:rsidRPr="00131EED" w:rsidRDefault="000959B9" w:rsidP="00B60DA2">
            <w:pPr>
              <w:jc w:val="center"/>
              <w:rPr>
                <w:b/>
                <w:sz w:val="20"/>
                <w:szCs w:val="20"/>
                <w:lang w:eastAsia="es-ES"/>
              </w:rPr>
            </w:pPr>
            <w:r w:rsidRPr="00131EED">
              <w:rPr>
                <w:b/>
                <w:sz w:val="20"/>
                <w:szCs w:val="20"/>
              </w:rPr>
              <w:t>Estado Titulo</w:t>
            </w:r>
          </w:p>
        </w:tc>
        <w:tc>
          <w:tcPr>
            <w:tcW w:w="3730" w:type="dxa"/>
            <w:noWrap/>
            <w:hideMark/>
          </w:tcPr>
          <w:p w14:paraId="70B41A77" w14:textId="77777777" w:rsidR="000959B9" w:rsidRPr="00131EED" w:rsidRDefault="000959B9" w:rsidP="00B60DA2">
            <w:pPr>
              <w:jc w:val="center"/>
              <w:rPr>
                <w:b/>
                <w:sz w:val="20"/>
                <w:szCs w:val="20"/>
                <w:lang w:eastAsia="es-ES"/>
              </w:rPr>
            </w:pPr>
            <w:r w:rsidRPr="00131EED">
              <w:rPr>
                <w:b/>
                <w:sz w:val="20"/>
                <w:szCs w:val="20"/>
                <w:lang w:eastAsia="es-ES"/>
              </w:rPr>
              <w:t>Modalidad</w:t>
            </w:r>
          </w:p>
        </w:tc>
      </w:tr>
      <w:tr w:rsidR="000959B9" w:rsidRPr="00131EED" w14:paraId="3BAB01BB" w14:textId="77777777" w:rsidTr="00053167">
        <w:trPr>
          <w:trHeight w:val="255"/>
          <w:jc w:val="center"/>
        </w:trPr>
        <w:tc>
          <w:tcPr>
            <w:tcW w:w="2263" w:type="dxa"/>
            <w:noWrap/>
            <w:hideMark/>
          </w:tcPr>
          <w:p w14:paraId="5F676EA9" w14:textId="77777777" w:rsidR="000959B9" w:rsidRPr="00131EED" w:rsidRDefault="000959B9" w:rsidP="00B60DA2">
            <w:pPr>
              <w:rPr>
                <w:sz w:val="20"/>
                <w:szCs w:val="20"/>
                <w:lang w:eastAsia="es-ES"/>
              </w:rPr>
            </w:pPr>
            <w:r w:rsidRPr="00131EED">
              <w:rPr>
                <w:sz w:val="20"/>
                <w:szCs w:val="20"/>
                <w:lang w:eastAsia="es-ES"/>
              </w:rPr>
              <w:t>02-001-98</w:t>
            </w:r>
          </w:p>
        </w:tc>
        <w:tc>
          <w:tcPr>
            <w:tcW w:w="2835" w:type="dxa"/>
            <w:noWrap/>
            <w:hideMark/>
          </w:tcPr>
          <w:p w14:paraId="1E0D3E23"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7D15780A" w14:textId="77777777" w:rsidR="000959B9" w:rsidRPr="00131EED" w:rsidRDefault="000959B9" w:rsidP="00B60DA2">
            <w:pPr>
              <w:rPr>
                <w:sz w:val="20"/>
                <w:szCs w:val="20"/>
                <w:lang w:eastAsia="es-ES"/>
              </w:rPr>
            </w:pPr>
            <w:r w:rsidRPr="00131EED">
              <w:rPr>
                <w:sz w:val="20"/>
                <w:szCs w:val="20"/>
                <w:lang w:eastAsia="es-ES"/>
              </w:rPr>
              <w:t>CONTRATO EN VIRTUD DE APORTE</w:t>
            </w:r>
          </w:p>
        </w:tc>
      </w:tr>
      <w:tr w:rsidR="000959B9" w:rsidRPr="00131EED" w14:paraId="0001B08F" w14:textId="77777777" w:rsidTr="00053167">
        <w:trPr>
          <w:trHeight w:val="255"/>
          <w:jc w:val="center"/>
        </w:trPr>
        <w:tc>
          <w:tcPr>
            <w:tcW w:w="2263" w:type="dxa"/>
            <w:noWrap/>
            <w:hideMark/>
          </w:tcPr>
          <w:p w14:paraId="2A6E4491" w14:textId="77777777" w:rsidR="000959B9" w:rsidRPr="00131EED" w:rsidRDefault="000959B9" w:rsidP="00B60DA2">
            <w:pPr>
              <w:rPr>
                <w:sz w:val="20"/>
                <w:szCs w:val="20"/>
                <w:lang w:eastAsia="es-ES"/>
              </w:rPr>
            </w:pPr>
            <w:r w:rsidRPr="00131EED">
              <w:rPr>
                <w:sz w:val="20"/>
                <w:szCs w:val="20"/>
                <w:lang w:eastAsia="es-ES"/>
              </w:rPr>
              <w:t>02-007</w:t>
            </w:r>
          </w:p>
        </w:tc>
        <w:tc>
          <w:tcPr>
            <w:tcW w:w="2835" w:type="dxa"/>
            <w:noWrap/>
            <w:hideMark/>
          </w:tcPr>
          <w:p w14:paraId="63493C26"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0B9576F8" w14:textId="77777777" w:rsidR="000959B9" w:rsidRPr="00131EED" w:rsidRDefault="000959B9" w:rsidP="00B60DA2">
            <w:pPr>
              <w:rPr>
                <w:sz w:val="20"/>
                <w:szCs w:val="20"/>
                <w:lang w:eastAsia="es-ES"/>
              </w:rPr>
            </w:pPr>
            <w:r w:rsidRPr="00131EED">
              <w:rPr>
                <w:sz w:val="20"/>
                <w:szCs w:val="20"/>
                <w:lang w:eastAsia="es-ES"/>
              </w:rPr>
              <w:t>REGISTRO MINERO DE CANTERAS</w:t>
            </w:r>
          </w:p>
        </w:tc>
      </w:tr>
      <w:tr w:rsidR="000959B9" w:rsidRPr="00131EED" w14:paraId="732E4BB9" w14:textId="77777777" w:rsidTr="00053167">
        <w:trPr>
          <w:trHeight w:val="255"/>
          <w:jc w:val="center"/>
        </w:trPr>
        <w:tc>
          <w:tcPr>
            <w:tcW w:w="2263" w:type="dxa"/>
            <w:noWrap/>
            <w:hideMark/>
          </w:tcPr>
          <w:p w14:paraId="5BDF14B8" w14:textId="77777777" w:rsidR="000959B9" w:rsidRPr="00131EED" w:rsidRDefault="000959B9" w:rsidP="00B60DA2">
            <w:pPr>
              <w:rPr>
                <w:sz w:val="20"/>
                <w:szCs w:val="20"/>
                <w:lang w:eastAsia="es-ES"/>
              </w:rPr>
            </w:pPr>
            <w:r w:rsidRPr="00131EED">
              <w:rPr>
                <w:sz w:val="20"/>
                <w:szCs w:val="20"/>
                <w:lang w:eastAsia="es-ES"/>
              </w:rPr>
              <w:t>026</w:t>
            </w:r>
          </w:p>
        </w:tc>
        <w:tc>
          <w:tcPr>
            <w:tcW w:w="2835" w:type="dxa"/>
            <w:noWrap/>
            <w:hideMark/>
          </w:tcPr>
          <w:p w14:paraId="182ACE95"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3D43F582" w14:textId="77777777" w:rsidR="000959B9" w:rsidRPr="00131EED" w:rsidRDefault="000959B9" w:rsidP="00B60DA2">
            <w:pPr>
              <w:rPr>
                <w:sz w:val="20"/>
                <w:szCs w:val="20"/>
                <w:lang w:eastAsia="es-ES"/>
              </w:rPr>
            </w:pPr>
            <w:r w:rsidRPr="00131EED">
              <w:rPr>
                <w:sz w:val="20"/>
                <w:szCs w:val="20"/>
                <w:lang w:eastAsia="es-ES"/>
              </w:rPr>
              <w:t>REGISTRO MINERO DE CANTERAS</w:t>
            </w:r>
          </w:p>
        </w:tc>
      </w:tr>
      <w:tr w:rsidR="000959B9" w:rsidRPr="00131EED" w14:paraId="1DB550A8" w14:textId="77777777" w:rsidTr="00053167">
        <w:trPr>
          <w:trHeight w:val="255"/>
          <w:jc w:val="center"/>
        </w:trPr>
        <w:tc>
          <w:tcPr>
            <w:tcW w:w="2263" w:type="dxa"/>
            <w:noWrap/>
            <w:hideMark/>
          </w:tcPr>
          <w:p w14:paraId="521BEDB2" w14:textId="77777777" w:rsidR="000959B9" w:rsidRPr="00131EED" w:rsidRDefault="000959B9" w:rsidP="00B60DA2">
            <w:pPr>
              <w:rPr>
                <w:sz w:val="20"/>
                <w:szCs w:val="20"/>
                <w:lang w:eastAsia="es-ES"/>
              </w:rPr>
            </w:pPr>
            <w:r w:rsidRPr="00131EED">
              <w:rPr>
                <w:sz w:val="20"/>
                <w:szCs w:val="20"/>
                <w:lang w:eastAsia="es-ES"/>
              </w:rPr>
              <w:t>031</w:t>
            </w:r>
          </w:p>
        </w:tc>
        <w:tc>
          <w:tcPr>
            <w:tcW w:w="2835" w:type="dxa"/>
            <w:noWrap/>
            <w:hideMark/>
          </w:tcPr>
          <w:p w14:paraId="147A9850"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3E31F5F3" w14:textId="77777777" w:rsidR="000959B9" w:rsidRPr="00131EED" w:rsidRDefault="000959B9" w:rsidP="00B60DA2">
            <w:pPr>
              <w:rPr>
                <w:sz w:val="20"/>
                <w:szCs w:val="20"/>
                <w:lang w:eastAsia="es-ES"/>
              </w:rPr>
            </w:pPr>
            <w:r w:rsidRPr="00131EED">
              <w:rPr>
                <w:sz w:val="20"/>
                <w:szCs w:val="20"/>
                <w:lang w:eastAsia="es-ES"/>
              </w:rPr>
              <w:t>RECONOCIMIENTO PROPIEDAD PRIVADA</w:t>
            </w:r>
          </w:p>
        </w:tc>
      </w:tr>
      <w:tr w:rsidR="000959B9" w:rsidRPr="00131EED" w14:paraId="4FA25D2A" w14:textId="77777777" w:rsidTr="00053167">
        <w:trPr>
          <w:trHeight w:val="255"/>
          <w:jc w:val="center"/>
        </w:trPr>
        <w:tc>
          <w:tcPr>
            <w:tcW w:w="2263" w:type="dxa"/>
            <w:noWrap/>
            <w:hideMark/>
          </w:tcPr>
          <w:p w14:paraId="4FE40DA7" w14:textId="77777777" w:rsidR="000959B9" w:rsidRPr="00131EED" w:rsidRDefault="000959B9" w:rsidP="00B60DA2">
            <w:pPr>
              <w:rPr>
                <w:sz w:val="20"/>
                <w:szCs w:val="20"/>
                <w:lang w:eastAsia="es-ES"/>
              </w:rPr>
            </w:pPr>
            <w:r w:rsidRPr="00131EED">
              <w:rPr>
                <w:sz w:val="20"/>
                <w:szCs w:val="20"/>
                <w:lang w:eastAsia="es-ES"/>
              </w:rPr>
              <w:t>059</w:t>
            </w:r>
          </w:p>
        </w:tc>
        <w:tc>
          <w:tcPr>
            <w:tcW w:w="2835" w:type="dxa"/>
            <w:noWrap/>
            <w:hideMark/>
          </w:tcPr>
          <w:p w14:paraId="7AECAA96"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64594469" w14:textId="77777777" w:rsidR="000959B9" w:rsidRPr="00131EED" w:rsidRDefault="000959B9" w:rsidP="00B60DA2">
            <w:pPr>
              <w:rPr>
                <w:sz w:val="20"/>
                <w:szCs w:val="20"/>
                <w:lang w:eastAsia="es-ES"/>
              </w:rPr>
            </w:pPr>
            <w:r w:rsidRPr="00131EED">
              <w:rPr>
                <w:sz w:val="20"/>
                <w:szCs w:val="20"/>
                <w:lang w:eastAsia="es-ES"/>
              </w:rPr>
              <w:t>REGISTRO MINERO DE CANTERAS</w:t>
            </w:r>
          </w:p>
        </w:tc>
      </w:tr>
      <w:tr w:rsidR="000959B9" w:rsidRPr="00131EED" w14:paraId="6DEE77E5" w14:textId="77777777" w:rsidTr="00053167">
        <w:trPr>
          <w:trHeight w:val="255"/>
          <w:jc w:val="center"/>
        </w:trPr>
        <w:tc>
          <w:tcPr>
            <w:tcW w:w="2263" w:type="dxa"/>
            <w:noWrap/>
            <w:hideMark/>
          </w:tcPr>
          <w:p w14:paraId="22DCF91D" w14:textId="77777777" w:rsidR="000959B9" w:rsidRPr="00131EED" w:rsidRDefault="000959B9" w:rsidP="00B60DA2">
            <w:pPr>
              <w:rPr>
                <w:sz w:val="20"/>
                <w:szCs w:val="20"/>
                <w:lang w:eastAsia="es-ES"/>
              </w:rPr>
            </w:pPr>
            <w:r w:rsidRPr="00131EED">
              <w:rPr>
                <w:sz w:val="20"/>
                <w:szCs w:val="20"/>
                <w:lang w:eastAsia="es-ES"/>
              </w:rPr>
              <w:t>060</w:t>
            </w:r>
          </w:p>
        </w:tc>
        <w:tc>
          <w:tcPr>
            <w:tcW w:w="2835" w:type="dxa"/>
            <w:noWrap/>
            <w:hideMark/>
          </w:tcPr>
          <w:p w14:paraId="124D93BF"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4529C16E" w14:textId="77777777" w:rsidR="000959B9" w:rsidRPr="00131EED" w:rsidRDefault="000959B9" w:rsidP="00B60DA2">
            <w:pPr>
              <w:rPr>
                <w:sz w:val="20"/>
                <w:szCs w:val="20"/>
                <w:lang w:eastAsia="es-ES"/>
              </w:rPr>
            </w:pPr>
            <w:r w:rsidRPr="00131EED">
              <w:rPr>
                <w:sz w:val="20"/>
                <w:szCs w:val="20"/>
                <w:lang w:eastAsia="es-ES"/>
              </w:rPr>
              <w:t>REGISTRO MINERO DE CANTERAS</w:t>
            </w:r>
          </w:p>
        </w:tc>
      </w:tr>
      <w:tr w:rsidR="000959B9" w:rsidRPr="00131EED" w14:paraId="67996BCD" w14:textId="77777777" w:rsidTr="00053167">
        <w:trPr>
          <w:trHeight w:val="255"/>
          <w:jc w:val="center"/>
        </w:trPr>
        <w:tc>
          <w:tcPr>
            <w:tcW w:w="2263" w:type="dxa"/>
            <w:noWrap/>
            <w:hideMark/>
          </w:tcPr>
          <w:p w14:paraId="707A6B59" w14:textId="77777777" w:rsidR="000959B9" w:rsidRPr="00131EED" w:rsidRDefault="000959B9" w:rsidP="00B60DA2">
            <w:pPr>
              <w:rPr>
                <w:sz w:val="20"/>
                <w:szCs w:val="20"/>
                <w:lang w:eastAsia="es-ES"/>
              </w:rPr>
            </w:pPr>
            <w:r w:rsidRPr="00131EED">
              <w:rPr>
                <w:sz w:val="20"/>
                <w:szCs w:val="20"/>
                <w:lang w:eastAsia="es-ES"/>
              </w:rPr>
              <w:t>15148</w:t>
            </w:r>
          </w:p>
        </w:tc>
        <w:tc>
          <w:tcPr>
            <w:tcW w:w="2835" w:type="dxa"/>
            <w:noWrap/>
            <w:hideMark/>
          </w:tcPr>
          <w:p w14:paraId="2375298C" w14:textId="77777777" w:rsidR="000959B9" w:rsidRPr="00131EED" w:rsidRDefault="000959B9" w:rsidP="00B60DA2">
            <w:pPr>
              <w:rPr>
                <w:sz w:val="20"/>
                <w:szCs w:val="20"/>
                <w:lang w:eastAsia="es-ES"/>
              </w:rPr>
            </w:pPr>
            <w:r w:rsidRPr="00131EED">
              <w:rPr>
                <w:sz w:val="20"/>
                <w:szCs w:val="20"/>
                <w:lang w:eastAsia="es-ES"/>
              </w:rPr>
              <w:t>Titulo terminado-en liquidación</w:t>
            </w:r>
          </w:p>
        </w:tc>
        <w:tc>
          <w:tcPr>
            <w:tcW w:w="3730" w:type="dxa"/>
            <w:noWrap/>
            <w:hideMark/>
          </w:tcPr>
          <w:p w14:paraId="60C7AF35" w14:textId="77777777" w:rsidR="000959B9" w:rsidRPr="00131EED" w:rsidRDefault="000959B9" w:rsidP="00B60DA2">
            <w:pPr>
              <w:rPr>
                <w:sz w:val="20"/>
                <w:szCs w:val="20"/>
                <w:lang w:eastAsia="es-ES"/>
              </w:rPr>
            </w:pPr>
            <w:r w:rsidRPr="00131EED">
              <w:rPr>
                <w:sz w:val="20"/>
                <w:szCs w:val="20"/>
                <w:lang w:eastAsia="es-ES"/>
              </w:rPr>
              <w:t>CONTRATO DE CONCESION (D 2655)</w:t>
            </w:r>
          </w:p>
        </w:tc>
      </w:tr>
      <w:tr w:rsidR="000959B9" w:rsidRPr="00131EED" w14:paraId="355FBCD2" w14:textId="77777777" w:rsidTr="00053167">
        <w:trPr>
          <w:trHeight w:val="255"/>
          <w:jc w:val="center"/>
        </w:trPr>
        <w:tc>
          <w:tcPr>
            <w:tcW w:w="2263" w:type="dxa"/>
            <w:noWrap/>
            <w:hideMark/>
          </w:tcPr>
          <w:p w14:paraId="03C998BA" w14:textId="77777777" w:rsidR="000959B9" w:rsidRPr="00131EED" w:rsidRDefault="000959B9" w:rsidP="00B60DA2">
            <w:pPr>
              <w:rPr>
                <w:sz w:val="20"/>
                <w:szCs w:val="20"/>
                <w:lang w:eastAsia="es-ES"/>
              </w:rPr>
            </w:pPr>
            <w:r w:rsidRPr="00131EED">
              <w:rPr>
                <w:sz w:val="20"/>
                <w:szCs w:val="20"/>
                <w:lang w:eastAsia="es-ES"/>
              </w:rPr>
              <w:t>15962</w:t>
            </w:r>
          </w:p>
        </w:tc>
        <w:tc>
          <w:tcPr>
            <w:tcW w:w="2835" w:type="dxa"/>
            <w:noWrap/>
            <w:hideMark/>
          </w:tcPr>
          <w:p w14:paraId="67F4D7B5" w14:textId="77777777" w:rsidR="000959B9" w:rsidRPr="00131EED" w:rsidRDefault="000959B9" w:rsidP="00B60DA2">
            <w:pPr>
              <w:rPr>
                <w:sz w:val="20"/>
                <w:szCs w:val="20"/>
                <w:lang w:eastAsia="es-ES"/>
              </w:rPr>
            </w:pPr>
            <w:r w:rsidRPr="00131EED">
              <w:rPr>
                <w:sz w:val="20"/>
                <w:szCs w:val="20"/>
                <w:lang w:eastAsia="es-ES"/>
              </w:rPr>
              <w:t>Titulo terminado-en liquidación</w:t>
            </w:r>
          </w:p>
        </w:tc>
        <w:tc>
          <w:tcPr>
            <w:tcW w:w="3730" w:type="dxa"/>
            <w:noWrap/>
            <w:hideMark/>
          </w:tcPr>
          <w:p w14:paraId="3704272D" w14:textId="77777777" w:rsidR="000959B9" w:rsidRPr="00131EED" w:rsidRDefault="000959B9" w:rsidP="00B60DA2">
            <w:pPr>
              <w:rPr>
                <w:sz w:val="20"/>
                <w:szCs w:val="20"/>
                <w:lang w:eastAsia="es-ES"/>
              </w:rPr>
            </w:pPr>
            <w:r w:rsidRPr="00131EED">
              <w:rPr>
                <w:sz w:val="20"/>
                <w:szCs w:val="20"/>
                <w:lang w:eastAsia="es-ES"/>
              </w:rPr>
              <w:t>CONTRATO DE CONCESION (D 2655)</w:t>
            </w:r>
          </w:p>
        </w:tc>
      </w:tr>
      <w:tr w:rsidR="000959B9" w:rsidRPr="00131EED" w14:paraId="05A37686" w14:textId="77777777" w:rsidTr="00053167">
        <w:trPr>
          <w:trHeight w:val="255"/>
          <w:jc w:val="center"/>
        </w:trPr>
        <w:tc>
          <w:tcPr>
            <w:tcW w:w="2263" w:type="dxa"/>
            <w:noWrap/>
            <w:hideMark/>
          </w:tcPr>
          <w:p w14:paraId="34DB851A" w14:textId="77777777" w:rsidR="000959B9" w:rsidRPr="00131EED" w:rsidRDefault="000959B9" w:rsidP="00B60DA2">
            <w:pPr>
              <w:rPr>
                <w:sz w:val="20"/>
                <w:szCs w:val="20"/>
                <w:lang w:eastAsia="es-ES"/>
              </w:rPr>
            </w:pPr>
            <w:r w:rsidRPr="00131EED">
              <w:rPr>
                <w:sz w:val="20"/>
                <w:szCs w:val="20"/>
                <w:lang w:eastAsia="es-ES"/>
              </w:rPr>
              <w:t>16631</w:t>
            </w:r>
          </w:p>
        </w:tc>
        <w:tc>
          <w:tcPr>
            <w:tcW w:w="2835" w:type="dxa"/>
            <w:noWrap/>
            <w:hideMark/>
          </w:tcPr>
          <w:p w14:paraId="648E14DA"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39C2EA4E" w14:textId="77777777" w:rsidR="000959B9" w:rsidRPr="00131EED" w:rsidRDefault="000959B9" w:rsidP="00B60DA2">
            <w:pPr>
              <w:rPr>
                <w:sz w:val="20"/>
                <w:szCs w:val="20"/>
                <w:lang w:eastAsia="es-ES"/>
              </w:rPr>
            </w:pPr>
            <w:r w:rsidRPr="00131EED">
              <w:rPr>
                <w:sz w:val="20"/>
                <w:szCs w:val="20"/>
                <w:lang w:eastAsia="es-ES"/>
              </w:rPr>
              <w:t>CONTRATO DE CONCESION (D 2655)</w:t>
            </w:r>
          </w:p>
        </w:tc>
      </w:tr>
      <w:tr w:rsidR="000959B9" w:rsidRPr="00131EED" w14:paraId="60CCB8DF" w14:textId="77777777" w:rsidTr="00053167">
        <w:trPr>
          <w:trHeight w:val="255"/>
          <w:jc w:val="center"/>
        </w:trPr>
        <w:tc>
          <w:tcPr>
            <w:tcW w:w="2263" w:type="dxa"/>
            <w:noWrap/>
            <w:hideMark/>
          </w:tcPr>
          <w:p w14:paraId="6B06B164" w14:textId="77777777" w:rsidR="000959B9" w:rsidRPr="00131EED" w:rsidRDefault="000959B9" w:rsidP="00B60DA2">
            <w:pPr>
              <w:rPr>
                <w:sz w:val="20"/>
                <w:szCs w:val="20"/>
                <w:lang w:eastAsia="es-ES"/>
              </w:rPr>
            </w:pPr>
            <w:r w:rsidRPr="00131EED">
              <w:rPr>
                <w:sz w:val="20"/>
                <w:szCs w:val="20"/>
                <w:lang w:eastAsia="es-ES"/>
              </w:rPr>
              <w:t>6460</w:t>
            </w:r>
          </w:p>
        </w:tc>
        <w:tc>
          <w:tcPr>
            <w:tcW w:w="2835" w:type="dxa"/>
            <w:noWrap/>
            <w:hideMark/>
          </w:tcPr>
          <w:p w14:paraId="7AD04ACD"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23D295E2" w14:textId="77777777" w:rsidR="000959B9" w:rsidRPr="00131EED" w:rsidRDefault="000959B9" w:rsidP="00B60DA2">
            <w:pPr>
              <w:rPr>
                <w:sz w:val="20"/>
                <w:szCs w:val="20"/>
                <w:lang w:eastAsia="es-ES"/>
              </w:rPr>
            </w:pPr>
            <w:r w:rsidRPr="00131EED">
              <w:rPr>
                <w:sz w:val="20"/>
                <w:szCs w:val="20"/>
                <w:lang w:eastAsia="es-ES"/>
              </w:rPr>
              <w:t>LICENCIA DE EXPLOTACION</w:t>
            </w:r>
          </w:p>
        </w:tc>
      </w:tr>
      <w:tr w:rsidR="000959B9" w:rsidRPr="00131EED" w14:paraId="2C925086" w14:textId="77777777" w:rsidTr="00053167">
        <w:trPr>
          <w:trHeight w:val="255"/>
          <w:jc w:val="center"/>
        </w:trPr>
        <w:tc>
          <w:tcPr>
            <w:tcW w:w="2263" w:type="dxa"/>
            <w:noWrap/>
            <w:hideMark/>
          </w:tcPr>
          <w:p w14:paraId="28DD1E93" w14:textId="77777777" w:rsidR="000959B9" w:rsidRPr="00131EED" w:rsidRDefault="000959B9" w:rsidP="00B60DA2">
            <w:pPr>
              <w:rPr>
                <w:sz w:val="20"/>
                <w:szCs w:val="20"/>
                <w:lang w:eastAsia="es-ES"/>
              </w:rPr>
            </w:pPr>
            <w:r w:rsidRPr="00131EED">
              <w:rPr>
                <w:sz w:val="20"/>
                <w:szCs w:val="20"/>
                <w:lang w:eastAsia="es-ES"/>
              </w:rPr>
              <w:t>DH5-153</w:t>
            </w:r>
          </w:p>
        </w:tc>
        <w:tc>
          <w:tcPr>
            <w:tcW w:w="2835" w:type="dxa"/>
            <w:noWrap/>
            <w:hideMark/>
          </w:tcPr>
          <w:p w14:paraId="45EAC5E5"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5AB6A986"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05635A86" w14:textId="77777777" w:rsidTr="00053167">
        <w:trPr>
          <w:trHeight w:val="255"/>
          <w:jc w:val="center"/>
        </w:trPr>
        <w:tc>
          <w:tcPr>
            <w:tcW w:w="2263" w:type="dxa"/>
            <w:noWrap/>
            <w:hideMark/>
          </w:tcPr>
          <w:p w14:paraId="0427EC2A" w14:textId="77777777" w:rsidR="000959B9" w:rsidRPr="00131EED" w:rsidRDefault="000959B9" w:rsidP="00B60DA2">
            <w:pPr>
              <w:rPr>
                <w:sz w:val="20"/>
                <w:szCs w:val="20"/>
                <w:lang w:eastAsia="es-ES"/>
              </w:rPr>
            </w:pPr>
            <w:r w:rsidRPr="00131EED">
              <w:rPr>
                <w:sz w:val="20"/>
                <w:szCs w:val="20"/>
                <w:lang w:eastAsia="es-ES"/>
              </w:rPr>
              <w:t>FFO-131</w:t>
            </w:r>
          </w:p>
        </w:tc>
        <w:tc>
          <w:tcPr>
            <w:tcW w:w="2835" w:type="dxa"/>
            <w:noWrap/>
            <w:hideMark/>
          </w:tcPr>
          <w:p w14:paraId="0A9BC5AD"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14FB3D17"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42429B28" w14:textId="77777777" w:rsidTr="00053167">
        <w:trPr>
          <w:trHeight w:val="255"/>
          <w:jc w:val="center"/>
        </w:trPr>
        <w:tc>
          <w:tcPr>
            <w:tcW w:w="2263" w:type="dxa"/>
            <w:noWrap/>
            <w:hideMark/>
          </w:tcPr>
          <w:p w14:paraId="4F947EE0" w14:textId="77777777" w:rsidR="000959B9" w:rsidRPr="00131EED" w:rsidRDefault="000959B9" w:rsidP="00B60DA2">
            <w:pPr>
              <w:rPr>
                <w:sz w:val="20"/>
                <w:szCs w:val="20"/>
                <w:lang w:eastAsia="es-ES"/>
              </w:rPr>
            </w:pPr>
            <w:r w:rsidRPr="00131EED">
              <w:rPr>
                <w:sz w:val="20"/>
                <w:szCs w:val="20"/>
                <w:lang w:eastAsia="es-ES"/>
              </w:rPr>
              <w:t>GC7-101</w:t>
            </w:r>
          </w:p>
        </w:tc>
        <w:tc>
          <w:tcPr>
            <w:tcW w:w="2835" w:type="dxa"/>
            <w:noWrap/>
            <w:hideMark/>
          </w:tcPr>
          <w:p w14:paraId="0ED43A0F"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7EC40D63"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2AF8690C" w14:textId="77777777" w:rsidTr="00053167">
        <w:trPr>
          <w:trHeight w:val="255"/>
          <w:jc w:val="center"/>
        </w:trPr>
        <w:tc>
          <w:tcPr>
            <w:tcW w:w="2263" w:type="dxa"/>
            <w:noWrap/>
            <w:hideMark/>
          </w:tcPr>
          <w:p w14:paraId="104721AE" w14:textId="77777777" w:rsidR="000959B9" w:rsidRPr="00131EED" w:rsidRDefault="000959B9" w:rsidP="00B60DA2">
            <w:pPr>
              <w:rPr>
                <w:sz w:val="20"/>
                <w:szCs w:val="20"/>
                <w:lang w:eastAsia="es-ES"/>
              </w:rPr>
            </w:pPr>
            <w:r w:rsidRPr="00131EED">
              <w:rPr>
                <w:sz w:val="20"/>
                <w:szCs w:val="20"/>
                <w:lang w:eastAsia="es-ES"/>
              </w:rPr>
              <w:t>GC8-09P</w:t>
            </w:r>
          </w:p>
        </w:tc>
        <w:tc>
          <w:tcPr>
            <w:tcW w:w="2835" w:type="dxa"/>
            <w:noWrap/>
            <w:hideMark/>
          </w:tcPr>
          <w:p w14:paraId="13E3C304"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23BD29C6"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42C5630B" w14:textId="77777777" w:rsidTr="00053167">
        <w:trPr>
          <w:trHeight w:val="255"/>
          <w:jc w:val="center"/>
        </w:trPr>
        <w:tc>
          <w:tcPr>
            <w:tcW w:w="2263" w:type="dxa"/>
            <w:noWrap/>
            <w:hideMark/>
          </w:tcPr>
          <w:p w14:paraId="16E2BC37" w14:textId="77777777" w:rsidR="000959B9" w:rsidRPr="00131EED" w:rsidRDefault="000959B9" w:rsidP="00B60DA2">
            <w:pPr>
              <w:rPr>
                <w:sz w:val="20"/>
                <w:szCs w:val="20"/>
                <w:lang w:eastAsia="es-ES"/>
              </w:rPr>
            </w:pPr>
            <w:r w:rsidRPr="00131EED">
              <w:rPr>
                <w:sz w:val="20"/>
                <w:szCs w:val="20"/>
                <w:lang w:eastAsia="es-ES"/>
              </w:rPr>
              <w:t>GD4-132</w:t>
            </w:r>
          </w:p>
        </w:tc>
        <w:tc>
          <w:tcPr>
            <w:tcW w:w="2835" w:type="dxa"/>
            <w:noWrap/>
            <w:hideMark/>
          </w:tcPr>
          <w:p w14:paraId="135B4F11" w14:textId="77777777" w:rsidR="000959B9" w:rsidRPr="00131EED" w:rsidRDefault="000959B9" w:rsidP="00B60DA2">
            <w:pPr>
              <w:rPr>
                <w:sz w:val="20"/>
                <w:szCs w:val="20"/>
                <w:lang w:eastAsia="es-ES"/>
              </w:rPr>
            </w:pPr>
            <w:r w:rsidRPr="00131EED">
              <w:rPr>
                <w:sz w:val="20"/>
                <w:szCs w:val="20"/>
                <w:lang w:eastAsia="es-ES"/>
              </w:rPr>
              <w:t>Titulo terminado-en liquidación</w:t>
            </w:r>
          </w:p>
        </w:tc>
        <w:tc>
          <w:tcPr>
            <w:tcW w:w="3730" w:type="dxa"/>
            <w:noWrap/>
            <w:hideMark/>
          </w:tcPr>
          <w:p w14:paraId="30F504C9"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57807CF8" w14:textId="77777777" w:rsidTr="00053167">
        <w:trPr>
          <w:trHeight w:val="255"/>
          <w:jc w:val="center"/>
        </w:trPr>
        <w:tc>
          <w:tcPr>
            <w:tcW w:w="2263" w:type="dxa"/>
            <w:noWrap/>
            <w:hideMark/>
          </w:tcPr>
          <w:p w14:paraId="29757689" w14:textId="77777777" w:rsidR="000959B9" w:rsidRPr="00131EED" w:rsidRDefault="000959B9" w:rsidP="00B60DA2">
            <w:pPr>
              <w:rPr>
                <w:sz w:val="20"/>
                <w:szCs w:val="20"/>
                <w:lang w:eastAsia="es-ES"/>
              </w:rPr>
            </w:pPr>
            <w:r w:rsidRPr="00131EED">
              <w:rPr>
                <w:sz w:val="20"/>
                <w:szCs w:val="20"/>
                <w:lang w:eastAsia="es-ES"/>
              </w:rPr>
              <w:t>GFE-131</w:t>
            </w:r>
          </w:p>
        </w:tc>
        <w:tc>
          <w:tcPr>
            <w:tcW w:w="2835" w:type="dxa"/>
            <w:noWrap/>
            <w:hideMark/>
          </w:tcPr>
          <w:p w14:paraId="1A5141EF"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3A5B3156" w14:textId="77777777" w:rsidR="000959B9" w:rsidRPr="00131EED" w:rsidRDefault="000959B9" w:rsidP="00B60DA2">
            <w:pPr>
              <w:rPr>
                <w:sz w:val="20"/>
                <w:szCs w:val="20"/>
                <w:lang w:eastAsia="es-ES"/>
              </w:rPr>
            </w:pPr>
            <w:r w:rsidRPr="00131EED">
              <w:rPr>
                <w:sz w:val="20"/>
                <w:szCs w:val="20"/>
                <w:lang w:eastAsia="es-ES"/>
              </w:rPr>
              <w:t>CONTRATO DE CONCESION (D 2655)</w:t>
            </w:r>
          </w:p>
        </w:tc>
      </w:tr>
      <w:tr w:rsidR="000959B9" w:rsidRPr="00131EED" w14:paraId="05060317" w14:textId="77777777" w:rsidTr="00053167">
        <w:trPr>
          <w:trHeight w:val="255"/>
          <w:jc w:val="center"/>
        </w:trPr>
        <w:tc>
          <w:tcPr>
            <w:tcW w:w="2263" w:type="dxa"/>
            <w:noWrap/>
            <w:hideMark/>
          </w:tcPr>
          <w:p w14:paraId="77470FEE" w14:textId="77777777" w:rsidR="000959B9" w:rsidRPr="00131EED" w:rsidRDefault="000959B9" w:rsidP="00B60DA2">
            <w:pPr>
              <w:rPr>
                <w:sz w:val="20"/>
                <w:szCs w:val="20"/>
                <w:lang w:eastAsia="es-ES"/>
              </w:rPr>
            </w:pPr>
            <w:r w:rsidRPr="00131EED">
              <w:rPr>
                <w:sz w:val="20"/>
                <w:szCs w:val="20"/>
                <w:lang w:eastAsia="es-ES"/>
              </w:rPr>
              <w:t>HIB-08521</w:t>
            </w:r>
          </w:p>
        </w:tc>
        <w:tc>
          <w:tcPr>
            <w:tcW w:w="2835" w:type="dxa"/>
            <w:noWrap/>
            <w:hideMark/>
          </w:tcPr>
          <w:p w14:paraId="7C3B157E"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01B482AE"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1743B584" w14:textId="77777777" w:rsidTr="00053167">
        <w:trPr>
          <w:trHeight w:val="255"/>
          <w:jc w:val="center"/>
        </w:trPr>
        <w:tc>
          <w:tcPr>
            <w:tcW w:w="2263" w:type="dxa"/>
            <w:noWrap/>
            <w:hideMark/>
          </w:tcPr>
          <w:p w14:paraId="52B12D79" w14:textId="77777777" w:rsidR="000959B9" w:rsidRPr="00131EED" w:rsidRDefault="000959B9" w:rsidP="00B60DA2">
            <w:pPr>
              <w:rPr>
                <w:sz w:val="20"/>
                <w:szCs w:val="20"/>
                <w:lang w:eastAsia="es-ES"/>
              </w:rPr>
            </w:pPr>
            <w:r w:rsidRPr="00131EED">
              <w:rPr>
                <w:sz w:val="20"/>
                <w:szCs w:val="20"/>
                <w:lang w:eastAsia="es-ES"/>
              </w:rPr>
              <w:t>HKL-12541</w:t>
            </w:r>
          </w:p>
        </w:tc>
        <w:tc>
          <w:tcPr>
            <w:tcW w:w="2835" w:type="dxa"/>
            <w:noWrap/>
            <w:hideMark/>
          </w:tcPr>
          <w:p w14:paraId="722A5A8E" w14:textId="77777777" w:rsidR="000959B9" w:rsidRPr="00131EED" w:rsidRDefault="000959B9" w:rsidP="00B60DA2">
            <w:pPr>
              <w:rPr>
                <w:sz w:val="20"/>
                <w:szCs w:val="20"/>
                <w:lang w:eastAsia="es-ES"/>
              </w:rPr>
            </w:pPr>
            <w:r w:rsidRPr="00131EED">
              <w:rPr>
                <w:sz w:val="20"/>
                <w:szCs w:val="20"/>
                <w:lang w:eastAsia="es-ES"/>
              </w:rPr>
              <w:t>Titulo terminado-en liquidación</w:t>
            </w:r>
          </w:p>
        </w:tc>
        <w:tc>
          <w:tcPr>
            <w:tcW w:w="3730" w:type="dxa"/>
            <w:noWrap/>
            <w:hideMark/>
          </w:tcPr>
          <w:p w14:paraId="5DE0E1CF"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162CC253" w14:textId="77777777" w:rsidTr="00053167">
        <w:trPr>
          <w:trHeight w:val="255"/>
          <w:jc w:val="center"/>
        </w:trPr>
        <w:tc>
          <w:tcPr>
            <w:tcW w:w="2263" w:type="dxa"/>
            <w:noWrap/>
            <w:hideMark/>
          </w:tcPr>
          <w:p w14:paraId="1B975156" w14:textId="77777777" w:rsidR="000959B9" w:rsidRPr="00131EED" w:rsidRDefault="000959B9" w:rsidP="00B60DA2">
            <w:pPr>
              <w:rPr>
                <w:sz w:val="20"/>
                <w:szCs w:val="20"/>
                <w:lang w:eastAsia="es-ES"/>
              </w:rPr>
            </w:pPr>
            <w:r w:rsidRPr="00131EED">
              <w:rPr>
                <w:sz w:val="20"/>
                <w:szCs w:val="20"/>
                <w:lang w:eastAsia="es-ES"/>
              </w:rPr>
              <w:t>IE8-14584X</w:t>
            </w:r>
          </w:p>
        </w:tc>
        <w:tc>
          <w:tcPr>
            <w:tcW w:w="2835" w:type="dxa"/>
            <w:noWrap/>
            <w:hideMark/>
          </w:tcPr>
          <w:p w14:paraId="1718158E" w14:textId="77777777" w:rsidR="000959B9" w:rsidRPr="00131EED" w:rsidRDefault="000959B9" w:rsidP="00B60DA2">
            <w:pPr>
              <w:rPr>
                <w:sz w:val="20"/>
                <w:szCs w:val="20"/>
                <w:lang w:eastAsia="es-ES"/>
              </w:rPr>
            </w:pPr>
            <w:r w:rsidRPr="00131EED">
              <w:rPr>
                <w:sz w:val="20"/>
                <w:szCs w:val="20"/>
                <w:lang w:eastAsia="es-ES"/>
              </w:rPr>
              <w:t>Titulo terminado-en liquidación</w:t>
            </w:r>
          </w:p>
        </w:tc>
        <w:tc>
          <w:tcPr>
            <w:tcW w:w="3730" w:type="dxa"/>
            <w:noWrap/>
            <w:hideMark/>
          </w:tcPr>
          <w:p w14:paraId="11FF9CBD"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6C1389F9" w14:textId="77777777" w:rsidTr="00053167">
        <w:trPr>
          <w:trHeight w:val="255"/>
          <w:jc w:val="center"/>
        </w:trPr>
        <w:tc>
          <w:tcPr>
            <w:tcW w:w="2263" w:type="dxa"/>
            <w:noWrap/>
            <w:hideMark/>
          </w:tcPr>
          <w:p w14:paraId="4E279E74" w14:textId="77777777" w:rsidR="000959B9" w:rsidRPr="00131EED" w:rsidRDefault="000959B9" w:rsidP="00B60DA2">
            <w:pPr>
              <w:rPr>
                <w:sz w:val="20"/>
                <w:szCs w:val="20"/>
                <w:lang w:eastAsia="es-ES"/>
              </w:rPr>
            </w:pPr>
            <w:r w:rsidRPr="00131EED">
              <w:rPr>
                <w:sz w:val="20"/>
                <w:szCs w:val="20"/>
                <w:lang w:eastAsia="es-ES"/>
              </w:rPr>
              <w:t>IG6-15281</w:t>
            </w:r>
          </w:p>
        </w:tc>
        <w:tc>
          <w:tcPr>
            <w:tcW w:w="2835" w:type="dxa"/>
            <w:noWrap/>
            <w:hideMark/>
          </w:tcPr>
          <w:p w14:paraId="60F699BC"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6F74BA14"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4193F303" w14:textId="77777777" w:rsidTr="00053167">
        <w:trPr>
          <w:trHeight w:val="255"/>
          <w:jc w:val="center"/>
        </w:trPr>
        <w:tc>
          <w:tcPr>
            <w:tcW w:w="2263" w:type="dxa"/>
            <w:noWrap/>
            <w:hideMark/>
          </w:tcPr>
          <w:p w14:paraId="44A10746" w14:textId="77777777" w:rsidR="000959B9" w:rsidRPr="00131EED" w:rsidRDefault="000959B9" w:rsidP="00B60DA2">
            <w:pPr>
              <w:rPr>
                <w:sz w:val="20"/>
                <w:szCs w:val="20"/>
                <w:lang w:eastAsia="es-ES"/>
              </w:rPr>
            </w:pPr>
            <w:r w:rsidRPr="00131EED">
              <w:rPr>
                <w:sz w:val="20"/>
                <w:szCs w:val="20"/>
                <w:lang w:eastAsia="es-ES"/>
              </w:rPr>
              <w:t>IIH-14251</w:t>
            </w:r>
          </w:p>
        </w:tc>
        <w:tc>
          <w:tcPr>
            <w:tcW w:w="2835" w:type="dxa"/>
            <w:noWrap/>
            <w:hideMark/>
          </w:tcPr>
          <w:p w14:paraId="70A0DEF8"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6696C86D"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52EAD8ED" w14:textId="77777777" w:rsidTr="00053167">
        <w:trPr>
          <w:trHeight w:val="255"/>
          <w:jc w:val="center"/>
        </w:trPr>
        <w:tc>
          <w:tcPr>
            <w:tcW w:w="2263" w:type="dxa"/>
            <w:noWrap/>
            <w:hideMark/>
          </w:tcPr>
          <w:p w14:paraId="63DE85C4" w14:textId="77777777" w:rsidR="000959B9" w:rsidRPr="00131EED" w:rsidRDefault="000959B9" w:rsidP="00B60DA2">
            <w:pPr>
              <w:rPr>
                <w:sz w:val="20"/>
                <w:szCs w:val="20"/>
                <w:lang w:eastAsia="es-ES"/>
              </w:rPr>
            </w:pPr>
            <w:r w:rsidRPr="00131EED">
              <w:rPr>
                <w:sz w:val="20"/>
                <w:szCs w:val="20"/>
                <w:lang w:eastAsia="es-ES"/>
              </w:rPr>
              <w:t>DID-082</w:t>
            </w:r>
          </w:p>
        </w:tc>
        <w:tc>
          <w:tcPr>
            <w:tcW w:w="2835" w:type="dxa"/>
            <w:noWrap/>
            <w:hideMark/>
          </w:tcPr>
          <w:p w14:paraId="6ABE9B93"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2D633B68"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65461776" w14:textId="77777777" w:rsidTr="00053167">
        <w:trPr>
          <w:trHeight w:val="255"/>
          <w:jc w:val="center"/>
        </w:trPr>
        <w:tc>
          <w:tcPr>
            <w:tcW w:w="2263" w:type="dxa"/>
            <w:noWrap/>
            <w:hideMark/>
          </w:tcPr>
          <w:p w14:paraId="1690D544" w14:textId="77777777" w:rsidR="000959B9" w:rsidRPr="00131EED" w:rsidRDefault="000959B9" w:rsidP="00B60DA2">
            <w:pPr>
              <w:rPr>
                <w:sz w:val="20"/>
                <w:szCs w:val="20"/>
                <w:lang w:eastAsia="es-ES"/>
              </w:rPr>
            </w:pPr>
            <w:r w:rsidRPr="00131EED">
              <w:rPr>
                <w:sz w:val="20"/>
                <w:szCs w:val="20"/>
                <w:lang w:eastAsia="es-ES"/>
              </w:rPr>
              <w:t>FL2-151</w:t>
            </w:r>
          </w:p>
        </w:tc>
        <w:tc>
          <w:tcPr>
            <w:tcW w:w="2835" w:type="dxa"/>
            <w:noWrap/>
            <w:hideMark/>
          </w:tcPr>
          <w:p w14:paraId="4D524B06"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6914FD4B"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2A49B5C9" w14:textId="77777777" w:rsidTr="00053167">
        <w:trPr>
          <w:trHeight w:val="255"/>
          <w:jc w:val="center"/>
        </w:trPr>
        <w:tc>
          <w:tcPr>
            <w:tcW w:w="2263" w:type="dxa"/>
            <w:noWrap/>
            <w:hideMark/>
          </w:tcPr>
          <w:p w14:paraId="4CFEF550" w14:textId="77777777" w:rsidR="000959B9" w:rsidRPr="00131EED" w:rsidRDefault="000959B9" w:rsidP="00B60DA2">
            <w:pPr>
              <w:rPr>
                <w:sz w:val="20"/>
                <w:szCs w:val="20"/>
                <w:lang w:eastAsia="es-ES"/>
              </w:rPr>
            </w:pPr>
            <w:r w:rsidRPr="00131EED">
              <w:rPr>
                <w:sz w:val="20"/>
                <w:szCs w:val="20"/>
                <w:lang w:eastAsia="es-ES"/>
              </w:rPr>
              <w:t>13626</w:t>
            </w:r>
          </w:p>
        </w:tc>
        <w:tc>
          <w:tcPr>
            <w:tcW w:w="2835" w:type="dxa"/>
            <w:noWrap/>
            <w:hideMark/>
          </w:tcPr>
          <w:p w14:paraId="6C15EA08"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1FC02B4C" w14:textId="77777777" w:rsidR="000959B9" w:rsidRPr="00131EED" w:rsidRDefault="000959B9" w:rsidP="00B60DA2">
            <w:pPr>
              <w:rPr>
                <w:sz w:val="20"/>
                <w:szCs w:val="20"/>
                <w:lang w:eastAsia="es-ES"/>
              </w:rPr>
            </w:pPr>
            <w:r w:rsidRPr="00131EED">
              <w:rPr>
                <w:sz w:val="20"/>
                <w:szCs w:val="20"/>
                <w:lang w:eastAsia="es-ES"/>
              </w:rPr>
              <w:t>CONTRATO DE CONCESION (D 2655)</w:t>
            </w:r>
          </w:p>
        </w:tc>
      </w:tr>
      <w:tr w:rsidR="000959B9" w:rsidRPr="00131EED" w14:paraId="12017330" w14:textId="77777777" w:rsidTr="00053167">
        <w:trPr>
          <w:trHeight w:val="255"/>
          <w:jc w:val="center"/>
        </w:trPr>
        <w:tc>
          <w:tcPr>
            <w:tcW w:w="2263" w:type="dxa"/>
            <w:noWrap/>
            <w:hideMark/>
          </w:tcPr>
          <w:p w14:paraId="68CFBC2E" w14:textId="77777777" w:rsidR="000959B9" w:rsidRPr="00131EED" w:rsidRDefault="000959B9" w:rsidP="00B60DA2">
            <w:pPr>
              <w:rPr>
                <w:sz w:val="20"/>
                <w:szCs w:val="20"/>
                <w:lang w:eastAsia="es-ES"/>
              </w:rPr>
            </w:pPr>
            <w:r w:rsidRPr="00131EED">
              <w:rPr>
                <w:sz w:val="20"/>
                <w:szCs w:val="20"/>
                <w:lang w:eastAsia="es-ES"/>
              </w:rPr>
              <w:t>HBR-111</w:t>
            </w:r>
          </w:p>
        </w:tc>
        <w:tc>
          <w:tcPr>
            <w:tcW w:w="2835" w:type="dxa"/>
            <w:noWrap/>
            <w:hideMark/>
          </w:tcPr>
          <w:p w14:paraId="04731A97"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4ECFB938"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4E3B4112" w14:textId="77777777" w:rsidTr="00053167">
        <w:trPr>
          <w:trHeight w:val="255"/>
          <w:jc w:val="center"/>
        </w:trPr>
        <w:tc>
          <w:tcPr>
            <w:tcW w:w="2263" w:type="dxa"/>
            <w:noWrap/>
            <w:hideMark/>
          </w:tcPr>
          <w:p w14:paraId="5CACA3BF" w14:textId="77777777" w:rsidR="000959B9" w:rsidRPr="00131EED" w:rsidRDefault="000959B9" w:rsidP="00B60DA2">
            <w:pPr>
              <w:rPr>
                <w:sz w:val="20"/>
                <w:szCs w:val="20"/>
                <w:lang w:eastAsia="es-ES"/>
              </w:rPr>
            </w:pPr>
            <w:r w:rsidRPr="00131EED">
              <w:rPr>
                <w:sz w:val="20"/>
                <w:szCs w:val="20"/>
                <w:lang w:eastAsia="es-ES"/>
              </w:rPr>
              <w:t>GB7-111</w:t>
            </w:r>
          </w:p>
        </w:tc>
        <w:tc>
          <w:tcPr>
            <w:tcW w:w="2835" w:type="dxa"/>
            <w:noWrap/>
            <w:hideMark/>
          </w:tcPr>
          <w:p w14:paraId="6612AFC6"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75EE3384" w14:textId="77777777" w:rsidR="000959B9" w:rsidRPr="00131EED" w:rsidRDefault="000959B9" w:rsidP="00B60DA2">
            <w:pPr>
              <w:rPr>
                <w:sz w:val="20"/>
                <w:szCs w:val="20"/>
                <w:lang w:eastAsia="es-ES"/>
              </w:rPr>
            </w:pPr>
            <w:r w:rsidRPr="00131EED">
              <w:rPr>
                <w:sz w:val="20"/>
                <w:szCs w:val="20"/>
                <w:lang w:eastAsia="es-ES"/>
              </w:rPr>
              <w:t>CONTRATO DE CONCESION (D 2655)</w:t>
            </w:r>
          </w:p>
        </w:tc>
      </w:tr>
      <w:tr w:rsidR="000959B9" w:rsidRPr="00131EED" w14:paraId="39C72D30" w14:textId="77777777" w:rsidTr="00053167">
        <w:trPr>
          <w:trHeight w:val="255"/>
          <w:jc w:val="center"/>
        </w:trPr>
        <w:tc>
          <w:tcPr>
            <w:tcW w:w="2263" w:type="dxa"/>
            <w:noWrap/>
            <w:hideMark/>
          </w:tcPr>
          <w:p w14:paraId="523C1B97" w14:textId="77777777" w:rsidR="000959B9" w:rsidRPr="00131EED" w:rsidRDefault="000959B9" w:rsidP="00B60DA2">
            <w:pPr>
              <w:rPr>
                <w:sz w:val="20"/>
                <w:szCs w:val="20"/>
                <w:lang w:eastAsia="es-ES"/>
              </w:rPr>
            </w:pPr>
            <w:r w:rsidRPr="00131EED">
              <w:rPr>
                <w:sz w:val="20"/>
                <w:szCs w:val="20"/>
                <w:lang w:eastAsia="es-ES"/>
              </w:rPr>
              <w:t>ICQ-083715</w:t>
            </w:r>
          </w:p>
        </w:tc>
        <w:tc>
          <w:tcPr>
            <w:tcW w:w="2835" w:type="dxa"/>
            <w:noWrap/>
            <w:hideMark/>
          </w:tcPr>
          <w:p w14:paraId="66FB57B4" w14:textId="77777777" w:rsidR="000959B9" w:rsidRPr="00131EED" w:rsidRDefault="000959B9" w:rsidP="00B60DA2">
            <w:pPr>
              <w:rPr>
                <w:sz w:val="20"/>
                <w:szCs w:val="20"/>
                <w:lang w:eastAsia="es-ES"/>
              </w:rPr>
            </w:pPr>
            <w:r w:rsidRPr="00131EED">
              <w:rPr>
                <w:sz w:val="20"/>
                <w:szCs w:val="20"/>
                <w:lang w:eastAsia="es-ES"/>
              </w:rPr>
              <w:t>Terminado</w:t>
            </w:r>
          </w:p>
        </w:tc>
        <w:tc>
          <w:tcPr>
            <w:tcW w:w="3730" w:type="dxa"/>
            <w:noWrap/>
            <w:hideMark/>
          </w:tcPr>
          <w:p w14:paraId="53608B27"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6FE03782" w14:textId="77777777" w:rsidTr="00053167">
        <w:trPr>
          <w:trHeight w:val="255"/>
          <w:jc w:val="center"/>
        </w:trPr>
        <w:tc>
          <w:tcPr>
            <w:tcW w:w="2263" w:type="dxa"/>
            <w:noWrap/>
            <w:hideMark/>
          </w:tcPr>
          <w:p w14:paraId="291D51FF" w14:textId="77777777" w:rsidR="000959B9" w:rsidRPr="00131EED" w:rsidRDefault="000959B9" w:rsidP="00B60DA2">
            <w:pPr>
              <w:rPr>
                <w:sz w:val="20"/>
                <w:szCs w:val="20"/>
                <w:lang w:eastAsia="es-ES"/>
              </w:rPr>
            </w:pPr>
            <w:r w:rsidRPr="00131EED">
              <w:rPr>
                <w:sz w:val="20"/>
                <w:szCs w:val="20"/>
                <w:lang w:eastAsia="es-ES"/>
              </w:rPr>
              <w:t>15717</w:t>
            </w:r>
          </w:p>
        </w:tc>
        <w:tc>
          <w:tcPr>
            <w:tcW w:w="2835" w:type="dxa"/>
            <w:noWrap/>
            <w:hideMark/>
          </w:tcPr>
          <w:p w14:paraId="64DF6905"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69CCC64C" w14:textId="77777777" w:rsidR="000959B9" w:rsidRPr="00131EED" w:rsidRDefault="000959B9" w:rsidP="00B60DA2">
            <w:pPr>
              <w:rPr>
                <w:sz w:val="20"/>
                <w:szCs w:val="20"/>
                <w:lang w:eastAsia="es-ES"/>
              </w:rPr>
            </w:pPr>
            <w:r w:rsidRPr="00131EED">
              <w:rPr>
                <w:sz w:val="20"/>
                <w:szCs w:val="20"/>
                <w:lang w:eastAsia="es-ES"/>
              </w:rPr>
              <w:t>CONTRATO DE CONCESION (D 2655)</w:t>
            </w:r>
          </w:p>
        </w:tc>
      </w:tr>
      <w:tr w:rsidR="000959B9" w:rsidRPr="00131EED" w14:paraId="3120E8E2" w14:textId="77777777" w:rsidTr="00053167">
        <w:trPr>
          <w:trHeight w:val="255"/>
          <w:jc w:val="center"/>
        </w:trPr>
        <w:tc>
          <w:tcPr>
            <w:tcW w:w="2263" w:type="dxa"/>
            <w:noWrap/>
            <w:hideMark/>
          </w:tcPr>
          <w:p w14:paraId="07BE77A2" w14:textId="77777777" w:rsidR="000959B9" w:rsidRPr="00131EED" w:rsidRDefault="000959B9" w:rsidP="00B60DA2">
            <w:pPr>
              <w:rPr>
                <w:sz w:val="20"/>
                <w:szCs w:val="20"/>
                <w:lang w:eastAsia="es-ES"/>
              </w:rPr>
            </w:pPr>
            <w:r w:rsidRPr="00131EED">
              <w:rPr>
                <w:sz w:val="20"/>
                <w:szCs w:val="20"/>
                <w:lang w:eastAsia="es-ES"/>
              </w:rPr>
              <w:t>17754</w:t>
            </w:r>
          </w:p>
        </w:tc>
        <w:tc>
          <w:tcPr>
            <w:tcW w:w="2835" w:type="dxa"/>
            <w:noWrap/>
            <w:hideMark/>
          </w:tcPr>
          <w:p w14:paraId="310029A4"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6E4A3D5C" w14:textId="77777777" w:rsidR="000959B9" w:rsidRPr="00131EED" w:rsidRDefault="000959B9" w:rsidP="00B60DA2">
            <w:pPr>
              <w:rPr>
                <w:sz w:val="20"/>
                <w:szCs w:val="20"/>
                <w:lang w:eastAsia="es-ES"/>
              </w:rPr>
            </w:pPr>
            <w:r w:rsidRPr="00131EED">
              <w:rPr>
                <w:sz w:val="20"/>
                <w:szCs w:val="20"/>
                <w:lang w:eastAsia="es-ES"/>
              </w:rPr>
              <w:t>LICENCIA DE EXPLOTACION</w:t>
            </w:r>
          </w:p>
        </w:tc>
      </w:tr>
      <w:tr w:rsidR="000959B9" w:rsidRPr="00131EED" w14:paraId="4777B58E" w14:textId="77777777" w:rsidTr="00053167">
        <w:trPr>
          <w:trHeight w:val="255"/>
          <w:jc w:val="center"/>
        </w:trPr>
        <w:tc>
          <w:tcPr>
            <w:tcW w:w="2263" w:type="dxa"/>
            <w:noWrap/>
            <w:hideMark/>
          </w:tcPr>
          <w:p w14:paraId="569306AF" w14:textId="77777777" w:rsidR="000959B9" w:rsidRPr="00131EED" w:rsidRDefault="000959B9" w:rsidP="00B60DA2">
            <w:pPr>
              <w:rPr>
                <w:sz w:val="20"/>
                <w:szCs w:val="20"/>
                <w:lang w:eastAsia="es-ES"/>
              </w:rPr>
            </w:pPr>
            <w:r w:rsidRPr="00131EED">
              <w:rPr>
                <w:sz w:val="20"/>
                <w:szCs w:val="20"/>
                <w:lang w:eastAsia="es-ES"/>
              </w:rPr>
              <w:t>ZIPAQUIRA</w:t>
            </w:r>
          </w:p>
        </w:tc>
        <w:tc>
          <w:tcPr>
            <w:tcW w:w="2835" w:type="dxa"/>
            <w:noWrap/>
            <w:hideMark/>
          </w:tcPr>
          <w:p w14:paraId="61744695"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44C4A842"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45FD5641" w14:textId="77777777" w:rsidTr="00053167">
        <w:trPr>
          <w:trHeight w:val="255"/>
          <w:jc w:val="center"/>
        </w:trPr>
        <w:tc>
          <w:tcPr>
            <w:tcW w:w="2263" w:type="dxa"/>
            <w:noWrap/>
            <w:hideMark/>
          </w:tcPr>
          <w:p w14:paraId="567CF0A9" w14:textId="77777777" w:rsidR="000959B9" w:rsidRPr="00131EED" w:rsidRDefault="000959B9" w:rsidP="00B60DA2">
            <w:pPr>
              <w:rPr>
                <w:sz w:val="20"/>
                <w:szCs w:val="20"/>
                <w:lang w:eastAsia="es-ES"/>
              </w:rPr>
            </w:pPr>
            <w:r w:rsidRPr="00131EED">
              <w:rPr>
                <w:sz w:val="20"/>
                <w:szCs w:val="20"/>
                <w:lang w:eastAsia="es-ES"/>
              </w:rPr>
              <w:t>22302</w:t>
            </w:r>
          </w:p>
        </w:tc>
        <w:tc>
          <w:tcPr>
            <w:tcW w:w="2835" w:type="dxa"/>
            <w:noWrap/>
            <w:hideMark/>
          </w:tcPr>
          <w:p w14:paraId="122968B3"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59A264AE" w14:textId="77777777" w:rsidR="000959B9" w:rsidRPr="00131EED" w:rsidRDefault="000959B9" w:rsidP="00B60DA2">
            <w:pPr>
              <w:rPr>
                <w:sz w:val="20"/>
                <w:szCs w:val="20"/>
                <w:lang w:eastAsia="es-ES"/>
              </w:rPr>
            </w:pPr>
            <w:r w:rsidRPr="00131EED">
              <w:rPr>
                <w:sz w:val="20"/>
                <w:szCs w:val="20"/>
                <w:lang w:eastAsia="es-ES"/>
              </w:rPr>
              <w:t>CONTRATO DE CONCESION (D 2655)</w:t>
            </w:r>
          </w:p>
        </w:tc>
      </w:tr>
      <w:tr w:rsidR="000959B9" w:rsidRPr="00131EED" w14:paraId="5D30BACF" w14:textId="77777777" w:rsidTr="00053167">
        <w:trPr>
          <w:trHeight w:val="255"/>
          <w:jc w:val="center"/>
        </w:trPr>
        <w:tc>
          <w:tcPr>
            <w:tcW w:w="2263" w:type="dxa"/>
            <w:noWrap/>
            <w:hideMark/>
          </w:tcPr>
          <w:p w14:paraId="22E2DCCC" w14:textId="77777777" w:rsidR="000959B9" w:rsidRPr="00131EED" w:rsidRDefault="000959B9" w:rsidP="00B60DA2">
            <w:pPr>
              <w:rPr>
                <w:sz w:val="20"/>
                <w:szCs w:val="20"/>
                <w:lang w:eastAsia="es-ES"/>
              </w:rPr>
            </w:pPr>
            <w:r w:rsidRPr="00131EED">
              <w:rPr>
                <w:sz w:val="20"/>
                <w:szCs w:val="20"/>
                <w:lang w:eastAsia="es-ES"/>
              </w:rPr>
              <w:t>IIC-14001</w:t>
            </w:r>
          </w:p>
        </w:tc>
        <w:tc>
          <w:tcPr>
            <w:tcW w:w="2835" w:type="dxa"/>
            <w:noWrap/>
            <w:hideMark/>
          </w:tcPr>
          <w:p w14:paraId="743D4823"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6E05523C"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4A57D608" w14:textId="77777777" w:rsidTr="00053167">
        <w:trPr>
          <w:trHeight w:val="255"/>
          <w:jc w:val="center"/>
        </w:trPr>
        <w:tc>
          <w:tcPr>
            <w:tcW w:w="2263" w:type="dxa"/>
            <w:noWrap/>
            <w:hideMark/>
          </w:tcPr>
          <w:p w14:paraId="317B9082" w14:textId="77777777" w:rsidR="000959B9" w:rsidRPr="00131EED" w:rsidRDefault="000959B9" w:rsidP="00B60DA2">
            <w:pPr>
              <w:rPr>
                <w:sz w:val="20"/>
                <w:szCs w:val="20"/>
                <w:lang w:eastAsia="es-ES"/>
              </w:rPr>
            </w:pPr>
            <w:r w:rsidRPr="00131EED">
              <w:rPr>
                <w:sz w:val="20"/>
                <w:szCs w:val="20"/>
                <w:lang w:eastAsia="es-ES"/>
              </w:rPr>
              <w:t>15087</w:t>
            </w:r>
          </w:p>
        </w:tc>
        <w:tc>
          <w:tcPr>
            <w:tcW w:w="2835" w:type="dxa"/>
            <w:noWrap/>
            <w:hideMark/>
          </w:tcPr>
          <w:p w14:paraId="6C63A7FC"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463069CE" w14:textId="77777777" w:rsidR="000959B9" w:rsidRPr="00131EED" w:rsidRDefault="000959B9" w:rsidP="00B60DA2">
            <w:pPr>
              <w:rPr>
                <w:sz w:val="20"/>
                <w:szCs w:val="20"/>
                <w:lang w:eastAsia="es-ES"/>
              </w:rPr>
            </w:pPr>
            <w:r w:rsidRPr="00131EED">
              <w:rPr>
                <w:sz w:val="20"/>
                <w:szCs w:val="20"/>
                <w:lang w:eastAsia="es-ES"/>
              </w:rPr>
              <w:t>CONTRATO DE CONCESION (D 2655)</w:t>
            </w:r>
          </w:p>
        </w:tc>
      </w:tr>
      <w:tr w:rsidR="000959B9" w:rsidRPr="00131EED" w14:paraId="4C4B144C" w14:textId="77777777" w:rsidTr="00053167">
        <w:trPr>
          <w:trHeight w:val="255"/>
          <w:jc w:val="center"/>
        </w:trPr>
        <w:tc>
          <w:tcPr>
            <w:tcW w:w="2263" w:type="dxa"/>
            <w:noWrap/>
            <w:hideMark/>
          </w:tcPr>
          <w:p w14:paraId="26BAD4B6" w14:textId="77777777" w:rsidR="000959B9" w:rsidRPr="00131EED" w:rsidRDefault="000959B9" w:rsidP="00B60DA2">
            <w:pPr>
              <w:rPr>
                <w:sz w:val="20"/>
                <w:szCs w:val="20"/>
                <w:lang w:eastAsia="es-ES"/>
              </w:rPr>
            </w:pPr>
            <w:r w:rsidRPr="00131EED">
              <w:rPr>
                <w:sz w:val="20"/>
                <w:szCs w:val="20"/>
                <w:lang w:eastAsia="es-ES"/>
              </w:rPr>
              <w:t>11349</w:t>
            </w:r>
          </w:p>
        </w:tc>
        <w:tc>
          <w:tcPr>
            <w:tcW w:w="2835" w:type="dxa"/>
            <w:noWrap/>
            <w:hideMark/>
          </w:tcPr>
          <w:p w14:paraId="687F21DB"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7042C34B" w14:textId="77777777" w:rsidR="000959B9" w:rsidRPr="00131EED" w:rsidRDefault="000959B9" w:rsidP="00B60DA2">
            <w:pPr>
              <w:rPr>
                <w:sz w:val="20"/>
                <w:szCs w:val="20"/>
                <w:lang w:eastAsia="es-ES"/>
              </w:rPr>
            </w:pPr>
            <w:r w:rsidRPr="00131EED">
              <w:rPr>
                <w:sz w:val="20"/>
                <w:szCs w:val="20"/>
                <w:lang w:eastAsia="es-ES"/>
              </w:rPr>
              <w:t>CONTRATO DE CONCESION (D 2655)</w:t>
            </w:r>
          </w:p>
        </w:tc>
      </w:tr>
      <w:tr w:rsidR="000959B9" w:rsidRPr="00131EED" w14:paraId="24C4E70D" w14:textId="77777777" w:rsidTr="00053167">
        <w:trPr>
          <w:trHeight w:val="255"/>
          <w:jc w:val="center"/>
        </w:trPr>
        <w:tc>
          <w:tcPr>
            <w:tcW w:w="2263" w:type="dxa"/>
            <w:noWrap/>
            <w:hideMark/>
          </w:tcPr>
          <w:p w14:paraId="775691C8" w14:textId="77777777" w:rsidR="000959B9" w:rsidRPr="00131EED" w:rsidRDefault="000959B9" w:rsidP="00B60DA2">
            <w:pPr>
              <w:rPr>
                <w:sz w:val="20"/>
                <w:szCs w:val="20"/>
                <w:lang w:eastAsia="es-ES"/>
              </w:rPr>
            </w:pPr>
            <w:r w:rsidRPr="00131EED">
              <w:rPr>
                <w:sz w:val="20"/>
                <w:szCs w:val="20"/>
                <w:lang w:eastAsia="es-ES"/>
              </w:rPr>
              <w:t>FJR-14001X</w:t>
            </w:r>
          </w:p>
        </w:tc>
        <w:tc>
          <w:tcPr>
            <w:tcW w:w="2835" w:type="dxa"/>
            <w:noWrap/>
            <w:hideMark/>
          </w:tcPr>
          <w:p w14:paraId="4F238E41"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22154355"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65D48A13" w14:textId="77777777" w:rsidTr="00053167">
        <w:trPr>
          <w:trHeight w:val="255"/>
          <w:jc w:val="center"/>
        </w:trPr>
        <w:tc>
          <w:tcPr>
            <w:tcW w:w="2263" w:type="dxa"/>
            <w:noWrap/>
            <w:hideMark/>
          </w:tcPr>
          <w:p w14:paraId="30E0A907" w14:textId="77777777" w:rsidR="000959B9" w:rsidRPr="00131EED" w:rsidRDefault="000959B9" w:rsidP="00B60DA2">
            <w:pPr>
              <w:rPr>
                <w:sz w:val="20"/>
                <w:szCs w:val="20"/>
                <w:lang w:eastAsia="es-ES"/>
              </w:rPr>
            </w:pPr>
            <w:r w:rsidRPr="00131EED">
              <w:rPr>
                <w:sz w:val="20"/>
                <w:szCs w:val="20"/>
                <w:lang w:eastAsia="es-ES"/>
              </w:rPr>
              <w:t>HBA-081</w:t>
            </w:r>
          </w:p>
        </w:tc>
        <w:tc>
          <w:tcPr>
            <w:tcW w:w="2835" w:type="dxa"/>
            <w:noWrap/>
            <w:hideMark/>
          </w:tcPr>
          <w:p w14:paraId="35C13A13"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50DDBE26"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2B23A123" w14:textId="77777777" w:rsidTr="00053167">
        <w:trPr>
          <w:trHeight w:val="255"/>
          <w:jc w:val="center"/>
        </w:trPr>
        <w:tc>
          <w:tcPr>
            <w:tcW w:w="2263" w:type="dxa"/>
            <w:noWrap/>
            <w:hideMark/>
          </w:tcPr>
          <w:p w14:paraId="25C1E5AD" w14:textId="77777777" w:rsidR="000959B9" w:rsidRPr="00131EED" w:rsidRDefault="000959B9" w:rsidP="00B60DA2">
            <w:pPr>
              <w:rPr>
                <w:sz w:val="20"/>
                <w:szCs w:val="20"/>
                <w:lang w:eastAsia="es-ES"/>
              </w:rPr>
            </w:pPr>
            <w:r w:rsidRPr="00131EED">
              <w:rPr>
                <w:sz w:val="20"/>
                <w:szCs w:val="20"/>
                <w:lang w:eastAsia="es-ES"/>
              </w:rPr>
              <w:t>1131T</w:t>
            </w:r>
          </w:p>
        </w:tc>
        <w:tc>
          <w:tcPr>
            <w:tcW w:w="2835" w:type="dxa"/>
            <w:noWrap/>
            <w:hideMark/>
          </w:tcPr>
          <w:p w14:paraId="1A94F178"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5F005758"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5453EBB0" w14:textId="77777777" w:rsidTr="00053167">
        <w:trPr>
          <w:trHeight w:val="255"/>
          <w:jc w:val="center"/>
        </w:trPr>
        <w:tc>
          <w:tcPr>
            <w:tcW w:w="2263" w:type="dxa"/>
            <w:noWrap/>
            <w:hideMark/>
          </w:tcPr>
          <w:p w14:paraId="10E99136" w14:textId="77777777" w:rsidR="000959B9" w:rsidRPr="00131EED" w:rsidRDefault="000959B9" w:rsidP="00B60DA2">
            <w:pPr>
              <w:rPr>
                <w:sz w:val="20"/>
                <w:szCs w:val="20"/>
                <w:lang w:eastAsia="es-ES"/>
              </w:rPr>
            </w:pPr>
            <w:r w:rsidRPr="00131EED">
              <w:rPr>
                <w:sz w:val="20"/>
                <w:szCs w:val="20"/>
                <w:lang w:eastAsia="es-ES"/>
              </w:rPr>
              <w:t>16073</w:t>
            </w:r>
          </w:p>
        </w:tc>
        <w:tc>
          <w:tcPr>
            <w:tcW w:w="2835" w:type="dxa"/>
            <w:noWrap/>
            <w:hideMark/>
          </w:tcPr>
          <w:p w14:paraId="6B7481C2"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6FA2D1B4" w14:textId="77777777" w:rsidR="000959B9" w:rsidRPr="00131EED" w:rsidRDefault="000959B9" w:rsidP="00B60DA2">
            <w:pPr>
              <w:rPr>
                <w:sz w:val="20"/>
                <w:szCs w:val="20"/>
                <w:lang w:eastAsia="es-ES"/>
              </w:rPr>
            </w:pPr>
            <w:r w:rsidRPr="00131EED">
              <w:rPr>
                <w:sz w:val="20"/>
                <w:szCs w:val="20"/>
                <w:lang w:eastAsia="es-ES"/>
              </w:rPr>
              <w:t>LICENCIA DE EXPLOTACION</w:t>
            </w:r>
          </w:p>
        </w:tc>
      </w:tr>
      <w:tr w:rsidR="000959B9" w:rsidRPr="00131EED" w14:paraId="5FA03E16" w14:textId="77777777" w:rsidTr="00053167">
        <w:trPr>
          <w:trHeight w:val="255"/>
          <w:jc w:val="center"/>
        </w:trPr>
        <w:tc>
          <w:tcPr>
            <w:tcW w:w="2263" w:type="dxa"/>
            <w:noWrap/>
            <w:hideMark/>
          </w:tcPr>
          <w:p w14:paraId="32859E2C" w14:textId="77777777" w:rsidR="000959B9" w:rsidRPr="00131EED" w:rsidRDefault="000959B9" w:rsidP="00B60DA2">
            <w:pPr>
              <w:rPr>
                <w:sz w:val="20"/>
                <w:szCs w:val="20"/>
                <w:lang w:eastAsia="es-ES"/>
              </w:rPr>
            </w:pPr>
            <w:r w:rsidRPr="00131EED">
              <w:rPr>
                <w:sz w:val="20"/>
                <w:szCs w:val="20"/>
                <w:lang w:eastAsia="es-ES"/>
              </w:rPr>
              <w:t>14236</w:t>
            </w:r>
          </w:p>
        </w:tc>
        <w:tc>
          <w:tcPr>
            <w:tcW w:w="2835" w:type="dxa"/>
            <w:noWrap/>
            <w:hideMark/>
          </w:tcPr>
          <w:p w14:paraId="4B11D2A7"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05CB3440" w14:textId="77777777" w:rsidR="000959B9" w:rsidRPr="00131EED" w:rsidRDefault="000959B9" w:rsidP="00B60DA2">
            <w:pPr>
              <w:rPr>
                <w:sz w:val="20"/>
                <w:szCs w:val="20"/>
                <w:lang w:eastAsia="es-ES"/>
              </w:rPr>
            </w:pPr>
            <w:r w:rsidRPr="00131EED">
              <w:rPr>
                <w:sz w:val="20"/>
                <w:szCs w:val="20"/>
                <w:lang w:eastAsia="es-ES"/>
              </w:rPr>
              <w:t>LICENCIA DE EXPLOTACION</w:t>
            </w:r>
          </w:p>
        </w:tc>
      </w:tr>
      <w:tr w:rsidR="000959B9" w:rsidRPr="00131EED" w14:paraId="17F3C145" w14:textId="77777777" w:rsidTr="00053167">
        <w:trPr>
          <w:trHeight w:val="255"/>
          <w:jc w:val="center"/>
        </w:trPr>
        <w:tc>
          <w:tcPr>
            <w:tcW w:w="2263" w:type="dxa"/>
            <w:noWrap/>
            <w:hideMark/>
          </w:tcPr>
          <w:p w14:paraId="217AACBC" w14:textId="77777777" w:rsidR="000959B9" w:rsidRPr="00131EED" w:rsidRDefault="000959B9" w:rsidP="00B60DA2">
            <w:pPr>
              <w:rPr>
                <w:sz w:val="20"/>
                <w:szCs w:val="20"/>
                <w:lang w:eastAsia="es-ES"/>
              </w:rPr>
            </w:pPr>
            <w:r w:rsidRPr="00131EED">
              <w:rPr>
                <w:sz w:val="20"/>
                <w:szCs w:val="20"/>
                <w:lang w:eastAsia="es-ES"/>
              </w:rPr>
              <w:t>19228</w:t>
            </w:r>
          </w:p>
        </w:tc>
        <w:tc>
          <w:tcPr>
            <w:tcW w:w="2835" w:type="dxa"/>
            <w:noWrap/>
            <w:hideMark/>
          </w:tcPr>
          <w:p w14:paraId="7A415A7F"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3839AECD" w14:textId="77777777" w:rsidR="000959B9" w:rsidRPr="00131EED" w:rsidRDefault="000959B9" w:rsidP="00B60DA2">
            <w:pPr>
              <w:rPr>
                <w:sz w:val="20"/>
                <w:szCs w:val="20"/>
                <w:lang w:eastAsia="es-ES"/>
              </w:rPr>
            </w:pPr>
            <w:r w:rsidRPr="00131EED">
              <w:rPr>
                <w:sz w:val="20"/>
                <w:szCs w:val="20"/>
                <w:lang w:eastAsia="es-ES"/>
              </w:rPr>
              <w:t>CONTRATO DE CONCESION (D 2655)</w:t>
            </w:r>
          </w:p>
        </w:tc>
      </w:tr>
      <w:tr w:rsidR="000959B9" w:rsidRPr="00131EED" w14:paraId="06E6D333" w14:textId="77777777" w:rsidTr="00053167">
        <w:trPr>
          <w:trHeight w:val="255"/>
          <w:jc w:val="center"/>
        </w:trPr>
        <w:tc>
          <w:tcPr>
            <w:tcW w:w="2263" w:type="dxa"/>
            <w:noWrap/>
            <w:hideMark/>
          </w:tcPr>
          <w:p w14:paraId="7D4A42E3" w14:textId="77777777" w:rsidR="000959B9" w:rsidRPr="00131EED" w:rsidRDefault="000959B9" w:rsidP="00B60DA2">
            <w:pPr>
              <w:rPr>
                <w:sz w:val="20"/>
                <w:szCs w:val="20"/>
                <w:lang w:eastAsia="es-ES"/>
              </w:rPr>
            </w:pPr>
            <w:r w:rsidRPr="00131EED">
              <w:rPr>
                <w:sz w:val="20"/>
                <w:szCs w:val="20"/>
                <w:lang w:eastAsia="es-ES"/>
              </w:rPr>
              <w:t>887T</w:t>
            </w:r>
          </w:p>
        </w:tc>
        <w:tc>
          <w:tcPr>
            <w:tcW w:w="2835" w:type="dxa"/>
            <w:noWrap/>
            <w:hideMark/>
          </w:tcPr>
          <w:p w14:paraId="24F501F7"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6659322D" w14:textId="77777777" w:rsidR="000959B9" w:rsidRPr="00131EED" w:rsidRDefault="000959B9" w:rsidP="00B60DA2">
            <w:pPr>
              <w:rPr>
                <w:sz w:val="20"/>
                <w:szCs w:val="20"/>
                <w:lang w:eastAsia="es-ES"/>
              </w:rPr>
            </w:pPr>
            <w:r w:rsidRPr="00131EED">
              <w:rPr>
                <w:sz w:val="20"/>
                <w:szCs w:val="20"/>
                <w:lang w:eastAsia="es-ES"/>
              </w:rPr>
              <w:t>CONTRATO EN VIRTUD DE APORTE</w:t>
            </w:r>
          </w:p>
        </w:tc>
      </w:tr>
      <w:tr w:rsidR="000959B9" w:rsidRPr="00131EED" w14:paraId="597920A5" w14:textId="77777777" w:rsidTr="00053167">
        <w:trPr>
          <w:trHeight w:val="255"/>
          <w:jc w:val="center"/>
        </w:trPr>
        <w:tc>
          <w:tcPr>
            <w:tcW w:w="2263" w:type="dxa"/>
            <w:noWrap/>
            <w:hideMark/>
          </w:tcPr>
          <w:p w14:paraId="6040FFC0" w14:textId="77777777" w:rsidR="000959B9" w:rsidRPr="00131EED" w:rsidRDefault="000959B9" w:rsidP="00B60DA2">
            <w:pPr>
              <w:rPr>
                <w:sz w:val="20"/>
                <w:szCs w:val="20"/>
                <w:lang w:eastAsia="es-ES"/>
              </w:rPr>
            </w:pPr>
            <w:r w:rsidRPr="00131EED">
              <w:rPr>
                <w:sz w:val="20"/>
                <w:szCs w:val="20"/>
                <w:lang w:eastAsia="es-ES"/>
              </w:rPr>
              <w:t>13188</w:t>
            </w:r>
          </w:p>
        </w:tc>
        <w:tc>
          <w:tcPr>
            <w:tcW w:w="2835" w:type="dxa"/>
            <w:noWrap/>
            <w:hideMark/>
          </w:tcPr>
          <w:p w14:paraId="38A059BE" w14:textId="77777777" w:rsidR="000959B9" w:rsidRPr="00131EED" w:rsidRDefault="000959B9" w:rsidP="00B60DA2">
            <w:pPr>
              <w:rPr>
                <w:sz w:val="20"/>
                <w:szCs w:val="20"/>
                <w:lang w:eastAsia="es-ES"/>
              </w:rPr>
            </w:pPr>
            <w:r w:rsidRPr="00131EED">
              <w:rPr>
                <w:sz w:val="20"/>
                <w:szCs w:val="20"/>
                <w:lang w:eastAsia="es-ES"/>
              </w:rPr>
              <w:t>Terminado</w:t>
            </w:r>
          </w:p>
        </w:tc>
        <w:tc>
          <w:tcPr>
            <w:tcW w:w="3730" w:type="dxa"/>
            <w:noWrap/>
            <w:hideMark/>
          </w:tcPr>
          <w:p w14:paraId="7A9FA490" w14:textId="77777777" w:rsidR="000959B9" w:rsidRPr="00131EED" w:rsidRDefault="000959B9" w:rsidP="00B60DA2">
            <w:pPr>
              <w:rPr>
                <w:sz w:val="20"/>
                <w:szCs w:val="20"/>
                <w:lang w:eastAsia="es-ES"/>
              </w:rPr>
            </w:pPr>
            <w:r w:rsidRPr="00131EED">
              <w:rPr>
                <w:sz w:val="20"/>
                <w:szCs w:val="20"/>
                <w:lang w:eastAsia="es-ES"/>
              </w:rPr>
              <w:t>CONTRATO DE CONCESION (D 2655)</w:t>
            </w:r>
          </w:p>
        </w:tc>
      </w:tr>
      <w:tr w:rsidR="000959B9" w:rsidRPr="00131EED" w14:paraId="6CABC91F" w14:textId="77777777" w:rsidTr="00053167">
        <w:trPr>
          <w:trHeight w:val="255"/>
          <w:jc w:val="center"/>
        </w:trPr>
        <w:tc>
          <w:tcPr>
            <w:tcW w:w="2263" w:type="dxa"/>
            <w:noWrap/>
            <w:hideMark/>
          </w:tcPr>
          <w:p w14:paraId="16E64F5B" w14:textId="77777777" w:rsidR="000959B9" w:rsidRPr="00131EED" w:rsidRDefault="000959B9" w:rsidP="00B60DA2">
            <w:pPr>
              <w:rPr>
                <w:sz w:val="20"/>
                <w:szCs w:val="20"/>
                <w:lang w:eastAsia="es-ES"/>
              </w:rPr>
            </w:pPr>
            <w:r w:rsidRPr="00131EED">
              <w:rPr>
                <w:sz w:val="20"/>
                <w:szCs w:val="20"/>
                <w:lang w:eastAsia="es-ES"/>
              </w:rPr>
              <w:t>16117</w:t>
            </w:r>
          </w:p>
        </w:tc>
        <w:tc>
          <w:tcPr>
            <w:tcW w:w="2835" w:type="dxa"/>
            <w:noWrap/>
            <w:hideMark/>
          </w:tcPr>
          <w:p w14:paraId="1C7F21BD"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543E14AB" w14:textId="77777777" w:rsidR="000959B9" w:rsidRPr="00131EED" w:rsidRDefault="000959B9" w:rsidP="00B60DA2">
            <w:pPr>
              <w:rPr>
                <w:sz w:val="20"/>
                <w:szCs w:val="20"/>
                <w:lang w:eastAsia="es-ES"/>
              </w:rPr>
            </w:pPr>
            <w:r w:rsidRPr="00131EED">
              <w:rPr>
                <w:sz w:val="20"/>
                <w:szCs w:val="20"/>
                <w:lang w:eastAsia="es-ES"/>
              </w:rPr>
              <w:t>CONTRATO DE CONCESION (D 2655)</w:t>
            </w:r>
          </w:p>
        </w:tc>
      </w:tr>
      <w:tr w:rsidR="000959B9" w:rsidRPr="00131EED" w14:paraId="059C2269" w14:textId="77777777" w:rsidTr="00053167">
        <w:trPr>
          <w:trHeight w:val="255"/>
          <w:jc w:val="center"/>
        </w:trPr>
        <w:tc>
          <w:tcPr>
            <w:tcW w:w="2263" w:type="dxa"/>
            <w:noWrap/>
            <w:hideMark/>
          </w:tcPr>
          <w:p w14:paraId="154FA4C6" w14:textId="77777777" w:rsidR="000959B9" w:rsidRPr="00131EED" w:rsidRDefault="000959B9" w:rsidP="00B60DA2">
            <w:pPr>
              <w:rPr>
                <w:sz w:val="20"/>
                <w:szCs w:val="20"/>
                <w:lang w:eastAsia="es-ES"/>
              </w:rPr>
            </w:pPr>
            <w:r w:rsidRPr="00131EED">
              <w:rPr>
                <w:sz w:val="20"/>
                <w:szCs w:val="20"/>
                <w:lang w:eastAsia="es-ES"/>
              </w:rPr>
              <w:t>AGC-101</w:t>
            </w:r>
          </w:p>
        </w:tc>
        <w:tc>
          <w:tcPr>
            <w:tcW w:w="2835" w:type="dxa"/>
            <w:noWrap/>
            <w:hideMark/>
          </w:tcPr>
          <w:p w14:paraId="2B70F2CF" w14:textId="77777777" w:rsidR="000959B9" w:rsidRPr="00131EED" w:rsidRDefault="000959B9" w:rsidP="00B60DA2">
            <w:pPr>
              <w:rPr>
                <w:sz w:val="20"/>
                <w:szCs w:val="20"/>
                <w:lang w:eastAsia="es-ES"/>
              </w:rPr>
            </w:pPr>
            <w:r w:rsidRPr="00131EED">
              <w:rPr>
                <w:sz w:val="20"/>
                <w:szCs w:val="20"/>
                <w:lang w:eastAsia="es-ES"/>
              </w:rPr>
              <w:t>Terminado</w:t>
            </w:r>
          </w:p>
        </w:tc>
        <w:tc>
          <w:tcPr>
            <w:tcW w:w="3730" w:type="dxa"/>
            <w:noWrap/>
            <w:hideMark/>
          </w:tcPr>
          <w:p w14:paraId="271FAF7D" w14:textId="77777777" w:rsidR="000959B9" w:rsidRPr="00131EED" w:rsidRDefault="000959B9" w:rsidP="00B60DA2">
            <w:pPr>
              <w:rPr>
                <w:sz w:val="20"/>
                <w:szCs w:val="20"/>
                <w:lang w:eastAsia="es-ES"/>
              </w:rPr>
            </w:pPr>
            <w:r w:rsidRPr="00131EED">
              <w:rPr>
                <w:sz w:val="20"/>
                <w:szCs w:val="20"/>
                <w:lang w:eastAsia="es-ES"/>
              </w:rPr>
              <w:t>LICENCIA DE EXPLORACION</w:t>
            </w:r>
          </w:p>
        </w:tc>
      </w:tr>
      <w:tr w:rsidR="000959B9" w:rsidRPr="00131EED" w14:paraId="2C014C2B" w14:textId="77777777" w:rsidTr="00053167">
        <w:trPr>
          <w:trHeight w:val="255"/>
          <w:jc w:val="center"/>
        </w:trPr>
        <w:tc>
          <w:tcPr>
            <w:tcW w:w="2263" w:type="dxa"/>
            <w:noWrap/>
            <w:hideMark/>
          </w:tcPr>
          <w:p w14:paraId="51E0BB02" w14:textId="77777777" w:rsidR="000959B9" w:rsidRPr="00131EED" w:rsidRDefault="000959B9" w:rsidP="00B60DA2">
            <w:pPr>
              <w:rPr>
                <w:sz w:val="20"/>
                <w:szCs w:val="20"/>
                <w:lang w:eastAsia="es-ES"/>
              </w:rPr>
            </w:pPr>
            <w:r w:rsidRPr="00131EED">
              <w:rPr>
                <w:sz w:val="20"/>
                <w:szCs w:val="20"/>
                <w:lang w:eastAsia="es-ES"/>
              </w:rPr>
              <w:t>16356</w:t>
            </w:r>
          </w:p>
        </w:tc>
        <w:tc>
          <w:tcPr>
            <w:tcW w:w="2835" w:type="dxa"/>
            <w:noWrap/>
            <w:hideMark/>
          </w:tcPr>
          <w:p w14:paraId="357323A7"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1D2B9509" w14:textId="77777777" w:rsidR="000959B9" w:rsidRPr="00131EED" w:rsidRDefault="000959B9" w:rsidP="00B60DA2">
            <w:pPr>
              <w:rPr>
                <w:sz w:val="20"/>
                <w:szCs w:val="20"/>
                <w:lang w:eastAsia="es-ES"/>
              </w:rPr>
            </w:pPr>
            <w:r w:rsidRPr="00131EED">
              <w:rPr>
                <w:sz w:val="20"/>
                <w:szCs w:val="20"/>
                <w:lang w:eastAsia="es-ES"/>
              </w:rPr>
              <w:t>CONTRATO DE CONCESION (D 2655)</w:t>
            </w:r>
          </w:p>
        </w:tc>
      </w:tr>
      <w:tr w:rsidR="000959B9" w:rsidRPr="00131EED" w14:paraId="09281073" w14:textId="77777777" w:rsidTr="00053167">
        <w:trPr>
          <w:trHeight w:val="255"/>
          <w:jc w:val="center"/>
        </w:trPr>
        <w:tc>
          <w:tcPr>
            <w:tcW w:w="2263" w:type="dxa"/>
            <w:noWrap/>
            <w:hideMark/>
          </w:tcPr>
          <w:p w14:paraId="48D3D58D" w14:textId="77777777" w:rsidR="000959B9" w:rsidRPr="00131EED" w:rsidRDefault="000959B9" w:rsidP="00B60DA2">
            <w:pPr>
              <w:rPr>
                <w:sz w:val="20"/>
                <w:szCs w:val="20"/>
                <w:lang w:eastAsia="es-ES"/>
              </w:rPr>
            </w:pPr>
            <w:r w:rsidRPr="00131EED">
              <w:rPr>
                <w:sz w:val="20"/>
                <w:szCs w:val="20"/>
                <w:lang w:eastAsia="es-ES"/>
              </w:rPr>
              <w:t>EEU-082</w:t>
            </w:r>
          </w:p>
        </w:tc>
        <w:tc>
          <w:tcPr>
            <w:tcW w:w="2835" w:type="dxa"/>
            <w:noWrap/>
            <w:hideMark/>
          </w:tcPr>
          <w:p w14:paraId="01B46A74"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01648AA8" w14:textId="77777777" w:rsidR="000959B9" w:rsidRPr="00131EED" w:rsidRDefault="000959B9" w:rsidP="00B60DA2">
            <w:pPr>
              <w:rPr>
                <w:sz w:val="20"/>
                <w:szCs w:val="20"/>
                <w:lang w:eastAsia="es-ES"/>
              </w:rPr>
            </w:pPr>
            <w:r w:rsidRPr="00131EED">
              <w:rPr>
                <w:sz w:val="20"/>
                <w:szCs w:val="20"/>
                <w:lang w:eastAsia="es-ES"/>
              </w:rPr>
              <w:t>CONTRATO DE CONCESION (D 2655)</w:t>
            </w:r>
          </w:p>
        </w:tc>
      </w:tr>
      <w:tr w:rsidR="000959B9" w:rsidRPr="00131EED" w14:paraId="39192D12" w14:textId="77777777" w:rsidTr="00053167">
        <w:trPr>
          <w:trHeight w:val="255"/>
          <w:jc w:val="center"/>
        </w:trPr>
        <w:tc>
          <w:tcPr>
            <w:tcW w:w="2263" w:type="dxa"/>
            <w:noWrap/>
            <w:hideMark/>
          </w:tcPr>
          <w:p w14:paraId="610BC5D7" w14:textId="77777777" w:rsidR="000959B9" w:rsidRPr="00131EED" w:rsidRDefault="000959B9" w:rsidP="00B60DA2">
            <w:pPr>
              <w:rPr>
                <w:sz w:val="20"/>
                <w:szCs w:val="20"/>
                <w:lang w:eastAsia="es-ES"/>
              </w:rPr>
            </w:pPr>
            <w:r w:rsidRPr="00131EED">
              <w:rPr>
                <w:sz w:val="20"/>
                <w:szCs w:val="20"/>
                <w:lang w:eastAsia="es-ES"/>
              </w:rPr>
              <w:t>052</w:t>
            </w:r>
          </w:p>
        </w:tc>
        <w:tc>
          <w:tcPr>
            <w:tcW w:w="2835" w:type="dxa"/>
            <w:noWrap/>
            <w:hideMark/>
          </w:tcPr>
          <w:p w14:paraId="1BB1AD6B"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0A56A589" w14:textId="77777777" w:rsidR="000959B9" w:rsidRPr="00131EED" w:rsidRDefault="000959B9" w:rsidP="00B60DA2">
            <w:pPr>
              <w:rPr>
                <w:sz w:val="20"/>
                <w:szCs w:val="20"/>
                <w:lang w:eastAsia="es-ES"/>
              </w:rPr>
            </w:pPr>
            <w:r w:rsidRPr="00131EED">
              <w:rPr>
                <w:sz w:val="20"/>
                <w:szCs w:val="20"/>
                <w:lang w:eastAsia="es-ES"/>
              </w:rPr>
              <w:t>REGISTRO MINERO DE CANTERAS</w:t>
            </w:r>
          </w:p>
        </w:tc>
      </w:tr>
      <w:tr w:rsidR="000959B9" w:rsidRPr="00131EED" w14:paraId="36F80831" w14:textId="77777777" w:rsidTr="00053167">
        <w:trPr>
          <w:trHeight w:val="255"/>
          <w:jc w:val="center"/>
        </w:trPr>
        <w:tc>
          <w:tcPr>
            <w:tcW w:w="2263" w:type="dxa"/>
            <w:noWrap/>
            <w:hideMark/>
          </w:tcPr>
          <w:p w14:paraId="15E2DD24" w14:textId="77777777" w:rsidR="000959B9" w:rsidRPr="00131EED" w:rsidRDefault="000959B9" w:rsidP="00B60DA2">
            <w:pPr>
              <w:rPr>
                <w:sz w:val="20"/>
                <w:szCs w:val="20"/>
                <w:lang w:eastAsia="es-ES"/>
              </w:rPr>
            </w:pPr>
            <w:r w:rsidRPr="00131EED">
              <w:rPr>
                <w:sz w:val="20"/>
                <w:szCs w:val="20"/>
                <w:lang w:eastAsia="es-ES"/>
              </w:rPr>
              <w:t>GJ4-081</w:t>
            </w:r>
          </w:p>
        </w:tc>
        <w:tc>
          <w:tcPr>
            <w:tcW w:w="2835" w:type="dxa"/>
            <w:noWrap/>
            <w:hideMark/>
          </w:tcPr>
          <w:p w14:paraId="3B4A5A23"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2E70C310" w14:textId="77777777" w:rsidR="000959B9" w:rsidRPr="00131EED" w:rsidRDefault="000959B9" w:rsidP="00B60DA2">
            <w:pPr>
              <w:rPr>
                <w:sz w:val="20"/>
                <w:szCs w:val="20"/>
                <w:lang w:eastAsia="es-ES"/>
              </w:rPr>
            </w:pPr>
            <w:r w:rsidRPr="00131EED">
              <w:rPr>
                <w:sz w:val="20"/>
                <w:szCs w:val="20"/>
                <w:lang w:eastAsia="es-ES"/>
              </w:rPr>
              <w:t>CONTRATO DE CONCESION (D 2655)</w:t>
            </w:r>
          </w:p>
        </w:tc>
      </w:tr>
      <w:tr w:rsidR="000959B9" w:rsidRPr="00131EED" w14:paraId="23199FD3" w14:textId="77777777" w:rsidTr="00053167">
        <w:trPr>
          <w:trHeight w:val="255"/>
          <w:jc w:val="center"/>
        </w:trPr>
        <w:tc>
          <w:tcPr>
            <w:tcW w:w="2263" w:type="dxa"/>
            <w:noWrap/>
            <w:hideMark/>
          </w:tcPr>
          <w:p w14:paraId="645F0F4C" w14:textId="77777777" w:rsidR="000959B9" w:rsidRPr="00131EED" w:rsidRDefault="000959B9" w:rsidP="00B60DA2">
            <w:pPr>
              <w:rPr>
                <w:sz w:val="20"/>
                <w:szCs w:val="20"/>
                <w:lang w:eastAsia="es-ES"/>
              </w:rPr>
            </w:pPr>
            <w:r w:rsidRPr="00131EED">
              <w:rPr>
                <w:sz w:val="20"/>
                <w:szCs w:val="20"/>
                <w:lang w:eastAsia="es-ES"/>
              </w:rPr>
              <w:t>15494</w:t>
            </w:r>
          </w:p>
        </w:tc>
        <w:tc>
          <w:tcPr>
            <w:tcW w:w="2835" w:type="dxa"/>
            <w:noWrap/>
            <w:hideMark/>
          </w:tcPr>
          <w:p w14:paraId="2DDACC19"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3DD4ADBA" w14:textId="77777777" w:rsidR="000959B9" w:rsidRPr="00131EED" w:rsidRDefault="000959B9" w:rsidP="00B60DA2">
            <w:pPr>
              <w:rPr>
                <w:sz w:val="20"/>
                <w:szCs w:val="20"/>
                <w:lang w:eastAsia="es-ES"/>
              </w:rPr>
            </w:pPr>
            <w:r w:rsidRPr="00131EED">
              <w:rPr>
                <w:sz w:val="20"/>
                <w:szCs w:val="20"/>
                <w:lang w:eastAsia="es-ES"/>
              </w:rPr>
              <w:t>LICENCIA DE EXPLOTACION</w:t>
            </w:r>
          </w:p>
        </w:tc>
      </w:tr>
      <w:tr w:rsidR="000959B9" w:rsidRPr="00131EED" w14:paraId="0E33AC79" w14:textId="77777777" w:rsidTr="00053167">
        <w:trPr>
          <w:trHeight w:val="255"/>
          <w:jc w:val="center"/>
        </w:trPr>
        <w:tc>
          <w:tcPr>
            <w:tcW w:w="2263" w:type="dxa"/>
            <w:noWrap/>
            <w:hideMark/>
          </w:tcPr>
          <w:p w14:paraId="291520AB" w14:textId="77777777" w:rsidR="000959B9" w:rsidRPr="00131EED" w:rsidRDefault="000959B9" w:rsidP="00B60DA2">
            <w:pPr>
              <w:rPr>
                <w:sz w:val="20"/>
                <w:szCs w:val="20"/>
                <w:lang w:eastAsia="es-ES"/>
              </w:rPr>
            </w:pPr>
            <w:r w:rsidRPr="00131EED">
              <w:rPr>
                <w:sz w:val="20"/>
                <w:szCs w:val="20"/>
                <w:lang w:eastAsia="es-ES"/>
              </w:rPr>
              <w:t>13490</w:t>
            </w:r>
          </w:p>
        </w:tc>
        <w:tc>
          <w:tcPr>
            <w:tcW w:w="2835" w:type="dxa"/>
            <w:noWrap/>
            <w:hideMark/>
          </w:tcPr>
          <w:p w14:paraId="2A9310BF"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66F633F2" w14:textId="77777777" w:rsidR="000959B9" w:rsidRPr="00131EED" w:rsidRDefault="000959B9" w:rsidP="00B60DA2">
            <w:pPr>
              <w:rPr>
                <w:sz w:val="20"/>
                <w:szCs w:val="20"/>
                <w:lang w:eastAsia="es-ES"/>
              </w:rPr>
            </w:pPr>
            <w:r w:rsidRPr="00131EED">
              <w:rPr>
                <w:sz w:val="20"/>
                <w:szCs w:val="20"/>
                <w:lang w:eastAsia="es-ES"/>
              </w:rPr>
              <w:t>LICENCIA DE EXPLOTACION</w:t>
            </w:r>
          </w:p>
        </w:tc>
      </w:tr>
      <w:tr w:rsidR="000959B9" w:rsidRPr="00131EED" w14:paraId="3B1E1E45" w14:textId="77777777" w:rsidTr="00053167">
        <w:trPr>
          <w:trHeight w:val="255"/>
          <w:jc w:val="center"/>
        </w:trPr>
        <w:tc>
          <w:tcPr>
            <w:tcW w:w="2263" w:type="dxa"/>
            <w:noWrap/>
            <w:hideMark/>
          </w:tcPr>
          <w:p w14:paraId="6F6C6476" w14:textId="77777777" w:rsidR="000959B9" w:rsidRPr="00131EED" w:rsidRDefault="000959B9" w:rsidP="00B60DA2">
            <w:pPr>
              <w:rPr>
                <w:sz w:val="20"/>
                <w:szCs w:val="20"/>
                <w:lang w:eastAsia="es-ES"/>
              </w:rPr>
            </w:pPr>
            <w:r w:rsidRPr="00131EED">
              <w:rPr>
                <w:sz w:val="20"/>
                <w:szCs w:val="20"/>
                <w:lang w:eastAsia="es-ES"/>
              </w:rPr>
              <w:t>IK9-15281</w:t>
            </w:r>
          </w:p>
        </w:tc>
        <w:tc>
          <w:tcPr>
            <w:tcW w:w="2835" w:type="dxa"/>
            <w:noWrap/>
            <w:hideMark/>
          </w:tcPr>
          <w:p w14:paraId="2C570026" w14:textId="77777777" w:rsidR="000959B9" w:rsidRPr="00131EED" w:rsidRDefault="000959B9" w:rsidP="00B60DA2">
            <w:pPr>
              <w:rPr>
                <w:sz w:val="20"/>
                <w:szCs w:val="20"/>
                <w:lang w:eastAsia="es-ES"/>
              </w:rPr>
            </w:pPr>
            <w:r w:rsidRPr="00131EED">
              <w:rPr>
                <w:sz w:val="20"/>
                <w:szCs w:val="20"/>
                <w:lang w:eastAsia="es-ES"/>
              </w:rPr>
              <w:t>Titulo terminado-en liquidación</w:t>
            </w:r>
          </w:p>
        </w:tc>
        <w:tc>
          <w:tcPr>
            <w:tcW w:w="3730" w:type="dxa"/>
            <w:noWrap/>
            <w:hideMark/>
          </w:tcPr>
          <w:p w14:paraId="20AD8042"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6301AF0D" w14:textId="77777777" w:rsidTr="00053167">
        <w:trPr>
          <w:trHeight w:val="255"/>
          <w:jc w:val="center"/>
        </w:trPr>
        <w:tc>
          <w:tcPr>
            <w:tcW w:w="2263" w:type="dxa"/>
            <w:noWrap/>
            <w:hideMark/>
          </w:tcPr>
          <w:p w14:paraId="0D7C230C" w14:textId="77777777" w:rsidR="000959B9" w:rsidRPr="00131EED" w:rsidRDefault="000959B9" w:rsidP="00B60DA2">
            <w:pPr>
              <w:rPr>
                <w:sz w:val="20"/>
                <w:szCs w:val="20"/>
                <w:lang w:eastAsia="es-ES"/>
              </w:rPr>
            </w:pPr>
            <w:r w:rsidRPr="00131EED">
              <w:rPr>
                <w:sz w:val="20"/>
                <w:szCs w:val="20"/>
                <w:lang w:eastAsia="es-ES"/>
              </w:rPr>
              <w:t>14997</w:t>
            </w:r>
          </w:p>
        </w:tc>
        <w:tc>
          <w:tcPr>
            <w:tcW w:w="2835" w:type="dxa"/>
            <w:noWrap/>
            <w:hideMark/>
          </w:tcPr>
          <w:p w14:paraId="6E593F00"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70D2D351" w14:textId="77777777" w:rsidR="000959B9" w:rsidRPr="00131EED" w:rsidRDefault="000959B9" w:rsidP="00B60DA2">
            <w:pPr>
              <w:rPr>
                <w:sz w:val="20"/>
                <w:szCs w:val="20"/>
                <w:lang w:eastAsia="es-ES"/>
              </w:rPr>
            </w:pPr>
            <w:r w:rsidRPr="00131EED">
              <w:rPr>
                <w:sz w:val="20"/>
                <w:szCs w:val="20"/>
                <w:lang w:eastAsia="es-ES"/>
              </w:rPr>
              <w:t>LICENCIA DE EXPLOTACION</w:t>
            </w:r>
          </w:p>
        </w:tc>
      </w:tr>
      <w:tr w:rsidR="000959B9" w:rsidRPr="00131EED" w14:paraId="66083B8D" w14:textId="77777777" w:rsidTr="00053167">
        <w:trPr>
          <w:trHeight w:val="255"/>
          <w:jc w:val="center"/>
        </w:trPr>
        <w:tc>
          <w:tcPr>
            <w:tcW w:w="2263" w:type="dxa"/>
            <w:noWrap/>
            <w:hideMark/>
          </w:tcPr>
          <w:p w14:paraId="52A583D3" w14:textId="77777777" w:rsidR="000959B9" w:rsidRPr="00131EED" w:rsidRDefault="000959B9" w:rsidP="00B60DA2">
            <w:pPr>
              <w:rPr>
                <w:sz w:val="20"/>
                <w:szCs w:val="20"/>
                <w:lang w:eastAsia="es-ES"/>
              </w:rPr>
            </w:pPr>
            <w:r w:rsidRPr="00131EED">
              <w:rPr>
                <w:sz w:val="20"/>
                <w:szCs w:val="20"/>
                <w:lang w:eastAsia="es-ES"/>
              </w:rPr>
              <w:t>JDF-08081</w:t>
            </w:r>
          </w:p>
        </w:tc>
        <w:tc>
          <w:tcPr>
            <w:tcW w:w="2835" w:type="dxa"/>
            <w:noWrap/>
            <w:hideMark/>
          </w:tcPr>
          <w:p w14:paraId="32BF2A64"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6ACA1804"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6BA162FF" w14:textId="77777777" w:rsidTr="00053167">
        <w:trPr>
          <w:trHeight w:val="255"/>
          <w:jc w:val="center"/>
        </w:trPr>
        <w:tc>
          <w:tcPr>
            <w:tcW w:w="2263" w:type="dxa"/>
            <w:noWrap/>
            <w:hideMark/>
          </w:tcPr>
          <w:p w14:paraId="64E171DA" w14:textId="77777777" w:rsidR="000959B9" w:rsidRPr="00131EED" w:rsidRDefault="000959B9" w:rsidP="00B60DA2">
            <w:pPr>
              <w:rPr>
                <w:sz w:val="20"/>
                <w:szCs w:val="20"/>
                <w:lang w:eastAsia="es-ES"/>
              </w:rPr>
            </w:pPr>
            <w:r w:rsidRPr="00131EED">
              <w:rPr>
                <w:sz w:val="20"/>
                <w:szCs w:val="20"/>
                <w:lang w:eastAsia="es-ES"/>
              </w:rPr>
              <w:t>15558</w:t>
            </w:r>
          </w:p>
        </w:tc>
        <w:tc>
          <w:tcPr>
            <w:tcW w:w="2835" w:type="dxa"/>
            <w:noWrap/>
            <w:hideMark/>
          </w:tcPr>
          <w:p w14:paraId="37D9AC09"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34A9A811" w14:textId="77777777" w:rsidR="000959B9" w:rsidRPr="00131EED" w:rsidRDefault="000959B9" w:rsidP="00B60DA2">
            <w:pPr>
              <w:rPr>
                <w:sz w:val="20"/>
                <w:szCs w:val="20"/>
                <w:lang w:eastAsia="es-ES"/>
              </w:rPr>
            </w:pPr>
            <w:r w:rsidRPr="00131EED">
              <w:rPr>
                <w:sz w:val="20"/>
                <w:szCs w:val="20"/>
                <w:lang w:eastAsia="es-ES"/>
              </w:rPr>
              <w:t>CONTRATO DE CONCESION (D 2655)</w:t>
            </w:r>
          </w:p>
        </w:tc>
      </w:tr>
      <w:tr w:rsidR="000959B9" w:rsidRPr="00131EED" w14:paraId="34CD7A9D" w14:textId="77777777" w:rsidTr="00053167">
        <w:trPr>
          <w:trHeight w:val="255"/>
          <w:jc w:val="center"/>
        </w:trPr>
        <w:tc>
          <w:tcPr>
            <w:tcW w:w="2263" w:type="dxa"/>
            <w:noWrap/>
            <w:hideMark/>
          </w:tcPr>
          <w:p w14:paraId="295FD423" w14:textId="77777777" w:rsidR="000959B9" w:rsidRPr="00131EED" w:rsidRDefault="000959B9" w:rsidP="00B60DA2">
            <w:pPr>
              <w:rPr>
                <w:sz w:val="20"/>
                <w:szCs w:val="20"/>
                <w:lang w:eastAsia="es-ES"/>
              </w:rPr>
            </w:pPr>
            <w:r w:rsidRPr="00131EED">
              <w:rPr>
                <w:sz w:val="20"/>
                <w:szCs w:val="20"/>
                <w:lang w:eastAsia="es-ES"/>
              </w:rPr>
              <w:t>FKT-137</w:t>
            </w:r>
          </w:p>
        </w:tc>
        <w:tc>
          <w:tcPr>
            <w:tcW w:w="2835" w:type="dxa"/>
            <w:noWrap/>
            <w:hideMark/>
          </w:tcPr>
          <w:p w14:paraId="5C5A1429"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06C453BF"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0C8520D1" w14:textId="77777777" w:rsidTr="00053167">
        <w:trPr>
          <w:trHeight w:val="255"/>
          <w:jc w:val="center"/>
        </w:trPr>
        <w:tc>
          <w:tcPr>
            <w:tcW w:w="2263" w:type="dxa"/>
            <w:noWrap/>
            <w:hideMark/>
          </w:tcPr>
          <w:p w14:paraId="49E5A3AA" w14:textId="77777777" w:rsidR="000959B9" w:rsidRPr="00131EED" w:rsidRDefault="000959B9" w:rsidP="00B60DA2">
            <w:pPr>
              <w:rPr>
                <w:sz w:val="20"/>
                <w:szCs w:val="20"/>
                <w:lang w:eastAsia="es-ES"/>
              </w:rPr>
            </w:pPr>
            <w:r w:rsidRPr="00131EED">
              <w:rPr>
                <w:sz w:val="20"/>
                <w:szCs w:val="20"/>
                <w:lang w:eastAsia="es-ES"/>
              </w:rPr>
              <w:t>112-88</w:t>
            </w:r>
          </w:p>
        </w:tc>
        <w:tc>
          <w:tcPr>
            <w:tcW w:w="2835" w:type="dxa"/>
            <w:noWrap/>
            <w:hideMark/>
          </w:tcPr>
          <w:p w14:paraId="09C4874E"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538766F1" w14:textId="77777777" w:rsidR="000959B9" w:rsidRPr="00131EED" w:rsidRDefault="000959B9" w:rsidP="00B60DA2">
            <w:pPr>
              <w:rPr>
                <w:sz w:val="20"/>
                <w:szCs w:val="20"/>
                <w:lang w:eastAsia="es-ES"/>
              </w:rPr>
            </w:pPr>
            <w:r w:rsidRPr="00131EED">
              <w:rPr>
                <w:sz w:val="20"/>
                <w:szCs w:val="20"/>
                <w:lang w:eastAsia="es-ES"/>
              </w:rPr>
              <w:t>CONTRATO EN VIRTUD DE APORTE</w:t>
            </w:r>
          </w:p>
        </w:tc>
      </w:tr>
      <w:tr w:rsidR="000959B9" w:rsidRPr="00131EED" w14:paraId="168CDA65" w14:textId="77777777" w:rsidTr="00053167">
        <w:trPr>
          <w:trHeight w:val="255"/>
          <w:jc w:val="center"/>
        </w:trPr>
        <w:tc>
          <w:tcPr>
            <w:tcW w:w="2263" w:type="dxa"/>
            <w:noWrap/>
            <w:hideMark/>
          </w:tcPr>
          <w:p w14:paraId="6A48AFAA" w14:textId="77777777" w:rsidR="000959B9" w:rsidRPr="00131EED" w:rsidRDefault="000959B9" w:rsidP="00B60DA2">
            <w:pPr>
              <w:rPr>
                <w:sz w:val="20"/>
                <w:szCs w:val="20"/>
                <w:lang w:eastAsia="es-ES"/>
              </w:rPr>
            </w:pPr>
            <w:r w:rsidRPr="00131EED">
              <w:rPr>
                <w:sz w:val="20"/>
                <w:szCs w:val="20"/>
                <w:lang w:eastAsia="es-ES"/>
              </w:rPr>
              <w:t>FEE-151</w:t>
            </w:r>
          </w:p>
        </w:tc>
        <w:tc>
          <w:tcPr>
            <w:tcW w:w="2835" w:type="dxa"/>
            <w:noWrap/>
            <w:hideMark/>
          </w:tcPr>
          <w:p w14:paraId="01880060"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598320C4"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5370016B" w14:textId="77777777" w:rsidTr="00053167">
        <w:trPr>
          <w:trHeight w:val="255"/>
          <w:jc w:val="center"/>
        </w:trPr>
        <w:tc>
          <w:tcPr>
            <w:tcW w:w="2263" w:type="dxa"/>
            <w:noWrap/>
            <w:hideMark/>
          </w:tcPr>
          <w:p w14:paraId="34A315CE" w14:textId="77777777" w:rsidR="000959B9" w:rsidRPr="00131EED" w:rsidRDefault="000959B9" w:rsidP="00B60DA2">
            <w:pPr>
              <w:rPr>
                <w:sz w:val="20"/>
                <w:szCs w:val="20"/>
                <w:lang w:eastAsia="es-ES"/>
              </w:rPr>
            </w:pPr>
            <w:r w:rsidRPr="00131EED">
              <w:rPr>
                <w:sz w:val="20"/>
                <w:szCs w:val="20"/>
                <w:lang w:eastAsia="es-ES"/>
              </w:rPr>
              <w:t>15983</w:t>
            </w:r>
          </w:p>
        </w:tc>
        <w:tc>
          <w:tcPr>
            <w:tcW w:w="2835" w:type="dxa"/>
            <w:noWrap/>
            <w:hideMark/>
          </w:tcPr>
          <w:p w14:paraId="6F8853C1"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5C01FDBC" w14:textId="77777777" w:rsidR="000959B9" w:rsidRPr="00131EED" w:rsidRDefault="000959B9" w:rsidP="00B60DA2">
            <w:pPr>
              <w:rPr>
                <w:sz w:val="20"/>
                <w:szCs w:val="20"/>
                <w:lang w:eastAsia="es-ES"/>
              </w:rPr>
            </w:pPr>
            <w:r w:rsidRPr="00131EED">
              <w:rPr>
                <w:sz w:val="20"/>
                <w:szCs w:val="20"/>
                <w:lang w:eastAsia="es-ES"/>
              </w:rPr>
              <w:t>CONTRATO DE CONCESION (D 2655)</w:t>
            </w:r>
          </w:p>
        </w:tc>
      </w:tr>
      <w:tr w:rsidR="000959B9" w:rsidRPr="00131EED" w14:paraId="571AE54E" w14:textId="77777777" w:rsidTr="00053167">
        <w:trPr>
          <w:trHeight w:val="255"/>
          <w:jc w:val="center"/>
        </w:trPr>
        <w:tc>
          <w:tcPr>
            <w:tcW w:w="2263" w:type="dxa"/>
            <w:noWrap/>
            <w:hideMark/>
          </w:tcPr>
          <w:p w14:paraId="0AF343D6" w14:textId="77777777" w:rsidR="000959B9" w:rsidRPr="00131EED" w:rsidRDefault="000959B9" w:rsidP="00B60DA2">
            <w:pPr>
              <w:rPr>
                <w:sz w:val="20"/>
                <w:szCs w:val="20"/>
                <w:lang w:eastAsia="es-ES"/>
              </w:rPr>
            </w:pPr>
            <w:r w:rsidRPr="00131EED">
              <w:rPr>
                <w:sz w:val="20"/>
                <w:szCs w:val="20"/>
                <w:lang w:eastAsia="es-ES"/>
              </w:rPr>
              <w:t>16334</w:t>
            </w:r>
          </w:p>
        </w:tc>
        <w:tc>
          <w:tcPr>
            <w:tcW w:w="2835" w:type="dxa"/>
            <w:noWrap/>
            <w:hideMark/>
          </w:tcPr>
          <w:p w14:paraId="317E13AD"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4CC5B0C2" w14:textId="77777777" w:rsidR="000959B9" w:rsidRPr="00131EED" w:rsidRDefault="000959B9" w:rsidP="00B60DA2">
            <w:pPr>
              <w:rPr>
                <w:sz w:val="20"/>
                <w:szCs w:val="20"/>
                <w:lang w:eastAsia="es-ES"/>
              </w:rPr>
            </w:pPr>
            <w:r w:rsidRPr="00131EED">
              <w:rPr>
                <w:sz w:val="20"/>
                <w:szCs w:val="20"/>
                <w:lang w:eastAsia="es-ES"/>
              </w:rPr>
              <w:t>LICENCIA DE EXPLOTACION</w:t>
            </w:r>
          </w:p>
        </w:tc>
      </w:tr>
      <w:tr w:rsidR="000959B9" w:rsidRPr="00131EED" w14:paraId="71EBB81A" w14:textId="77777777" w:rsidTr="00053167">
        <w:trPr>
          <w:trHeight w:val="255"/>
          <w:jc w:val="center"/>
        </w:trPr>
        <w:tc>
          <w:tcPr>
            <w:tcW w:w="2263" w:type="dxa"/>
            <w:noWrap/>
            <w:hideMark/>
          </w:tcPr>
          <w:p w14:paraId="3DDBD194" w14:textId="77777777" w:rsidR="000959B9" w:rsidRPr="00131EED" w:rsidRDefault="000959B9" w:rsidP="00B60DA2">
            <w:pPr>
              <w:rPr>
                <w:sz w:val="20"/>
                <w:szCs w:val="20"/>
                <w:lang w:eastAsia="es-ES"/>
              </w:rPr>
            </w:pPr>
            <w:r w:rsidRPr="00131EED">
              <w:rPr>
                <w:sz w:val="20"/>
                <w:szCs w:val="20"/>
                <w:lang w:eastAsia="es-ES"/>
              </w:rPr>
              <w:t>13281</w:t>
            </w:r>
          </w:p>
        </w:tc>
        <w:tc>
          <w:tcPr>
            <w:tcW w:w="2835" w:type="dxa"/>
            <w:noWrap/>
            <w:hideMark/>
          </w:tcPr>
          <w:p w14:paraId="3503F85A"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745B6983" w14:textId="77777777" w:rsidR="000959B9" w:rsidRPr="00131EED" w:rsidRDefault="000959B9" w:rsidP="00B60DA2">
            <w:pPr>
              <w:rPr>
                <w:sz w:val="20"/>
                <w:szCs w:val="20"/>
                <w:lang w:eastAsia="es-ES"/>
              </w:rPr>
            </w:pPr>
            <w:r w:rsidRPr="00131EED">
              <w:rPr>
                <w:sz w:val="20"/>
                <w:szCs w:val="20"/>
                <w:lang w:eastAsia="es-ES"/>
              </w:rPr>
              <w:t>CONTRATO DE CONCESION (D 2655)</w:t>
            </w:r>
          </w:p>
        </w:tc>
      </w:tr>
      <w:tr w:rsidR="000959B9" w:rsidRPr="00131EED" w14:paraId="241DFD12" w14:textId="77777777" w:rsidTr="00053167">
        <w:trPr>
          <w:trHeight w:val="255"/>
          <w:jc w:val="center"/>
        </w:trPr>
        <w:tc>
          <w:tcPr>
            <w:tcW w:w="2263" w:type="dxa"/>
            <w:noWrap/>
            <w:hideMark/>
          </w:tcPr>
          <w:p w14:paraId="7B02C4D6" w14:textId="77777777" w:rsidR="000959B9" w:rsidRPr="00131EED" w:rsidRDefault="000959B9" w:rsidP="00B60DA2">
            <w:pPr>
              <w:rPr>
                <w:sz w:val="20"/>
                <w:szCs w:val="20"/>
                <w:lang w:eastAsia="es-ES"/>
              </w:rPr>
            </w:pPr>
            <w:r w:rsidRPr="00131EED">
              <w:rPr>
                <w:sz w:val="20"/>
                <w:szCs w:val="20"/>
                <w:lang w:eastAsia="es-ES"/>
              </w:rPr>
              <w:t>GCH-152</w:t>
            </w:r>
          </w:p>
        </w:tc>
        <w:tc>
          <w:tcPr>
            <w:tcW w:w="2835" w:type="dxa"/>
            <w:noWrap/>
            <w:hideMark/>
          </w:tcPr>
          <w:p w14:paraId="34464EA3"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084397AA" w14:textId="77777777" w:rsidR="000959B9" w:rsidRPr="00131EED" w:rsidRDefault="000959B9" w:rsidP="00B60DA2">
            <w:pPr>
              <w:rPr>
                <w:sz w:val="20"/>
                <w:szCs w:val="20"/>
                <w:lang w:eastAsia="es-ES"/>
              </w:rPr>
            </w:pPr>
            <w:r w:rsidRPr="00131EED">
              <w:rPr>
                <w:sz w:val="20"/>
                <w:szCs w:val="20"/>
                <w:lang w:eastAsia="es-ES"/>
              </w:rPr>
              <w:t>CONTRATO DE CONCESION (L 685)</w:t>
            </w:r>
          </w:p>
        </w:tc>
      </w:tr>
      <w:tr w:rsidR="000959B9" w:rsidRPr="00131EED" w14:paraId="1C0BD1C7" w14:textId="77777777" w:rsidTr="00053167">
        <w:trPr>
          <w:trHeight w:val="255"/>
          <w:jc w:val="center"/>
        </w:trPr>
        <w:tc>
          <w:tcPr>
            <w:tcW w:w="2263" w:type="dxa"/>
            <w:noWrap/>
            <w:hideMark/>
          </w:tcPr>
          <w:p w14:paraId="2D826ABD" w14:textId="77777777" w:rsidR="000959B9" w:rsidRPr="00131EED" w:rsidRDefault="000959B9" w:rsidP="00B60DA2">
            <w:pPr>
              <w:rPr>
                <w:sz w:val="20"/>
                <w:szCs w:val="20"/>
                <w:lang w:eastAsia="es-ES"/>
              </w:rPr>
            </w:pPr>
            <w:r w:rsidRPr="00131EED">
              <w:rPr>
                <w:sz w:val="20"/>
                <w:szCs w:val="20"/>
                <w:lang w:eastAsia="es-ES"/>
              </w:rPr>
              <w:t>FJB-14011X</w:t>
            </w:r>
          </w:p>
        </w:tc>
        <w:tc>
          <w:tcPr>
            <w:tcW w:w="2835" w:type="dxa"/>
            <w:noWrap/>
            <w:hideMark/>
          </w:tcPr>
          <w:p w14:paraId="7F45AE45" w14:textId="77777777" w:rsidR="000959B9" w:rsidRPr="00131EED" w:rsidRDefault="000959B9" w:rsidP="00B60DA2">
            <w:pPr>
              <w:rPr>
                <w:sz w:val="20"/>
                <w:szCs w:val="20"/>
                <w:lang w:eastAsia="es-ES"/>
              </w:rPr>
            </w:pPr>
            <w:r w:rsidRPr="00131EED">
              <w:rPr>
                <w:sz w:val="20"/>
                <w:szCs w:val="20"/>
                <w:lang w:eastAsia="es-ES"/>
              </w:rPr>
              <w:t>Activo</w:t>
            </w:r>
          </w:p>
        </w:tc>
        <w:tc>
          <w:tcPr>
            <w:tcW w:w="3730" w:type="dxa"/>
            <w:noWrap/>
            <w:hideMark/>
          </w:tcPr>
          <w:p w14:paraId="2F3B9690" w14:textId="77777777" w:rsidR="000959B9" w:rsidRPr="00131EED" w:rsidRDefault="000959B9" w:rsidP="00B60DA2">
            <w:pPr>
              <w:rPr>
                <w:sz w:val="20"/>
                <w:szCs w:val="20"/>
                <w:lang w:eastAsia="es-ES"/>
              </w:rPr>
            </w:pPr>
            <w:r w:rsidRPr="00131EED">
              <w:rPr>
                <w:sz w:val="20"/>
                <w:szCs w:val="20"/>
                <w:lang w:eastAsia="es-ES"/>
              </w:rPr>
              <w:t>CONTRATO DE CONCESION (L 685)</w:t>
            </w:r>
          </w:p>
        </w:tc>
      </w:tr>
    </w:tbl>
    <w:p w14:paraId="0C7B935E" w14:textId="77777777" w:rsidR="000959B9" w:rsidRPr="00131EED" w:rsidRDefault="000959B9" w:rsidP="00B53A59">
      <w:pPr>
        <w:jc w:val="center"/>
        <w:rPr>
          <w:rFonts w:cs="Arial"/>
          <w:sz w:val="20"/>
          <w:szCs w:val="20"/>
        </w:rPr>
      </w:pPr>
      <w:r w:rsidRPr="00131EED">
        <w:rPr>
          <w:rFonts w:cs="Arial"/>
          <w:sz w:val="20"/>
          <w:szCs w:val="20"/>
        </w:rPr>
        <w:t>Fuente: Grupo de Gestión Ambiental Minera – MADS, 2024</w:t>
      </w:r>
    </w:p>
    <w:p w14:paraId="7BD128FA" w14:textId="77777777" w:rsidR="000959B9" w:rsidRPr="00131EED" w:rsidRDefault="000959B9" w:rsidP="000959B9">
      <w:pPr>
        <w:rPr>
          <w:rFonts w:cs="Arial"/>
          <w:lang w:eastAsia="es-ES"/>
        </w:rPr>
      </w:pPr>
    </w:p>
    <w:p w14:paraId="72B83A0A" w14:textId="77777777" w:rsidR="000959B9" w:rsidRPr="00131EED" w:rsidRDefault="000959B9" w:rsidP="000959B9">
      <w:pPr>
        <w:rPr>
          <w:rFonts w:cs="Arial"/>
        </w:rPr>
      </w:pPr>
      <w:r w:rsidRPr="00131EED">
        <w:rPr>
          <w:rFonts w:cs="Arial"/>
        </w:rPr>
        <w:t>Mientras tanto, en la jurisdicción de la SDA al año 2022, 9 títulos mineros de 82 contaban con PMRRA o PRR</w:t>
      </w:r>
      <w:r w:rsidRPr="00131EED">
        <w:rPr>
          <w:rFonts w:cs="Arial"/>
          <w:vertAlign w:val="superscript"/>
        </w:rPr>
        <w:footnoteReference w:id="7"/>
      </w:r>
      <w:r w:rsidRPr="00131EED">
        <w:rPr>
          <w:rFonts w:cs="Arial"/>
        </w:rPr>
        <w:t xml:space="preserve"> (2 en suspensión y el restante en ejecución) y en ese mismo año, la entidad impuso el instrumento a 83 usuarios, correspondientes a 101 predios de 6 localidades donde se verificó que ya no se desarrolla la actividad minera </w:t>
      </w:r>
      <w:r w:rsidRPr="00131EED">
        <w:rPr>
          <w:rFonts w:cs="Arial"/>
        </w:rPr>
        <w:fldChar w:fldCharType="begin"/>
      </w:r>
      <w:r w:rsidRPr="00131EED">
        <w:rPr>
          <w:rFonts w:cs="Arial"/>
        </w:rPr>
        <w:instrText xml:space="preserve"> ADDIN ZOTERO_ITEM CSL_CITATION {"citationID":"N7mIJl7n","properties":{"formattedCitation":"(Secretar\\uc0\\u237{}a Distrital de Ambiente, 2023)","plainCitation":"(Secretaría Distrital de Ambiente, 2023)","noteIndex":0},"citationItems":[{"id":894,"uris":["http://zotero.org/users/6347308/items/S54MF9JF"],"itemData":{"id":894,"type":"document","publisher":"Secretaría Distrital de Ambiente","title":"Documento Técnico de Soporte. Procedimiento de aplicación artículo 39 del Decreto 555 de 2021","author":[{"literal":"Secretaría Distrital de Ambiente"}],"issued":{"date-parts":[["2023"]]}}}],"schema":"https://github.com/citation-style-language/schema/raw/master/csl-citation.json"} </w:instrText>
      </w:r>
      <w:r w:rsidRPr="00131EED">
        <w:rPr>
          <w:rFonts w:cs="Arial"/>
        </w:rPr>
        <w:fldChar w:fldCharType="separate"/>
      </w:r>
      <w:r w:rsidRPr="00131EED">
        <w:rPr>
          <w:rFonts w:cs="Arial"/>
        </w:rPr>
        <w:t>(Secretaría Distrital de Ambiente, 2023)</w:t>
      </w:r>
      <w:r w:rsidRPr="00131EED">
        <w:rPr>
          <w:rFonts w:cs="Arial"/>
        </w:rPr>
        <w:fldChar w:fldCharType="end"/>
      </w:r>
      <w:r w:rsidRPr="00131EED">
        <w:rPr>
          <w:rFonts w:cs="Arial"/>
        </w:rPr>
        <w:t xml:space="preserve">. </w:t>
      </w:r>
    </w:p>
    <w:p w14:paraId="209791D6" w14:textId="7E4F0BCD" w:rsidR="000959B9" w:rsidRPr="00131EED" w:rsidRDefault="000959B9" w:rsidP="000959B9">
      <w:pPr>
        <w:rPr>
          <w:rFonts w:cs="Arial"/>
        </w:rPr>
      </w:pPr>
    </w:p>
    <w:p w14:paraId="71C2907C" w14:textId="77777777" w:rsidR="000959B9" w:rsidRPr="00131EED" w:rsidRDefault="000959B9" w:rsidP="000959B9">
      <w:pPr>
        <w:rPr>
          <w:rFonts w:cs="Arial"/>
        </w:rPr>
      </w:pPr>
      <w:r w:rsidRPr="00131EED">
        <w:rPr>
          <w:rFonts w:cs="Arial"/>
        </w:rPr>
        <w:t>Así mismo, se lleva a cabo la ejecución de actividades mineras sin los debidos instrumentos ambientales (licencia ambiental o PMA) o sin la aplicabilidad de las disposiciones o medidas ambientales en los instrumentos otorgados; lo que evidencia una gestión inadecuada de la actividad y su posterior cierre, lo cual pone en riesgo áreas ambientalmente sensibles y los servicios ecosistémicos (contribuciones de la naturaleza al bienestar humano).</w:t>
      </w:r>
    </w:p>
    <w:p w14:paraId="502DEBC4" w14:textId="3984C0D1" w:rsidR="000959B9" w:rsidRPr="00131EED" w:rsidRDefault="000959B9" w:rsidP="000959B9">
      <w:pPr>
        <w:rPr>
          <w:rFonts w:cs="Arial"/>
        </w:rPr>
      </w:pPr>
    </w:p>
    <w:p w14:paraId="0CBAAED3" w14:textId="77777777" w:rsidR="000959B9" w:rsidRPr="00131EED" w:rsidRDefault="000959B9" w:rsidP="000959B9">
      <w:pPr>
        <w:rPr>
          <w:rFonts w:cs="Arial"/>
        </w:rPr>
      </w:pPr>
      <w:r w:rsidRPr="00131EED">
        <w:rPr>
          <w:rFonts w:cs="Arial"/>
        </w:rPr>
        <w:t xml:space="preserve">Un claro caso de lo anteriormente descrito, es el de Canteras Unidad La Esmeralda en el barrio Potosí UPZ 70 – Jerusalén, a cuyos representantes les fue concedido el título minero 15558 por un periodo de 30 años (1995) y posteriormente les fue otorgada por parte de la Corporación Autónoma Regional – CAR el licenciamiento ambiental para el proyecto de explotación a cielo abierto de materias primas para la construcción por medio de la resolución No. 0434 de 1996 (dentro del que opera la cantera contigua al barrio Potosí) con vigencia de treinta (30) años. </w:t>
      </w:r>
    </w:p>
    <w:p w14:paraId="3168CB46" w14:textId="77777777" w:rsidR="000959B9" w:rsidRPr="00131EED" w:rsidRDefault="000959B9" w:rsidP="000959B9">
      <w:pPr>
        <w:rPr>
          <w:rFonts w:cs="Arial"/>
        </w:rPr>
      </w:pPr>
      <w:r w:rsidRPr="00131EED">
        <w:rPr>
          <w:rFonts w:cs="Arial"/>
        </w:rPr>
        <w:t xml:space="preserve">En el año 2015 la dirección de Control Ambiental de la Secretaría de Ambiente de Bogotá inició un proceso sancionatorio mediante Auto No. 01052 de 2015 por realizar actividades extractivas fuera del área establecida en la concesión del mismo, estableciendo en el concepto técnico No. 04122 del 02 de mayo de 2015 la existencia de zonas de erosión dejando bloques de arenisca con alto riesgo de caída que se encuentran en las áreas no permitidas, la afectación del ecosistema subxerofítico de la zona: Adicionalmente, no se encontraban con instrumentos de manejo y control ambiental por lo que se procedió al cierre preventivo de la explotación y solicitud e implementación del Plan de Mitigación Ambiental/Plan de Recuperación y Mitigación Ambiental (PMA/PMRA) y al inicio del procedimiento sancionatorio ambiental de la Secretaría Distrital de Ambiente. </w:t>
      </w:r>
    </w:p>
    <w:p w14:paraId="1C4B0989" w14:textId="7347D33C" w:rsidR="000959B9" w:rsidRPr="00131EED" w:rsidRDefault="000959B9" w:rsidP="000959B9">
      <w:pPr>
        <w:rPr>
          <w:rFonts w:cs="Arial"/>
        </w:rPr>
      </w:pPr>
    </w:p>
    <w:p w14:paraId="05B97CBA" w14:textId="7229A501" w:rsidR="000959B9" w:rsidRPr="00131EED" w:rsidRDefault="000959B9" w:rsidP="000959B9">
      <w:pPr>
        <w:rPr>
          <w:rFonts w:cs="Arial"/>
        </w:rPr>
      </w:pPr>
      <w:r w:rsidRPr="00131EED">
        <w:rPr>
          <w:rFonts w:cs="Arial"/>
        </w:rPr>
        <w:t xml:space="preserve">Dicho proceso (apoyado por los eventos de movilización ciudadana masiva que tuvieron lugar en el barrio Potosí ese mismo año) eventualmente conduciría al sellamiento de los frentes de explotación Martín Vieco, La Esmeralda y NN1 (ALCB, 2019). A la fecha (2024), no se han implementado las medidas de cierre minero, como la reconformación geomorfológica, la reforestación, el sellamiento de los pozos sedimentadores; existiendo pasivos ambientales significativos (Ver </w:t>
      </w:r>
      <w:r w:rsidR="0078471A" w:rsidRPr="00131EED">
        <w:rPr>
          <w:rFonts w:cs="Arial"/>
        </w:rPr>
        <w:fldChar w:fldCharType="begin"/>
      </w:r>
      <w:r w:rsidR="0078471A" w:rsidRPr="00131EED">
        <w:rPr>
          <w:rFonts w:cs="Arial"/>
        </w:rPr>
        <w:instrText xml:space="preserve"> REF _Ref210942890 \h </w:instrText>
      </w:r>
      <w:r w:rsidR="0078471A" w:rsidRPr="00131EED">
        <w:rPr>
          <w:rFonts w:cs="Arial"/>
        </w:rPr>
      </w:r>
      <w:r w:rsidR="0078471A" w:rsidRPr="00131EED">
        <w:rPr>
          <w:rFonts w:cs="Arial"/>
        </w:rPr>
        <w:fldChar w:fldCharType="separate"/>
      </w:r>
      <w:r w:rsidR="00CE096F" w:rsidRPr="00131EED">
        <w:t xml:space="preserve">Ilustración </w:t>
      </w:r>
      <w:r w:rsidR="0078471A" w:rsidRPr="00131EED">
        <w:rPr>
          <w:rFonts w:cs="Arial"/>
        </w:rPr>
        <w:fldChar w:fldCharType="end"/>
      </w:r>
      <w:r w:rsidR="0078471A" w:rsidRPr="00131EED">
        <w:rPr>
          <w:rFonts w:cs="Arial"/>
        </w:rPr>
        <w:t xml:space="preserve">). </w:t>
      </w:r>
    </w:p>
    <w:p w14:paraId="43548AAC" w14:textId="77777777" w:rsidR="000959B9" w:rsidRPr="00131EED" w:rsidRDefault="000959B9" w:rsidP="000959B9">
      <w:pPr>
        <w:rPr>
          <w:rFonts w:ascii="Baskerville" w:hAnsi="Baskerville" w:cs="Arial"/>
        </w:rPr>
      </w:pPr>
    </w:p>
    <w:p w14:paraId="1D58C0E7" w14:textId="1BF0E4AE" w:rsidR="000959B9" w:rsidRPr="00131EED" w:rsidRDefault="00701EC8" w:rsidP="00701EC8">
      <w:pPr>
        <w:pStyle w:val="Caption"/>
      </w:pPr>
      <w:bookmarkStart w:id="185" w:name="_Ref210942890"/>
      <w:bookmarkStart w:id="186" w:name="_Toc164763179"/>
      <w:bookmarkStart w:id="187" w:name="_Toc216468811"/>
      <w:r w:rsidRPr="00131EED">
        <w:t>Ilustración</w:t>
      </w:r>
      <w:r w:rsidR="000959B9" w:rsidRPr="00131EED">
        <w:t xml:space="preserve"> </w:t>
      </w:r>
      <w:bookmarkEnd w:id="185"/>
      <w:r w:rsidRPr="00131EED">
        <w:fldChar w:fldCharType="begin"/>
      </w:r>
      <w:r w:rsidRPr="00131EED">
        <w:instrText>SEQ Ilustración \* ARABIC</w:instrText>
      </w:r>
      <w:r w:rsidRPr="00131EED">
        <w:fldChar w:fldCharType="separate"/>
      </w:r>
      <w:r w:rsidR="00CE096F">
        <w:rPr>
          <w:noProof/>
        </w:rPr>
        <w:t>46</w:t>
      </w:r>
      <w:r w:rsidRPr="00131EED">
        <w:fldChar w:fldCharType="end"/>
      </w:r>
      <w:r w:rsidRPr="00131EED">
        <w:t xml:space="preserve"> Registro fotográfico a</w:t>
      </w:r>
      <w:r w:rsidR="000959B9" w:rsidRPr="00131EED">
        <w:t>ntiguo frente de explotación, CANTERAS UNIDAS LA ESMERALDA LTDA</w:t>
      </w:r>
      <w:bookmarkEnd w:id="186"/>
      <w:bookmarkEnd w:id="187"/>
    </w:p>
    <w:p w14:paraId="70ED1E47" w14:textId="77777777" w:rsidR="000959B9" w:rsidRPr="00131EED" w:rsidRDefault="000959B9" w:rsidP="000959B9">
      <w:pPr>
        <w:jc w:val="center"/>
        <w:rPr>
          <w:rFonts w:ascii="Baskerville" w:hAnsi="Baskerville" w:cs="Arial"/>
        </w:rPr>
      </w:pPr>
      <w:r w:rsidRPr="00131EED">
        <w:rPr>
          <w:rFonts w:ascii="Baskerville" w:hAnsi="Baskerville"/>
          <w:noProof/>
          <w:lang w:eastAsia="en-US"/>
        </w:rPr>
        <w:drawing>
          <wp:inline distT="0" distB="0" distL="0" distR="0" wp14:anchorId="7BDA8924" wp14:editId="2E4EBEEE">
            <wp:extent cx="4322619" cy="1923677"/>
            <wp:effectExtent l="0" t="0" r="1905" b="635"/>
            <wp:docPr id="1738007052" name="Imagen 1" descr="A rocky hills with a pile of rock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007052" name="Imagen 1" descr="A rocky hills with a pile of rocks&#10;&#10;AI-generated content may be incorrect."/>
                    <pic:cNvPicPr/>
                  </pic:nvPicPr>
                  <pic:blipFill>
                    <a:blip r:embed="rId87"/>
                    <a:stretch>
                      <a:fillRect/>
                    </a:stretch>
                  </pic:blipFill>
                  <pic:spPr>
                    <a:xfrm>
                      <a:off x="0" y="0"/>
                      <a:ext cx="4338533" cy="1930759"/>
                    </a:xfrm>
                    <a:prstGeom prst="rect">
                      <a:avLst/>
                    </a:prstGeom>
                  </pic:spPr>
                </pic:pic>
              </a:graphicData>
            </a:graphic>
          </wp:inline>
        </w:drawing>
      </w:r>
    </w:p>
    <w:p w14:paraId="53AF8B1E" w14:textId="77777777" w:rsidR="000959B9" w:rsidRPr="00131EED" w:rsidRDefault="000959B9" w:rsidP="000959B9">
      <w:pPr>
        <w:jc w:val="center"/>
        <w:rPr>
          <w:rFonts w:cs="Arial"/>
          <w:sz w:val="20"/>
          <w:szCs w:val="20"/>
        </w:rPr>
      </w:pPr>
      <w:r w:rsidRPr="00131EED">
        <w:rPr>
          <w:rFonts w:cs="Arial"/>
          <w:sz w:val="20"/>
          <w:szCs w:val="20"/>
        </w:rPr>
        <w:t>Fuente: ALCB, 2019</w:t>
      </w:r>
    </w:p>
    <w:p w14:paraId="1078EB86" w14:textId="77777777" w:rsidR="000959B9" w:rsidRPr="00131EED" w:rsidRDefault="000959B9" w:rsidP="000959B9">
      <w:pPr>
        <w:pStyle w:val="Normal1"/>
        <w:spacing w:after="0" w:line="240" w:lineRule="auto"/>
        <w:jc w:val="both"/>
        <w:rPr>
          <w:rFonts w:ascii="Baskerville" w:hAnsi="Baskerville" w:cs="Arial"/>
          <w:lang w:val="es-CO"/>
        </w:rPr>
      </w:pPr>
    </w:p>
    <w:p w14:paraId="3CEE0DAB" w14:textId="3888EF71" w:rsidR="000959B9" w:rsidRPr="00131EED" w:rsidRDefault="000959B9" w:rsidP="000959B9">
      <w:pPr>
        <w:pStyle w:val="Normal1"/>
        <w:spacing w:after="0" w:line="240" w:lineRule="auto"/>
        <w:jc w:val="both"/>
        <w:rPr>
          <w:rFonts w:ascii="Baskerville Old Face" w:eastAsia="Garamond" w:hAnsi="Baskerville Old Face" w:cs="Arial"/>
          <w:i/>
          <w:sz w:val="24"/>
          <w:szCs w:val="24"/>
          <w:lang w:val="es-CO"/>
        </w:rPr>
      </w:pPr>
      <w:r w:rsidRPr="00131EED">
        <w:rPr>
          <w:rFonts w:ascii="Baskerville Old Face" w:hAnsi="Baskerville Old Face" w:cs="Arial"/>
          <w:sz w:val="24"/>
          <w:szCs w:val="24"/>
          <w:lang w:val="es-CO"/>
        </w:rPr>
        <w:t xml:space="preserve">De igual forma, el </w:t>
      </w:r>
      <w:r w:rsidRPr="00131EED">
        <w:rPr>
          <w:rFonts w:ascii="Baskerville Old Face" w:hAnsi="Baskerville Old Face" w:cs="Arial"/>
          <w:sz w:val="24"/>
          <w:szCs w:val="24"/>
          <w:lang w:val="es-CO" w:eastAsia="es-ES"/>
        </w:rPr>
        <w:t>Fallo Acción Popular 2009-115:</w:t>
      </w:r>
      <w:r w:rsidRPr="00131EED">
        <w:rPr>
          <w:rFonts w:ascii="Baskerville Old Face" w:hAnsi="Baskerville Old Face" w:cs="Arial"/>
          <w:b/>
          <w:sz w:val="24"/>
          <w:szCs w:val="24"/>
          <w:lang w:val="es-CO"/>
        </w:rPr>
        <w:t xml:space="preserve"> </w:t>
      </w:r>
      <w:r w:rsidRPr="00131EED">
        <w:rPr>
          <w:rFonts w:ascii="Baskerville Old Face" w:eastAsia="Garamond" w:hAnsi="Baskerville Old Face" w:cs="Arial"/>
          <w:sz w:val="24"/>
          <w:szCs w:val="24"/>
          <w:lang w:val="es-CO"/>
        </w:rPr>
        <w:t xml:space="preserve">Proferido por el Tribunal Administrativo de Cundinamarca, mediante sentencia de 10 de febrero de 2018, en la cual se confirma el fallo de primera instancia proferida por el Juzgado 37 Administrativo del Circuito de Bogotá, </w:t>
      </w:r>
      <w:r w:rsidRPr="00131EED">
        <w:rPr>
          <w:rFonts w:ascii="Baskerville Old Face" w:eastAsia="Garamond" w:hAnsi="Baskerville Old Face" w:cs="Arial"/>
          <w:i/>
          <w:sz w:val="24"/>
          <w:szCs w:val="24"/>
          <w:lang w:val="es-CO"/>
        </w:rPr>
        <w:t xml:space="preserve">ordenando “Realizar todos  los cierres definitivos de las canteras que no cumplan con los requisitos para su funcionamiento, cierre definitivo de explotación minera, tales como  CANTERA: VILLA GLORIA, CANTERA LA QUEBRADA, CANTERA LA PISINGA, CANTERA  LA ESPERANZA, CANTERA  LAS TOLVAS,CANTERA LIMAS, CANTERA PORVENIR, CANTERA JORGE MONASTOQUE, CANTERA JUAN BORDA Y HUMBERTO ABELLA; adelantar estudios para expropiar  y convertir  dichas áreas en zonas  de recreación y esparcimiento de la ciudad, previa ejecución del plan de recuperación morfológica  y ambiental a cargo del Distrito pero descontables del precio de expropiación que determine el Instituto Geográfico Agustín Codazzi. El plazo para su ejecución será de cinco (5) años contados a partir la ejecutoria de la presente providencia”. </w:t>
      </w:r>
    </w:p>
    <w:p w14:paraId="248ECFD3" w14:textId="77777777" w:rsidR="000959B9" w:rsidRPr="00131EED" w:rsidRDefault="000959B9" w:rsidP="000959B9">
      <w:pPr>
        <w:pStyle w:val="Normal1"/>
        <w:spacing w:after="0" w:line="240" w:lineRule="auto"/>
        <w:jc w:val="both"/>
        <w:rPr>
          <w:rFonts w:ascii="Baskerville Old Face" w:eastAsia="Garamond" w:hAnsi="Baskerville Old Face" w:cs="Arial"/>
          <w:i/>
          <w:sz w:val="24"/>
          <w:szCs w:val="24"/>
          <w:lang w:val="es-CO"/>
        </w:rPr>
      </w:pPr>
    </w:p>
    <w:p w14:paraId="15C7946B" w14:textId="6F41EEE7" w:rsidR="000959B9" w:rsidRPr="00131EED" w:rsidRDefault="000959B9" w:rsidP="000959B9">
      <w:pPr>
        <w:pStyle w:val="Normal1"/>
        <w:spacing w:after="0" w:line="240" w:lineRule="auto"/>
        <w:jc w:val="both"/>
        <w:rPr>
          <w:rFonts w:ascii="Baskerville Old Face" w:eastAsia="Garamond" w:hAnsi="Baskerville Old Face" w:cs="Arial"/>
          <w:sz w:val="24"/>
          <w:szCs w:val="24"/>
          <w:lang w:val="es-CO"/>
        </w:rPr>
      </w:pPr>
      <w:r w:rsidRPr="00131EED">
        <w:rPr>
          <w:rFonts w:ascii="Baskerville Old Face" w:eastAsia="Garamond" w:hAnsi="Baskerville Old Face" w:cs="Arial"/>
          <w:sz w:val="24"/>
          <w:szCs w:val="24"/>
          <w:lang w:val="es-CO"/>
        </w:rPr>
        <w:t>Lo anterior, con motivo de que dichos polígonos se encuentran en el perímetro urbano de Bogotá D C, en la UPZ 67 Lucero de la Localidad de Ciudad Bolívar, es decir,  por fuera de las zonas compatibles con las actividades mineras en la Sabana de Bogotá establecidas en la Resolución No. 2001 de 2016 del Ministerio de Ambiente y Desarrollo Sostenible y en áreas de suspensión de actividad minera, de recuperación morfológica, paisajística, ambiental y urbanística (</w:t>
      </w:r>
      <w:r w:rsidRPr="00131EED">
        <w:rPr>
          <w:rFonts w:ascii="Baskerville Old Face" w:hAnsi="Baskerville Old Face" w:cs="Arial"/>
          <w:sz w:val="24"/>
          <w:szCs w:val="24"/>
          <w:lang w:val="es-CO"/>
        </w:rPr>
        <w:t>Alcaldía Local de Ciudad Bolívar ALCB  y SDA</w:t>
      </w:r>
      <w:r w:rsidRPr="00131EED">
        <w:rPr>
          <w:rFonts w:ascii="Baskerville Old Face" w:eastAsia="Garamond" w:hAnsi="Baskerville Old Face" w:cs="Arial"/>
          <w:sz w:val="24"/>
          <w:szCs w:val="24"/>
          <w:lang w:val="es-CO"/>
        </w:rPr>
        <w:t xml:space="preserve">, 2019).  A 2024, no se han ejecutado acciones de cierre minero, </w:t>
      </w:r>
      <w:r w:rsidRPr="00131EED">
        <w:rPr>
          <w:rFonts w:ascii="Baskerville Old Face" w:hAnsi="Baskerville Old Face" w:cs="Arial"/>
          <w:sz w:val="24"/>
          <w:szCs w:val="24"/>
          <w:lang w:val="es-CO"/>
        </w:rPr>
        <w:t xml:space="preserve">como la reconformación geomorfológica, la reforestación, el sellamiento de los pozos sedimentadores; existiendo pasivos ambientales significativos (Ver </w:t>
      </w:r>
      <w:r w:rsidR="00F7366D" w:rsidRPr="00131EED">
        <w:rPr>
          <w:rFonts w:ascii="Baskerville Old Face" w:hAnsi="Baskerville Old Face" w:cs="Arial"/>
          <w:sz w:val="24"/>
          <w:szCs w:val="24"/>
          <w:lang w:val="es-CO"/>
        </w:rPr>
        <w:fldChar w:fldCharType="begin"/>
      </w:r>
      <w:r w:rsidR="00F7366D" w:rsidRPr="00131EED">
        <w:rPr>
          <w:rFonts w:ascii="Baskerville Old Face" w:hAnsi="Baskerville Old Face" w:cs="Arial"/>
          <w:sz w:val="24"/>
          <w:szCs w:val="24"/>
          <w:lang w:val="es-CO"/>
        </w:rPr>
        <w:instrText xml:space="preserve"> REF _Ref210942891 \h  \* MERGEFORMAT </w:instrText>
      </w:r>
      <w:r w:rsidR="00F7366D" w:rsidRPr="00131EED">
        <w:rPr>
          <w:rFonts w:ascii="Baskerville Old Face" w:hAnsi="Baskerville Old Face" w:cs="Arial"/>
          <w:sz w:val="24"/>
          <w:szCs w:val="24"/>
          <w:lang w:val="es-CO"/>
        </w:rPr>
      </w:r>
      <w:r w:rsidR="00F7366D" w:rsidRPr="00131EED">
        <w:rPr>
          <w:rFonts w:ascii="Baskerville Old Face" w:hAnsi="Baskerville Old Face" w:cs="Arial"/>
          <w:sz w:val="24"/>
          <w:szCs w:val="24"/>
          <w:lang w:val="es-CO"/>
        </w:rPr>
        <w:fldChar w:fldCharType="separate"/>
      </w:r>
      <w:r w:rsidR="00CE096F" w:rsidRPr="00CE096F">
        <w:rPr>
          <w:rFonts w:ascii="Baskerville Old Face" w:hAnsi="Baskerville Old Face"/>
          <w:sz w:val="24"/>
          <w:szCs w:val="24"/>
          <w:lang w:val="es-CO"/>
        </w:rPr>
        <w:t xml:space="preserve">Ilustración </w:t>
      </w:r>
      <w:r w:rsidR="00F7366D" w:rsidRPr="00131EED">
        <w:rPr>
          <w:rFonts w:ascii="Baskerville Old Face" w:hAnsi="Baskerville Old Face" w:cs="Arial"/>
          <w:sz w:val="24"/>
          <w:szCs w:val="24"/>
          <w:lang w:val="es-CO"/>
        </w:rPr>
        <w:fldChar w:fldCharType="end"/>
      </w:r>
      <w:r w:rsidRPr="00131EED">
        <w:rPr>
          <w:rFonts w:ascii="Baskerville Old Face" w:hAnsi="Baskerville Old Face" w:cs="Arial"/>
          <w:sz w:val="24"/>
          <w:szCs w:val="24"/>
          <w:lang w:val="es-CO"/>
        </w:rPr>
        <w:t>).</w:t>
      </w:r>
      <w:r w:rsidRPr="00131EED">
        <w:rPr>
          <w:rFonts w:ascii="Baskerville Old Face" w:eastAsia="Garamond" w:hAnsi="Baskerville Old Face" w:cs="Arial"/>
          <w:sz w:val="24"/>
          <w:szCs w:val="24"/>
          <w:lang w:val="es-CO"/>
        </w:rPr>
        <w:t xml:space="preserve">  </w:t>
      </w:r>
    </w:p>
    <w:p w14:paraId="24957A48" w14:textId="77777777" w:rsidR="000959B9" w:rsidRPr="00131EED" w:rsidRDefault="000959B9" w:rsidP="000959B9">
      <w:pPr>
        <w:pStyle w:val="Normal1"/>
        <w:spacing w:after="0" w:line="240" w:lineRule="auto"/>
        <w:jc w:val="both"/>
        <w:rPr>
          <w:rFonts w:ascii="Baskerville" w:eastAsia="Garamond" w:hAnsi="Baskerville" w:cs="Arial"/>
          <w:lang w:val="es-CO"/>
        </w:rPr>
      </w:pPr>
    </w:p>
    <w:p w14:paraId="1580D27B" w14:textId="1968267C" w:rsidR="000959B9" w:rsidRPr="00131EED" w:rsidRDefault="00701EC8" w:rsidP="00B53A59">
      <w:pPr>
        <w:pStyle w:val="Caption"/>
        <w:jc w:val="center"/>
      </w:pPr>
      <w:bookmarkStart w:id="188" w:name="_Ref210904309"/>
      <w:bookmarkStart w:id="189" w:name="_Ref210942891"/>
      <w:bookmarkStart w:id="190" w:name="_Toc164763180"/>
      <w:bookmarkStart w:id="191" w:name="_Toc216468812"/>
      <w:r w:rsidRPr="00131EED">
        <w:t xml:space="preserve">Ilustración </w:t>
      </w:r>
      <w:bookmarkEnd w:id="188"/>
      <w:bookmarkEnd w:id="189"/>
      <w:r w:rsidRPr="00131EED">
        <w:fldChar w:fldCharType="begin"/>
      </w:r>
      <w:r w:rsidRPr="00131EED">
        <w:instrText>SEQ Ilustración \* ARABIC</w:instrText>
      </w:r>
      <w:r w:rsidRPr="00131EED">
        <w:fldChar w:fldCharType="separate"/>
      </w:r>
      <w:r w:rsidR="00CE096F">
        <w:rPr>
          <w:noProof/>
        </w:rPr>
        <w:t>47</w:t>
      </w:r>
      <w:r w:rsidRPr="00131EED">
        <w:fldChar w:fldCharType="end"/>
      </w:r>
      <w:r w:rsidRPr="00131EED">
        <w:t xml:space="preserve"> Registro fotográfico predios </w:t>
      </w:r>
      <w:r w:rsidR="000959B9" w:rsidRPr="00131EED">
        <w:t xml:space="preserve">Chip catastral AAA0147FJBR y No. 2, Chip catastral AAA0156MZEP: </w:t>
      </w:r>
      <w:r w:rsidR="003B05C4" w:rsidRPr="00131EED">
        <w:t>relacionadas</w:t>
      </w:r>
      <w:r w:rsidRPr="00131EED">
        <w:t xml:space="preserve"> con </w:t>
      </w:r>
      <w:r w:rsidR="000959B9" w:rsidRPr="00131EED">
        <w:t>Cantera La Quebrada</w:t>
      </w:r>
      <w:bookmarkEnd w:id="190"/>
      <w:r w:rsidRPr="00131EED">
        <w:t xml:space="preserve"> en Bogotá, D.C</w:t>
      </w:r>
      <w:bookmarkEnd w:id="191"/>
    </w:p>
    <w:p w14:paraId="0A17869D" w14:textId="77777777" w:rsidR="000959B9" w:rsidRPr="00131EED" w:rsidRDefault="000959B9" w:rsidP="00B53A59">
      <w:pPr>
        <w:jc w:val="center"/>
        <w:rPr>
          <w:rFonts w:ascii="Baskerville" w:hAnsi="Baskerville" w:cs="Arial"/>
        </w:rPr>
      </w:pPr>
      <w:r w:rsidRPr="00131EED">
        <w:rPr>
          <w:rFonts w:ascii="Baskerville" w:hAnsi="Baskerville"/>
          <w:noProof/>
          <w:lang w:eastAsia="en-US"/>
        </w:rPr>
        <w:drawing>
          <wp:inline distT="0" distB="0" distL="0" distR="0" wp14:anchorId="784280B1" wp14:editId="6BE66B8F">
            <wp:extent cx="4943475" cy="2734169"/>
            <wp:effectExtent l="0" t="0" r="0" b="9525"/>
            <wp:docPr id="11446167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616721" name=""/>
                    <pic:cNvPicPr/>
                  </pic:nvPicPr>
                  <pic:blipFill>
                    <a:blip r:embed="rId88"/>
                    <a:stretch>
                      <a:fillRect/>
                    </a:stretch>
                  </pic:blipFill>
                  <pic:spPr>
                    <a:xfrm>
                      <a:off x="0" y="0"/>
                      <a:ext cx="4948262" cy="2736816"/>
                    </a:xfrm>
                    <a:prstGeom prst="rect">
                      <a:avLst/>
                    </a:prstGeom>
                  </pic:spPr>
                </pic:pic>
              </a:graphicData>
            </a:graphic>
          </wp:inline>
        </w:drawing>
      </w:r>
    </w:p>
    <w:p w14:paraId="1BC1C179" w14:textId="77777777" w:rsidR="000959B9" w:rsidRPr="00131EED" w:rsidRDefault="000959B9" w:rsidP="000959B9">
      <w:pPr>
        <w:pStyle w:val="Normal1"/>
        <w:spacing w:after="0" w:line="240" w:lineRule="auto"/>
        <w:jc w:val="center"/>
        <w:rPr>
          <w:rFonts w:ascii="Baskerville Old Face" w:hAnsi="Baskerville Old Face" w:cs="Arial"/>
          <w:lang w:val="es-CO"/>
        </w:rPr>
      </w:pPr>
      <w:r w:rsidRPr="00131EED">
        <w:rPr>
          <w:rFonts w:ascii="Baskerville Old Face" w:hAnsi="Baskerville Old Face" w:cs="Arial"/>
          <w:lang w:val="es-CO"/>
        </w:rPr>
        <w:t>Fuente: Alcaldía Local de Ciudad Bolívar ALCB y SDA, 2019</w:t>
      </w:r>
    </w:p>
    <w:p w14:paraId="2F514C6B" w14:textId="7A4F07B8" w:rsidR="6E4FD105" w:rsidRPr="00131EED" w:rsidRDefault="6E4FD105" w:rsidP="6E4FD105">
      <w:pPr>
        <w:pStyle w:val="Normal1"/>
        <w:spacing w:after="0" w:line="240" w:lineRule="auto"/>
        <w:jc w:val="center"/>
        <w:rPr>
          <w:rFonts w:ascii="Baskerville Old Face" w:hAnsi="Baskerville Old Face" w:cs="Arial"/>
          <w:lang w:val="es-CO"/>
        </w:rPr>
      </w:pPr>
    </w:p>
    <w:p w14:paraId="0A1E854C" w14:textId="77777777" w:rsidR="5B971E01" w:rsidRPr="00131EED" w:rsidRDefault="5B971E01" w:rsidP="6E4FD105">
      <w:pPr>
        <w:rPr>
          <w:rFonts w:cs="Arial"/>
          <w:b/>
          <w:bCs/>
          <w:i/>
          <w:iCs/>
        </w:rPr>
      </w:pPr>
      <w:r w:rsidRPr="00131EED">
        <w:rPr>
          <w:rFonts w:cs="Arial"/>
          <w:b/>
          <w:bCs/>
          <w:i/>
          <w:iCs/>
        </w:rPr>
        <w:t xml:space="preserve">Los usos ambientales posmineros </w:t>
      </w:r>
    </w:p>
    <w:p w14:paraId="472CB72A" w14:textId="77777777" w:rsidR="6E4FD105" w:rsidRPr="00131EED" w:rsidRDefault="6E4FD105" w:rsidP="6E4FD105">
      <w:pPr>
        <w:rPr>
          <w:rFonts w:cs="Arial"/>
        </w:rPr>
      </w:pPr>
    </w:p>
    <w:p w14:paraId="338305A2" w14:textId="77777777" w:rsidR="5B971E01" w:rsidRPr="00131EED" w:rsidRDefault="5B971E01" w:rsidP="6E4FD105">
      <w:pPr>
        <w:rPr>
          <w:rFonts w:cs="Arial"/>
        </w:rPr>
      </w:pPr>
      <w:r w:rsidRPr="00131EED">
        <w:rPr>
          <w:rFonts w:cs="Arial"/>
        </w:rPr>
        <w:t>La transformación de áreas previamente mineras en usos distintos a la recuperación y restauración ambiental puede generar conflictos socioambientales significativos. La explotación minera suele dejar secuelas como la contaminación de recursos hídricos y suelos, afectando directamente a las comunidades locales. Sin una adecuada restauración, estas áreas continúan siendo focos de tensión social y ambiental (CEPAL, 2013).</w:t>
      </w:r>
    </w:p>
    <w:p w14:paraId="447BF19E" w14:textId="77777777" w:rsidR="6E4FD105" w:rsidRPr="00131EED" w:rsidRDefault="6E4FD105" w:rsidP="6E4FD105">
      <w:pPr>
        <w:rPr>
          <w:rFonts w:cs="Arial"/>
        </w:rPr>
      </w:pPr>
    </w:p>
    <w:p w14:paraId="61F1051A" w14:textId="77777777" w:rsidR="5B971E01" w:rsidRPr="00131EED" w:rsidRDefault="5B971E01" w:rsidP="6E4FD105">
      <w:pPr>
        <w:rPr>
          <w:rFonts w:cs="Arial"/>
        </w:rPr>
      </w:pPr>
      <w:r w:rsidRPr="00131EED">
        <w:rPr>
          <w:rFonts w:cs="Arial"/>
        </w:rPr>
        <w:t>Además, la ausencia de procesos de restauración ecológica en terrenos posmineros puede exacerbar la degradación ambiental. La falta de vegetación y la alteración del paisaje natural reducen la biodiversidad y la capacidad del ecosistema para recuperarse, comprometiendo servicios ecosistémicos esenciales como la regulación hídrica y la captura de carbono (The Nature Conservancy, 2022).</w:t>
      </w:r>
    </w:p>
    <w:p w14:paraId="765D93F4" w14:textId="77777777" w:rsidR="6E4FD105" w:rsidRPr="00131EED" w:rsidRDefault="6E4FD105" w:rsidP="6E4FD105">
      <w:pPr>
        <w:rPr>
          <w:rFonts w:cs="Arial"/>
        </w:rPr>
      </w:pPr>
    </w:p>
    <w:p w14:paraId="7F01EBDA" w14:textId="77777777" w:rsidR="5B971E01" w:rsidRPr="00131EED" w:rsidRDefault="5B971E01" w:rsidP="6E4FD105">
      <w:pPr>
        <w:rPr>
          <w:rFonts w:cs="Arial"/>
        </w:rPr>
      </w:pPr>
      <w:r w:rsidRPr="00131EED">
        <w:rPr>
          <w:rFonts w:cs="Arial"/>
        </w:rPr>
        <w:t>La implementación de usos posmineros que no priorizan la restauración ambiental puede derivar en conflictos sociales y económicos. Las comunidades locales pueden enfrentar desplazamientos, pérdida de medios de subsistencia y deterioro de la calidad de vida debido a la contaminación y degradación persistentes (Romero, 2019). Estos conflictos suelen intensificarse cuando las decisiones sobre el uso del suelo no consideran las necesidades y derechos de las poblaciones afectadas.</w:t>
      </w:r>
    </w:p>
    <w:p w14:paraId="07C1FFE9" w14:textId="77777777" w:rsidR="6E4FD105" w:rsidRPr="00131EED" w:rsidRDefault="6E4FD105" w:rsidP="6E4FD105">
      <w:pPr>
        <w:rPr>
          <w:rFonts w:cs="Arial"/>
        </w:rPr>
      </w:pPr>
    </w:p>
    <w:p w14:paraId="38834EE8" w14:textId="77777777" w:rsidR="5B971E01" w:rsidRPr="00131EED" w:rsidRDefault="5B971E01" w:rsidP="6E4FD105">
      <w:pPr>
        <w:rPr>
          <w:rFonts w:cs="Arial"/>
        </w:rPr>
      </w:pPr>
      <w:r w:rsidRPr="00131EED">
        <w:rPr>
          <w:rFonts w:cs="Arial"/>
        </w:rPr>
        <w:t>Por otro lado, la restauración ecológica de áreas degradadas por actividades mineras no solo recupera la funcionalidad del ecosistema, sino que también puede generar beneficios económicos y sociales. La rehabilitación de estos espacios puede promover actividades sostenibles como el ecoturismo, la agricultura ecológica y la conservación de la biodiversidad, mejorando la calidad de vida de las comunidades locales y fomentando un desarrollo económico más equilibrado (ONU Medio Ambiente, 2021).</w:t>
      </w:r>
    </w:p>
    <w:p w14:paraId="2076FC24" w14:textId="77777777" w:rsidR="6E4FD105" w:rsidRPr="00131EED" w:rsidRDefault="6E4FD105" w:rsidP="6E4FD105">
      <w:pPr>
        <w:rPr>
          <w:rFonts w:cs="Arial"/>
        </w:rPr>
      </w:pPr>
    </w:p>
    <w:p w14:paraId="0FB3AD19" w14:textId="77777777" w:rsidR="5B971E01" w:rsidRPr="00131EED" w:rsidRDefault="5B971E01" w:rsidP="6E4FD105">
      <w:pPr>
        <w:rPr>
          <w:rFonts w:cs="Arial"/>
        </w:rPr>
      </w:pPr>
      <w:r w:rsidRPr="00131EED">
        <w:rPr>
          <w:rFonts w:cs="Arial"/>
        </w:rPr>
        <w:t>En muchos casos, la falta de regulaciones claras o su cumplimiento deficiente permite que los terrenos posmineros sean utilizados para actividades industriales o de expansión urbana sin criterios ecológicos. Estas decisiones pueden incrementar la contaminación residual en suelos y cuerpos de agua, afectando la salud pública y generando costos adicionales para la mitigación de impactos (Fernández &amp; Sánchez, 2020). El diseño de políticas públicas que garanticen la restauración como paso obligatorio en la transición posminera es esencial para evitar estos efectos adversos.</w:t>
      </w:r>
    </w:p>
    <w:p w14:paraId="7B045E83" w14:textId="77777777" w:rsidR="6E4FD105" w:rsidRPr="00131EED" w:rsidRDefault="6E4FD105" w:rsidP="6E4FD105">
      <w:pPr>
        <w:rPr>
          <w:rFonts w:cs="Arial"/>
        </w:rPr>
      </w:pPr>
    </w:p>
    <w:p w14:paraId="71AABDE6" w14:textId="77777777" w:rsidR="5B971E01" w:rsidRPr="00131EED" w:rsidRDefault="5B971E01" w:rsidP="6E4FD105">
      <w:pPr>
        <w:rPr>
          <w:rFonts w:cs="Arial"/>
        </w:rPr>
      </w:pPr>
      <w:r w:rsidRPr="00131EED">
        <w:rPr>
          <w:rFonts w:cs="Arial"/>
        </w:rPr>
        <w:t>Asimismo, estudios recientes indican que la restauración efectiva de paisajes mineros puede tomar décadas si no se implementan estrategias adecuadas de recuperación ecológica. La revegetación con especies nativas, la rehabilitación de suelos y el control de contaminación son procesos fundamentales que, cuando se omiten, dificultan la regeneración natural del ecosistema (Gómez et al., 2021). La falta de intervención inmediata en estos espacios puede derivar en procesos irreversibles de desertificación y pérdida de biodiversidad.</w:t>
      </w:r>
    </w:p>
    <w:p w14:paraId="3E441990" w14:textId="77777777" w:rsidR="6E4FD105" w:rsidRPr="00131EED" w:rsidRDefault="6E4FD105" w:rsidP="6E4FD105">
      <w:pPr>
        <w:rPr>
          <w:rFonts w:cs="Arial"/>
        </w:rPr>
      </w:pPr>
    </w:p>
    <w:p w14:paraId="559590A3" w14:textId="77777777" w:rsidR="5B971E01" w:rsidRPr="00131EED" w:rsidRDefault="5B971E01" w:rsidP="6E4FD105">
      <w:pPr>
        <w:rPr>
          <w:rFonts w:cs="Arial"/>
        </w:rPr>
      </w:pPr>
      <w:r w:rsidRPr="00131EED">
        <w:rPr>
          <w:rFonts w:cs="Arial"/>
        </w:rPr>
        <w:t>Finalmente, el impacto del cambio climático sobre las áreas degradadas por minería refuerza la necesidad de una restauración ambiental rigurosa. La alteración del equilibrio hidrológico y la mayor susceptibilidad a eventos climáticos extremos, como sequías o inundaciones, pueden intensificar los efectos negativos de los sitios mineros abandonados. Implementar estrategias de recuperación con enfoque ecosistémico es clave para mitigar estos riesgos y garantizar la resiliencia de los territorios afectados (IUCN, 2022).</w:t>
      </w:r>
    </w:p>
    <w:p w14:paraId="7327F7FA" w14:textId="77777777" w:rsidR="000959B9" w:rsidRPr="00131EED" w:rsidRDefault="000959B9" w:rsidP="000959B9">
      <w:pPr>
        <w:pStyle w:val="Normal1"/>
        <w:spacing w:after="0" w:line="240" w:lineRule="auto"/>
        <w:jc w:val="center"/>
        <w:rPr>
          <w:rFonts w:ascii="Baskerville" w:hAnsi="Baskerville" w:cs="Arial"/>
          <w:sz w:val="22"/>
          <w:szCs w:val="22"/>
          <w:lang w:val="es-CO"/>
        </w:rPr>
      </w:pPr>
    </w:p>
    <w:p w14:paraId="2A5974F0" w14:textId="77777777" w:rsidR="000959B9" w:rsidRPr="00131EED" w:rsidRDefault="000959B9" w:rsidP="00410194">
      <w:pPr>
        <w:pStyle w:val="Heading3"/>
        <w:numPr>
          <w:ilvl w:val="2"/>
          <w:numId w:val="31"/>
        </w:numPr>
      </w:pPr>
      <w:bookmarkStart w:id="192" w:name="_Toc216468714"/>
      <w:r w:rsidRPr="00131EED">
        <w:t>Pérdida de suelos por superposición con zonas compatibles con minería</w:t>
      </w:r>
      <w:bookmarkEnd w:id="192"/>
    </w:p>
    <w:p w14:paraId="44E7DEC6" w14:textId="77777777" w:rsidR="000959B9" w:rsidRPr="00131EED" w:rsidRDefault="000959B9" w:rsidP="000959B9"/>
    <w:p w14:paraId="0E5A25A1" w14:textId="1F62234C" w:rsidR="000959B9" w:rsidRPr="00131EED" w:rsidRDefault="000959B9" w:rsidP="000959B9">
      <w:pPr>
        <w:rPr>
          <w:rFonts w:cs="Arial"/>
        </w:rPr>
      </w:pPr>
      <w:r w:rsidRPr="00131EED">
        <w:rPr>
          <w:rFonts w:cs="Arial"/>
        </w:rPr>
        <w:t xml:space="preserve">El objetivo principal de la vocación es la determinación del uso más apropiado que puede soportar cada uno de los suelos, propendiendo por una producción sostenible y sin deterioro de los recursos naturales. De acuerdo </w:t>
      </w:r>
      <w:r w:rsidR="003B05C4" w:rsidRPr="00131EED">
        <w:rPr>
          <w:rFonts w:cs="Arial"/>
        </w:rPr>
        <w:t>con el</w:t>
      </w:r>
      <w:r w:rsidRPr="00131EED">
        <w:rPr>
          <w:rFonts w:cs="Arial"/>
        </w:rPr>
        <w:t xml:space="preserve"> mapa de Clasificación de las Tierras por su Vocación de Uso a escala 1:100.000, se presentan las siguientes vocaciones para las áreas compatibles con la minería y los títulos mineros</w:t>
      </w:r>
      <w:r w:rsidR="00C64489" w:rsidRPr="00131EED">
        <w:rPr>
          <w:rFonts w:cs="Arial"/>
        </w:rPr>
        <w:t xml:space="preserve"> consolidadas en la </w:t>
      </w:r>
      <w:r w:rsidR="00C64489" w:rsidRPr="00131EED">
        <w:rPr>
          <w:rFonts w:cs="Arial"/>
        </w:rPr>
        <w:fldChar w:fldCharType="begin"/>
      </w:r>
      <w:r w:rsidR="00C64489" w:rsidRPr="00131EED">
        <w:rPr>
          <w:rFonts w:cs="Arial"/>
        </w:rPr>
        <w:instrText xml:space="preserve"> REF _Ref210943170 \h </w:instrText>
      </w:r>
      <w:r w:rsidR="00C64489" w:rsidRPr="00131EED">
        <w:rPr>
          <w:rFonts w:cs="Arial"/>
        </w:rPr>
      </w:r>
      <w:r w:rsidR="00C64489" w:rsidRPr="00131EED">
        <w:rPr>
          <w:rFonts w:cs="Arial"/>
        </w:rPr>
        <w:fldChar w:fldCharType="separate"/>
      </w:r>
      <w:r w:rsidR="00CE096F" w:rsidRPr="00131EED">
        <w:t xml:space="preserve">Tabla </w:t>
      </w:r>
      <w:r w:rsidR="00CE096F">
        <w:rPr>
          <w:noProof/>
        </w:rPr>
        <w:t>32</w:t>
      </w:r>
      <w:r w:rsidR="00C64489" w:rsidRPr="00131EED">
        <w:rPr>
          <w:rFonts w:cs="Arial"/>
        </w:rPr>
        <w:fldChar w:fldCharType="end"/>
      </w:r>
      <w:r w:rsidR="00C64489" w:rsidRPr="00131EED">
        <w:rPr>
          <w:rFonts w:cs="Arial"/>
        </w:rPr>
        <w:t>.</w:t>
      </w:r>
      <w:r w:rsidRPr="00131EED">
        <w:rPr>
          <w:rFonts w:cs="Arial"/>
          <w:iCs/>
        </w:rPr>
        <w:t xml:space="preserve"> </w:t>
      </w:r>
    </w:p>
    <w:p w14:paraId="336240D8" w14:textId="77777777" w:rsidR="000959B9" w:rsidRPr="00131EED" w:rsidRDefault="000959B9" w:rsidP="000959B9">
      <w:pPr>
        <w:rPr>
          <w:rFonts w:ascii="Baskerville" w:hAnsi="Baskerville" w:cs="Arial"/>
          <w:iCs/>
        </w:rPr>
      </w:pPr>
    </w:p>
    <w:p w14:paraId="5B5E7084" w14:textId="0A523EB0" w:rsidR="000959B9" w:rsidRPr="00131EED" w:rsidRDefault="000959B9" w:rsidP="003B05C4">
      <w:pPr>
        <w:pStyle w:val="Caption"/>
        <w:jc w:val="center"/>
      </w:pPr>
      <w:bookmarkStart w:id="193" w:name="_Ref210943170"/>
      <w:bookmarkStart w:id="194" w:name="_Toc161643175"/>
      <w:bookmarkStart w:id="195" w:name="_Toc164763191"/>
      <w:bookmarkStart w:id="196" w:name="_Toc216468942"/>
      <w:r w:rsidRPr="00131EED">
        <w:t xml:space="preserve">Tabla </w:t>
      </w:r>
      <w:fldSimple w:instr=" SEQ Tabla \* ARABIC ">
        <w:r w:rsidR="00CE096F">
          <w:rPr>
            <w:noProof/>
          </w:rPr>
          <w:t>32</w:t>
        </w:r>
      </w:fldSimple>
      <w:bookmarkEnd w:id="193"/>
      <w:r w:rsidRPr="00131EED">
        <w:t>. Vocación para el uso del suelo de áreas compatibles con la minería y títulos mineros</w:t>
      </w:r>
      <w:bookmarkEnd w:id="194"/>
      <w:bookmarkEnd w:id="195"/>
      <w:bookmarkEnd w:id="196"/>
    </w:p>
    <w:tbl>
      <w:tblPr>
        <w:tblStyle w:val="TableGrid"/>
        <w:tblW w:w="5000" w:type="pct"/>
        <w:tblLook w:val="04A0" w:firstRow="1" w:lastRow="0" w:firstColumn="1" w:lastColumn="0" w:noHBand="0" w:noVBand="1"/>
      </w:tblPr>
      <w:tblGrid>
        <w:gridCol w:w="1765"/>
        <w:gridCol w:w="1765"/>
        <w:gridCol w:w="1766"/>
        <w:gridCol w:w="1766"/>
        <w:gridCol w:w="1766"/>
      </w:tblGrid>
      <w:tr w:rsidR="000959B9" w:rsidRPr="00131EED" w14:paraId="4E6CC7C4" w14:textId="77777777" w:rsidTr="00053167">
        <w:trPr>
          <w:tblHeader/>
        </w:trPr>
        <w:tc>
          <w:tcPr>
            <w:tcW w:w="1000" w:type="pct"/>
            <w:vAlign w:val="center"/>
          </w:tcPr>
          <w:p w14:paraId="510F4DD2" w14:textId="77777777" w:rsidR="000959B9" w:rsidRPr="00131EED" w:rsidRDefault="000959B9" w:rsidP="00B60DA2">
            <w:pPr>
              <w:rPr>
                <w:b/>
                <w:sz w:val="20"/>
                <w:szCs w:val="20"/>
              </w:rPr>
            </w:pPr>
            <w:r w:rsidRPr="00131EED">
              <w:rPr>
                <w:b/>
                <w:sz w:val="20"/>
                <w:szCs w:val="20"/>
              </w:rPr>
              <w:t>Vocación</w:t>
            </w:r>
          </w:p>
        </w:tc>
        <w:tc>
          <w:tcPr>
            <w:tcW w:w="1000" w:type="pct"/>
            <w:vAlign w:val="center"/>
          </w:tcPr>
          <w:p w14:paraId="53295145" w14:textId="77777777" w:rsidR="000959B9" w:rsidRPr="00131EED" w:rsidRDefault="000959B9" w:rsidP="00B60DA2">
            <w:pPr>
              <w:rPr>
                <w:b/>
                <w:sz w:val="20"/>
                <w:szCs w:val="20"/>
              </w:rPr>
            </w:pPr>
            <w:r w:rsidRPr="00131EED">
              <w:rPr>
                <w:b/>
                <w:sz w:val="20"/>
                <w:szCs w:val="20"/>
              </w:rPr>
              <w:t>Polígonos zonas compatibles con la minería</w:t>
            </w:r>
          </w:p>
        </w:tc>
        <w:tc>
          <w:tcPr>
            <w:tcW w:w="1000" w:type="pct"/>
            <w:vAlign w:val="center"/>
          </w:tcPr>
          <w:p w14:paraId="731FB80D" w14:textId="77777777" w:rsidR="000959B9" w:rsidRPr="00131EED" w:rsidRDefault="000959B9" w:rsidP="00B60DA2">
            <w:pPr>
              <w:rPr>
                <w:b/>
                <w:sz w:val="20"/>
                <w:szCs w:val="20"/>
              </w:rPr>
            </w:pPr>
            <w:r w:rsidRPr="00131EED">
              <w:rPr>
                <w:b/>
                <w:sz w:val="20"/>
                <w:szCs w:val="20"/>
              </w:rPr>
              <w:t>Área de las zonas compatibles con la minería (ha)</w:t>
            </w:r>
          </w:p>
        </w:tc>
        <w:tc>
          <w:tcPr>
            <w:tcW w:w="1000" w:type="pct"/>
            <w:vAlign w:val="center"/>
          </w:tcPr>
          <w:p w14:paraId="22E4D1D2" w14:textId="77777777" w:rsidR="000959B9" w:rsidRPr="00131EED" w:rsidRDefault="000959B9" w:rsidP="00B60DA2">
            <w:pPr>
              <w:rPr>
                <w:b/>
                <w:sz w:val="20"/>
                <w:szCs w:val="20"/>
              </w:rPr>
            </w:pPr>
            <w:r w:rsidRPr="00131EED">
              <w:rPr>
                <w:b/>
                <w:sz w:val="20"/>
                <w:szCs w:val="20"/>
              </w:rPr>
              <w:t>Número de títulos mineros</w:t>
            </w:r>
          </w:p>
        </w:tc>
        <w:tc>
          <w:tcPr>
            <w:tcW w:w="1000" w:type="pct"/>
            <w:vAlign w:val="center"/>
          </w:tcPr>
          <w:p w14:paraId="3F522BF2" w14:textId="77777777" w:rsidR="000959B9" w:rsidRPr="00131EED" w:rsidRDefault="000959B9" w:rsidP="00B60DA2">
            <w:pPr>
              <w:rPr>
                <w:b/>
                <w:sz w:val="20"/>
                <w:szCs w:val="20"/>
              </w:rPr>
            </w:pPr>
            <w:r w:rsidRPr="00131EED">
              <w:rPr>
                <w:b/>
                <w:sz w:val="20"/>
                <w:szCs w:val="20"/>
              </w:rPr>
              <w:t>Área Títulos mineros (ha)</w:t>
            </w:r>
          </w:p>
        </w:tc>
      </w:tr>
      <w:tr w:rsidR="000959B9" w:rsidRPr="00131EED" w14:paraId="36FD9DCD" w14:textId="77777777" w:rsidTr="00053167">
        <w:tc>
          <w:tcPr>
            <w:tcW w:w="1000" w:type="pct"/>
            <w:vAlign w:val="center"/>
          </w:tcPr>
          <w:p w14:paraId="3E3896C6" w14:textId="77777777" w:rsidR="000959B9" w:rsidRPr="00131EED" w:rsidRDefault="000959B9" w:rsidP="00B60DA2">
            <w:pPr>
              <w:rPr>
                <w:sz w:val="20"/>
                <w:szCs w:val="20"/>
              </w:rPr>
            </w:pPr>
            <w:r w:rsidRPr="00131EED">
              <w:rPr>
                <w:sz w:val="20"/>
                <w:szCs w:val="20"/>
              </w:rPr>
              <w:t>Agrícola</w:t>
            </w:r>
          </w:p>
        </w:tc>
        <w:tc>
          <w:tcPr>
            <w:tcW w:w="1000" w:type="pct"/>
            <w:vAlign w:val="center"/>
          </w:tcPr>
          <w:p w14:paraId="1BFD0B57" w14:textId="77777777" w:rsidR="000959B9" w:rsidRPr="00131EED" w:rsidRDefault="000959B9" w:rsidP="00B60DA2">
            <w:pPr>
              <w:rPr>
                <w:sz w:val="20"/>
                <w:szCs w:val="20"/>
              </w:rPr>
            </w:pPr>
            <w:r w:rsidRPr="00131EED">
              <w:rPr>
                <w:sz w:val="20"/>
                <w:szCs w:val="20"/>
              </w:rPr>
              <w:t>4, 5, 6, 7, 8, 9, 10, 11, 12, 13, 14, 15, 16, 17, 19, 20, 21, 22, 23, 24, 26</w:t>
            </w:r>
          </w:p>
        </w:tc>
        <w:tc>
          <w:tcPr>
            <w:tcW w:w="1000" w:type="pct"/>
            <w:vAlign w:val="center"/>
          </w:tcPr>
          <w:p w14:paraId="55A8C12D" w14:textId="77777777" w:rsidR="000959B9" w:rsidRPr="00131EED" w:rsidRDefault="000959B9" w:rsidP="003B05C4">
            <w:pPr>
              <w:jc w:val="right"/>
              <w:rPr>
                <w:sz w:val="20"/>
                <w:szCs w:val="20"/>
              </w:rPr>
            </w:pPr>
            <w:r w:rsidRPr="00131EED">
              <w:rPr>
                <w:sz w:val="20"/>
                <w:szCs w:val="20"/>
              </w:rPr>
              <w:t>10866,03</w:t>
            </w:r>
          </w:p>
        </w:tc>
        <w:tc>
          <w:tcPr>
            <w:tcW w:w="1000" w:type="pct"/>
            <w:vAlign w:val="center"/>
          </w:tcPr>
          <w:p w14:paraId="4607BA82" w14:textId="77777777" w:rsidR="000959B9" w:rsidRPr="00131EED" w:rsidRDefault="000959B9" w:rsidP="003B05C4">
            <w:pPr>
              <w:jc w:val="right"/>
              <w:rPr>
                <w:sz w:val="20"/>
                <w:szCs w:val="20"/>
              </w:rPr>
            </w:pPr>
            <w:r w:rsidRPr="00131EED">
              <w:rPr>
                <w:sz w:val="20"/>
                <w:szCs w:val="20"/>
              </w:rPr>
              <w:t>10612,01</w:t>
            </w:r>
          </w:p>
        </w:tc>
        <w:tc>
          <w:tcPr>
            <w:tcW w:w="1000" w:type="pct"/>
            <w:vAlign w:val="center"/>
          </w:tcPr>
          <w:p w14:paraId="318ADAEE" w14:textId="77777777" w:rsidR="000959B9" w:rsidRPr="00131EED" w:rsidRDefault="000959B9" w:rsidP="003B05C4">
            <w:pPr>
              <w:jc w:val="right"/>
              <w:rPr>
                <w:sz w:val="20"/>
                <w:szCs w:val="20"/>
              </w:rPr>
            </w:pPr>
            <w:r w:rsidRPr="00131EED">
              <w:rPr>
                <w:sz w:val="20"/>
                <w:szCs w:val="20"/>
              </w:rPr>
              <w:t>156</w:t>
            </w:r>
          </w:p>
        </w:tc>
      </w:tr>
      <w:tr w:rsidR="000959B9" w:rsidRPr="00131EED" w14:paraId="777E5D25" w14:textId="77777777" w:rsidTr="00053167">
        <w:tc>
          <w:tcPr>
            <w:tcW w:w="1000" w:type="pct"/>
            <w:vAlign w:val="center"/>
          </w:tcPr>
          <w:p w14:paraId="3A9B83EF" w14:textId="77777777" w:rsidR="000959B9" w:rsidRPr="00131EED" w:rsidRDefault="000959B9" w:rsidP="00B60DA2">
            <w:pPr>
              <w:rPr>
                <w:sz w:val="20"/>
                <w:szCs w:val="20"/>
              </w:rPr>
            </w:pPr>
            <w:r w:rsidRPr="00131EED">
              <w:rPr>
                <w:sz w:val="20"/>
                <w:szCs w:val="20"/>
              </w:rPr>
              <w:t>Agroforestal</w:t>
            </w:r>
          </w:p>
        </w:tc>
        <w:tc>
          <w:tcPr>
            <w:tcW w:w="1000" w:type="pct"/>
            <w:vAlign w:val="center"/>
          </w:tcPr>
          <w:p w14:paraId="7B214615" w14:textId="77777777" w:rsidR="000959B9" w:rsidRPr="00131EED" w:rsidRDefault="000959B9" w:rsidP="00B60DA2">
            <w:pPr>
              <w:rPr>
                <w:sz w:val="20"/>
                <w:szCs w:val="20"/>
              </w:rPr>
            </w:pPr>
            <w:r w:rsidRPr="00131EED">
              <w:rPr>
                <w:sz w:val="20"/>
                <w:szCs w:val="20"/>
              </w:rPr>
              <w:t>3, 4, 5, 6, 13, 15 y 27</w:t>
            </w:r>
          </w:p>
        </w:tc>
        <w:tc>
          <w:tcPr>
            <w:tcW w:w="1000" w:type="pct"/>
            <w:vAlign w:val="center"/>
          </w:tcPr>
          <w:p w14:paraId="468A80CD" w14:textId="77777777" w:rsidR="000959B9" w:rsidRPr="00131EED" w:rsidRDefault="000959B9" w:rsidP="003B05C4">
            <w:pPr>
              <w:jc w:val="right"/>
              <w:rPr>
                <w:sz w:val="20"/>
                <w:szCs w:val="20"/>
              </w:rPr>
            </w:pPr>
            <w:r w:rsidRPr="00131EED">
              <w:rPr>
                <w:sz w:val="20"/>
                <w:szCs w:val="20"/>
              </w:rPr>
              <w:t>3354,27</w:t>
            </w:r>
          </w:p>
        </w:tc>
        <w:tc>
          <w:tcPr>
            <w:tcW w:w="1000" w:type="pct"/>
            <w:vAlign w:val="center"/>
          </w:tcPr>
          <w:p w14:paraId="4A7C04F9" w14:textId="77777777" w:rsidR="000959B9" w:rsidRPr="00131EED" w:rsidRDefault="000959B9" w:rsidP="003B05C4">
            <w:pPr>
              <w:jc w:val="right"/>
              <w:rPr>
                <w:sz w:val="20"/>
                <w:szCs w:val="20"/>
              </w:rPr>
            </w:pPr>
            <w:r w:rsidRPr="00131EED">
              <w:rPr>
                <w:sz w:val="20"/>
                <w:szCs w:val="20"/>
              </w:rPr>
              <w:t>4662,71</w:t>
            </w:r>
          </w:p>
        </w:tc>
        <w:tc>
          <w:tcPr>
            <w:tcW w:w="1000" w:type="pct"/>
            <w:vAlign w:val="center"/>
          </w:tcPr>
          <w:p w14:paraId="12D7AFC2" w14:textId="77777777" w:rsidR="000959B9" w:rsidRPr="00131EED" w:rsidRDefault="000959B9" w:rsidP="003B05C4">
            <w:pPr>
              <w:jc w:val="right"/>
              <w:rPr>
                <w:sz w:val="20"/>
                <w:szCs w:val="20"/>
              </w:rPr>
            </w:pPr>
            <w:r w:rsidRPr="00131EED">
              <w:rPr>
                <w:sz w:val="20"/>
                <w:szCs w:val="20"/>
              </w:rPr>
              <w:t>93</w:t>
            </w:r>
          </w:p>
        </w:tc>
      </w:tr>
      <w:tr w:rsidR="000959B9" w:rsidRPr="00131EED" w14:paraId="1FFFAF77" w14:textId="77777777" w:rsidTr="00053167">
        <w:tc>
          <w:tcPr>
            <w:tcW w:w="1000" w:type="pct"/>
            <w:vAlign w:val="center"/>
          </w:tcPr>
          <w:p w14:paraId="45C85312" w14:textId="77777777" w:rsidR="000959B9" w:rsidRPr="00131EED" w:rsidRDefault="000959B9" w:rsidP="00B60DA2">
            <w:pPr>
              <w:rPr>
                <w:sz w:val="20"/>
                <w:szCs w:val="20"/>
              </w:rPr>
            </w:pPr>
            <w:r w:rsidRPr="00131EED">
              <w:rPr>
                <w:sz w:val="20"/>
                <w:szCs w:val="20"/>
              </w:rPr>
              <w:t>Conservación de suelos</w:t>
            </w:r>
          </w:p>
        </w:tc>
        <w:tc>
          <w:tcPr>
            <w:tcW w:w="1000" w:type="pct"/>
            <w:vAlign w:val="center"/>
          </w:tcPr>
          <w:p w14:paraId="3127B27B" w14:textId="77777777" w:rsidR="000959B9" w:rsidRPr="00131EED" w:rsidRDefault="000959B9" w:rsidP="00B60DA2">
            <w:pPr>
              <w:rPr>
                <w:sz w:val="20"/>
                <w:szCs w:val="20"/>
              </w:rPr>
            </w:pPr>
            <w:r w:rsidRPr="00131EED">
              <w:rPr>
                <w:sz w:val="20"/>
                <w:szCs w:val="20"/>
              </w:rPr>
              <w:t>N/A</w:t>
            </w:r>
          </w:p>
        </w:tc>
        <w:tc>
          <w:tcPr>
            <w:tcW w:w="1000" w:type="pct"/>
            <w:vAlign w:val="center"/>
          </w:tcPr>
          <w:p w14:paraId="5AF6E376" w14:textId="77777777" w:rsidR="000959B9" w:rsidRPr="00131EED" w:rsidRDefault="000959B9" w:rsidP="003B05C4">
            <w:pPr>
              <w:jc w:val="right"/>
              <w:rPr>
                <w:sz w:val="20"/>
                <w:szCs w:val="20"/>
              </w:rPr>
            </w:pPr>
            <w:r w:rsidRPr="00131EED">
              <w:rPr>
                <w:sz w:val="20"/>
                <w:szCs w:val="20"/>
              </w:rPr>
              <w:t>N/A</w:t>
            </w:r>
          </w:p>
        </w:tc>
        <w:tc>
          <w:tcPr>
            <w:tcW w:w="1000" w:type="pct"/>
            <w:vAlign w:val="center"/>
          </w:tcPr>
          <w:p w14:paraId="4C810A58" w14:textId="77777777" w:rsidR="000959B9" w:rsidRPr="00131EED" w:rsidRDefault="000959B9" w:rsidP="003B05C4">
            <w:pPr>
              <w:jc w:val="right"/>
              <w:rPr>
                <w:sz w:val="20"/>
                <w:szCs w:val="20"/>
              </w:rPr>
            </w:pPr>
            <w:r w:rsidRPr="00131EED">
              <w:rPr>
                <w:sz w:val="20"/>
                <w:szCs w:val="20"/>
              </w:rPr>
              <w:t>155,91</w:t>
            </w:r>
          </w:p>
        </w:tc>
        <w:tc>
          <w:tcPr>
            <w:tcW w:w="1000" w:type="pct"/>
            <w:vAlign w:val="center"/>
          </w:tcPr>
          <w:p w14:paraId="0D76C211" w14:textId="77777777" w:rsidR="000959B9" w:rsidRPr="00131EED" w:rsidRDefault="000959B9" w:rsidP="003B05C4">
            <w:pPr>
              <w:jc w:val="right"/>
              <w:rPr>
                <w:sz w:val="20"/>
                <w:szCs w:val="20"/>
              </w:rPr>
            </w:pPr>
            <w:r w:rsidRPr="00131EED">
              <w:rPr>
                <w:sz w:val="20"/>
                <w:szCs w:val="20"/>
              </w:rPr>
              <w:t>2</w:t>
            </w:r>
          </w:p>
        </w:tc>
      </w:tr>
      <w:tr w:rsidR="000959B9" w:rsidRPr="00131EED" w14:paraId="3760C48D" w14:textId="77777777" w:rsidTr="00053167">
        <w:tc>
          <w:tcPr>
            <w:tcW w:w="1000" w:type="pct"/>
            <w:vAlign w:val="center"/>
          </w:tcPr>
          <w:p w14:paraId="2EFB1EEE" w14:textId="77777777" w:rsidR="000959B9" w:rsidRPr="00131EED" w:rsidRDefault="000959B9" w:rsidP="00B60DA2">
            <w:pPr>
              <w:rPr>
                <w:sz w:val="20"/>
                <w:szCs w:val="20"/>
              </w:rPr>
            </w:pPr>
            <w:r w:rsidRPr="00131EED">
              <w:rPr>
                <w:sz w:val="20"/>
                <w:szCs w:val="20"/>
              </w:rPr>
              <w:t>Cuerpo de Agua</w:t>
            </w:r>
          </w:p>
        </w:tc>
        <w:tc>
          <w:tcPr>
            <w:tcW w:w="1000" w:type="pct"/>
            <w:vAlign w:val="center"/>
          </w:tcPr>
          <w:p w14:paraId="72DE5ADD" w14:textId="77777777" w:rsidR="000959B9" w:rsidRPr="00131EED" w:rsidRDefault="000959B9" w:rsidP="00B60DA2">
            <w:pPr>
              <w:rPr>
                <w:sz w:val="20"/>
                <w:szCs w:val="20"/>
              </w:rPr>
            </w:pPr>
            <w:r w:rsidRPr="00131EED">
              <w:rPr>
                <w:sz w:val="20"/>
                <w:szCs w:val="20"/>
              </w:rPr>
              <w:t>2, 7, 8, 9, 21, 23</w:t>
            </w:r>
          </w:p>
        </w:tc>
        <w:tc>
          <w:tcPr>
            <w:tcW w:w="1000" w:type="pct"/>
            <w:vAlign w:val="center"/>
          </w:tcPr>
          <w:p w14:paraId="5750B849" w14:textId="77777777" w:rsidR="000959B9" w:rsidRPr="00131EED" w:rsidRDefault="000959B9" w:rsidP="003B05C4">
            <w:pPr>
              <w:jc w:val="right"/>
              <w:rPr>
                <w:sz w:val="20"/>
                <w:szCs w:val="20"/>
              </w:rPr>
            </w:pPr>
            <w:r w:rsidRPr="00131EED">
              <w:rPr>
                <w:sz w:val="20"/>
                <w:szCs w:val="20"/>
              </w:rPr>
              <w:t>74,34</w:t>
            </w:r>
          </w:p>
        </w:tc>
        <w:tc>
          <w:tcPr>
            <w:tcW w:w="1000" w:type="pct"/>
            <w:vAlign w:val="center"/>
          </w:tcPr>
          <w:p w14:paraId="4EBAA6DB" w14:textId="77777777" w:rsidR="000959B9" w:rsidRPr="00131EED" w:rsidRDefault="000959B9" w:rsidP="003B05C4">
            <w:pPr>
              <w:jc w:val="right"/>
              <w:rPr>
                <w:sz w:val="20"/>
                <w:szCs w:val="20"/>
              </w:rPr>
            </w:pPr>
            <w:r w:rsidRPr="00131EED">
              <w:rPr>
                <w:sz w:val="20"/>
                <w:szCs w:val="20"/>
              </w:rPr>
              <w:t>74,02</w:t>
            </w:r>
          </w:p>
        </w:tc>
        <w:tc>
          <w:tcPr>
            <w:tcW w:w="1000" w:type="pct"/>
            <w:vAlign w:val="center"/>
          </w:tcPr>
          <w:p w14:paraId="699FED55" w14:textId="77777777" w:rsidR="000959B9" w:rsidRPr="00131EED" w:rsidRDefault="000959B9" w:rsidP="003B05C4">
            <w:pPr>
              <w:jc w:val="right"/>
              <w:rPr>
                <w:sz w:val="20"/>
                <w:szCs w:val="20"/>
              </w:rPr>
            </w:pPr>
            <w:r w:rsidRPr="00131EED">
              <w:rPr>
                <w:sz w:val="20"/>
                <w:szCs w:val="20"/>
              </w:rPr>
              <w:t>15</w:t>
            </w:r>
          </w:p>
        </w:tc>
      </w:tr>
      <w:tr w:rsidR="000959B9" w:rsidRPr="00131EED" w14:paraId="362D3C07" w14:textId="77777777" w:rsidTr="00053167">
        <w:tc>
          <w:tcPr>
            <w:tcW w:w="1000" w:type="pct"/>
            <w:vAlign w:val="center"/>
          </w:tcPr>
          <w:p w14:paraId="16611391" w14:textId="77777777" w:rsidR="000959B9" w:rsidRPr="00131EED" w:rsidRDefault="000959B9" w:rsidP="00B60DA2">
            <w:pPr>
              <w:rPr>
                <w:sz w:val="20"/>
                <w:szCs w:val="20"/>
              </w:rPr>
            </w:pPr>
            <w:r w:rsidRPr="00131EED">
              <w:rPr>
                <w:sz w:val="20"/>
                <w:szCs w:val="20"/>
              </w:rPr>
              <w:t>Forestal</w:t>
            </w:r>
          </w:p>
        </w:tc>
        <w:tc>
          <w:tcPr>
            <w:tcW w:w="1000" w:type="pct"/>
            <w:vAlign w:val="center"/>
          </w:tcPr>
          <w:p w14:paraId="253859F3" w14:textId="77777777" w:rsidR="000959B9" w:rsidRPr="00131EED" w:rsidRDefault="000959B9" w:rsidP="00B60DA2">
            <w:pPr>
              <w:rPr>
                <w:sz w:val="20"/>
                <w:szCs w:val="20"/>
              </w:rPr>
            </w:pPr>
            <w:r w:rsidRPr="00131EED">
              <w:rPr>
                <w:sz w:val="20"/>
                <w:szCs w:val="20"/>
              </w:rPr>
              <w:t>1, 2, 4, 6, 7, 8, 9, 10, 11, 13, 15, 16, 17, 18, 19, 22, 23, 24, 25, 26, 27, 28</w:t>
            </w:r>
          </w:p>
        </w:tc>
        <w:tc>
          <w:tcPr>
            <w:tcW w:w="1000" w:type="pct"/>
            <w:vAlign w:val="center"/>
          </w:tcPr>
          <w:p w14:paraId="7DDF828F" w14:textId="77777777" w:rsidR="000959B9" w:rsidRPr="00131EED" w:rsidRDefault="000959B9" w:rsidP="003B05C4">
            <w:pPr>
              <w:jc w:val="right"/>
              <w:rPr>
                <w:sz w:val="20"/>
                <w:szCs w:val="20"/>
              </w:rPr>
            </w:pPr>
            <w:r w:rsidRPr="00131EED">
              <w:rPr>
                <w:sz w:val="20"/>
                <w:szCs w:val="20"/>
              </w:rPr>
              <w:t>4825,24</w:t>
            </w:r>
          </w:p>
        </w:tc>
        <w:tc>
          <w:tcPr>
            <w:tcW w:w="1000" w:type="pct"/>
            <w:vAlign w:val="center"/>
          </w:tcPr>
          <w:p w14:paraId="02A0AC80" w14:textId="77777777" w:rsidR="000959B9" w:rsidRPr="00131EED" w:rsidRDefault="000959B9" w:rsidP="003B05C4">
            <w:pPr>
              <w:jc w:val="right"/>
              <w:rPr>
                <w:sz w:val="20"/>
                <w:szCs w:val="20"/>
              </w:rPr>
            </w:pPr>
            <w:r w:rsidRPr="00131EED">
              <w:rPr>
                <w:sz w:val="20"/>
                <w:szCs w:val="20"/>
              </w:rPr>
              <w:t>9767,46</w:t>
            </w:r>
          </w:p>
        </w:tc>
        <w:tc>
          <w:tcPr>
            <w:tcW w:w="1000" w:type="pct"/>
            <w:vAlign w:val="center"/>
          </w:tcPr>
          <w:p w14:paraId="69066A69" w14:textId="77777777" w:rsidR="000959B9" w:rsidRPr="00131EED" w:rsidRDefault="000959B9" w:rsidP="003B05C4">
            <w:pPr>
              <w:jc w:val="right"/>
              <w:rPr>
                <w:sz w:val="20"/>
                <w:szCs w:val="20"/>
              </w:rPr>
            </w:pPr>
            <w:r w:rsidRPr="00131EED">
              <w:rPr>
                <w:sz w:val="20"/>
                <w:szCs w:val="20"/>
              </w:rPr>
              <w:t>190</w:t>
            </w:r>
          </w:p>
        </w:tc>
      </w:tr>
      <w:tr w:rsidR="000959B9" w:rsidRPr="00131EED" w14:paraId="2911D16F" w14:textId="77777777" w:rsidTr="00053167">
        <w:tc>
          <w:tcPr>
            <w:tcW w:w="1000" w:type="pct"/>
            <w:vAlign w:val="center"/>
          </w:tcPr>
          <w:p w14:paraId="0064A905" w14:textId="77777777" w:rsidR="000959B9" w:rsidRPr="00131EED" w:rsidRDefault="000959B9" w:rsidP="00B60DA2">
            <w:pPr>
              <w:rPr>
                <w:sz w:val="20"/>
                <w:szCs w:val="20"/>
              </w:rPr>
            </w:pPr>
            <w:r w:rsidRPr="00131EED">
              <w:rPr>
                <w:sz w:val="20"/>
                <w:szCs w:val="20"/>
              </w:rPr>
              <w:t>Zonas Urbanas</w:t>
            </w:r>
          </w:p>
        </w:tc>
        <w:tc>
          <w:tcPr>
            <w:tcW w:w="1000" w:type="pct"/>
            <w:vAlign w:val="center"/>
          </w:tcPr>
          <w:p w14:paraId="30B4DB71" w14:textId="77777777" w:rsidR="000959B9" w:rsidRPr="00131EED" w:rsidRDefault="000959B9" w:rsidP="00B60DA2">
            <w:pPr>
              <w:rPr>
                <w:sz w:val="20"/>
                <w:szCs w:val="20"/>
              </w:rPr>
            </w:pPr>
            <w:r w:rsidRPr="00131EED">
              <w:rPr>
                <w:sz w:val="20"/>
                <w:szCs w:val="20"/>
              </w:rPr>
              <w:t>1, 2 3, 4</w:t>
            </w:r>
          </w:p>
        </w:tc>
        <w:tc>
          <w:tcPr>
            <w:tcW w:w="1000" w:type="pct"/>
            <w:vAlign w:val="center"/>
          </w:tcPr>
          <w:p w14:paraId="2553417D" w14:textId="77777777" w:rsidR="000959B9" w:rsidRPr="00131EED" w:rsidRDefault="000959B9" w:rsidP="003B05C4">
            <w:pPr>
              <w:jc w:val="right"/>
              <w:rPr>
                <w:sz w:val="20"/>
                <w:szCs w:val="20"/>
              </w:rPr>
            </w:pPr>
            <w:r w:rsidRPr="00131EED">
              <w:rPr>
                <w:sz w:val="20"/>
                <w:szCs w:val="20"/>
              </w:rPr>
              <w:t>356, 44</w:t>
            </w:r>
          </w:p>
        </w:tc>
        <w:tc>
          <w:tcPr>
            <w:tcW w:w="1000" w:type="pct"/>
            <w:vAlign w:val="center"/>
          </w:tcPr>
          <w:p w14:paraId="06042C8F" w14:textId="77777777" w:rsidR="000959B9" w:rsidRPr="00131EED" w:rsidRDefault="000959B9" w:rsidP="003B05C4">
            <w:pPr>
              <w:jc w:val="right"/>
              <w:rPr>
                <w:sz w:val="20"/>
                <w:szCs w:val="20"/>
              </w:rPr>
            </w:pPr>
            <w:r w:rsidRPr="00131EED">
              <w:rPr>
                <w:sz w:val="20"/>
                <w:szCs w:val="20"/>
              </w:rPr>
              <w:t>434,58</w:t>
            </w:r>
          </w:p>
        </w:tc>
        <w:tc>
          <w:tcPr>
            <w:tcW w:w="1000" w:type="pct"/>
            <w:vAlign w:val="center"/>
          </w:tcPr>
          <w:p w14:paraId="692E1CC0" w14:textId="77777777" w:rsidR="000959B9" w:rsidRPr="00131EED" w:rsidRDefault="000959B9" w:rsidP="003B05C4">
            <w:pPr>
              <w:jc w:val="right"/>
              <w:rPr>
                <w:sz w:val="20"/>
                <w:szCs w:val="20"/>
              </w:rPr>
            </w:pPr>
            <w:r w:rsidRPr="00131EED">
              <w:rPr>
                <w:sz w:val="20"/>
                <w:szCs w:val="20"/>
              </w:rPr>
              <w:t>19</w:t>
            </w:r>
          </w:p>
        </w:tc>
      </w:tr>
    </w:tbl>
    <w:p w14:paraId="2B9C6771" w14:textId="77777777" w:rsidR="000959B9" w:rsidRPr="00131EED" w:rsidRDefault="000959B9" w:rsidP="00B53A59">
      <w:pPr>
        <w:jc w:val="center"/>
        <w:rPr>
          <w:rFonts w:cs="Arial"/>
          <w:sz w:val="20"/>
          <w:szCs w:val="16"/>
        </w:rPr>
      </w:pPr>
      <w:r w:rsidRPr="00131EED">
        <w:rPr>
          <w:rFonts w:cs="Arial"/>
          <w:sz w:val="20"/>
          <w:szCs w:val="16"/>
        </w:rPr>
        <w:t>Fuente: Grupo de Gestión Ambiental Minera – MADS, 2024</w:t>
      </w:r>
    </w:p>
    <w:p w14:paraId="2A3924E8" w14:textId="77777777" w:rsidR="000959B9" w:rsidRPr="00131EED" w:rsidRDefault="000959B9" w:rsidP="000959B9">
      <w:pPr>
        <w:rPr>
          <w:rFonts w:cs="Arial"/>
        </w:rPr>
      </w:pPr>
    </w:p>
    <w:p w14:paraId="732BE56C" w14:textId="529EBCC0" w:rsidR="000959B9" w:rsidRPr="00131EED" w:rsidRDefault="000959B9" w:rsidP="00410194">
      <w:pPr>
        <w:pStyle w:val="Heading3"/>
        <w:numPr>
          <w:ilvl w:val="2"/>
          <w:numId w:val="31"/>
        </w:numPr>
      </w:pPr>
      <w:bookmarkStart w:id="197" w:name="_Toc216468715"/>
      <w:r w:rsidRPr="00131EED">
        <w:t xml:space="preserve">Generación de conflictos por </w:t>
      </w:r>
      <w:r w:rsidR="00EE2263" w:rsidRPr="00131EED">
        <w:t>infraestructura</w:t>
      </w:r>
      <w:r w:rsidRPr="00131EED">
        <w:t xml:space="preserve"> de transmisión eléctrica</w:t>
      </w:r>
      <w:bookmarkEnd w:id="197"/>
      <w:r w:rsidRPr="00131EED">
        <w:t xml:space="preserve"> </w:t>
      </w:r>
    </w:p>
    <w:p w14:paraId="760D6587" w14:textId="77777777" w:rsidR="000959B9" w:rsidRPr="00131EED" w:rsidRDefault="000959B9" w:rsidP="000959B9">
      <w:pPr>
        <w:rPr>
          <w:rFonts w:ascii="Baskerville" w:hAnsi="Baskerville" w:cs="Arial"/>
        </w:rPr>
      </w:pPr>
    </w:p>
    <w:p w14:paraId="64D371A6" w14:textId="77777777" w:rsidR="000959B9" w:rsidRPr="00131EED" w:rsidRDefault="000959B9" w:rsidP="000959B9">
      <w:pPr>
        <w:rPr>
          <w:rFonts w:cs="Arial"/>
        </w:rPr>
      </w:pPr>
      <w:r w:rsidRPr="00131EED">
        <w:rPr>
          <w:rFonts w:cs="Arial"/>
        </w:rPr>
        <w:t xml:space="preserve">En la Sabana de Bogotá los circuitos de transmisión nacional se interconectan a niveles de tensión de 230 KV y 500 KV en subestaciones periféricas como Torca, Nueva Esperanza, Circo, Balsillas, Noroeste, Bacatá, Norte, San Mateo y Circo. </w:t>
      </w:r>
    </w:p>
    <w:p w14:paraId="1EBBDB87" w14:textId="77777777" w:rsidR="000959B9" w:rsidRPr="00131EED" w:rsidRDefault="000959B9" w:rsidP="000959B9">
      <w:pPr>
        <w:rPr>
          <w:rFonts w:cs="Arial"/>
        </w:rPr>
      </w:pPr>
    </w:p>
    <w:p w14:paraId="27E184F0" w14:textId="77777777" w:rsidR="000959B9" w:rsidRPr="00131EED" w:rsidRDefault="000959B9" w:rsidP="000959B9">
      <w:pPr>
        <w:rPr>
          <w:rFonts w:cs="Arial"/>
        </w:rPr>
      </w:pPr>
      <w:r w:rsidRPr="00131EED">
        <w:rPr>
          <w:rFonts w:cs="Arial"/>
        </w:rPr>
        <w:t>Las proyecciones de crecimiento de la demanda de energía son realizadas por la Unidad de Planeación Minero-Energética UPME, unidad administrativa que elabora los Planes de Expansión de Generación y Transmisión a mediano y largo plazo para anticipar con rangos de 5 a 15 años las necesidades de refuerzos y expansiones tanto en proyectos de generación como en líneas de transmisión para transportar la energía al sistema interconectado. Dentro del casco urbano y rural de la ciudad de Bogotá se tienen líneas de transmisión de 115 V que pertenecen al sistema de transmisión regional.</w:t>
      </w:r>
    </w:p>
    <w:p w14:paraId="11B5BC30" w14:textId="77777777" w:rsidR="000959B9" w:rsidRPr="00131EED" w:rsidRDefault="000959B9" w:rsidP="000959B9">
      <w:pPr>
        <w:rPr>
          <w:rFonts w:cs="Arial"/>
        </w:rPr>
      </w:pPr>
    </w:p>
    <w:p w14:paraId="04013E7B" w14:textId="77777777" w:rsidR="000959B9" w:rsidRPr="00131EED" w:rsidRDefault="000959B9" w:rsidP="000959B9">
      <w:pPr>
        <w:rPr>
          <w:rFonts w:cs="Arial"/>
        </w:rPr>
      </w:pPr>
      <w:r w:rsidRPr="00131EED">
        <w:rPr>
          <w:rFonts w:cs="Arial"/>
          <w:u w:val="single"/>
        </w:rPr>
        <w:t xml:space="preserve">Subestaciones de transmisión 230 KV: </w:t>
      </w:r>
      <w:r w:rsidRPr="00131EED">
        <w:rPr>
          <w:rFonts w:cs="Arial"/>
        </w:rPr>
        <w:t xml:space="preserve">Nueva Esperanza, municipio de Soacha (se convierte en la más grande dentro del nodo de la sabana de Bogotá). Circo, salida a Choachí por av. Circunvalar. Tunal, inmediaciones al parque metropolitano el Tunal, Ciudad Kennedy. San Mateo, municipio de Soacha. Torca, carrera 7 salida hacia Chía. Balsillas, salida de Mosquera vía a La Mesa. Bacatá, municipio de Tenjo. Noroeste, Autop. Medellín vía Siberia – Faca. Norte, municipio de Sesquilé. </w:t>
      </w:r>
    </w:p>
    <w:p w14:paraId="3EC69B46" w14:textId="77777777" w:rsidR="000959B9" w:rsidRPr="00131EED" w:rsidRDefault="000959B9" w:rsidP="000959B9">
      <w:pPr>
        <w:rPr>
          <w:rFonts w:cs="Arial"/>
          <w:u w:val="single"/>
        </w:rPr>
      </w:pPr>
    </w:p>
    <w:p w14:paraId="643F94CF" w14:textId="77777777" w:rsidR="000959B9" w:rsidRPr="00131EED" w:rsidRDefault="000959B9" w:rsidP="000959B9">
      <w:pPr>
        <w:rPr>
          <w:rFonts w:cs="Arial"/>
        </w:rPr>
      </w:pPr>
      <w:r w:rsidRPr="00131EED">
        <w:rPr>
          <w:rFonts w:cs="Arial"/>
          <w:u w:val="single"/>
        </w:rPr>
        <w:t xml:space="preserve">Subestaciones con niveles de tensión de 500 KV: </w:t>
      </w:r>
      <w:r w:rsidRPr="00131EED">
        <w:rPr>
          <w:rFonts w:cs="Arial"/>
        </w:rPr>
        <w:t>Bacatá, municipio de Tenjo (líneas anillo Nueva esperanza). Norte, municipio de Sesquilé (requerida en plan de expansión al 2028).</w:t>
      </w:r>
    </w:p>
    <w:p w14:paraId="763CB4DE" w14:textId="77777777" w:rsidR="000959B9" w:rsidRPr="00131EED" w:rsidRDefault="000959B9" w:rsidP="000959B9">
      <w:pPr>
        <w:rPr>
          <w:rFonts w:cs="Arial"/>
        </w:rPr>
      </w:pPr>
    </w:p>
    <w:p w14:paraId="11F3A987" w14:textId="77777777" w:rsidR="000959B9" w:rsidRPr="00131EED" w:rsidRDefault="000959B9" w:rsidP="000959B9">
      <w:pPr>
        <w:rPr>
          <w:rFonts w:cs="Arial"/>
        </w:rPr>
      </w:pPr>
      <w:r w:rsidRPr="00131EED">
        <w:rPr>
          <w:rFonts w:cs="Arial"/>
        </w:rPr>
        <w:t xml:space="preserve">Los circuitos del sistema de transmisión regional (STR) son los que cubren el área urbana de la ciudad de Bogotá y entregan su energía en las subestaciones de propiedad de Enel Codensa con tensiones de 115 KV, para llegar a los usuarios finales (industriales, comerciales, residenciales). </w:t>
      </w:r>
    </w:p>
    <w:p w14:paraId="4BBB63B4" w14:textId="77777777" w:rsidR="000959B9" w:rsidRPr="00131EED" w:rsidRDefault="000959B9" w:rsidP="000959B9">
      <w:pPr>
        <w:rPr>
          <w:rFonts w:cs="Arial"/>
        </w:rPr>
      </w:pPr>
      <w:r w:rsidRPr="00131EED">
        <w:rPr>
          <w:rFonts w:cs="Arial"/>
        </w:rPr>
        <w:t>Estos circuitos vienen de las plantas de generación, que geográficamente se encuentran ubicadas en zonas lejanas de la ciudad; teniendo en cuenta que es un sistema interconectado la topología es enmallada (como una telaraña) para asegurar la confiabilidad del suministro energético en caso de contingencias. Si solo se tuviera un circuito sencillo desde una central de generación hasta un casco urbano, cualquier falla dejaría sin servicio a la población atendida; por esta razón la buena práctica exige construir dobles circuitos y refuerzos de líneas para asegurar la prestación continua y confiable del servicio de energía eléctrica.</w:t>
      </w:r>
    </w:p>
    <w:p w14:paraId="6EECCB0D" w14:textId="77777777" w:rsidR="000959B9" w:rsidRPr="00131EED" w:rsidRDefault="000959B9" w:rsidP="000959B9">
      <w:pPr>
        <w:rPr>
          <w:rFonts w:cs="Arial"/>
        </w:rPr>
      </w:pPr>
    </w:p>
    <w:p w14:paraId="0D36A9B0" w14:textId="77777777" w:rsidR="000959B9" w:rsidRPr="00131EED" w:rsidRDefault="000959B9" w:rsidP="000959B9">
      <w:pPr>
        <w:rPr>
          <w:rFonts w:cs="Arial"/>
        </w:rPr>
      </w:pPr>
      <w:r w:rsidRPr="00131EED">
        <w:rPr>
          <w:rFonts w:cs="Arial"/>
        </w:rPr>
        <w:t>Los circuitos que recorren largas distancias vienen a interconectarse con Bogotá en torres de 230 KV, desde las plantas de Generación hidroeléctrica y termoeléctrica, entre otras, las siguientes:</w:t>
      </w:r>
    </w:p>
    <w:p w14:paraId="05187113" w14:textId="77777777" w:rsidR="000959B9" w:rsidRPr="00131EED" w:rsidRDefault="000959B9" w:rsidP="000959B9">
      <w:pPr>
        <w:rPr>
          <w:rFonts w:cs="Arial"/>
        </w:rPr>
      </w:pPr>
    </w:p>
    <w:p w14:paraId="15B698DB" w14:textId="77777777" w:rsidR="000959B9" w:rsidRPr="00131EED" w:rsidRDefault="000959B9" w:rsidP="00410194">
      <w:pPr>
        <w:pStyle w:val="ListParagraph"/>
        <w:numPr>
          <w:ilvl w:val="0"/>
          <w:numId w:val="10"/>
        </w:numPr>
        <w:spacing w:after="0"/>
        <w:rPr>
          <w:rFonts w:cs="Arial"/>
          <w:sz w:val="24"/>
          <w:szCs w:val="24"/>
        </w:rPr>
      </w:pPr>
      <w:r w:rsidRPr="00131EED">
        <w:rPr>
          <w:rFonts w:cs="Arial"/>
          <w:sz w:val="24"/>
          <w:szCs w:val="24"/>
        </w:rPr>
        <w:t>Cadena 1 río Bogotá: Paraíso y La Guaca.</w:t>
      </w:r>
    </w:p>
    <w:p w14:paraId="1912D0D1" w14:textId="77777777" w:rsidR="000959B9" w:rsidRPr="00131EED" w:rsidRDefault="000959B9" w:rsidP="00410194">
      <w:pPr>
        <w:pStyle w:val="ListParagraph"/>
        <w:numPr>
          <w:ilvl w:val="0"/>
          <w:numId w:val="10"/>
        </w:numPr>
        <w:spacing w:after="0"/>
        <w:rPr>
          <w:rFonts w:cs="Arial"/>
          <w:sz w:val="24"/>
          <w:szCs w:val="24"/>
        </w:rPr>
      </w:pPr>
      <w:r w:rsidRPr="00131EED">
        <w:rPr>
          <w:rFonts w:cs="Arial"/>
          <w:sz w:val="24"/>
          <w:szCs w:val="24"/>
        </w:rPr>
        <w:t>Cadena antigua río Bogotá: Canoas, Salto, Laguneta, Darío Valencia.</w:t>
      </w:r>
    </w:p>
    <w:p w14:paraId="01E1B1CE" w14:textId="77777777" w:rsidR="000959B9" w:rsidRPr="00131EED" w:rsidRDefault="000959B9" w:rsidP="00410194">
      <w:pPr>
        <w:pStyle w:val="ListParagraph"/>
        <w:numPr>
          <w:ilvl w:val="0"/>
          <w:numId w:val="10"/>
        </w:numPr>
        <w:spacing w:after="0"/>
        <w:rPr>
          <w:rFonts w:cs="Arial"/>
          <w:sz w:val="24"/>
          <w:szCs w:val="24"/>
        </w:rPr>
      </w:pPr>
      <w:r w:rsidRPr="00131EED">
        <w:rPr>
          <w:rFonts w:cs="Arial"/>
          <w:sz w:val="24"/>
          <w:szCs w:val="24"/>
        </w:rPr>
        <w:t>(Físicamente están ubicadas sobre la cuenca baja del río Bogotá entre el embalse del Muña y Mesitas del Colegio).</w:t>
      </w:r>
    </w:p>
    <w:p w14:paraId="4A6ED113" w14:textId="77777777" w:rsidR="000959B9" w:rsidRPr="00131EED" w:rsidRDefault="000959B9" w:rsidP="00410194">
      <w:pPr>
        <w:pStyle w:val="ListParagraph"/>
        <w:numPr>
          <w:ilvl w:val="0"/>
          <w:numId w:val="10"/>
        </w:numPr>
        <w:spacing w:after="0"/>
        <w:rPr>
          <w:rFonts w:cs="Arial"/>
          <w:sz w:val="24"/>
          <w:szCs w:val="24"/>
        </w:rPr>
      </w:pPr>
      <w:r w:rsidRPr="00131EED">
        <w:rPr>
          <w:rFonts w:cs="Arial"/>
          <w:sz w:val="24"/>
          <w:szCs w:val="24"/>
        </w:rPr>
        <w:t>Chivor: Planta ubicada en el departamento de Boyacá, en la salida al llano por Villanueva.</w:t>
      </w:r>
    </w:p>
    <w:p w14:paraId="1857AA50" w14:textId="77777777" w:rsidR="000959B9" w:rsidRPr="00131EED" w:rsidRDefault="000959B9" w:rsidP="00410194">
      <w:pPr>
        <w:pStyle w:val="ListParagraph"/>
        <w:numPr>
          <w:ilvl w:val="0"/>
          <w:numId w:val="10"/>
        </w:numPr>
        <w:spacing w:after="0"/>
        <w:rPr>
          <w:rFonts w:cs="Arial"/>
          <w:sz w:val="24"/>
          <w:szCs w:val="24"/>
        </w:rPr>
      </w:pPr>
      <w:r w:rsidRPr="00131EED">
        <w:rPr>
          <w:rFonts w:cs="Arial"/>
          <w:sz w:val="24"/>
          <w:szCs w:val="24"/>
        </w:rPr>
        <w:t>Guavio: Planta ubicada en Mámbita, región de Medina, Departamento de Cundinamarca.</w:t>
      </w:r>
    </w:p>
    <w:p w14:paraId="762D7276" w14:textId="77777777" w:rsidR="000959B9" w:rsidRPr="00131EED" w:rsidRDefault="000959B9" w:rsidP="00410194">
      <w:pPr>
        <w:pStyle w:val="ListParagraph"/>
        <w:numPr>
          <w:ilvl w:val="0"/>
          <w:numId w:val="10"/>
        </w:numPr>
        <w:spacing w:after="0"/>
        <w:rPr>
          <w:rFonts w:cs="Arial"/>
          <w:sz w:val="24"/>
          <w:szCs w:val="24"/>
        </w:rPr>
      </w:pPr>
      <w:r w:rsidRPr="00131EED">
        <w:rPr>
          <w:rFonts w:cs="Arial"/>
          <w:sz w:val="24"/>
          <w:szCs w:val="24"/>
        </w:rPr>
        <w:t>Termoeléctrica Martín del Corral Termozipa, ubicada en Zipaquirá.</w:t>
      </w:r>
    </w:p>
    <w:p w14:paraId="488D09EF" w14:textId="77777777" w:rsidR="000959B9" w:rsidRPr="00131EED" w:rsidRDefault="000959B9" w:rsidP="000959B9">
      <w:pPr>
        <w:rPr>
          <w:rFonts w:cs="Arial"/>
        </w:rPr>
      </w:pPr>
    </w:p>
    <w:p w14:paraId="65C2F368" w14:textId="77777777" w:rsidR="000959B9" w:rsidRPr="00131EED" w:rsidRDefault="000959B9" w:rsidP="000959B9">
      <w:pPr>
        <w:rPr>
          <w:rFonts w:cs="Arial"/>
        </w:rPr>
      </w:pPr>
      <w:r w:rsidRPr="00131EED">
        <w:rPr>
          <w:rFonts w:cs="Arial"/>
        </w:rPr>
        <w:t xml:space="preserve">Ante la creciente demanda de energía, para minimizar las pérdidas eléctricas por efecto Joule (calentamiento de los cables) y mejorar la cargabilidad de las líneas, se están construyendo torres para soportar voltajes de 500 KV a nivel nacional, algunas en la sabana de Bogotá, como las líneas que vienen de Hidrosogamoso. </w:t>
      </w:r>
    </w:p>
    <w:p w14:paraId="0300D7F8" w14:textId="77777777" w:rsidR="000959B9" w:rsidRPr="00131EED" w:rsidRDefault="000959B9" w:rsidP="000959B9">
      <w:pPr>
        <w:rPr>
          <w:rFonts w:cs="Arial"/>
          <w:b/>
        </w:rPr>
      </w:pPr>
    </w:p>
    <w:p w14:paraId="5269E9E2" w14:textId="77777777" w:rsidR="000959B9" w:rsidRPr="00131EED" w:rsidRDefault="000959B9" w:rsidP="000959B9">
      <w:pPr>
        <w:rPr>
          <w:rFonts w:cs="Arial"/>
        </w:rPr>
      </w:pPr>
      <w:r w:rsidRPr="00131EED">
        <w:rPr>
          <w:rFonts w:cs="Arial"/>
        </w:rPr>
        <w:t>Las líneas de transmisión tienen que cubrir largas distancias, atravesar zonas de diferente topografía, diferentes climas, diferentes regiones y la mayor parte del recorrido es en zonas rurales, por lo cual se requiere hacerlas en estructuras de celosía para soportar los esfuerzos axiales de los cables conductores. Las torres de 230 KV de doble circuito tienen anchos de servidumbre de 30 metros. Las torres de 500 KV de doble circuito tienen anchos de servidumbre de 60 metros.</w:t>
      </w:r>
    </w:p>
    <w:p w14:paraId="443E6410" w14:textId="77777777" w:rsidR="000959B9" w:rsidRPr="00131EED" w:rsidRDefault="000959B9" w:rsidP="000959B9">
      <w:pPr>
        <w:rPr>
          <w:rFonts w:cs="Arial"/>
        </w:rPr>
      </w:pPr>
    </w:p>
    <w:p w14:paraId="289185F1" w14:textId="77777777" w:rsidR="000959B9" w:rsidRPr="00131EED" w:rsidRDefault="000959B9" w:rsidP="000959B9">
      <w:pPr>
        <w:rPr>
          <w:rFonts w:cs="Arial"/>
        </w:rPr>
      </w:pPr>
      <w:r w:rsidRPr="00131EED">
        <w:rPr>
          <w:rFonts w:cs="Arial"/>
        </w:rPr>
        <w:t>El gobierno nacional a través de la UPME convoca las subastas de los proyectos de transmisión (230 KV, 500 V) que son adjudicados a empresas especializadas como son el Grupo Energía de Bogotá (antigua Empresa de Energía de Bogotá), ISA, EPM, TRANSELCA, CELSIA Colombia.</w:t>
      </w:r>
    </w:p>
    <w:p w14:paraId="71CC3701" w14:textId="77777777" w:rsidR="000959B9" w:rsidRPr="00131EED" w:rsidRDefault="000959B9" w:rsidP="000959B9">
      <w:pPr>
        <w:rPr>
          <w:rFonts w:cs="Arial"/>
        </w:rPr>
      </w:pPr>
    </w:p>
    <w:p w14:paraId="42671401" w14:textId="77777777" w:rsidR="000959B9" w:rsidRPr="00131EED" w:rsidRDefault="000959B9" w:rsidP="000959B9">
      <w:pPr>
        <w:rPr>
          <w:rFonts w:cs="Arial"/>
        </w:rPr>
      </w:pPr>
      <w:r w:rsidRPr="00131EED">
        <w:rPr>
          <w:rFonts w:cs="Arial"/>
        </w:rPr>
        <w:t xml:space="preserve">Se requiere tramitar licencia ambiental ante la Autoridad Nacional de Licencias Ambientales (ANLA) para el tendido de nuevas líneas de transmisión del Sistema de Transmisión Nacional (STN), que están definidas por el sector eléctrico como aquellas con tensiones iguales o superiores a 220 kV. (Artículo 2.2.2.3.2.2. del decreto 1076 de 2015). </w:t>
      </w:r>
    </w:p>
    <w:p w14:paraId="077740E9" w14:textId="77777777" w:rsidR="000959B9" w:rsidRPr="00131EED" w:rsidRDefault="000959B9" w:rsidP="000959B9">
      <w:pPr>
        <w:rPr>
          <w:rFonts w:cs="Arial"/>
        </w:rPr>
      </w:pPr>
    </w:p>
    <w:p w14:paraId="58C91690" w14:textId="39E872D2" w:rsidR="00453869" w:rsidRPr="00131EED" w:rsidRDefault="000959B9" w:rsidP="000959B9">
      <w:pPr>
        <w:rPr>
          <w:rFonts w:cs="Arial"/>
        </w:rPr>
      </w:pPr>
      <w:r w:rsidRPr="00131EED">
        <w:rPr>
          <w:rFonts w:cs="Arial"/>
        </w:rPr>
        <w:t xml:space="preserve">A continuación, se presenta el número de proyectos </w:t>
      </w:r>
      <w:r w:rsidR="00C64489" w:rsidRPr="00131EED">
        <w:rPr>
          <w:rFonts w:cs="Arial"/>
        </w:rPr>
        <w:t>de competencia para otorgar licencia por parte</w:t>
      </w:r>
      <w:r w:rsidRPr="00131EED">
        <w:rPr>
          <w:rFonts w:cs="Arial"/>
        </w:rPr>
        <w:t xml:space="preserve"> de la ANLA en La Sabana</w:t>
      </w:r>
      <w:bookmarkStart w:id="198" w:name="_Toc164763183"/>
      <w:r w:rsidRPr="00131EED">
        <w:rPr>
          <w:rFonts w:cs="Arial"/>
        </w:rPr>
        <w:t xml:space="preserve"> de Bogotá</w:t>
      </w:r>
      <w:r w:rsidR="00C64489" w:rsidRPr="00131EED">
        <w:rPr>
          <w:rFonts w:cs="Arial"/>
        </w:rPr>
        <w:t>.</w:t>
      </w:r>
    </w:p>
    <w:p w14:paraId="4E8DDAA0" w14:textId="77777777" w:rsidR="00C64489" w:rsidRPr="00131EED" w:rsidRDefault="00C64489" w:rsidP="00C64489">
      <w:pPr>
        <w:rPr>
          <w:rFonts w:cs="Arial"/>
        </w:rPr>
      </w:pPr>
    </w:p>
    <w:p w14:paraId="58426C45" w14:textId="7FA165C5" w:rsidR="000959B9" w:rsidRPr="00131EED" w:rsidRDefault="000959B9" w:rsidP="00701EC8">
      <w:pPr>
        <w:pStyle w:val="Caption"/>
        <w:jc w:val="center"/>
      </w:pPr>
      <w:bookmarkStart w:id="199" w:name="_Toc216468943"/>
      <w:bookmarkEnd w:id="198"/>
      <w:r w:rsidRPr="00131EED">
        <w:t xml:space="preserve">Tabla </w:t>
      </w:r>
      <w:fldSimple w:instr=" SEQ Tabla \* ARABIC ">
        <w:r w:rsidR="00CE096F">
          <w:rPr>
            <w:noProof/>
          </w:rPr>
          <w:t>33</w:t>
        </w:r>
      </w:fldSimple>
      <w:r w:rsidRPr="00131EED">
        <w:t xml:space="preserve"> Proyectos </w:t>
      </w:r>
      <w:r w:rsidR="00C64489" w:rsidRPr="00131EED">
        <w:t xml:space="preserve">con competencia para otorgar licencia por parte </w:t>
      </w:r>
      <w:r w:rsidRPr="00131EED">
        <w:t>de la ANLA en La Sabana</w:t>
      </w:r>
      <w:bookmarkEnd w:id="199"/>
    </w:p>
    <w:tbl>
      <w:tblPr>
        <w:tblStyle w:val="TableGrid"/>
        <w:tblW w:w="6996" w:type="dxa"/>
        <w:jc w:val="center"/>
        <w:tblLook w:val="0420" w:firstRow="1" w:lastRow="0" w:firstColumn="0" w:lastColumn="0" w:noHBand="0" w:noVBand="1"/>
      </w:tblPr>
      <w:tblGrid>
        <w:gridCol w:w="5522"/>
        <w:gridCol w:w="1474"/>
      </w:tblGrid>
      <w:tr w:rsidR="000959B9" w:rsidRPr="00131EED" w14:paraId="6A0E7407" w14:textId="77777777" w:rsidTr="00053167">
        <w:trPr>
          <w:trHeight w:val="192"/>
          <w:jc w:val="center"/>
        </w:trPr>
        <w:tc>
          <w:tcPr>
            <w:tcW w:w="5522" w:type="dxa"/>
            <w:hideMark/>
          </w:tcPr>
          <w:p w14:paraId="07408902" w14:textId="01817E98" w:rsidR="000959B9" w:rsidRPr="00131EED" w:rsidRDefault="00701EC8" w:rsidP="00B60DA2">
            <w:pPr>
              <w:jc w:val="center"/>
              <w:rPr>
                <w:b/>
                <w:sz w:val="20"/>
                <w:szCs w:val="20"/>
              </w:rPr>
            </w:pPr>
            <w:r w:rsidRPr="00131EED">
              <w:rPr>
                <w:b/>
                <w:sz w:val="20"/>
                <w:szCs w:val="20"/>
              </w:rPr>
              <w:t>Proyectos de líneas en seguimiento</w:t>
            </w:r>
          </w:p>
        </w:tc>
        <w:tc>
          <w:tcPr>
            <w:tcW w:w="1474" w:type="dxa"/>
            <w:hideMark/>
          </w:tcPr>
          <w:p w14:paraId="51D4C175" w14:textId="77777777" w:rsidR="000959B9" w:rsidRPr="00131EED" w:rsidRDefault="000959B9" w:rsidP="00B60DA2">
            <w:pPr>
              <w:jc w:val="center"/>
              <w:rPr>
                <w:sz w:val="20"/>
                <w:szCs w:val="20"/>
              </w:rPr>
            </w:pPr>
            <w:r w:rsidRPr="00131EED">
              <w:rPr>
                <w:sz w:val="20"/>
                <w:szCs w:val="20"/>
              </w:rPr>
              <w:t>3</w:t>
            </w:r>
          </w:p>
        </w:tc>
      </w:tr>
      <w:tr w:rsidR="000959B9" w:rsidRPr="00131EED" w14:paraId="5F7729B3" w14:textId="77777777" w:rsidTr="00053167">
        <w:trPr>
          <w:trHeight w:val="87"/>
          <w:jc w:val="center"/>
        </w:trPr>
        <w:tc>
          <w:tcPr>
            <w:tcW w:w="5522" w:type="dxa"/>
            <w:hideMark/>
          </w:tcPr>
          <w:p w14:paraId="4786182B" w14:textId="7275DEDB" w:rsidR="000959B9" w:rsidRPr="00131EED" w:rsidRDefault="00701EC8" w:rsidP="00B60DA2">
            <w:pPr>
              <w:jc w:val="center"/>
              <w:rPr>
                <w:b/>
                <w:sz w:val="20"/>
                <w:szCs w:val="20"/>
              </w:rPr>
            </w:pPr>
            <w:r w:rsidRPr="00131EED">
              <w:rPr>
                <w:b/>
                <w:sz w:val="20"/>
                <w:szCs w:val="20"/>
              </w:rPr>
              <w:t>Proyectos en modificación</w:t>
            </w:r>
            <w:r w:rsidR="000959B9" w:rsidRPr="00131EED">
              <w:rPr>
                <w:b/>
                <w:sz w:val="20"/>
                <w:szCs w:val="20"/>
              </w:rPr>
              <w:t xml:space="preserve"> (En evaluación)</w:t>
            </w:r>
          </w:p>
        </w:tc>
        <w:tc>
          <w:tcPr>
            <w:tcW w:w="1474" w:type="dxa"/>
            <w:hideMark/>
          </w:tcPr>
          <w:p w14:paraId="7E5A0B79" w14:textId="77777777" w:rsidR="000959B9" w:rsidRPr="00131EED" w:rsidRDefault="000959B9" w:rsidP="00B60DA2">
            <w:pPr>
              <w:jc w:val="center"/>
              <w:rPr>
                <w:sz w:val="20"/>
                <w:szCs w:val="20"/>
              </w:rPr>
            </w:pPr>
            <w:r w:rsidRPr="00131EED">
              <w:rPr>
                <w:sz w:val="20"/>
                <w:szCs w:val="20"/>
              </w:rPr>
              <w:t>3</w:t>
            </w:r>
          </w:p>
        </w:tc>
      </w:tr>
      <w:tr w:rsidR="000959B9" w:rsidRPr="00131EED" w14:paraId="6C760A68" w14:textId="77777777" w:rsidTr="00053167">
        <w:trPr>
          <w:trHeight w:val="192"/>
          <w:jc w:val="center"/>
        </w:trPr>
        <w:tc>
          <w:tcPr>
            <w:tcW w:w="5522" w:type="dxa"/>
            <w:hideMark/>
          </w:tcPr>
          <w:p w14:paraId="7987A4E5" w14:textId="0312BE49" w:rsidR="000959B9" w:rsidRPr="00131EED" w:rsidRDefault="00701EC8" w:rsidP="00B60DA2">
            <w:pPr>
              <w:jc w:val="center"/>
              <w:rPr>
                <w:b/>
                <w:sz w:val="20"/>
                <w:szCs w:val="20"/>
              </w:rPr>
            </w:pPr>
            <w:r w:rsidRPr="00131EED">
              <w:rPr>
                <w:b/>
                <w:sz w:val="20"/>
                <w:szCs w:val="20"/>
              </w:rPr>
              <w:t>Proyectos en modificación (suspendidos)</w:t>
            </w:r>
          </w:p>
        </w:tc>
        <w:tc>
          <w:tcPr>
            <w:tcW w:w="1474" w:type="dxa"/>
            <w:hideMark/>
          </w:tcPr>
          <w:p w14:paraId="63CDE278" w14:textId="77777777" w:rsidR="000959B9" w:rsidRPr="00131EED" w:rsidRDefault="000959B9" w:rsidP="00B60DA2">
            <w:pPr>
              <w:jc w:val="center"/>
              <w:rPr>
                <w:sz w:val="20"/>
                <w:szCs w:val="20"/>
              </w:rPr>
            </w:pPr>
            <w:r w:rsidRPr="00131EED">
              <w:rPr>
                <w:sz w:val="20"/>
                <w:szCs w:val="20"/>
              </w:rPr>
              <w:t>3</w:t>
            </w:r>
          </w:p>
        </w:tc>
      </w:tr>
      <w:tr w:rsidR="000959B9" w:rsidRPr="00131EED" w14:paraId="475D2981" w14:textId="77777777" w:rsidTr="00053167">
        <w:trPr>
          <w:trHeight w:val="192"/>
          <w:jc w:val="center"/>
        </w:trPr>
        <w:tc>
          <w:tcPr>
            <w:tcW w:w="5522" w:type="dxa"/>
            <w:hideMark/>
          </w:tcPr>
          <w:p w14:paraId="077A1871" w14:textId="77777777" w:rsidR="000959B9" w:rsidRPr="00131EED" w:rsidRDefault="000959B9" w:rsidP="00B60DA2">
            <w:pPr>
              <w:jc w:val="center"/>
              <w:rPr>
                <w:b/>
                <w:sz w:val="20"/>
                <w:szCs w:val="20"/>
              </w:rPr>
            </w:pPr>
            <w:r w:rsidRPr="00131EED">
              <w:rPr>
                <w:b/>
                <w:sz w:val="20"/>
                <w:szCs w:val="20"/>
              </w:rPr>
              <w:t>Proyectos con actuaciones sancionatorias</w:t>
            </w:r>
          </w:p>
        </w:tc>
        <w:tc>
          <w:tcPr>
            <w:tcW w:w="1474" w:type="dxa"/>
            <w:hideMark/>
          </w:tcPr>
          <w:p w14:paraId="720866D0" w14:textId="77777777" w:rsidR="000959B9" w:rsidRPr="00131EED" w:rsidRDefault="000959B9" w:rsidP="00B60DA2">
            <w:pPr>
              <w:jc w:val="center"/>
              <w:rPr>
                <w:sz w:val="20"/>
                <w:szCs w:val="20"/>
              </w:rPr>
            </w:pPr>
            <w:r w:rsidRPr="00131EED">
              <w:rPr>
                <w:sz w:val="20"/>
                <w:szCs w:val="20"/>
              </w:rPr>
              <w:t>1</w:t>
            </w:r>
          </w:p>
        </w:tc>
      </w:tr>
      <w:tr w:rsidR="000959B9" w:rsidRPr="00131EED" w14:paraId="6D895435" w14:textId="77777777" w:rsidTr="00053167">
        <w:trPr>
          <w:trHeight w:val="57"/>
          <w:jc w:val="center"/>
        </w:trPr>
        <w:tc>
          <w:tcPr>
            <w:tcW w:w="5522" w:type="dxa"/>
            <w:hideMark/>
          </w:tcPr>
          <w:p w14:paraId="5C0E2216" w14:textId="77777777" w:rsidR="000959B9" w:rsidRPr="00131EED" w:rsidRDefault="000959B9" w:rsidP="00B60DA2">
            <w:pPr>
              <w:jc w:val="center"/>
              <w:rPr>
                <w:b/>
                <w:sz w:val="20"/>
                <w:szCs w:val="20"/>
              </w:rPr>
            </w:pPr>
            <w:r w:rsidRPr="00131EED">
              <w:rPr>
                <w:b/>
                <w:sz w:val="20"/>
                <w:szCs w:val="20"/>
              </w:rPr>
              <w:t>Proyectos con alertas judiciales</w:t>
            </w:r>
          </w:p>
        </w:tc>
        <w:tc>
          <w:tcPr>
            <w:tcW w:w="1474" w:type="dxa"/>
            <w:hideMark/>
          </w:tcPr>
          <w:p w14:paraId="253E993C" w14:textId="77777777" w:rsidR="000959B9" w:rsidRPr="00131EED" w:rsidRDefault="000959B9" w:rsidP="00B60DA2">
            <w:pPr>
              <w:jc w:val="center"/>
              <w:rPr>
                <w:sz w:val="20"/>
                <w:szCs w:val="20"/>
              </w:rPr>
            </w:pPr>
            <w:r w:rsidRPr="00131EED">
              <w:rPr>
                <w:sz w:val="20"/>
                <w:szCs w:val="20"/>
              </w:rPr>
              <w:t>1</w:t>
            </w:r>
          </w:p>
        </w:tc>
      </w:tr>
    </w:tbl>
    <w:p w14:paraId="4870650C" w14:textId="46E60E44" w:rsidR="000959B9" w:rsidRPr="00131EED" w:rsidRDefault="00701EC8" w:rsidP="00701EC8">
      <w:pPr>
        <w:jc w:val="center"/>
        <w:rPr>
          <w:rFonts w:cs="Arial"/>
          <w:sz w:val="20"/>
          <w:szCs w:val="20"/>
        </w:rPr>
      </w:pPr>
      <w:r w:rsidRPr="00131EED">
        <w:rPr>
          <w:rFonts w:cs="Arial"/>
          <w:sz w:val="20"/>
          <w:szCs w:val="20"/>
        </w:rPr>
        <w:t>Fuente: ANLA, 2024</w:t>
      </w:r>
    </w:p>
    <w:p w14:paraId="155895BE" w14:textId="77777777" w:rsidR="00453869" w:rsidRPr="00131EED" w:rsidRDefault="00453869" w:rsidP="000959B9">
      <w:pPr>
        <w:rPr>
          <w:rFonts w:cs="Arial"/>
        </w:rPr>
      </w:pPr>
    </w:p>
    <w:p w14:paraId="1AE15780" w14:textId="77777777" w:rsidR="000959B9" w:rsidRPr="00131EED" w:rsidRDefault="000959B9" w:rsidP="000959B9">
      <w:pPr>
        <w:rPr>
          <w:rFonts w:cs="Arial"/>
        </w:rPr>
      </w:pPr>
      <w:r w:rsidRPr="00131EED">
        <w:rPr>
          <w:rFonts w:cs="Arial"/>
        </w:rPr>
        <w:t>La demanda de energía eléctrica del país a nivel de usuario final se concentra en las principales ciudades del país, impulsada básicamente por el crecimiento de hogares, comercio, y núcleos de desarrollo industrial, como son los casos de Bogotá, Medellín, Barranquilla y Cali.</w:t>
      </w:r>
    </w:p>
    <w:p w14:paraId="51E690AE" w14:textId="00785602" w:rsidR="000959B9" w:rsidRPr="00131EED" w:rsidRDefault="000959B9" w:rsidP="000959B9">
      <w:pPr>
        <w:rPr>
          <w:rFonts w:cs="Arial"/>
        </w:rPr>
      </w:pPr>
    </w:p>
    <w:p w14:paraId="1549527B" w14:textId="4D36F9C4" w:rsidR="000959B9" w:rsidRPr="00131EED" w:rsidRDefault="000959B9" w:rsidP="000959B9">
      <w:pPr>
        <w:rPr>
          <w:rFonts w:cs="Arial"/>
        </w:rPr>
      </w:pPr>
      <w:r w:rsidRPr="00131EED">
        <w:rPr>
          <w:rFonts w:cs="Arial"/>
        </w:rPr>
        <w:t xml:space="preserve">En el caso del tendido de nuevas líneas del Sistema de Transmisión Regional (STR), definidas por el sector eléctrico como aquellas líneas con tensiones iguales o superiores a 50 KV y menores a 220 KV, la competencia del licenciamiento ambiental es de las corporaciones autónomas regionales con jurisdicción en la zona del proyecto (artículo 2.2.2.3.2.3. de Decreto 1076 de 2015); tanto en los casos de STN como de STR, el desarrollador debe incluir en el estudio de Impacto Ambiental un proceso de participación pública con los actores del área de influencia. Los desarrolladores de los proyectos deben cumplir con la norma eléctrica Colombia RETIE (Reglamento Técnico de Instalaciones Eléctricas, última versión actualizada mediante la Resolución 40117 del 2 de abril de 2024) para garantizar la calidad de los componentes y de las instalaciones, la protección a la vida y humana y consideraciones ambientales. </w:t>
      </w:r>
    </w:p>
    <w:p w14:paraId="38EE0868" w14:textId="23883C68" w:rsidR="000959B9" w:rsidRPr="00131EED" w:rsidRDefault="000959B9" w:rsidP="000959B9">
      <w:pPr>
        <w:rPr>
          <w:rFonts w:cs="Arial"/>
        </w:rPr>
      </w:pPr>
    </w:p>
    <w:p w14:paraId="1EC561D0" w14:textId="77777777" w:rsidR="000959B9" w:rsidRPr="00131EED" w:rsidRDefault="000959B9" w:rsidP="000959B9">
      <w:pPr>
        <w:rPr>
          <w:rFonts w:cs="Arial"/>
        </w:rPr>
      </w:pPr>
      <w:r w:rsidRPr="00131EED">
        <w:rPr>
          <w:rFonts w:cs="Arial"/>
        </w:rPr>
        <w:t>A continuación, se presentan los trazados de proyectos de líneas de transmisión, que se encuentran en ejecución en La Sabana de Bogotá:</w:t>
      </w:r>
    </w:p>
    <w:p w14:paraId="15462ED9" w14:textId="3C8225AB" w:rsidR="000959B9" w:rsidRPr="00131EED" w:rsidRDefault="000959B9" w:rsidP="000959B9">
      <w:pPr>
        <w:pStyle w:val="ListParagraph"/>
        <w:spacing w:after="0"/>
        <w:rPr>
          <w:rFonts w:ascii="Baskerville" w:hAnsi="Baskerville" w:cs="Arial"/>
          <w:sz w:val="24"/>
          <w:szCs w:val="24"/>
        </w:rPr>
      </w:pPr>
    </w:p>
    <w:p w14:paraId="407FFCD8" w14:textId="77777777" w:rsidR="000959B9" w:rsidRPr="00131EED" w:rsidRDefault="000959B9" w:rsidP="00410194">
      <w:pPr>
        <w:pStyle w:val="ListParagraph"/>
        <w:numPr>
          <w:ilvl w:val="0"/>
          <w:numId w:val="11"/>
        </w:numPr>
        <w:spacing w:after="0"/>
        <w:rPr>
          <w:rFonts w:cs="Arial"/>
          <w:sz w:val="24"/>
          <w:szCs w:val="24"/>
        </w:rPr>
      </w:pPr>
      <w:r w:rsidRPr="00131EED">
        <w:rPr>
          <w:rFonts w:cs="Arial"/>
          <w:sz w:val="24"/>
          <w:szCs w:val="24"/>
        </w:rPr>
        <w:t>Proyecto "Segundo refuerzo de red en el área oriental: Línea de transmisión La Virginia – Nueva Esperanza 500 kV - UPME 07-2016"</w:t>
      </w:r>
    </w:p>
    <w:p w14:paraId="2BF7E3DE" w14:textId="77777777" w:rsidR="00453869" w:rsidRPr="00131EED" w:rsidRDefault="00453869" w:rsidP="00453869">
      <w:pPr>
        <w:pStyle w:val="ListParagraph"/>
        <w:spacing w:after="0"/>
        <w:rPr>
          <w:rFonts w:cs="Arial"/>
          <w:sz w:val="24"/>
          <w:szCs w:val="24"/>
        </w:rPr>
      </w:pPr>
    </w:p>
    <w:p w14:paraId="6CD35F71" w14:textId="77777777" w:rsidR="004044A3" w:rsidRPr="00131EED" w:rsidRDefault="004044A3" w:rsidP="00453869">
      <w:pPr>
        <w:pStyle w:val="ListParagraph"/>
        <w:spacing w:after="0"/>
        <w:rPr>
          <w:rFonts w:cs="Arial"/>
          <w:sz w:val="24"/>
          <w:szCs w:val="24"/>
        </w:rPr>
      </w:pPr>
    </w:p>
    <w:p w14:paraId="443E93BE" w14:textId="77777777" w:rsidR="004044A3" w:rsidRPr="00131EED" w:rsidRDefault="004044A3" w:rsidP="00453869">
      <w:pPr>
        <w:pStyle w:val="ListParagraph"/>
        <w:spacing w:after="0"/>
        <w:rPr>
          <w:rFonts w:cs="Arial"/>
          <w:sz w:val="24"/>
          <w:szCs w:val="24"/>
        </w:rPr>
      </w:pPr>
    </w:p>
    <w:p w14:paraId="6C3097F7" w14:textId="56312841" w:rsidR="000D507E" w:rsidRPr="00131EED" w:rsidRDefault="004044A3" w:rsidP="004044A3">
      <w:pPr>
        <w:pStyle w:val="Caption"/>
        <w:jc w:val="center"/>
      </w:pPr>
      <w:bookmarkStart w:id="200" w:name="_Toc216468813"/>
      <w:r w:rsidRPr="00131EED">
        <w:t xml:space="preserve">Ilustración </w:t>
      </w:r>
      <w:fldSimple w:instr=" SEQ Ilustración \* ARABIC ">
        <w:r w:rsidR="00CE096F">
          <w:rPr>
            <w:noProof/>
          </w:rPr>
          <w:t>48</w:t>
        </w:r>
      </w:fldSimple>
      <w:r w:rsidRPr="00131EED">
        <w:t>. Proyecto "Segundo refuerzo de red en el área oriental: Línea de transmisión La Virginia – Nueva Esperanza 500 kV - UPME 07-2016</w:t>
      </w:r>
      <w:bookmarkEnd w:id="200"/>
    </w:p>
    <w:p w14:paraId="5EDB8D53" w14:textId="3326A264" w:rsidR="004044A3" w:rsidRPr="00131EED" w:rsidRDefault="000959B9" w:rsidP="000D507E">
      <w:pPr>
        <w:jc w:val="center"/>
      </w:pPr>
      <w:r w:rsidRPr="00131EED">
        <w:rPr>
          <w:noProof/>
        </w:rPr>
        <w:drawing>
          <wp:inline distT="0" distB="0" distL="0" distR="0" wp14:anchorId="2FE0BCD9" wp14:editId="6F2981DE">
            <wp:extent cx="3533775" cy="2235875"/>
            <wp:effectExtent l="0" t="0" r="0" b="0"/>
            <wp:docPr id="1555120830" name="Imagen 1" descr="A map of a rou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120830" name="Imagen 1" descr="A map of a route&#10;&#10;AI-generated content may be incorrect."/>
                    <pic:cNvPicPr/>
                  </pic:nvPicPr>
                  <pic:blipFill>
                    <a:blip r:embed="rId89"/>
                    <a:stretch>
                      <a:fillRect/>
                    </a:stretch>
                  </pic:blipFill>
                  <pic:spPr>
                    <a:xfrm>
                      <a:off x="0" y="0"/>
                      <a:ext cx="3545604" cy="2243359"/>
                    </a:xfrm>
                    <a:prstGeom prst="rect">
                      <a:avLst/>
                    </a:prstGeom>
                  </pic:spPr>
                </pic:pic>
              </a:graphicData>
            </a:graphic>
          </wp:inline>
        </w:drawing>
      </w:r>
    </w:p>
    <w:p w14:paraId="56843AB0" w14:textId="37B04588" w:rsidR="000959B9" w:rsidRPr="00131EED" w:rsidRDefault="004044A3" w:rsidP="004044A3">
      <w:pPr>
        <w:pStyle w:val="ListParagraph"/>
        <w:spacing w:after="0"/>
        <w:jc w:val="center"/>
        <w:rPr>
          <w:rFonts w:ascii="Baskerville" w:hAnsi="Baskerville" w:cs="Arial"/>
          <w:sz w:val="20"/>
          <w:szCs w:val="20"/>
        </w:rPr>
      </w:pPr>
      <w:r w:rsidRPr="00131EED">
        <w:rPr>
          <w:rFonts w:ascii="Baskerville" w:hAnsi="Baskerville" w:cs="Arial"/>
          <w:sz w:val="20"/>
          <w:szCs w:val="20"/>
        </w:rPr>
        <w:t>Fuente: ANLA (2022)</w:t>
      </w:r>
    </w:p>
    <w:p w14:paraId="68809433" w14:textId="77777777" w:rsidR="004044A3" w:rsidRPr="00131EED" w:rsidRDefault="004044A3" w:rsidP="000959B9">
      <w:pPr>
        <w:pStyle w:val="ListParagraph"/>
        <w:spacing w:after="0"/>
        <w:rPr>
          <w:rFonts w:ascii="Baskerville" w:hAnsi="Baskerville" w:cs="Arial"/>
          <w:sz w:val="24"/>
          <w:szCs w:val="24"/>
        </w:rPr>
      </w:pPr>
    </w:p>
    <w:p w14:paraId="29CC627B" w14:textId="77777777" w:rsidR="000959B9" w:rsidRPr="00131EED" w:rsidRDefault="000959B9" w:rsidP="00410194">
      <w:pPr>
        <w:pStyle w:val="ListParagraph"/>
        <w:numPr>
          <w:ilvl w:val="0"/>
          <w:numId w:val="11"/>
        </w:numPr>
        <w:spacing w:after="0"/>
        <w:rPr>
          <w:rFonts w:cs="Arial"/>
          <w:sz w:val="24"/>
          <w:szCs w:val="24"/>
        </w:rPr>
      </w:pPr>
      <w:r w:rsidRPr="00131EED">
        <w:rPr>
          <w:rFonts w:cs="Arial"/>
          <w:sz w:val="24"/>
          <w:szCs w:val="24"/>
        </w:rPr>
        <w:t>UPME 01 de 2013 (Subestación Norte 500 KV y Líneas de Transmisión Norte - Tequendama 500 KV y Norte Sogamoso 500 kV) – como primer refuerzo de red 500 KV del Área Oriental"</w:t>
      </w:r>
    </w:p>
    <w:p w14:paraId="61AE17D2" w14:textId="77777777" w:rsidR="004044A3" w:rsidRPr="00131EED" w:rsidRDefault="004044A3" w:rsidP="004044A3">
      <w:pPr>
        <w:pStyle w:val="ListParagraph"/>
        <w:spacing w:after="0"/>
        <w:rPr>
          <w:rFonts w:cs="Arial"/>
          <w:sz w:val="24"/>
          <w:szCs w:val="24"/>
        </w:rPr>
      </w:pPr>
    </w:p>
    <w:p w14:paraId="3417816D" w14:textId="2826BD69" w:rsidR="00453869" w:rsidRPr="00131EED" w:rsidRDefault="004044A3" w:rsidP="004044A3">
      <w:pPr>
        <w:pStyle w:val="Caption"/>
        <w:ind w:left="360"/>
        <w:jc w:val="center"/>
        <w:rPr>
          <w:rFonts w:ascii="Baskerville" w:hAnsi="Baskerville"/>
        </w:rPr>
      </w:pPr>
      <w:bookmarkStart w:id="201" w:name="_Toc216468814"/>
      <w:r w:rsidRPr="00131EED">
        <w:t xml:space="preserve">Ilustración </w:t>
      </w:r>
      <w:fldSimple w:instr=" SEQ Ilustración \* ARABIC ">
        <w:r w:rsidR="00CE096F">
          <w:rPr>
            <w:noProof/>
          </w:rPr>
          <w:t>49</w:t>
        </w:r>
      </w:fldSimple>
      <w:r w:rsidRPr="00131EED">
        <w:t>. -</w:t>
      </w:r>
      <w:r w:rsidRPr="00131EED">
        <w:tab/>
        <w:t>UPME 01 de 2013 (Subestación Norte 500 KV y Líneas de Transmisión Norte - Tequendama 500 KV y Norte Sogamoso 500 kV) – como primer refuerzo de red 500 KV del Área Oriental</w:t>
      </w:r>
      <w:bookmarkEnd w:id="201"/>
    </w:p>
    <w:p w14:paraId="386690C0" w14:textId="77777777" w:rsidR="004044A3" w:rsidRPr="00131EED" w:rsidRDefault="000959B9" w:rsidP="004044A3">
      <w:pPr>
        <w:keepNext/>
        <w:jc w:val="center"/>
      </w:pPr>
      <w:r w:rsidRPr="00131EED">
        <w:rPr>
          <w:rFonts w:ascii="Baskerville" w:hAnsi="Baskerville" w:cs="Arial"/>
          <w:noProof/>
          <w:lang w:eastAsia="en-US"/>
        </w:rPr>
        <w:drawing>
          <wp:inline distT="0" distB="0" distL="0" distR="0" wp14:anchorId="78298FF4" wp14:editId="62F5D792">
            <wp:extent cx="3857625" cy="2537843"/>
            <wp:effectExtent l="0" t="0" r="0" b="0"/>
            <wp:docPr id="9" name="Imagen 8" descr="A map of a large area with a green line&#10;&#10;AI-generated content may be incorrect.">
              <a:extLst xmlns:a="http://schemas.openxmlformats.org/drawingml/2006/main">
                <a:ext uri="{FF2B5EF4-FFF2-40B4-BE49-F238E27FC236}">
                  <a16:creationId xmlns:a16="http://schemas.microsoft.com/office/drawing/2014/main" id="{80244B3C-A67F-A8C9-2464-B6CE8F1B17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descr="A map of a large area with a green line&#10;&#10;AI-generated content may be incorrect.">
                      <a:extLst>
                        <a:ext uri="{FF2B5EF4-FFF2-40B4-BE49-F238E27FC236}">
                          <a16:creationId xmlns:a16="http://schemas.microsoft.com/office/drawing/2014/main" id="{80244B3C-A67F-A8C9-2464-B6CE8F1B172B}"/>
                        </a:ext>
                      </a:extLst>
                    </pic:cNvPr>
                    <pic:cNvPicPr>
                      <a:picLocks noChangeAspect="1"/>
                    </pic:cNvPicPr>
                  </pic:nvPicPr>
                  <pic:blipFill>
                    <a:blip r:embed="rId90"/>
                    <a:stretch>
                      <a:fillRect/>
                    </a:stretch>
                  </pic:blipFill>
                  <pic:spPr>
                    <a:xfrm>
                      <a:off x="0" y="0"/>
                      <a:ext cx="3883036" cy="2554561"/>
                    </a:xfrm>
                    <a:prstGeom prst="rect">
                      <a:avLst/>
                    </a:prstGeom>
                  </pic:spPr>
                </pic:pic>
              </a:graphicData>
            </a:graphic>
          </wp:inline>
        </w:drawing>
      </w:r>
    </w:p>
    <w:p w14:paraId="011A04C8" w14:textId="77777777" w:rsidR="004044A3" w:rsidRPr="00131EED" w:rsidRDefault="004044A3" w:rsidP="004044A3">
      <w:pPr>
        <w:ind w:left="360"/>
        <w:jc w:val="center"/>
        <w:rPr>
          <w:rFonts w:ascii="Baskerville" w:hAnsi="Baskerville" w:cs="Arial"/>
          <w:sz w:val="20"/>
          <w:szCs w:val="20"/>
        </w:rPr>
      </w:pPr>
      <w:r w:rsidRPr="00131EED">
        <w:rPr>
          <w:rFonts w:ascii="Baskerville" w:hAnsi="Baskerville" w:cs="Arial"/>
          <w:sz w:val="20"/>
          <w:szCs w:val="20"/>
        </w:rPr>
        <w:t>Fuente: ANLA (2022)</w:t>
      </w:r>
    </w:p>
    <w:p w14:paraId="37252756" w14:textId="77777777" w:rsidR="004044A3" w:rsidRPr="00131EED" w:rsidRDefault="004044A3" w:rsidP="004044A3">
      <w:pPr>
        <w:pStyle w:val="ListParagraph"/>
        <w:spacing w:after="0"/>
        <w:rPr>
          <w:rFonts w:cs="Arial"/>
          <w:sz w:val="24"/>
          <w:szCs w:val="24"/>
        </w:rPr>
      </w:pPr>
    </w:p>
    <w:p w14:paraId="6CFE4BFD" w14:textId="766C632A" w:rsidR="000959B9" w:rsidRPr="00131EED" w:rsidRDefault="000959B9" w:rsidP="00410194">
      <w:pPr>
        <w:pStyle w:val="ListParagraph"/>
        <w:numPr>
          <w:ilvl w:val="0"/>
          <w:numId w:val="11"/>
        </w:numPr>
        <w:spacing w:after="0"/>
        <w:rPr>
          <w:rFonts w:cs="Arial"/>
          <w:sz w:val="24"/>
          <w:szCs w:val="24"/>
        </w:rPr>
      </w:pPr>
      <w:r w:rsidRPr="00131EED">
        <w:rPr>
          <w:rFonts w:cs="Arial"/>
          <w:sz w:val="24"/>
          <w:szCs w:val="24"/>
        </w:rPr>
        <w:t>UPME 01 de 2013 (Subestación Norte 500 KV y Líneas de Transmisión Norte - Tequendama 500 KV y Norte Sogamoso 500 kV) – como primer refuerzo de red 500 KV del Área Oriental"</w:t>
      </w:r>
    </w:p>
    <w:p w14:paraId="47496E8B" w14:textId="77777777" w:rsidR="00453869" w:rsidRPr="00131EED" w:rsidRDefault="00453869" w:rsidP="00453869">
      <w:pPr>
        <w:pStyle w:val="ListParagraph"/>
        <w:spacing w:after="0"/>
        <w:rPr>
          <w:rFonts w:cs="Arial"/>
          <w:sz w:val="24"/>
          <w:szCs w:val="24"/>
        </w:rPr>
      </w:pPr>
    </w:p>
    <w:p w14:paraId="13070C94" w14:textId="71CB6F8A" w:rsidR="004044A3" w:rsidRPr="00131EED" w:rsidRDefault="004044A3" w:rsidP="004044A3">
      <w:pPr>
        <w:pStyle w:val="Caption"/>
        <w:jc w:val="center"/>
        <w:rPr>
          <w:rFonts w:ascii="Baskerville" w:hAnsi="Baskerville"/>
        </w:rPr>
      </w:pPr>
      <w:bookmarkStart w:id="202" w:name="_Toc216468815"/>
      <w:r w:rsidRPr="00131EED">
        <w:t xml:space="preserve">Ilustración </w:t>
      </w:r>
      <w:fldSimple w:instr=" SEQ Ilustración \* ARABIC ">
        <w:r w:rsidR="00CE096F">
          <w:rPr>
            <w:noProof/>
          </w:rPr>
          <w:t>50</w:t>
        </w:r>
      </w:fldSimple>
      <w:r w:rsidRPr="00131EED">
        <w:t>. -</w:t>
      </w:r>
      <w:r w:rsidRPr="00131EED">
        <w:tab/>
        <w:t>UPME 01 de 2013 (Subestación Norte 500 KV y Líneas de Transmisión Norte - Tequendama 500 KV y Norte Sogamoso 500 kV) – como primer refuerzo de red 500 KV del Área Oriental.</w:t>
      </w:r>
      <w:bookmarkEnd w:id="202"/>
    </w:p>
    <w:p w14:paraId="2D316F3E" w14:textId="77777777" w:rsidR="004044A3" w:rsidRPr="00131EED" w:rsidRDefault="000959B9" w:rsidP="004044A3">
      <w:pPr>
        <w:keepNext/>
        <w:jc w:val="center"/>
      </w:pPr>
      <w:r w:rsidRPr="00131EED">
        <w:rPr>
          <w:rFonts w:ascii="Baskerville" w:hAnsi="Baskerville" w:cs="Arial"/>
          <w:noProof/>
          <w:lang w:eastAsia="en-US"/>
        </w:rPr>
        <w:drawing>
          <wp:inline distT="0" distB="0" distL="0" distR="0" wp14:anchorId="0DE59CB0" wp14:editId="25792575">
            <wp:extent cx="3876675" cy="2705100"/>
            <wp:effectExtent l="0" t="0" r="9525" b="0"/>
            <wp:docPr id="3" name="Imagen 10" descr="A map of a country&#10;&#10;AI-generated content may be incorrect.">
              <a:extLst xmlns:a="http://schemas.openxmlformats.org/drawingml/2006/main">
                <a:ext uri="{FF2B5EF4-FFF2-40B4-BE49-F238E27FC236}">
                  <a16:creationId xmlns:a16="http://schemas.microsoft.com/office/drawing/2014/main" id="{A8ED86C9-82A7-0B1D-14E4-67F8237EBF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10" descr="A map of a country&#10;&#10;AI-generated content may be incorrect.">
                      <a:extLst>
                        <a:ext uri="{FF2B5EF4-FFF2-40B4-BE49-F238E27FC236}">
                          <a16:creationId xmlns:a16="http://schemas.microsoft.com/office/drawing/2014/main" id="{A8ED86C9-82A7-0B1D-14E4-67F8237EBFCF}"/>
                        </a:ext>
                      </a:extLst>
                    </pic:cNvPr>
                    <pic:cNvPicPr>
                      <a:picLocks noChangeAspect="1"/>
                    </pic:cNvPicPr>
                  </pic:nvPicPr>
                  <pic:blipFill>
                    <a:blip r:embed="rId91"/>
                    <a:stretch>
                      <a:fillRect/>
                    </a:stretch>
                  </pic:blipFill>
                  <pic:spPr>
                    <a:xfrm>
                      <a:off x="0" y="0"/>
                      <a:ext cx="3895917" cy="2718527"/>
                    </a:xfrm>
                    <a:prstGeom prst="rect">
                      <a:avLst/>
                    </a:prstGeom>
                  </pic:spPr>
                </pic:pic>
              </a:graphicData>
            </a:graphic>
          </wp:inline>
        </w:drawing>
      </w:r>
    </w:p>
    <w:p w14:paraId="3E6717BD" w14:textId="77777777" w:rsidR="004044A3" w:rsidRPr="00131EED" w:rsidRDefault="004044A3" w:rsidP="004044A3">
      <w:pPr>
        <w:ind w:left="360"/>
        <w:jc w:val="center"/>
        <w:rPr>
          <w:rFonts w:ascii="Baskerville" w:hAnsi="Baskerville" w:cs="Arial"/>
          <w:sz w:val="20"/>
          <w:szCs w:val="20"/>
        </w:rPr>
      </w:pPr>
      <w:r w:rsidRPr="00131EED">
        <w:rPr>
          <w:rFonts w:ascii="Baskerville" w:hAnsi="Baskerville" w:cs="Arial"/>
          <w:sz w:val="20"/>
          <w:szCs w:val="20"/>
        </w:rPr>
        <w:t>Fuente: ANLA (2022)</w:t>
      </w:r>
    </w:p>
    <w:p w14:paraId="377763DF" w14:textId="77777777" w:rsidR="00453869" w:rsidRPr="00131EED" w:rsidRDefault="00453869" w:rsidP="00453869">
      <w:pPr>
        <w:pStyle w:val="ListParagraph"/>
        <w:spacing w:after="0"/>
        <w:rPr>
          <w:rFonts w:cs="Arial"/>
          <w:sz w:val="24"/>
          <w:szCs w:val="24"/>
        </w:rPr>
      </w:pPr>
    </w:p>
    <w:p w14:paraId="4F5A260B" w14:textId="77777777" w:rsidR="000959B9" w:rsidRPr="00131EED" w:rsidRDefault="000959B9" w:rsidP="00410194">
      <w:pPr>
        <w:pStyle w:val="ListParagraph"/>
        <w:numPr>
          <w:ilvl w:val="0"/>
          <w:numId w:val="11"/>
        </w:numPr>
        <w:spacing w:after="0"/>
        <w:rPr>
          <w:rFonts w:cs="Arial"/>
          <w:sz w:val="24"/>
          <w:szCs w:val="24"/>
        </w:rPr>
      </w:pPr>
      <w:r w:rsidRPr="00131EED">
        <w:rPr>
          <w:rFonts w:cs="Arial"/>
          <w:sz w:val="24"/>
          <w:szCs w:val="24"/>
        </w:rPr>
        <w:t>UPME 01 de 2013 (Subestación Norte 500 KV y Líneas de Transmisión Norte - Tequendama 500 KV y Norte Sogamoso 500 kV) – como primer refuerzo de red 500 KV del Área Oriental"</w:t>
      </w:r>
    </w:p>
    <w:p w14:paraId="65BFD930" w14:textId="77777777" w:rsidR="00453869" w:rsidRPr="00131EED" w:rsidRDefault="00453869" w:rsidP="00453869">
      <w:pPr>
        <w:pStyle w:val="ListParagraph"/>
        <w:spacing w:after="0"/>
        <w:rPr>
          <w:rFonts w:cs="Arial"/>
          <w:sz w:val="24"/>
          <w:szCs w:val="24"/>
        </w:rPr>
      </w:pPr>
    </w:p>
    <w:p w14:paraId="47C43D24" w14:textId="77777777" w:rsidR="004044A3" w:rsidRPr="00131EED" w:rsidRDefault="004044A3" w:rsidP="004044A3">
      <w:pPr>
        <w:pStyle w:val="Caption"/>
        <w:jc w:val="center"/>
      </w:pPr>
    </w:p>
    <w:p w14:paraId="60EB2D85" w14:textId="77777777" w:rsidR="004044A3" w:rsidRPr="00131EED" w:rsidRDefault="004044A3" w:rsidP="004044A3">
      <w:pPr>
        <w:pStyle w:val="Caption"/>
        <w:jc w:val="center"/>
      </w:pPr>
    </w:p>
    <w:p w14:paraId="2068233F" w14:textId="77777777" w:rsidR="004044A3" w:rsidRPr="00131EED" w:rsidRDefault="004044A3" w:rsidP="004044A3">
      <w:pPr>
        <w:pStyle w:val="Caption"/>
        <w:jc w:val="center"/>
      </w:pPr>
    </w:p>
    <w:p w14:paraId="303740FF" w14:textId="77777777" w:rsidR="004044A3" w:rsidRPr="00131EED" w:rsidRDefault="004044A3" w:rsidP="004044A3">
      <w:pPr>
        <w:pStyle w:val="Caption"/>
        <w:jc w:val="center"/>
      </w:pPr>
    </w:p>
    <w:p w14:paraId="742C26D4" w14:textId="77777777" w:rsidR="004044A3" w:rsidRPr="00131EED" w:rsidRDefault="004044A3" w:rsidP="004044A3">
      <w:pPr>
        <w:pStyle w:val="Caption"/>
        <w:jc w:val="center"/>
      </w:pPr>
    </w:p>
    <w:p w14:paraId="47FB40EA" w14:textId="77777777" w:rsidR="004044A3" w:rsidRPr="00131EED" w:rsidRDefault="004044A3" w:rsidP="004044A3">
      <w:pPr>
        <w:pStyle w:val="Caption"/>
        <w:jc w:val="center"/>
      </w:pPr>
    </w:p>
    <w:p w14:paraId="5D859998" w14:textId="77777777" w:rsidR="004044A3" w:rsidRPr="00131EED" w:rsidRDefault="004044A3" w:rsidP="004044A3">
      <w:pPr>
        <w:pStyle w:val="Caption"/>
        <w:jc w:val="center"/>
      </w:pPr>
    </w:p>
    <w:p w14:paraId="798F7A4C" w14:textId="77777777" w:rsidR="004044A3" w:rsidRPr="00131EED" w:rsidRDefault="004044A3" w:rsidP="004044A3">
      <w:pPr>
        <w:pStyle w:val="Caption"/>
        <w:jc w:val="center"/>
      </w:pPr>
    </w:p>
    <w:p w14:paraId="74AF72AF" w14:textId="77777777" w:rsidR="004044A3" w:rsidRPr="00131EED" w:rsidRDefault="004044A3" w:rsidP="004044A3">
      <w:pPr>
        <w:pStyle w:val="Caption"/>
        <w:jc w:val="center"/>
      </w:pPr>
    </w:p>
    <w:p w14:paraId="7F09ECC2" w14:textId="77777777" w:rsidR="004044A3" w:rsidRPr="00131EED" w:rsidRDefault="004044A3" w:rsidP="004044A3">
      <w:pPr>
        <w:pStyle w:val="Caption"/>
        <w:jc w:val="center"/>
      </w:pPr>
    </w:p>
    <w:p w14:paraId="649F0A8A" w14:textId="1311E0E4" w:rsidR="004044A3" w:rsidRPr="00131EED" w:rsidRDefault="004044A3" w:rsidP="004044A3">
      <w:pPr>
        <w:pStyle w:val="Caption"/>
        <w:jc w:val="center"/>
        <w:rPr>
          <w:rFonts w:ascii="Baskerville" w:hAnsi="Baskerville"/>
        </w:rPr>
      </w:pPr>
      <w:bookmarkStart w:id="203" w:name="_Toc216468816"/>
      <w:r w:rsidRPr="00131EED">
        <w:t xml:space="preserve">Ilustración </w:t>
      </w:r>
      <w:fldSimple w:instr=" SEQ Ilustración \* ARABIC ">
        <w:r w:rsidR="00CE096F">
          <w:rPr>
            <w:noProof/>
          </w:rPr>
          <w:t>51</w:t>
        </w:r>
      </w:fldSimple>
      <w:r w:rsidRPr="00131EED">
        <w:t>. UPME 01 de 2013 (Subestación Norte 500 KV y Líneas de Transmisión Norte - Tequendama 500 KV y Norte Sogamoso 500 kV) – como primer refuerzo de red 500 KV del Área Oriental</w:t>
      </w:r>
      <w:bookmarkEnd w:id="203"/>
    </w:p>
    <w:p w14:paraId="2175EF4A" w14:textId="77777777" w:rsidR="004044A3" w:rsidRPr="00131EED" w:rsidRDefault="000959B9" w:rsidP="004044A3">
      <w:pPr>
        <w:keepNext/>
        <w:jc w:val="center"/>
      </w:pPr>
      <w:r w:rsidRPr="00131EED">
        <w:rPr>
          <w:rFonts w:ascii="Baskerville" w:hAnsi="Baskerville" w:cs="Arial"/>
          <w:noProof/>
          <w:lang w:eastAsia="en-US"/>
        </w:rPr>
        <w:drawing>
          <wp:inline distT="0" distB="0" distL="0" distR="0" wp14:anchorId="1699D6ED" wp14:editId="1CD49F89">
            <wp:extent cx="3871852" cy="2990850"/>
            <wp:effectExtent l="0" t="0" r="0" b="0"/>
            <wp:docPr id="1104284465" name="Imagen 8" descr="A map of the different areas of the land&#10;&#10;AI-generated content may be incorrect.">
              <a:extLst xmlns:a="http://schemas.openxmlformats.org/drawingml/2006/main">
                <a:ext uri="{FF2B5EF4-FFF2-40B4-BE49-F238E27FC236}">
                  <a16:creationId xmlns:a16="http://schemas.microsoft.com/office/drawing/2014/main" id="{B0DF021E-87F9-921D-B40C-A996C9F1CC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284465" name="Imagen 8" descr="A map of the different areas of the land&#10;&#10;AI-generated content may be incorrect.">
                      <a:extLst>
                        <a:ext uri="{FF2B5EF4-FFF2-40B4-BE49-F238E27FC236}">
                          <a16:creationId xmlns:a16="http://schemas.microsoft.com/office/drawing/2014/main" id="{B0DF021E-87F9-921D-B40C-A996C9F1CCAB}"/>
                        </a:ext>
                      </a:extLst>
                    </pic:cNvPr>
                    <pic:cNvPicPr>
                      <a:picLocks noChangeAspect="1"/>
                    </pic:cNvPicPr>
                  </pic:nvPicPr>
                  <pic:blipFill>
                    <a:blip r:embed="rId92"/>
                    <a:stretch>
                      <a:fillRect/>
                    </a:stretch>
                  </pic:blipFill>
                  <pic:spPr>
                    <a:xfrm>
                      <a:off x="0" y="0"/>
                      <a:ext cx="3894632" cy="3008446"/>
                    </a:xfrm>
                    <a:prstGeom prst="rect">
                      <a:avLst/>
                    </a:prstGeom>
                  </pic:spPr>
                </pic:pic>
              </a:graphicData>
            </a:graphic>
          </wp:inline>
        </w:drawing>
      </w:r>
    </w:p>
    <w:p w14:paraId="5E2E2B48" w14:textId="77777777" w:rsidR="004044A3" w:rsidRPr="00131EED" w:rsidRDefault="004044A3" w:rsidP="004044A3">
      <w:pPr>
        <w:keepNext/>
        <w:jc w:val="center"/>
        <w:rPr>
          <w:sz w:val="20"/>
          <w:szCs w:val="20"/>
        </w:rPr>
      </w:pPr>
      <w:r w:rsidRPr="00131EED">
        <w:rPr>
          <w:sz w:val="20"/>
          <w:szCs w:val="20"/>
        </w:rPr>
        <w:t>Fuente: ANLA (2022)</w:t>
      </w:r>
    </w:p>
    <w:p w14:paraId="3BB25F75" w14:textId="26148E91" w:rsidR="004044A3" w:rsidRPr="00131EED" w:rsidRDefault="004044A3" w:rsidP="004044A3">
      <w:pPr>
        <w:keepNext/>
        <w:jc w:val="center"/>
      </w:pPr>
    </w:p>
    <w:p w14:paraId="5EB53386" w14:textId="11DDA90E" w:rsidR="000959B9" w:rsidRPr="00131EED" w:rsidRDefault="00F467F6" w:rsidP="000959B9">
      <w:pPr>
        <w:rPr>
          <w:rFonts w:cs="Arial"/>
        </w:rPr>
      </w:pPr>
      <w:r w:rsidRPr="00131EED">
        <w:rPr>
          <w:rFonts w:cs="Arial"/>
        </w:rPr>
        <w:t>Los</w:t>
      </w:r>
      <w:r w:rsidR="000959B9" w:rsidRPr="00131EED">
        <w:rPr>
          <w:rFonts w:cs="Arial"/>
        </w:rPr>
        <w:t xml:space="preserve"> impactos potenciales de las líneas de transmisión, más significativos</w:t>
      </w:r>
      <w:r w:rsidRPr="00131EED">
        <w:rPr>
          <w:rFonts w:cs="Arial"/>
        </w:rPr>
        <w:t xml:space="preserve"> son</w:t>
      </w:r>
      <w:r w:rsidR="000959B9" w:rsidRPr="00131EED">
        <w:rPr>
          <w:rFonts w:cs="Arial"/>
        </w:rPr>
        <w:t>:</w:t>
      </w:r>
    </w:p>
    <w:p w14:paraId="688678E3" w14:textId="103451CE" w:rsidR="000959B9" w:rsidRPr="00131EED" w:rsidRDefault="000959B9" w:rsidP="000959B9">
      <w:pPr>
        <w:rPr>
          <w:rFonts w:cs="Arial"/>
        </w:rPr>
      </w:pPr>
    </w:p>
    <w:p w14:paraId="09D89B2C" w14:textId="77777777" w:rsidR="000959B9" w:rsidRPr="00131EED" w:rsidRDefault="000959B9" w:rsidP="00410194">
      <w:pPr>
        <w:pStyle w:val="ListParagraph"/>
        <w:numPr>
          <w:ilvl w:val="0"/>
          <w:numId w:val="8"/>
        </w:numPr>
        <w:spacing w:after="0"/>
        <w:rPr>
          <w:rFonts w:cs="Arial"/>
          <w:sz w:val="24"/>
          <w:szCs w:val="24"/>
        </w:rPr>
      </w:pPr>
      <w:r w:rsidRPr="00131EED">
        <w:rPr>
          <w:rFonts w:cs="Arial"/>
          <w:sz w:val="24"/>
          <w:szCs w:val="24"/>
        </w:rPr>
        <w:t xml:space="preserve">Alteración a la cobertura vegetal, </w:t>
      </w:r>
    </w:p>
    <w:p w14:paraId="55C5A061" w14:textId="77777777" w:rsidR="000959B9" w:rsidRPr="00131EED" w:rsidRDefault="000959B9" w:rsidP="00410194">
      <w:pPr>
        <w:pStyle w:val="ListParagraph"/>
        <w:numPr>
          <w:ilvl w:val="0"/>
          <w:numId w:val="8"/>
        </w:numPr>
        <w:spacing w:after="0"/>
        <w:rPr>
          <w:rFonts w:cs="Arial"/>
          <w:sz w:val="24"/>
          <w:szCs w:val="24"/>
        </w:rPr>
      </w:pPr>
      <w:r w:rsidRPr="00131EED">
        <w:rPr>
          <w:rFonts w:cs="Arial"/>
          <w:sz w:val="24"/>
          <w:szCs w:val="24"/>
        </w:rPr>
        <w:t>Generación y/o alteración de conflictos sociales</w:t>
      </w:r>
    </w:p>
    <w:p w14:paraId="19A68853" w14:textId="77777777" w:rsidR="000959B9" w:rsidRPr="00131EED" w:rsidRDefault="000959B9" w:rsidP="00410194">
      <w:pPr>
        <w:pStyle w:val="ListParagraph"/>
        <w:numPr>
          <w:ilvl w:val="0"/>
          <w:numId w:val="8"/>
        </w:numPr>
        <w:spacing w:after="0"/>
        <w:rPr>
          <w:rFonts w:cs="Arial"/>
          <w:sz w:val="24"/>
          <w:szCs w:val="24"/>
        </w:rPr>
      </w:pPr>
      <w:r w:rsidRPr="00131EED">
        <w:rPr>
          <w:rFonts w:cs="Arial"/>
          <w:sz w:val="24"/>
          <w:szCs w:val="24"/>
        </w:rPr>
        <w:t>Alteración en la percepción visual del paisaje.</w:t>
      </w:r>
    </w:p>
    <w:p w14:paraId="24C89EE3" w14:textId="42330A40" w:rsidR="000959B9" w:rsidRPr="00131EED" w:rsidRDefault="000959B9" w:rsidP="000959B9">
      <w:pPr>
        <w:rPr>
          <w:rFonts w:cs="Arial"/>
        </w:rPr>
      </w:pPr>
    </w:p>
    <w:p w14:paraId="3F842FEC" w14:textId="77777777" w:rsidR="000959B9" w:rsidRPr="00131EED" w:rsidRDefault="000959B9" w:rsidP="000959B9">
      <w:pPr>
        <w:rPr>
          <w:rFonts w:cs="Arial"/>
        </w:rPr>
      </w:pPr>
      <w:r w:rsidRPr="00131EED">
        <w:rPr>
          <w:rFonts w:cs="Arial"/>
        </w:rPr>
        <w:t>En el caso de la Sabana de Bogotá, se observó que la ejecución de estos proyectos ha generado conflictos con la población local, donde se manifiesta por parte de dichas comunidades la afectación a cuerpos de agua, y los impactos en las sustracciones de las reservas protectoras, como la cuenca alta del río Bogotá, reserva protectora que fue alinderada y pasó de 214.000 Ha a 94.000 Ha, que fue objeto de una sentencia del Consejo de Estado en 2014 para su protección; sin embargo, la Resolución 1527 de 2012 establece que en estas zonas solo pueden permitirse actividades de bajo impacto.</w:t>
      </w:r>
    </w:p>
    <w:p w14:paraId="4D2F592F" w14:textId="3B1D1EDA" w:rsidR="000959B9" w:rsidRPr="00131EED" w:rsidRDefault="000959B9" w:rsidP="000959B9">
      <w:pPr>
        <w:rPr>
          <w:rFonts w:cs="Arial"/>
        </w:rPr>
      </w:pPr>
    </w:p>
    <w:p w14:paraId="2C7D41DB" w14:textId="77777777" w:rsidR="000959B9" w:rsidRPr="00131EED" w:rsidRDefault="000959B9" w:rsidP="000959B9">
      <w:pPr>
        <w:rPr>
          <w:rFonts w:cs="Arial"/>
        </w:rPr>
      </w:pPr>
      <w:r w:rsidRPr="00131EED">
        <w:rPr>
          <w:rFonts w:cs="Arial"/>
        </w:rPr>
        <w:t>Dichas comunidades manifiestan que no se han incluido correctamente en la identificación de trazados para estos proyectos las Áreas del SINAP – sistema nacional de áreas protegidas, Áreas del SPNN – sistema de parques nacionales, Áreas de Ecosistemas estratégicos, Áreas de interés socio cultural, Áreas complementarias de conservación y Desarrollo sostenible, Áreas de restauración, conservación y preservación ambiental en los POMCA, Áreas designadas como suelos de protección en los POT.</w:t>
      </w:r>
    </w:p>
    <w:p w14:paraId="21BBB0AE" w14:textId="3875C6DF" w:rsidR="000959B9" w:rsidRPr="00131EED" w:rsidRDefault="000959B9" w:rsidP="000959B9">
      <w:pPr>
        <w:rPr>
          <w:rFonts w:cs="Arial"/>
        </w:rPr>
      </w:pPr>
    </w:p>
    <w:p w14:paraId="6252D73A" w14:textId="4B9F41AE" w:rsidR="00F467F6" w:rsidRPr="00131EED" w:rsidRDefault="00F467F6" w:rsidP="00F467F6">
      <w:pPr>
        <w:rPr>
          <w:rFonts w:cs="Arial"/>
        </w:rPr>
      </w:pPr>
      <w:r w:rsidRPr="00131EED">
        <w:rPr>
          <w:rFonts w:cs="Arial"/>
        </w:rPr>
        <w:t>Por lo anterior, es fundamental en la etapa de diseño y por parte de la Autoridad Ambiental se exija un Diagnóstico Ambiental de Alternativas donde sea acotado las posibles rutas de trazado evitando pasar por áreas sensibles ambientalmente, bien para que sean excluidas o se tengan en cuenta las restricciones en áreas como:</w:t>
      </w:r>
    </w:p>
    <w:p w14:paraId="1F17C708" w14:textId="673576B9" w:rsidR="00F467F6" w:rsidRPr="00131EED" w:rsidRDefault="00F467F6" w:rsidP="00F467F6">
      <w:pPr>
        <w:rPr>
          <w:rFonts w:cs="Arial"/>
        </w:rPr>
      </w:pPr>
    </w:p>
    <w:p w14:paraId="6E3B3427" w14:textId="77777777" w:rsidR="00F467F6" w:rsidRPr="00131EED" w:rsidRDefault="00F467F6" w:rsidP="00F467F6">
      <w:pPr>
        <w:rPr>
          <w:rFonts w:cs="Arial"/>
        </w:rPr>
      </w:pPr>
      <w:r w:rsidRPr="00131EED">
        <w:rPr>
          <w:rFonts w:cs="Arial"/>
        </w:rPr>
        <w:t>Áreas del SINAP – sistema nacional de áreas protegidas</w:t>
      </w:r>
    </w:p>
    <w:p w14:paraId="704CA97C" w14:textId="77777777" w:rsidR="00F467F6" w:rsidRPr="00131EED" w:rsidRDefault="00F467F6" w:rsidP="00F467F6">
      <w:pPr>
        <w:rPr>
          <w:rFonts w:cs="Arial"/>
        </w:rPr>
      </w:pPr>
      <w:r w:rsidRPr="00131EED">
        <w:rPr>
          <w:rFonts w:cs="Arial"/>
        </w:rPr>
        <w:t>Áreas del SPNN – sistema de parques nacionales</w:t>
      </w:r>
    </w:p>
    <w:p w14:paraId="480EFAD9" w14:textId="77777777" w:rsidR="00F467F6" w:rsidRPr="00131EED" w:rsidRDefault="00F467F6" w:rsidP="00F467F6">
      <w:pPr>
        <w:rPr>
          <w:rFonts w:cs="Arial"/>
        </w:rPr>
      </w:pPr>
      <w:r w:rsidRPr="00131EED">
        <w:rPr>
          <w:rFonts w:cs="Arial"/>
        </w:rPr>
        <w:t>Áreas de Ecosistemas estratégicos</w:t>
      </w:r>
    </w:p>
    <w:p w14:paraId="01BA39F7" w14:textId="77777777" w:rsidR="00F467F6" w:rsidRPr="00131EED" w:rsidRDefault="00F467F6" w:rsidP="00F467F6">
      <w:pPr>
        <w:rPr>
          <w:rFonts w:cs="Arial"/>
        </w:rPr>
      </w:pPr>
      <w:r w:rsidRPr="00131EED">
        <w:rPr>
          <w:rFonts w:cs="Arial"/>
        </w:rPr>
        <w:t>Áreas de interés socio cultural</w:t>
      </w:r>
    </w:p>
    <w:p w14:paraId="604E781E" w14:textId="77777777" w:rsidR="00F467F6" w:rsidRPr="00131EED" w:rsidRDefault="00F467F6" w:rsidP="00F467F6">
      <w:pPr>
        <w:rPr>
          <w:rFonts w:cs="Arial"/>
        </w:rPr>
      </w:pPr>
      <w:r w:rsidRPr="00131EED">
        <w:rPr>
          <w:rFonts w:cs="Arial"/>
        </w:rPr>
        <w:t>Áreas complementarias de conservación y Desarrollo sostenible</w:t>
      </w:r>
    </w:p>
    <w:p w14:paraId="3D630A5E" w14:textId="77777777" w:rsidR="00F467F6" w:rsidRPr="00131EED" w:rsidRDefault="00F467F6" w:rsidP="00F467F6">
      <w:pPr>
        <w:rPr>
          <w:rFonts w:cs="Arial"/>
        </w:rPr>
      </w:pPr>
      <w:r w:rsidRPr="00131EED">
        <w:rPr>
          <w:rFonts w:cs="Arial"/>
        </w:rPr>
        <w:t>Áreas de conservación y preservación ambiental en los POMCA</w:t>
      </w:r>
    </w:p>
    <w:p w14:paraId="1B917F1C" w14:textId="77777777" w:rsidR="00F467F6" w:rsidRPr="00131EED" w:rsidRDefault="00F467F6" w:rsidP="00F467F6">
      <w:pPr>
        <w:rPr>
          <w:rFonts w:cs="Arial"/>
        </w:rPr>
      </w:pPr>
      <w:r w:rsidRPr="00131EED">
        <w:rPr>
          <w:rFonts w:cs="Arial"/>
        </w:rPr>
        <w:t>Áreas designadas como suelos de protección en los POT</w:t>
      </w:r>
    </w:p>
    <w:p w14:paraId="37C6092C" w14:textId="091875C5" w:rsidR="00F467F6" w:rsidRPr="00131EED" w:rsidRDefault="00F467F6" w:rsidP="00F467F6">
      <w:pPr>
        <w:rPr>
          <w:rFonts w:cs="Arial"/>
        </w:rPr>
      </w:pPr>
    </w:p>
    <w:p w14:paraId="326D7AA1" w14:textId="4B081787" w:rsidR="00F467F6" w:rsidRPr="00131EED" w:rsidRDefault="00F467F6" w:rsidP="00F467F6">
      <w:pPr>
        <w:rPr>
          <w:rFonts w:cs="Arial"/>
        </w:rPr>
      </w:pPr>
      <w:r w:rsidRPr="00131EED">
        <w:rPr>
          <w:rFonts w:cs="Arial"/>
        </w:rPr>
        <w:t xml:space="preserve">Dentro de las medidas para minimizar los impactos generados por este tipo de proyectos esta: </w:t>
      </w:r>
    </w:p>
    <w:p w14:paraId="107B6193" w14:textId="0A6AC2E3" w:rsidR="00F467F6" w:rsidRPr="00131EED" w:rsidRDefault="00F467F6" w:rsidP="00F467F6">
      <w:pPr>
        <w:rPr>
          <w:rFonts w:cs="Arial"/>
        </w:rPr>
      </w:pPr>
    </w:p>
    <w:p w14:paraId="0A7ACA73" w14:textId="77777777" w:rsidR="00F467F6" w:rsidRPr="00131EED" w:rsidRDefault="00F467F6" w:rsidP="00410194">
      <w:pPr>
        <w:pStyle w:val="ListParagraph"/>
        <w:numPr>
          <w:ilvl w:val="0"/>
          <w:numId w:val="34"/>
        </w:numPr>
        <w:rPr>
          <w:rFonts w:cs="Arial"/>
          <w:sz w:val="24"/>
          <w:szCs w:val="24"/>
        </w:rPr>
      </w:pPr>
      <w:r w:rsidRPr="00131EED">
        <w:rPr>
          <w:rFonts w:cs="Arial"/>
          <w:sz w:val="24"/>
          <w:szCs w:val="24"/>
        </w:rPr>
        <w:t>Compensar el área intervenida con unos factores definidos en el Decreto 1076 de 2015 para reforestación de árboles y especies forestales, como ocurre por ejemplo con el alinderamiento de la reserva protectora del rio Bogotá en su cuenca alta y media que pasa por jurisdicción de municipios por donde necesariamente tiene que pasar el trazado para que las líneas lleguen a Bogotá (Tabio, Tenjo, Cogua, Nemocón, Zipaquirá, Gachancipá, Tocancipá, Sesquilé, Chocontá, Suesca, Funza, Madrid, Mosquera, Soacha, San Antonio del Tequendama, Tausa, Subachoque, San Francisco).</w:t>
      </w:r>
    </w:p>
    <w:p w14:paraId="23B54844" w14:textId="3CC33A68" w:rsidR="00F467F6" w:rsidRPr="00131EED" w:rsidRDefault="00F467F6" w:rsidP="00F467F6">
      <w:pPr>
        <w:rPr>
          <w:rFonts w:cs="Arial"/>
        </w:rPr>
      </w:pPr>
    </w:p>
    <w:p w14:paraId="7CA20BCD" w14:textId="77777777" w:rsidR="00F467F6" w:rsidRPr="00131EED" w:rsidRDefault="00F467F6" w:rsidP="00F467F6">
      <w:pPr>
        <w:pStyle w:val="ListParagraph"/>
        <w:rPr>
          <w:rFonts w:cs="Arial"/>
          <w:sz w:val="24"/>
          <w:szCs w:val="24"/>
        </w:rPr>
      </w:pPr>
      <w:r w:rsidRPr="00131EED">
        <w:rPr>
          <w:rFonts w:cs="Arial"/>
          <w:sz w:val="24"/>
          <w:szCs w:val="24"/>
        </w:rPr>
        <w:t xml:space="preserve">Por tal razón, la planificación previa a la construcción del proyecto es fundamental, en la medida en que se socialice con la población el proyecto, se pueden definir de forma temprana restricciones y trazados alternos para evitar conflictos con las comunidades.  Esta sería una buena práctica para evitar que la Declaratoria de Utilidad Pública (DUP) que emite mediante Resolución motivada por interés general el Ministerio de Minas y Energía se haga sin haber tenido la debida socialización y concertación.  </w:t>
      </w:r>
    </w:p>
    <w:p w14:paraId="6FABB307" w14:textId="77777777" w:rsidR="00F467F6" w:rsidRPr="00131EED" w:rsidRDefault="00F467F6" w:rsidP="00410194">
      <w:pPr>
        <w:pStyle w:val="ListParagraph"/>
        <w:numPr>
          <w:ilvl w:val="0"/>
          <w:numId w:val="34"/>
        </w:numPr>
        <w:rPr>
          <w:rFonts w:cs="Arial"/>
          <w:sz w:val="24"/>
          <w:szCs w:val="24"/>
        </w:rPr>
      </w:pPr>
      <w:r w:rsidRPr="00131EED">
        <w:rPr>
          <w:rFonts w:cs="Arial"/>
          <w:sz w:val="24"/>
          <w:szCs w:val="24"/>
        </w:rPr>
        <w:t xml:space="preserve">Zonificar espacialmente el territorio para determinar corredores factibles para las ampliaciones del sistema eléctrico. Por ejemplo, instalar torres de doble circuito para tener la posibilidad de ampliación. El sector eléctrico debe procurar elaborar una planificación de ordenamiento espacial para validar corredores factibles para el trazado de líneas de transmisión.  </w:t>
      </w:r>
    </w:p>
    <w:p w14:paraId="2900019D" w14:textId="77777777" w:rsidR="00F467F6" w:rsidRPr="00131EED" w:rsidRDefault="00F467F6" w:rsidP="00410194">
      <w:pPr>
        <w:pStyle w:val="ListParagraph"/>
        <w:numPr>
          <w:ilvl w:val="0"/>
          <w:numId w:val="34"/>
        </w:numPr>
        <w:rPr>
          <w:rFonts w:cs="Arial"/>
          <w:sz w:val="24"/>
          <w:szCs w:val="24"/>
        </w:rPr>
      </w:pPr>
      <w:r w:rsidRPr="00131EED">
        <w:rPr>
          <w:rFonts w:cs="Arial"/>
          <w:sz w:val="24"/>
          <w:szCs w:val="24"/>
        </w:rPr>
        <w:t>Construir las torres en zonas paralelas a la infraestructura vial y férrea existente para evitar o minimizar conflictos con las comunidades por intervención de predios privados o de interés especial. Así mismo, en lo posible seleccionar rutas que minimicen la necesidad de construir nuevos caminos de acceso para el transporte de la infraestructura del proyecto (anclajes, estructuras, cables, aisladores, maquinaria, vehículos, malacates, etc.).</w:t>
      </w:r>
    </w:p>
    <w:p w14:paraId="004AB76F" w14:textId="77777777" w:rsidR="00F467F6" w:rsidRPr="00131EED" w:rsidRDefault="00F467F6" w:rsidP="00410194">
      <w:pPr>
        <w:pStyle w:val="ListParagraph"/>
        <w:numPr>
          <w:ilvl w:val="0"/>
          <w:numId w:val="34"/>
        </w:numPr>
        <w:rPr>
          <w:rFonts w:cs="Arial"/>
          <w:sz w:val="24"/>
          <w:szCs w:val="24"/>
        </w:rPr>
      </w:pPr>
      <w:r w:rsidRPr="00131EED">
        <w:rPr>
          <w:rFonts w:cs="Arial"/>
          <w:sz w:val="24"/>
          <w:szCs w:val="24"/>
        </w:rPr>
        <w:t>Prever métodos constructivos mínimamente invasivos; en lo posible que no requieran nuevos accesos viales, que contemplen pasos de fauna para conectividad de hábitats, instalar manualmente los cables o con drones o helicópteros.</w:t>
      </w:r>
    </w:p>
    <w:p w14:paraId="4D6BD72B" w14:textId="77777777" w:rsidR="00F467F6" w:rsidRPr="00131EED" w:rsidRDefault="00F467F6" w:rsidP="00410194">
      <w:pPr>
        <w:pStyle w:val="ListParagraph"/>
        <w:numPr>
          <w:ilvl w:val="0"/>
          <w:numId w:val="34"/>
        </w:numPr>
        <w:rPr>
          <w:rFonts w:cs="Arial"/>
          <w:sz w:val="24"/>
          <w:szCs w:val="24"/>
        </w:rPr>
      </w:pPr>
      <w:r w:rsidRPr="00131EED">
        <w:rPr>
          <w:rFonts w:cs="Arial"/>
          <w:sz w:val="24"/>
          <w:szCs w:val="24"/>
        </w:rPr>
        <w:t>En donde no se puedan minimizar los impactos, establecer concertadamente compensaciones. Se recomienda en muchos casos que la servidumbre incluya no solo el avalúo predial sino las afectaciones a la cobertura vegetal y este valor se concerté en el valor a indemnizar. Se recomienda hablar directamente con cada propietario y tratar de llegar a acuerdos.</w:t>
      </w:r>
    </w:p>
    <w:p w14:paraId="1FF70DED" w14:textId="216108C9" w:rsidR="00F467F6" w:rsidRPr="00131EED" w:rsidRDefault="00F467F6" w:rsidP="00410194">
      <w:pPr>
        <w:pStyle w:val="ListParagraph"/>
        <w:numPr>
          <w:ilvl w:val="0"/>
          <w:numId w:val="34"/>
        </w:numPr>
        <w:rPr>
          <w:rFonts w:cs="Arial"/>
          <w:sz w:val="24"/>
          <w:szCs w:val="24"/>
        </w:rPr>
      </w:pPr>
      <w:r w:rsidRPr="00131EED">
        <w:rPr>
          <w:rFonts w:cs="Arial"/>
          <w:sz w:val="24"/>
          <w:szCs w:val="24"/>
        </w:rPr>
        <w:t>Socializar y prever métodos de detección y monitoreo de incendios y articulación de planes de emergencia con la población durante la vida útil del proyecto.</w:t>
      </w:r>
    </w:p>
    <w:p w14:paraId="229ACB22" w14:textId="6462C0F3" w:rsidR="00F467F6" w:rsidRPr="00131EED" w:rsidRDefault="00F467F6" w:rsidP="00F467F6">
      <w:pPr>
        <w:ind w:left="360"/>
        <w:rPr>
          <w:rFonts w:cs="Arial"/>
        </w:rPr>
      </w:pPr>
      <w:r w:rsidRPr="00131EED">
        <w:rPr>
          <w:rFonts w:cs="Arial"/>
        </w:rPr>
        <w:t>Para lo anterior, es fundamental realizar una Evaluación Ambiental Estratégica de este tipo de proyectos, que le de herramientas a las Entidades (tanto ambientales como energéticas), para determinar los escenarios actuales y prospectivos con ba</w:t>
      </w:r>
      <w:r w:rsidR="31FF3051" w:rsidRPr="00131EED">
        <w:rPr>
          <w:rFonts w:cs="Arial"/>
        </w:rPr>
        <w:t>s</w:t>
      </w:r>
      <w:r w:rsidRPr="00131EED">
        <w:rPr>
          <w:rFonts w:cs="Arial"/>
        </w:rPr>
        <w:t xml:space="preserve">e a un análisis del estado actual de los proyectos y de </w:t>
      </w:r>
      <w:r w:rsidR="30C296A8" w:rsidRPr="00131EED">
        <w:rPr>
          <w:rFonts w:cs="Arial"/>
        </w:rPr>
        <w:t>l</w:t>
      </w:r>
      <w:r w:rsidRPr="00131EED">
        <w:rPr>
          <w:rFonts w:cs="Arial"/>
        </w:rPr>
        <w:t>os t</w:t>
      </w:r>
      <w:r w:rsidR="2298EAD5" w:rsidRPr="00131EED">
        <w:rPr>
          <w:rFonts w:cs="Arial"/>
        </w:rPr>
        <w:t>r</w:t>
      </w:r>
      <w:r w:rsidRPr="00131EED">
        <w:rPr>
          <w:rFonts w:cs="Arial"/>
        </w:rPr>
        <w:t xml:space="preserve">azados existentes </w:t>
      </w:r>
      <w:r w:rsidR="4A761B57" w:rsidRPr="00131EED">
        <w:rPr>
          <w:rFonts w:cs="Arial"/>
        </w:rPr>
        <w:t xml:space="preserve">con respecto </w:t>
      </w:r>
      <w:r w:rsidRPr="00131EED">
        <w:rPr>
          <w:rFonts w:cs="Arial"/>
        </w:rPr>
        <w:t xml:space="preserve">las afectaciones a los </w:t>
      </w:r>
      <w:r w:rsidR="333DD98F" w:rsidRPr="00131EED">
        <w:rPr>
          <w:rFonts w:cs="Arial"/>
        </w:rPr>
        <w:t>ecosistemas</w:t>
      </w:r>
      <w:r w:rsidRPr="00131EED">
        <w:rPr>
          <w:rFonts w:cs="Arial"/>
        </w:rPr>
        <w:t xml:space="preserve"> altamente sens</w:t>
      </w:r>
      <w:r w:rsidR="28C0FC08" w:rsidRPr="00131EED">
        <w:rPr>
          <w:rFonts w:cs="Arial"/>
        </w:rPr>
        <w:t>i</w:t>
      </w:r>
      <w:r w:rsidRPr="00131EED">
        <w:rPr>
          <w:rFonts w:cs="Arial"/>
        </w:rPr>
        <w:t>b</w:t>
      </w:r>
      <w:r w:rsidR="5E2DA669" w:rsidRPr="00131EED">
        <w:rPr>
          <w:rFonts w:cs="Arial"/>
        </w:rPr>
        <w:t>l</w:t>
      </w:r>
      <w:r w:rsidRPr="00131EED">
        <w:rPr>
          <w:rFonts w:cs="Arial"/>
        </w:rPr>
        <w:t xml:space="preserve">es. Posibilita </w:t>
      </w:r>
      <w:r w:rsidR="04C5EB6D" w:rsidRPr="00131EED">
        <w:rPr>
          <w:rFonts w:cs="Arial"/>
        </w:rPr>
        <w:t>y genera</w:t>
      </w:r>
      <w:r w:rsidRPr="00131EED">
        <w:rPr>
          <w:rFonts w:cs="Arial"/>
        </w:rPr>
        <w:t xml:space="preserve"> una prevención a la generación de impactos ambientales y a los retrasos en la ejecución de los proyectos de interés nacional o </w:t>
      </w:r>
      <w:r w:rsidR="11199F10" w:rsidRPr="00131EED">
        <w:rPr>
          <w:rFonts w:cs="Arial"/>
        </w:rPr>
        <w:t>regional</w:t>
      </w:r>
      <w:r w:rsidRPr="00131EED">
        <w:rPr>
          <w:rFonts w:cs="Arial"/>
        </w:rPr>
        <w:t>, por los trámites ambientales demorados a pasar por estos ecosistemas.</w:t>
      </w:r>
    </w:p>
    <w:p w14:paraId="2BDDAA27" w14:textId="50A4C0BE" w:rsidR="000959B9" w:rsidRPr="00131EED" w:rsidRDefault="000959B9" w:rsidP="000959B9">
      <w:pPr>
        <w:rPr>
          <w:rFonts w:cs="Arial"/>
        </w:rPr>
      </w:pPr>
    </w:p>
    <w:p w14:paraId="34532B7F" w14:textId="0DAF1C44" w:rsidR="000959B9" w:rsidRPr="00131EED" w:rsidRDefault="000959B9" w:rsidP="00410194">
      <w:pPr>
        <w:pStyle w:val="Heading3"/>
        <w:numPr>
          <w:ilvl w:val="2"/>
          <w:numId w:val="31"/>
        </w:numPr>
      </w:pPr>
      <w:bookmarkStart w:id="204" w:name="_Toc216468716"/>
      <w:r w:rsidRPr="00131EED">
        <w:t>Árbol de conflictos por minería en la Sabana</w:t>
      </w:r>
      <w:bookmarkEnd w:id="204"/>
      <w:r w:rsidRPr="00131EED">
        <w:t xml:space="preserve"> </w:t>
      </w:r>
    </w:p>
    <w:p w14:paraId="75B87CA0" w14:textId="77777777" w:rsidR="000959B9" w:rsidRPr="00131EED" w:rsidRDefault="000959B9" w:rsidP="00B346D4"/>
    <w:p w14:paraId="41920FFE" w14:textId="77777777" w:rsidR="000959B9" w:rsidRPr="00131EED" w:rsidRDefault="000959B9" w:rsidP="000959B9">
      <w:pPr>
        <w:rPr>
          <w:rFonts w:cs="Arial"/>
        </w:rPr>
      </w:pPr>
      <w:r w:rsidRPr="00131EED">
        <w:rPr>
          <w:rFonts w:cs="Arial"/>
        </w:rPr>
        <w:t xml:space="preserve">En la siguiente figura se presenta el árbol de conflictos mediante el cual se sintetizan los conflictos identificados sobre la actividad minera en la Sabana de Bogotá y sus manifestaciones en el territorio. </w:t>
      </w:r>
    </w:p>
    <w:p w14:paraId="1B7C6582" w14:textId="77777777" w:rsidR="000959B9" w:rsidRPr="00131EED" w:rsidRDefault="000959B9" w:rsidP="000959B9">
      <w:pPr>
        <w:rPr>
          <w:rFonts w:ascii="Baskerville" w:hAnsi="Baskerville" w:cs="Arial"/>
        </w:rPr>
      </w:pPr>
    </w:p>
    <w:p w14:paraId="22BA3DA7" w14:textId="77777777" w:rsidR="004044A3" w:rsidRPr="00131EED" w:rsidRDefault="004044A3" w:rsidP="003B05C4">
      <w:pPr>
        <w:pStyle w:val="Caption"/>
        <w:jc w:val="center"/>
      </w:pPr>
    </w:p>
    <w:p w14:paraId="58E655B1" w14:textId="77777777" w:rsidR="004044A3" w:rsidRPr="00131EED" w:rsidRDefault="004044A3" w:rsidP="003B05C4">
      <w:pPr>
        <w:pStyle w:val="Caption"/>
        <w:jc w:val="center"/>
      </w:pPr>
    </w:p>
    <w:p w14:paraId="18281200" w14:textId="77777777" w:rsidR="004044A3" w:rsidRPr="00131EED" w:rsidRDefault="004044A3" w:rsidP="003B05C4">
      <w:pPr>
        <w:pStyle w:val="Caption"/>
        <w:jc w:val="center"/>
      </w:pPr>
    </w:p>
    <w:p w14:paraId="4BC6663A" w14:textId="77777777" w:rsidR="004044A3" w:rsidRPr="00131EED" w:rsidRDefault="004044A3" w:rsidP="003B05C4">
      <w:pPr>
        <w:pStyle w:val="Caption"/>
        <w:jc w:val="center"/>
      </w:pPr>
    </w:p>
    <w:p w14:paraId="34B2E9EA" w14:textId="77777777" w:rsidR="004044A3" w:rsidRPr="00131EED" w:rsidRDefault="004044A3" w:rsidP="003B05C4">
      <w:pPr>
        <w:pStyle w:val="Caption"/>
        <w:jc w:val="center"/>
      </w:pPr>
    </w:p>
    <w:p w14:paraId="6564EE49" w14:textId="77777777" w:rsidR="004044A3" w:rsidRPr="00131EED" w:rsidRDefault="004044A3" w:rsidP="003B05C4">
      <w:pPr>
        <w:pStyle w:val="Caption"/>
        <w:jc w:val="center"/>
      </w:pPr>
    </w:p>
    <w:p w14:paraId="3238FB56" w14:textId="77777777" w:rsidR="004044A3" w:rsidRPr="00131EED" w:rsidRDefault="004044A3" w:rsidP="003B05C4">
      <w:pPr>
        <w:pStyle w:val="Caption"/>
        <w:jc w:val="center"/>
      </w:pPr>
    </w:p>
    <w:p w14:paraId="0AB1B13C" w14:textId="77777777" w:rsidR="004044A3" w:rsidRPr="00131EED" w:rsidRDefault="004044A3" w:rsidP="003B05C4">
      <w:pPr>
        <w:pStyle w:val="Caption"/>
        <w:jc w:val="center"/>
      </w:pPr>
    </w:p>
    <w:p w14:paraId="4FFC4341" w14:textId="77777777" w:rsidR="004044A3" w:rsidRPr="00131EED" w:rsidRDefault="004044A3" w:rsidP="003B05C4">
      <w:pPr>
        <w:pStyle w:val="Caption"/>
        <w:jc w:val="center"/>
      </w:pPr>
    </w:p>
    <w:p w14:paraId="55361EF3" w14:textId="77777777" w:rsidR="004044A3" w:rsidRPr="00131EED" w:rsidRDefault="004044A3" w:rsidP="003B05C4">
      <w:pPr>
        <w:pStyle w:val="Caption"/>
        <w:jc w:val="center"/>
      </w:pPr>
    </w:p>
    <w:p w14:paraId="097ED4E7" w14:textId="77777777" w:rsidR="004044A3" w:rsidRPr="00131EED" w:rsidRDefault="004044A3" w:rsidP="003B05C4">
      <w:pPr>
        <w:pStyle w:val="Caption"/>
        <w:jc w:val="center"/>
      </w:pPr>
    </w:p>
    <w:p w14:paraId="0E4EE4BA" w14:textId="56B4B0CB" w:rsidR="000959B9" w:rsidRPr="00131EED" w:rsidRDefault="00144777" w:rsidP="003B05C4">
      <w:pPr>
        <w:pStyle w:val="Caption"/>
        <w:jc w:val="center"/>
      </w:pPr>
      <w:bookmarkStart w:id="205" w:name="_Toc216468817"/>
      <w:r w:rsidRPr="00131EED">
        <w:t xml:space="preserve">Ilustración </w:t>
      </w:r>
      <w:r w:rsidRPr="00131EED">
        <w:fldChar w:fldCharType="begin"/>
      </w:r>
      <w:r w:rsidRPr="00131EED">
        <w:instrText>SEQ Ilustración \* ARABIC</w:instrText>
      </w:r>
      <w:r w:rsidRPr="00131EED">
        <w:fldChar w:fldCharType="separate"/>
      </w:r>
      <w:r w:rsidR="00CE096F">
        <w:rPr>
          <w:noProof/>
        </w:rPr>
        <w:t>52</w:t>
      </w:r>
      <w:r w:rsidRPr="00131EED">
        <w:fldChar w:fldCharType="end"/>
      </w:r>
      <w:r w:rsidRPr="00131EED">
        <w:t xml:space="preserve"> árbol de problemas sobre la </w:t>
      </w:r>
      <w:r w:rsidR="003B05C4" w:rsidRPr="00131EED">
        <w:t>minería</w:t>
      </w:r>
      <w:r w:rsidRPr="00131EED">
        <w:t xml:space="preserve"> en la Sabana de </w:t>
      </w:r>
      <w:r w:rsidR="003B05C4" w:rsidRPr="00131EED">
        <w:t>Bogotá</w:t>
      </w:r>
      <w:bookmarkEnd w:id="205"/>
    </w:p>
    <w:p w14:paraId="03A96567" w14:textId="77777777" w:rsidR="000959B9" w:rsidRPr="00131EED" w:rsidRDefault="000959B9" w:rsidP="000959B9">
      <w:pPr>
        <w:rPr>
          <w:rFonts w:ascii="Baskerville" w:hAnsi="Baskerville" w:cs="Arial"/>
        </w:rPr>
      </w:pPr>
      <w:r w:rsidRPr="00131EED">
        <w:rPr>
          <w:rFonts w:ascii="Baskerville" w:hAnsi="Baskerville" w:cs="Arial"/>
          <w:noProof/>
          <w:lang w:eastAsia="en-US"/>
        </w:rPr>
        <w:drawing>
          <wp:inline distT="0" distB="0" distL="0" distR="0" wp14:anchorId="7DDBDE4D" wp14:editId="38DF70D9">
            <wp:extent cx="5670749" cy="3622964"/>
            <wp:effectExtent l="0" t="0" r="6350" b="0"/>
            <wp:docPr id="43" name="Imagen 43"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A screenshot of a computer screen&#10;&#10;AI-generated content may be incorrect."/>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675357" cy="3625908"/>
                    </a:xfrm>
                    <a:prstGeom prst="rect">
                      <a:avLst/>
                    </a:prstGeom>
                    <a:noFill/>
                  </pic:spPr>
                </pic:pic>
              </a:graphicData>
            </a:graphic>
          </wp:inline>
        </w:drawing>
      </w:r>
    </w:p>
    <w:p w14:paraId="14A3CBE1" w14:textId="62A0035E" w:rsidR="000959B9" w:rsidRPr="00131EED" w:rsidRDefault="00BA43B4" w:rsidP="00B3405F">
      <w:pPr>
        <w:jc w:val="center"/>
        <w:rPr>
          <w:rFonts w:ascii="Baskerville" w:hAnsi="Baskerville" w:cs="Arial"/>
        </w:rPr>
      </w:pPr>
      <w:r w:rsidRPr="00131EED">
        <w:rPr>
          <w:rFonts w:ascii="Baskerville" w:hAnsi="Baskerville" w:cs="Arial"/>
        </w:rPr>
        <w:t>F</w:t>
      </w:r>
      <w:r w:rsidRPr="00131EED">
        <w:rPr>
          <w:rFonts w:eastAsia="Century Gothic"/>
          <w:sz w:val="20"/>
          <w:szCs w:val="20"/>
          <w:lang w:eastAsia="en-US"/>
        </w:rPr>
        <w:t>uente: Elaboración propia MinAmbiente (2025)</w:t>
      </w:r>
    </w:p>
    <w:p w14:paraId="7109FC1A" w14:textId="15A4C033" w:rsidR="001F0422" w:rsidRPr="00131EED" w:rsidRDefault="001F0422" w:rsidP="000959B9">
      <w:pPr>
        <w:rPr>
          <w:rFonts w:ascii="Baskerville" w:hAnsi="Baskerville" w:cs="Arial"/>
        </w:rPr>
      </w:pPr>
    </w:p>
    <w:p w14:paraId="24DABC03" w14:textId="0AF9E60C" w:rsidR="0039679F" w:rsidRPr="00131EED" w:rsidRDefault="00C503BC" w:rsidP="00410194">
      <w:pPr>
        <w:pStyle w:val="Heading2"/>
        <w:numPr>
          <w:ilvl w:val="1"/>
          <w:numId w:val="31"/>
        </w:numPr>
        <w:rPr>
          <w:rFonts w:eastAsia="Georgia"/>
        </w:rPr>
      </w:pPr>
      <w:bookmarkStart w:id="206" w:name="_Toc216468717"/>
      <w:r w:rsidRPr="00131EED">
        <w:rPr>
          <w:rFonts w:eastAsia="Georgia"/>
        </w:rPr>
        <w:t>Restauración de la Sabana de Bogotá</w:t>
      </w:r>
      <w:bookmarkEnd w:id="206"/>
    </w:p>
    <w:p w14:paraId="522301ED" w14:textId="77777777" w:rsidR="003E4934" w:rsidRPr="00131EED" w:rsidRDefault="003E4934" w:rsidP="003E4934">
      <w:pPr>
        <w:rPr>
          <w:rFonts w:eastAsia="Georgia"/>
          <w:lang w:eastAsia="en-US"/>
        </w:rPr>
      </w:pPr>
    </w:p>
    <w:p w14:paraId="37069B3F" w14:textId="318007F7" w:rsidR="00CD14A2" w:rsidRPr="00131EED" w:rsidRDefault="004C5AEA" w:rsidP="001445F2">
      <w:pPr>
        <w:rPr>
          <w:rFonts w:eastAsia="Century Gothic" w:cs="Arial"/>
        </w:rPr>
      </w:pPr>
      <w:r w:rsidRPr="00131EED">
        <w:rPr>
          <w:rFonts w:eastAsia="Century Gothic" w:cs="Arial"/>
        </w:rPr>
        <w:t xml:space="preserve">La Society for Ecological Restoration (SER) define </w:t>
      </w:r>
      <w:r w:rsidR="00F273A5" w:rsidRPr="00131EED">
        <w:rPr>
          <w:rFonts w:eastAsia="Century Gothic" w:cs="Arial"/>
        </w:rPr>
        <w:t>la</w:t>
      </w:r>
      <w:r w:rsidRPr="00131EED">
        <w:rPr>
          <w:rFonts w:eastAsia="Century Gothic" w:cs="Arial"/>
        </w:rPr>
        <w:t xml:space="preserve"> restauración ecológica como el proceso de asistir la recuperación de un ecosistema que ha sido degradado, dañado o destruido</w:t>
      </w:r>
      <w:r w:rsidR="003627F4" w:rsidRPr="00131EED">
        <w:rPr>
          <w:rFonts w:eastAsia="Century Gothic" w:cs="Arial"/>
        </w:rPr>
        <w:t xml:space="preserve"> </w:t>
      </w:r>
      <w:sdt>
        <w:sdtPr>
          <w:rPr>
            <w:rFonts w:eastAsia="Century Gothic" w:cs="Arial"/>
          </w:rPr>
          <w:id w:val="-1004120239"/>
          <w:citation/>
        </w:sdtPr>
        <w:sdtEndPr/>
        <w:sdtContent>
          <w:r w:rsidR="006A5B37" w:rsidRPr="00131EED">
            <w:rPr>
              <w:rFonts w:eastAsia="Century Gothic" w:cs="Arial"/>
            </w:rPr>
            <w:fldChar w:fldCharType="begin"/>
          </w:r>
          <w:r w:rsidR="006A5B37" w:rsidRPr="00131EED">
            <w:rPr>
              <w:rFonts w:eastAsia="Century Gothic" w:cs="Arial"/>
            </w:rPr>
            <w:instrText xml:space="preserve"> CITATION Soc191 \l 2058 </w:instrText>
          </w:r>
          <w:r w:rsidR="006A5B37" w:rsidRPr="00131EED">
            <w:rPr>
              <w:rFonts w:eastAsia="Century Gothic" w:cs="Arial"/>
            </w:rPr>
            <w:fldChar w:fldCharType="separate"/>
          </w:r>
          <w:r w:rsidRPr="00131EED">
            <w:rPr>
              <w:rFonts w:eastAsia="Century Gothic" w:cs="Arial"/>
            </w:rPr>
            <w:t>(Restoration, 2019)</w:t>
          </w:r>
          <w:r w:rsidR="006A5B37" w:rsidRPr="00131EED">
            <w:rPr>
              <w:rFonts w:eastAsia="Century Gothic" w:cs="Arial"/>
            </w:rPr>
            <w:fldChar w:fldCharType="end"/>
          </w:r>
        </w:sdtContent>
      </w:sdt>
      <w:r w:rsidRPr="00131EED">
        <w:rPr>
          <w:rFonts w:eastAsia="Century Gothic" w:cs="Arial"/>
        </w:rPr>
        <w:t xml:space="preserve">. </w:t>
      </w:r>
      <w:r w:rsidR="00CD14A2" w:rsidRPr="00131EED">
        <w:rPr>
          <w:rFonts w:eastAsia="Century Gothic" w:cs="Arial"/>
        </w:rPr>
        <w:t>Aplicar los principios SER en la Sabana de Bogotá tiene múltiples beneficios e importancia estratégica</w:t>
      </w:r>
      <w:r w:rsidR="00C62E31" w:rsidRPr="00131EED">
        <w:rPr>
          <w:rFonts w:eastAsia="Century Gothic" w:cs="Arial"/>
        </w:rPr>
        <w:t xml:space="preserve"> para la sostenibilidad de la región, por las siguientes razones</w:t>
      </w:r>
      <w:r w:rsidR="00CD14A2" w:rsidRPr="00131EED">
        <w:rPr>
          <w:rFonts w:eastAsia="Century Gothic" w:cs="Arial"/>
        </w:rPr>
        <w:t>:</w:t>
      </w:r>
    </w:p>
    <w:p w14:paraId="137E8A72" w14:textId="77777777" w:rsidR="00CD14A2" w:rsidRPr="00131EED" w:rsidRDefault="00CD14A2" w:rsidP="001445F2">
      <w:pPr>
        <w:rPr>
          <w:rFonts w:eastAsia="Century Gothic" w:cs="Arial"/>
        </w:rPr>
      </w:pPr>
    </w:p>
    <w:p w14:paraId="51A27F7F" w14:textId="7EBB16C5" w:rsidR="000A02C7" w:rsidRPr="00131EED" w:rsidRDefault="00CD14A2" w:rsidP="00410194">
      <w:pPr>
        <w:pStyle w:val="ListParagraph"/>
        <w:numPr>
          <w:ilvl w:val="0"/>
          <w:numId w:val="33"/>
        </w:numPr>
        <w:rPr>
          <w:rFonts w:eastAsia="Century Gothic" w:cs="Arial"/>
          <w:sz w:val="24"/>
        </w:rPr>
      </w:pPr>
      <w:r w:rsidRPr="00131EED">
        <w:rPr>
          <w:rFonts w:eastAsia="Century Gothic" w:cs="Arial"/>
          <w:sz w:val="24"/>
          <w:lang w:eastAsia="es-MX"/>
        </w:rPr>
        <w:t xml:space="preserve">Recuperación de </w:t>
      </w:r>
      <w:r w:rsidR="00B708B7" w:rsidRPr="00131EED">
        <w:rPr>
          <w:rFonts w:eastAsia="Century Gothic" w:cs="Arial"/>
          <w:sz w:val="24"/>
        </w:rPr>
        <w:t xml:space="preserve">la </w:t>
      </w:r>
      <w:r w:rsidRPr="00131EED">
        <w:rPr>
          <w:rFonts w:eastAsia="Century Gothic" w:cs="Arial"/>
          <w:sz w:val="24"/>
          <w:lang w:eastAsia="es-MX"/>
        </w:rPr>
        <w:t>integridad ecológica</w:t>
      </w:r>
      <w:r w:rsidRPr="00131EED">
        <w:rPr>
          <w:rFonts w:eastAsia="Century Gothic" w:cs="Arial"/>
          <w:sz w:val="24"/>
        </w:rPr>
        <w:t xml:space="preserve">: </w:t>
      </w:r>
      <w:r w:rsidR="000A02C7" w:rsidRPr="00131EED">
        <w:rPr>
          <w:rFonts w:eastAsia="Century Gothic" w:cs="Arial"/>
          <w:sz w:val="24"/>
        </w:rPr>
        <w:t>De acuerdo con el análisis realizado, es de suma urgencia r</w:t>
      </w:r>
      <w:r w:rsidRPr="00131EED">
        <w:rPr>
          <w:rFonts w:eastAsia="Century Gothic" w:cs="Arial"/>
          <w:sz w:val="24"/>
          <w:lang w:eastAsia="es-MX"/>
        </w:rPr>
        <w:t>estaurar estructura, composición y funciones de los ecosistemas</w:t>
      </w:r>
      <w:r w:rsidR="000A02C7" w:rsidRPr="00131EED">
        <w:rPr>
          <w:rFonts w:eastAsia="Century Gothic" w:cs="Arial"/>
          <w:sz w:val="24"/>
        </w:rPr>
        <w:t xml:space="preserve"> presentes al interior de la Sabana de Bogotá a fin de mantener la integridad </w:t>
      </w:r>
      <w:r w:rsidR="003627BF" w:rsidRPr="00131EED">
        <w:rPr>
          <w:rFonts w:eastAsia="Century Gothic" w:cs="Arial"/>
          <w:sz w:val="24"/>
        </w:rPr>
        <w:t xml:space="preserve">ecológica </w:t>
      </w:r>
      <w:r w:rsidR="000A02C7" w:rsidRPr="00131EED">
        <w:rPr>
          <w:rFonts w:eastAsia="Century Gothic" w:cs="Arial"/>
          <w:sz w:val="24"/>
        </w:rPr>
        <w:t xml:space="preserve">y </w:t>
      </w:r>
      <w:r w:rsidRPr="00131EED">
        <w:rPr>
          <w:rFonts w:eastAsia="Century Gothic" w:cs="Arial"/>
          <w:sz w:val="24"/>
          <w:lang w:eastAsia="es-MX"/>
        </w:rPr>
        <w:t xml:space="preserve">recuperar </w:t>
      </w:r>
      <w:r w:rsidR="000A02C7" w:rsidRPr="00131EED">
        <w:rPr>
          <w:rFonts w:eastAsia="Century Gothic" w:cs="Arial"/>
          <w:sz w:val="24"/>
        </w:rPr>
        <w:t xml:space="preserve">los </w:t>
      </w:r>
      <w:r w:rsidRPr="00131EED">
        <w:rPr>
          <w:rFonts w:eastAsia="Century Gothic" w:cs="Arial"/>
          <w:sz w:val="24"/>
          <w:lang w:eastAsia="es-MX"/>
        </w:rPr>
        <w:t>servicios ecosistémicos perdidos como la regulación hídrica, captura de carbono, control de erosión, mitigación de inundaciones, conservación de suelos y microclimas.</w:t>
      </w:r>
    </w:p>
    <w:p w14:paraId="55A9F72D" w14:textId="5A966612" w:rsidR="00CD14A2" w:rsidRPr="00131EED" w:rsidRDefault="00CD14A2" w:rsidP="00410194">
      <w:pPr>
        <w:pStyle w:val="ListParagraph"/>
        <w:numPr>
          <w:ilvl w:val="0"/>
          <w:numId w:val="33"/>
        </w:numPr>
        <w:rPr>
          <w:rFonts w:eastAsia="Century Gothic" w:cs="Arial"/>
          <w:sz w:val="24"/>
          <w:lang w:eastAsia="es-MX"/>
        </w:rPr>
      </w:pPr>
      <w:r w:rsidRPr="00131EED">
        <w:rPr>
          <w:rFonts w:eastAsia="Century Gothic" w:cs="Arial"/>
          <w:sz w:val="24"/>
          <w:lang w:eastAsia="es-MX"/>
        </w:rPr>
        <w:t>Conectividad ecológica y biodiversidad</w:t>
      </w:r>
      <w:r w:rsidR="000A02C7" w:rsidRPr="00131EED">
        <w:rPr>
          <w:rFonts w:eastAsia="Century Gothic" w:cs="Arial"/>
          <w:sz w:val="24"/>
          <w:lang w:eastAsia="es-MX"/>
        </w:rPr>
        <w:t xml:space="preserve">: </w:t>
      </w:r>
      <w:r w:rsidRPr="00131EED">
        <w:rPr>
          <w:rFonts w:eastAsia="Century Gothic" w:cs="Arial"/>
          <w:sz w:val="24"/>
          <w:lang w:eastAsia="es-MX"/>
        </w:rPr>
        <w:t>Al restablecer corredores, áreas restauradas y humedales, se facilita la movilidad de especies, se fortalece la población de organismos nativos, se mejora la calidad de hábitats fragmentados y se combate la invasión biológica.</w:t>
      </w:r>
    </w:p>
    <w:p w14:paraId="762CE8FC" w14:textId="002A96CB" w:rsidR="00B708B7" w:rsidRPr="00131EED" w:rsidRDefault="000A02C7" w:rsidP="00410194">
      <w:pPr>
        <w:pStyle w:val="ListParagraph"/>
        <w:numPr>
          <w:ilvl w:val="0"/>
          <w:numId w:val="33"/>
        </w:numPr>
        <w:rPr>
          <w:rFonts w:eastAsia="Century Gothic" w:cs="Arial"/>
          <w:sz w:val="24"/>
          <w:lang w:eastAsia="es-MX"/>
        </w:rPr>
      </w:pPr>
      <w:r w:rsidRPr="00131EED">
        <w:rPr>
          <w:rFonts w:eastAsia="Century Gothic" w:cs="Arial"/>
          <w:sz w:val="24"/>
          <w:lang w:eastAsia="es-MX"/>
        </w:rPr>
        <w:t xml:space="preserve">Resiliencia frente al cambio climático: </w:t>
      </w:r>
      <w:r w:rsidR="003627BF" w:rsidRPr="00131EED">
        <w:rPr>
          <w:rFonts w:eastAsia="Century Gothic" w:cs="Arial"/>
          <w:sz w:val="24"/>
          <w:lang w:eastAsia="es-MX"/>
        </w:rPr>
        <w:t xml:space="preserve">como se indicó previamente, de </w:t>
      </w:r>
      <w:r w:rsidR="003B05C4" w:rsidRPr="00131EED">
        <w:rPr>
          <w:rFonts w:eastAsia="Century Gothic" w:cs="Arial"/>
          <w:sz w:val="24"/>
          <w:lang w:eastAsia="es-MX"/>
        </w:rPr>
        <w:t>acuerdo</w:t>
      </w:r>
      <w:r w:rsidR="003627BF" w:rsidRPr="00131EED">
        <w:rPr>
          <w:rFonts w:eastAsia="Century Gothic" w:cs="Arial"/>
          <w:sz w:val="24"/>
          <w:lang w:eastAsia="es-MX"/>
        </w:rPr>
        <w:t xml:space="preserve"> con la tercera comunicación, la región central es de las más vulnerables al cambio climático en el país, por lo cual </w:t>
      </w:r>
      <w:r w:rsidR="00B34C1A" w:rsidRPr="00131EED">
        <w:rPr>
          <w:rFonts w:eastAsia="Century Gothic" w:cs="Arial"/>
          <w:sz w:val="24"/>
          <w:lang w:eastAsia="es-MX"/>
        </w:rPr>
        <w:t xml:space="preserve">garantizar a través de la restauración ecológica </w:t>
      </w:r>
      <w:r w:rsidR="001445F2" w:rsidRPr="00131EED">
        <w:rPr>
          <w:rFonts w:eastAsia="Century Gothic" w:cs="Arial"/>
          <w:sz w:val="24"/>
          <w:lang w:eastAsia="es-MX"/>
        </w:rPr>
        <w:t>la salud de los ecosistemas</w:t>
      </w:r>
      <w:r w:rsidR="00B34C1A" w:rsidRPr="00131EED">
        <w:rPr>
          <w:rFonts w:eastAsia="Century Gothic" w:cs="Arial"/>
          <w:sz w:val="24"/>
          <w:lang w:eastAsia="es-MX"/>
        </w:rPr>
        <w:t xml:space="preserve">, </w:t>
      </w:r>
      <w:r w:rsidR="001445F2" w:rsidRPr="00131EED">
        <w:rPr>
          <w:rFonts w:eastAsia="Century Gothic" w:cs="Arial"/>
          <w:sz w:val="24"/>
          <w:lang w:eastAsia="es-MX"/>
        </w:rPr>
        <w:t xml:space="preserve">genera </w:t>
      </w:r>
      <w:r w:rsidRPr="00131EED">
        <w:rPr>
          <w:rFonts w:eastAsia="Century Gothic" w:cs="Arial"/>
          <w:sz w:val="24"/>
          <w:lang w:eastAsia="es-MX"/>
        </w:rPr>
        <w:t>mayor capacidad de adaptación al estrés climático, regulan mejor el agua, reducen riesgos de inundaciones y sequías, amortiguan temperaturas extremas.</w:t>
      </w:r>
    </w:p>
    <w:p w14:paraId="24E166FB" w14:textId="667B272E" w:rsidR="0039679F" w:rsidRPr="00131EED" w:rsidRDefault="00CD14A2" w:rsidP="00410194">
      <w:pPr>
        <w:pStyle w:val="ListParagraph"/>
        <w:numPr>
          <w:ilvl w:val="0"/>
          <w:numId w:val="33"/>
        </w:numPr>
        <w:rPr>
          <w:rFonts w:eastAsia="Century Gothic" w:cs="Arial"/>
          <w:sz w:val="24"/>
          <w:lang w:eastAsia="es-MX"/>
        </w:rPr>
      </w:pPr>
      <w:r w:rsidRPr="00131EED">
        <w:rPr>
          <w:rFonts w:eastAsia="Century Gothic" w:cs="Arial"/>
          <w:sz w:val="24"/>
          <w:lang w:eastAsia="es-MX"/>
        </w:rPr>
        <w:t>Sostenibilidad territorial</w:t>
      </w:r>
      <w:r w:rsidR="00B708B7" w:rsidRPr="00131EED">
        <w:rPr>
          <w:rFonts w:eastAsia="Century Gothic" w:cs="Arial"/>
          <w:sz w:val="24"/>
          <w:lang w:eastAsia="es-MX"/>
        </w:rPr>
        <w:t>:</w:t>
      </w:r>
      <w:r w:rsidR="001445F2" w:rsidRPr="00131EED">
        <w:rPr>
          <w:rFonts w:eastAsia="Century Gothic" w:cs="Arial"/>
          <w:sz w:val="24"/>
          <w:lang w:eastAsia="es-MX"/>
        </w:rPr>
        <w:t xml:space="preserve"> </w:t>
      </w:r>
      <w:r w:rsidRPr="00131EED">
        <w:rPr>
          <w:rFonts w:eastAsia="Century Gothic" w:cs="Arial"/>
          <w:sz w:val="24"/>
          <w:lang w:eastAsia="es-MX"/>
        </w:rPr>
        <w:t xml:space="preserve">Permite armonizar desarrollo urbano, expansión poblacional y uso productivo con la conservación; direcciona el ordenamiento del territorio hacia usos compatibles con la ecología (zonas protegidas, vocaciones agropecuarias o forestales, límites urbanos, protección de rondas hídricas). </w:t>
      </w:r>
    </w:p>
    <w:p w14:paraId="1942905D" w14:textId="60358092" w:rsidR="003627BF" w:rsidRPr="00131EED" w:rsidRDefault="003F79E8" w:rsidP="001445F2">
      <w:pPr>
        <w:rPr>
          <w:rFonts w:eastAsia="Century Gothic" w:cs="Arial"/>
        </w:rPr>
      </w:pPr>
      <w:r w:rsidRPr="00131EED">
        <w:rPr>
          <w:rFonts w:eastAsia="Century Gothic" w:cs="Arial"/>
        </w:rPr>
        <w:t>En l</w:t>
      </w:r>
      <w:r w:rsidR="001445F2" w:rsidRPr="00131EED">
        <w:rPr>
          <w:rFonts w:eastAsia="Century Gothic" w:cs="Arial"/>
        </w:rPr>
        <w:t>a Sabana de Bogotá</w:t>
      </w:r>
      <w:r w:rsidRPr="00131EED">
        <w:rPr>
          <w:rFonts w:eastAsia="Century Gothic" w:cs="Arial"/>
        </w:rPr>
        <w:t xml:space="preserve"> se han adelantado ejercicios de restauración ecológica, principalmente para el control de especies invasoras como el caso del retamo espinoso, liderado por la Secretaría Distrital de Ambiente de Bogotá </w:t>
      </w:r>
      <w:sdt>
        <w:sdtPr>
          <w:rPr>
            <w:rFonts w:eastAsia="Century Gothic" w:cs="Arial"/>
          </w:rPr>
          <w:id w:val="334969427"/>
          <w:citation/>
        </w:sdtPr>
        <w:sdtEndPr/>
        <w:sdtContent>
          <w:r w:rsidRPr="00131EED">
            <w:rPr>
              <w:rFonts w:eastAsia="Century Gothic" w:cs="Arial"/>
            </w:rPr>
            <w:fldChar w:fldCharType="begin"/>
          </w:r>
          <w:r w:rsidRPr="00131EED">
            <w:rPr>
              <w:rFonts w:eastAsia="Century Gothic" w:cs="Arial"/>
            </w:rPr>
            <w:instrText xml:space="preserve"> CITATION Cam15 \l 2058 </w:instrText>
          </w:r>
          <w:r w:rsidRPr="00131EED">
            <w:rPr>
              <w:rFonts w:eastAsia="Century Gothic" w:cs="Arial"/>
            </w:rPr>
            <w:fldChar w:fldCharType="separate"/>
          </w:r>
          <w:r w:rsidRPr="00131EED">
            <w:rPr>
              <w:rFonts w:eastAsia="Century Gothic" w:cs="Arial"/>
            </w:rPr>
            <w:t>(Camelo, 2015)</w:t>
          </w:r>
          <w:r w:rsidRPr="00131EED">
            <w:rPr>
              <w:rFonts w:eastAsia="Century Gothic" w:cs="Arial"/>
            </w:rPr>
            <w:fldChar w:fldCharType="end"/>
          </w:r>
        </w:sdtContent>
      </w:sdt>
      <w:r w:rsidRPr="00131EED">
        <w:rPr>
          <w:rFonts w:eastAsia="Century Gothic" w:cs="Arial"/>
        </w:rPr>
        <w:t>, al igual que en el corredor Chingaza, Sumapaz, Guerrero, adelantado de manera conjunta con el Acueducto de Bogotá, la CAR Cundinamarca y Conservación Internacional, al igual</w:t>
      </w:r>
      <w:r w:rsidR="00674F98" w:rsidRPr="00131EED">
        <w:rPr>
          <w:rFonts w:eastAsia="Century Gothic" w:cs="Arial"/>
        </w:rPr>
        <w:t xml:space="preserve"> que en el desarrollo de su Plan de Acción Cuatrienal, la Corporación Autónoma Regional de Cundinamarca ha indicado que ha gestionado más de 3.000 con miras de su restauración o regeneración natural. </w:t>
      </w:r>
    </w:p>
    <w:p w14:paraId="661BC9CC" w14:textId="77777777" w:rsidR="003627BF" w:rsidRPr="00131EED" w:rsidRDefault="003627BF" w:rsidP="001445F2">
      <w:pPr>
        <w:rPr>
          <w:rFonts w:eastAsia="Century Gothic" w:cs="Arial"/>
        </w:rPr>
      </w:pPr>
    </w:p>
    <w:p w14:paraId="3612C5D3" w14:textId="3D819C9D" w:rsidR="001445F2" w:rsidRPr="00131EED" w:rsidRDefault="00674F98" w:rsidP="001445F2">
      <w:pPr>
        <w:rPr>
          <w:rFonts w:eastAsia="Century Gothic" w:cs="Arial"/>
        </w:rPr>
      </w:pPr>
      <w:r w:rsidRPr="00131EED">
        <w:rPr>
          <w:rFonts w:eastAsia="Century Gothic" w:cs="Arial"/>
        </w:rPr>
        <w:t xml:space="preserve">Sin embargo, uno de los principales vacíos en esta materia es que no se cuenta con un seguimiento sistemático que permita realizar el </w:t>
      </w:r>
      <w:r w:rsidR="00745E24" w:rsidRPr="00131EED">
        <w:rPr>
          <w:rFonts w:eastAsia="Century Gothic" w:cs="Arial"/>
        </w:rPr>
        <w:t>monitoreo</w:t>
      </w:r>
      <w:r w:rsidRPr="00131EED">
        <w:rPr>
          <w:rFonts w:eastAsia="Century Gothic" w:cs="Arial"/>
        </w:rPr>
        <w:t xml:space="preserve"> a las acciones realizadas ni el impacto sobre la salud de los ecosistemas objeto de acciones de restauración.</w:t>
      </w:r>
    </w:p>
    <w:p w14:paraId="313BA19D" w14:textId="77777777" w:rsidR="00A70CDF" w:rsidRPr="00131EED" w:rsidRDefault="00A70CDF" w:rsidP="001445F2">
      <w:pPr>
        <w:rPr>
          <w:rFonts w:eastAsia="Century Gothic" w:cs="Arial"/>
        </w:rPr>
      </w:pPr>
    </w:p>
    <w:p w14:paraId="1C58475C" w14:textId="138633AA" w:rsidR="000E3B3A" w:rsidRPr="00131EED" w:rsidRDefault="00A70CDF" w:rsidP="001445F2">
      <w:pPr>
        <w:rPr>
          <w:rFonts w:eastAsia="Century Gothic" w:cs="Arial"/>
        </w:rPr>
      </w:pPr>
      <w:r w:rsidRPr="00131EED">
        <w:rPr>
          <w:rFonts w:eastAsia="Century Gothic" w:cs="Arial"/>
        </w:rPr>
        <w:t>Como producto del diagnóstico para la construcción de</w:t>
      </w:r>
      <w:r w:rsidR="00745E24" w:rsidRPr="00131EED">
        <w:rPr>
          <w:rFonts w:eastAsia="Century Gothic" w:cs="Arial"/>
        </w:rPr>
        <w:t xml:space="preserve"> la presente resolución, se realizó un análisis espacial que vinculó seis variables para identificar las áreas prioritarias para la </w:t>
      </w:r>
      <w:r w:rsidR="000E3B3A" w:rsidRPr="00131EED">
        <w:rPr>
          <w:rFonts w:eastAsia="Century Gothic" w:cs="Arial"/>
        </w:rPr>
        <w:t>restauración</w:t>
      </w:r>
      <w:r w:rsidR="00745E24" w:rsidRPr="00131EED">
        <w:rPr>
          <w:rFonts w:eastAsia="Century Gothic" w:cs="Arial"/>
        </w:rPr>
        <w:t xml:space="preserve">, teniendo en cuenta sus estados de conservación y </w:t>
      </w:r>
      <w:r w:rsidR="000E3B3A" w:rsidRPr="00131EED">
        <w:rPr>
          <w:rFonts w:eastAsia="Century Gothic" w:cs="Arial"/>
        </w:rPr>
        <w:t>el rol ecológico que actualmente realizan estas áreas en la Sabana de Bogotá</w:t>
      </w:r>
      <w:r w:rsidR="000F52B1" w:rsidRPr="00131EED">
        <w:rPr>
          <w:rFonts w:eastAsia="Century Gothic" w:cs="Arial"/>
        </w:rPr>
        <w:t xml:space="preserve">, las cuales se presentan en la </w:t>
      </w:r>
      <w:r w:rsidR="00260D6C" w:rsidRPr="00131EED">
        <w:rPr>
          <w:rFonts w:eastAsia="Century Gothic" w:cs="Arial"/>
        </w:rPr>
        <w:fldChar w:fldCharType="begin"/>
      </w:r>
      <w:r w:rsidR="00260D6C" w:rsidRPr="00131EED">
        <w:rPr>
          <w:rFonts w:eastAsia="Century Gothic" w:cs="Arial"/>
        </w:rPr>
        <w:instrText xml:space="preserve"> REF _Ref211336552 \h </w:instrText>
      </w:r>
      <w:r w:rsidR="00260D6C" w:rsidRPr="00131EED">
        <w:rPr>
          <w:rFonts w:eastAsia="Century Gothic" w:cs="Arial"/>
        </w:rPr>
      </w:r>
      <w:r w:rsidR="00260D6C" w:rsidRPr="00131EED">
        <w:rPr>
          <w:rFonts w:eastAsia="Century Gothic" w:cs="Arial"/>
        </w:rPr>
        <w:fldChar w:fldCharType="separate"/>
      </w:r>
      <w:r w:rsidR="00CE096F" w:rsidRPr="00131EED">
        <w:t xml:space="preserve">Ilustración </w:t>
      </w:r>
      <w:r w:rsidR="00CE096F">
        <w:rPr>
          <w:noProof/>
        </w:rPr>
        <w:t>53</w:t>
      </w:r>
      <w:r w:rsidR="00260D6C" w:rsidRPr="00131EED">
        <w:rPr>
          <w:rFonts w:eastAsia="Century Gothic" w:cs="Arial"/>
        </w:rPr>
        <w:fldChar w:fldCharType="end"/>
      </w:r>
      <w:r w:rsidR="000E3B3A" w:rsidRPr="00131EED">
        <w:rPr>
          <w:rFonts w:eastAsia="Century Gothic" w:cs="Arial"/>
        </w:rPr>
        <w:t>.</w:t>
      </w:r>
    </w:p>
    <w:p w14:paraId="48BF4F83" w14:textId="2EE587F8" w:rsidR="000E3B3A" w:rsidRPr="00131EED" w:rsidRDefault="000E3B3A" w:rsidP="001445F2">
      <w:pPr>
        <w:rPr>
          <w:rFonts w:eastAsia="Century Gothic" w:cs="Arial"/>
        </w:rPr>
      </w:pPr>
    </w:p>
    <w:p w14:paraId="0D792433" w14:textId="7CE21FCF" w:rsidR="000F52B1" w:rsidRPr="00131EED" w:rsidRDefault="000F52B1" w:rsidP="001445F2">
      <w:pPr>
        <w:rPr>
          <w:rFonts w:eastAsia="Century Gothic" w:cs="Arial"/>
        </w:rPr>
      </w:pPr>
    </w:p>
    <w:p w14:paraId="09EB42C9" w14:textId="6E840AD9" w:rsidR="000F52B1" w:rsidRPr="00131EED" w:rsidRDefault="000F52B1" w:rsidP="001445F2">
      <w:pPr>
        <w:rPr>
          <w:rFonts w:eastAsia="Century Gothic" w:cs="Arial"/>
        </w:rPr>
      </w:pPr>
    </w:p>
    <w:p w14:paraId="5AA122E9" w14:textId="74A9FE84" w:rsidR="000F52B1" w:rsidRPr="00131EED" w:rsidRDefault="000F52B1" w:rsidP="001445F2">
      <w:pPr>
        <w:rPr>
          <w:rFonts w:eastAsia="Century Gothic" w:cs="Arial"/>
        </w:rPr>
      </w:pPr>
    </w:p>
    <w:p w14:paraId="38960251" w14:textId="49E7895B" w:rsidR="000F52B1" w:rsidRPr="00131EED" w:rsidRDefault="000F52B1" w:rsidP="001445F2">
      <w:pPr>
        <w:rPr>
          <w:rFonts w:eastAsia="Century Gothic" w:cs="Arial"/>
        </w:rPr>
      </w:pPr>
    </w:p>
    <w:p w14:paraId="528D4019" w14:textId="147E49DF" w:rsidR="000F52B1" w:rsidRPr="00131EED" w:rsidRDefault="000F52B1" w:rsidP="001445F2">
      <w:pPr>
        <w:rPr>
          <w:rFonts w:eastAsia="Century Gothic" w:cs="Arial"/>
        </w:rPr>
      </w:pPr>
    </w:p>
    <w:p w14:paraId="4BE49C98" w14:textId="64FDE31F" w:rsidR="000F52B1" w:rsidRPr="00131EED" w:rsidRDefault="000F52B1" w:rsidP="001445F2">
      <w:pPr>
        <w:rPr>
          <w:rFonts w:eastAsia="Century Gothic" w:cs="Arial"/>
        </w:rPr>
      </w:pPr>
    </w:p>
    <w:p w14:paraId="6BDA4676" w14:textId="71E6BEA8" w:rsidR="004044A3" w:rsidRPr="00131EED" w:rsidRDefault="004044A3" w:rsidP="001445F2">
      <w:pPr>
        <w:rPr>
          <w:rFonts w:eastAsia="Century Gothic" w:cs="Arial"/>
        </w:rPr>
      </w:pPr>
    </w:p>
    <w:p w14:paraId="292DE359" w14:textId="77777777" w:rsidR="004044A3" w:rsidRPr="00131EED" w:rsidRDefault="004044A3" w:rsidP="001445F2">
      <w:pPr>
        <w:rPr>
          <w:rFonts w:eastAsia="Century Gothic" w:cs="Arial"/>
        </w:rPr>
      </w:pPr>
    </w:p>
    <w:p w14:paraId="65196569" w14:textId="77777777" w:rsidR="004044A3" w:rsidRPr="00131EED" w:rsidRDefault="004044A3" w:rsidP="001445F2">
      <w:pPr>
        <w:rPr>
          <w:rFonts w:eastAsia="Century Gothic" w:cs="Arial"/>
        </w:rPr>
      </w:pPr>
    </w:p>
    <w:p w14:paraId="30FFC305" w14:textId="77777777" w:rsidR="004044A3" w:rsidRPr="00131EED" w:rsidRDefault="004044A3" w:rsidP="001445F2">
      <w:pPr>
        <w:rPr>
          <w:rFonts w:eastAsia="Century Gothic" w:cs="Arial"/>
        </w:rPr>
      </w:pPr>
    </w:p>
    <w:p w14:paraId="3AA548CD" w14:textId="77777777" w:rsidR="004044A3" w:rsidRPr="00131EED" w:rsidRDefault="004044A3" w:rsidP="001445F2">
      <w:pPr>
        <w:rPr>
          <w:rFonts w:eastAsia="Century Gothic" w:cs="Arial"/>
        </w:rPr>
      </w:pPr>
    </w:p>
    <w:p w14:paraId="7AFF0A07" w14:textId="77777777" w:rsidR="000F52B1" w:rsidRPr="00131EED" w:rsidRDefault="000F52B1" w:rsidP="001445F2">
      <w:pPr>
        <w:rPr>
          <w:rFonts w:eastAsia="Century Gothic" w:cs="Arial"/>
        </w:rPr>
      </w:pPr>
    </w:p>
    <w:p w14:paraId="369DF396" w14:textId="75F7EF22" w:rsidR="000E3B3A" w:rsidRPr="00131EED" w:rsidRDefault="000E3B3A" w:rsidP="003B05C4">
      <w:pPr>
        <w:pStyle w:val="Caption"/>
        <w:jc w:val="center"/>
      </w:pPr>
      <w:bookmarkStart w:id="207" w:name="_Ref210943450"/>
      <w:bookmarkStart w:id="208" w:name="_Ref211336552"/>
      <w:bookmarkStart w:id="209" w:name="_Toc216468818"/>
      <w:r w:rsidRPr="00131EED">
        <w:t xml:space="preserve">Ilustración </w:t>
      </w:r>
      <w:bookmarkEnd w:id="207"/>
      <w:r w:rsidRPr="00131EED">
        <w:fldChar w:fldCharType="begin"/>
      </w:r>
      <w:r w:rsidRPr="00131EED">
        <w:instrText xml:space="preserve"> SEQ Ilustración \* ARABIC </w:instrText>
      </w:r>
      <w:r w:rsidRPr="00131EED">
        <w:fldChar w:fldCharType="separate"/>
      </w:r>
      <w:r w:rsidR="00CE096F">
        <w:rPr>
          <w:noProof/>
        </w:rPr>
        <w:t>53</w:t>
      </w:r>
      <w:r w:rsidRPr="00131EED">
        <w:fldChar w:fldCharType="end"/>
      </w:r>
      <w:bookmarkEnd w:id="208"/>
      <w:r w:rsidRPr="00131EED">
        <w:t>. Variables espaciales evaluadas para la definición de las prioridades de restauración en la Sabana de Bogotá.</w:t>
      </w:r>
      <w:bookmarkEnd w:id="209"/>
    </w:p>
    <w:p w14:paraId="4FAB5D09" w14:textId="63513CD0" w:rsidR="000E3B3A" w:rsidRPr="00131EED" w:rsidRDefault="000F52B1" w:rsidP="000E3B3A">
      <w:pPr>
        <w:rPr>
          <w:rFonts w:eastAsia="Century Gothic"/>
          <w:lang w:eastAsia="en-US"/>
        </w:rPr>
      </w:pPr>
      <w:r w:rsidRPr="00131EED">
        <w:rPr>
          <w:rFonts w:eastAsia="Century Gothic"/>
          <w:noProof/>
          <w:lang w:eastAsia="en-US"/>
        </w:rPr>
        <w:drawing>
          <wp:inline distT="0" distB="0" distL="0" distR="0" wp14:anchorId="4A2E25E2" wp14:editId="6919EF0D">
            <wp:extent cx="5612130" cy="3446145"/>
            <wp:effectExtent l="0" t="0" r="0" b="20955"/>
            <wp:docPr id="1474823178" name="Diagrama 147482317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4" r:lo="rId95" r:qs="rId96" r:cs="rId97"/>
              </a:graphicData>
            </a:graphic>
          </wp:inline>
        </w:drawing>
      </w:r>
    </w:p>
    <w:p w14:paraId="3E96E5C8" w14:textId="2D49E355" w:rsidR="000F52B1" w:rsidRPr="00131EED" w:rsidRDefault="000F52B1" w:rsidP="000F52B1">
      <w:pPr>
        <w:jc w:val="center"/>
        <w:rPr>
          <w:rFonts w:eastAsia="Century Gothic"/>
          <w:sz w:val="20"/>
          <w:szCs w:val="20"/>
          <w:lang w:eastAsia="en-US"/>
        </w:rPr>
      </w:pPr>
      <w:r w:rsidRPr="00131EED">
        <w:rPr>
          <w:rFonts w:eastAsia="Century Gothic"/>
          <w:sz w:val="20"/>
          <w:szCs w:val="20"/>
          <w:lang w:eastAsia="en-US"/>
        </w:rPr>
        <w:t>Fuente: MinAmbiente, 2024.</w:t>
      </w:r>
    </w:p>
    <w:p w14:paraId="1C2C73BD" w14:textId="77777777" w:rsidR="00674F98" w:rsidRPr="00131EED" w:rsidRDefault="00674F98" w:rsidP="001445F2">
      <w:pPr>
        <w:rPr>
          <w:rFonts w:ascii="Baskerville" w:eastAsia="Century Gothic" w:hAnsi="Baskerville" w:cs="Arial"/>
        </w:rPr>
      </w:pPr>
    </w:p>
    <w:p w14:paraId="0C5EEE6A" w14:textId="56366BEF" w:rsidR="007523E8" w:rsidRPr="00131EED" w:rsidRDefault="007523E8" w:rsidP="001445F2">
      <w:pPr>
        <w:rPr>
          <w:rFonts w:eastAsia="Century Gothic" w:cs="Arial"/>
        </w:rPr>
      </w:pPr>
      <w:r w:rsidRPr="00131EED">
        <w:rPr>
          <w:rFonts w:eastAsia="Century Gothic" w:cs="Arial"/>
        </w:rPr>
        <w:t xml:space="preserve">Cada una de estas variables fue analizada con respecto a los estados de conservación de acuerdo con el análisis de integridad ecológica realizado por el Instituto Alexander von Humboldt y se realizó un álgebra de mapas, en los cuales las áreas en donde se encuentran mayor confluencia de las variables, se </w:t>
      </w:r>
      <w:r w:rsidR="004A11FA" w:rsidRPr="00131EED">
        <w:rPr>
          <w:rFonts w:eastAsia="Century Gothic" w:cs="Arial"/>
        </w:rPr>
        <w:t>catalogaban</w:t>
      </w:r>
      <w:r w:rsidRPr="00131EED">
        <w:rPr>
          <w:rFonts w:eastAsia="Century Gothic" w:cs="Arial"/>
        </w:rPr>
        <w:t xml:space="preserve"> como prioritario. </w:t>
      </w:r>
    </w:p>
    <w:p w14:paraId="63EB8BA3" w14:textId="06E65CD7" w:rsidR="002D1BB2" w:rsidRPr="00131EED" w:rsidRDefault="002D1BB2" w:rsidP="001445F2">
      <w:pPr>
        <w:rPr>
          <w:rFonts w:eastAsia="Century Gothic" w:cs="Arial"/>
        </w:rPr>
      </w:pPr>
    </w:p>
    <w:p w14:paraId="4E846152" w14:textId="4841D001" w:rsidR="002D1BB2" w:rsidRPr="00131EED" w:rsidRDefault="002D1BB2" w:rsidP="001445F2">
      <w:pPr>
        <w:rPr>
          <w:rFonts w:eastAsia="Century Gothic" w:cs="Arial"/>
        </w:rPr>
      </w:pPr>
      <w:r w:rsidRPr="00131EED">
        <w:rPr>
          <w:rFonts w:eastAsia="Century Gothic" w:cs="Arial"/>
        </w:rPr>
        <w:t>El resultado de los análisis por cada una de las variables que fueron contrastadas con el análisis de integridad ecológica</w:t>
      </w:r>
      <w:r w:rsidR="004044A3" w:rsidRPr="00131EED">
        <w:rPr>
          <w:rFonts w:eastAsia="Century Gothic" w:cs="Arial"/>
        </w:rPr>
        <w:t>.</w:t>
      </w:r>
    </w:p>
    <w:p w14:paraId="618EE8BA" w14:textId="79EBF477" w:rsidR="007523E8" w:rsidRPr="00131EED" w:rsidRDefault="007523E8" w:rsidP="001445F2">
      <w:pPr>
        <w:rPr>
          <w:rFonts w:ascii="Baskerville" w:eastAsia="Century Gothic" w:hAnsi="Baskerville" w:cs="Arial"/>
        </w:rPr>
      </w:pPr>
    </w:p>
    <w:p w14:paraId="6C0E67E6" w14:textId="628F9F55" w:rsidR="007523E8" w:rsidRPr="00131EED" w:rsidRDefault="007523E8" w:rsidP="001445F2">
      <w:pPr>
        <w:rPr>
          <w:rFonts w:ascii="Baskerville" w:eastAsia="Century Gothic" w:hAnsi="Baskerville" w:cs="Arial"/>
        </w:rPr>
      </w:pPr>
    </w:p>
    <w:p w14:paraId="3AE061F6" w14:textId="41E00434" w:rsidR="00B84AD8" w:rsidRPr="00131EED" w:rsidRDefault="00B84AD8" w:rsidP="001445F2">
      <w:pPr>
        <w:rPr>
          <w:rFonts w:ascii="Baskerville" w:eastAsia="Century Gothic" w:hAnsi="Baskerville" w:cs="Arial"/>
        </w:rPr>
      </w:pPr>
    </w:p>
    <w:p w14:paraId="4A0E0D57" w14:textId="1C6402E0" w:rsidR="00B84AD8" w:rsidRPr="00131EED" w:rsidRDefault="00B84AD8" w:rsidP="001445F2">
      <w:pPr>
        <w:rPr>
          <w:rFonts w:ascii="Baskerville" w:eastAsia="Century Gothic" w:hAnsi="Baskerville" w:cs="Arial"/>
        </w:rPr>
      </w:pPr>
    </w:p>
    <w:p w14:paraId="43CF10AF" w14:textId="57432E28" w:rsidR="00B84AD8" w:rsidRPr="00131EED" w:rsidRDefault="00B84AD8" w:rsidP="001445F2">
      <w:pPr>
        <w:rPr>
          <w:rFonts w:ascii="Baskerville" w:eastAsia="Century Gothic" w:hAnsi="Baskerville" w:cs="Arial"/>
        </w:rPr>
      </w:pPr>
    </w:p>
    <w:p w14:paraId="474EA9DE" w14:textId="59D83DD3" w:rsidR="00B84AD8" w:rsidRPr="00131EED" w:rsidRDefault="00B84AD8" w:rsidP="001445F2">
      <w:pPr>
        <w:rPr>
          <w:rFonts w:ascii="Baskerville" w:eastAsia="Century Gothic" w:hAnsi="Baskerville" w:cs="Arial"/>
        </w:rPr>
      </w:pPr>
    </w:p>
    <w:p w14:paraId="57C8BD97" w14:textId="50C3EF2A" w:rsidR="00B84AD8" w:rsidRPr="00131EED" w:rsidRDefault="00B84AD8" w:rsidP="001445F2">
      <w:pPr>
        <w:rPr>
          <w:rFonts w:ascii="Baskerville" w:eastAsia="Century Gothic" w:hAnsi="Baskerville" w:cs="Arial"/>
        </w:rPr>
      </w:pPr>
    </w:p>
    <w:p w14:paraId="07BB0031" w14:textId="55535526" w:rsidR="00B84AD8" w:rsidRPr="00131EED" w:rsidRDefault="00B84AD8" w:rsidP="001445F2">
      <w:pPr>
        <w:rPr>
          <w:rFonts w:ascii="Baskerville" w:eastAsia="Century Gothic" w:hAnsi="Baskerville" w:cs="Arial"/>
        </w:rPr>
      </w:pPr>
    </w:p>
    <w:p w14:paraId="78F686A4" w14:textId="3F1CCDA0" w:rsidR="00B84AD8" w:rsidRPr="00131EED" w:rsidRDefault="00B84AD8" w:rsidP="001445F2">
      <w:pPr>
        <w:rPr>
          <w:rFonts w:ascii="Baskerville" w:eastAsia="Century Gothic" w:hAnsi="Baskerville" w:cs="Arial"/>
        </w:rPr>
      </w:pPr>
    </w:p>
    <w:p w14:paraId="14BF364B" w14:textId="77777777" w:rsidR="00C44C0C" w:rsidRPr="00131EED" w:rsidRDefault="00C44C0C" w:rsidP="001445F2">
      <w:pPr>
        <w:rPr>
          <w:rFonts w:ascii="Baskerville" w:eastAsia="Century Gothic" w:hAnsi="Baskerville" w:cs="Arial"/>
        </w:rPr>
      </w:pPr>
    </w:p>
    <w:p w14:paraId="3EEA6758" w14:textId="77777777" w:rsidR="00C44C0C" w:rsidRPr="00131EED" w:rsidRDefault="00C44C0C" w:rsidP="001445F2">
      <w:pPr>
        <w:rPr>
          <w:rFonts w:ascii="Baskerville" w:eastAsia="Century Gothic" w:hAnsi="Baskerville" w:cs="Arial"/>
        </w:rPr>
      </w:pPr>
    </w:p>
    <w:p w14:paraId="201DE314" w14:textId="77777777" w:rsidR="00C44C0C" w:rsidRPr="00131EED" w:rsidRDefault="00C44C0C" w:rsidP="001445F2">
      <w:pPr>
        <w:rPr>
          <w:rFonts w:ascii="Baskerville" w:eastAsia="Century Gothic" w:hAnsi="Baskerville" w:cs="Arial"/>
        </w:rPr>
      </w:pPr>
    </w:p>
    <w:p w14:paraId="4F094505" w14:textId="17749EB7" w:rsidR="00B84AD8" w:rsidRPr="00131EED" w:rsidRDefault="00B84AD8" w:rsidP="001445F2">
      <w:pPr>
        <w:rPr>
          <w:rFonts w:ascii="Baskerville" w:eastAsia="Century Gothic" w:hAnsi="Baskerville" w:cs="Arial"/>
        </w:rPr>
      </w:pPr>
    </w:p>
    <w:p w14:paraId="71854805" w14:textId="56362F1F" w:rsidR="00B84AD8" w:rsidRPr="00131EED" w:rsidRDefault="002D1BB2" w:rsidP="00C44C0C">
      <w:pPr>
        <w:pStyle w:val="Caption"/>
        <w:jc w:val="center"/>
        <w:rPr>
          <w:rFonts w:ascii="Baskerville" w:eastAsia="Century Gothic" w:hAnsi="Baskerville"/>
        </w:rPr>
      </w:pPr>
      <w:bookmarkStart w:id="210" w:name="_Ref211336666"/>
      <w:bookmarkStart w:id="211" w:name="_Toc216468819"/>
      <w:r w:rsidRPr="00131EED">
        <w:t xml:space="preserve">Ilustración </w:t>
      </w:r>
      <w:fldSimple w:instr=" SEQ Ilustración \* ARABIC ">
        <w:r w:rsidR="00CE096F">
          <w:rPr>
            <w:noProof/>
          </w:rPr>
          <w:t>54</w:t>
        </w:r>
      </w:fldSimple>
      <w:bookmarkEnd w:id="210"/>
      <w:r w:rsidRPr="00131EED">
        <w:t>. Resultado de cada una de las variables analizadas para la identificación de prioridades de restauración ecológica en la Sabana de Bogotá.</w:t>
      </w:r>
      <w:bookmarkEnd w:id="21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2"/>
        <w:gridCol w:w="2943"/>
        <w:gridCol w:w="2943"/>
      </w:tblGrid>
      <w:tr w:rsidR="008B056B" w:rsidRPr="00131EED" w14:paraId="1AA7E13C" w14:textId="77777777" w:rsidTr="002D1BB2">
        <w:tc>
          <w:tcPr>
            <w:tcW w:w="2942" w:type="dxa"/>
          </w:tcPr>
          <w:p w14:paraId="0979F564" w14:textId="77777777" w:rsidR="00B84AD8" w:rsidRPr="00131EED" w:rsidRDefault="00B84AD8" w:rsidP="00B84AD8">
            <w:pPr>
              <w:rPr>
                <w:rFonts w:eastAsia="Century Gothic" w:cs="Arial"/>
                <w:sz w:val="20"/>
                <w:szCs w:val="20"/>
              </w:rPr>
            </w:pPr>
            <w:r w:rsidRPr="00131EED">
              <w:rPr>
                <w:rFonts w:eastAsia="Century Gothic" w:cs="Arial"/>
                <w:sz w:val="20"/>
                <w:szCs w:val="20"/>
              </w:rPr>
              <w:t>Áreas protegidas e iniciativas de conservación in situ</w:t>
            </w:r>
          </w:p>
          <w:p w14:paraId="68047C4E" w14:textId="7DC9F1E9" w:rsidR="00B84AD8" w:rsidRPr="00131EED" w:rsidRDefault="00EF4109" w:rsidP="001445F2">
            <w:pPr>
              <w:rPr>
                <w:rFonts w:eastAsia="Century Gothic" w:cs="Arial"/>
                <w:sz w:val="20"/>
                <w:szCs w:val="20"/>
              </w:rPr>
            </w:pPr>
            <w:r w:rsidRPr="00131EED">
              <w:rPr>
                <w:rFonts w:eastAsia="Century Gothic" w:cs="Arial"/>
                <w:noProof/>
                <w:sz w:val="20"/>
                <w:szCs w:val="20"/>
                <w:lang w:eastAsia="en-US"/>
              </w:rPr>
              <w:drawing>
                <wp:inline distT="0" distB="0" distL="0" distR="0" wp14:anchorId="4752851C" wp14:editId="0C2BF6D1">
                  <wp:extent cx="1680724" cy="2379600"/>
                  <wp:effectExtent l="0" t="0" r="0" b="1905"/>
                  <wp:docPr id="1079151299"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151299" name="Imagen 1079151299"/>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680724" cy="2379600"/>
                          </a:xfrm>
                          <a:prstGeom prst="rect">
                            <a:avLst/>
                          </a:prstGeom>
                        </pic:spPr>
                      </pic:pic>
                    </a:graphicData>
                  </a:graphic>
                </wp:inline>
              </w:drawing>
            </w:r>
          </w:p>
          <w:p w14:paraId="7763D17B" w14:textId="5C19DD78" w:rsidR="002D1BB2" w:rsidRPr="00131EED" w:rsidRDefault="00904C78" w:rsidP="001445F2">
            <w:pPr>
              <w:rPr>
                <w:rFonts w:eastAsia="Century Gothic" w:cs="Arial"/>
                <w:sz w:val="20"/>
                <w:szCs w:val="20"/>
              </w:rPr>
            </w:pPr>
            <w:r w:rsidRPr="00131EED">
              <w:rPr>
                <w:rFonts w:eastAsia="Century Gothic" w:cs="Arial"/>
                <w:sz w:val="20"/>
                <w:szCs w:val="20"/>
              </w:rPr>
              <w:t>82.573</w:t>
            </w:r>
            <w:r w:rsidR="002D1BB2" w:rsidRPr="00131EED">
              <w:rPr>
                <w:rFonts w:eastAsia="Century Gothic" w:cs="Arial"/>
                <w:sz w:val="20"/>
                <w:szCs w:val="20"/>
              </w:rPr>
              <w:t xml:space="preserve"> hectáreas</w:t>
            </w:r>
          </w:p>
          <w:p w14:paraId="54C41BA3" w14:textId="77777777" w:rsidR="00B84AD8" w:rsidRPr="00131EED" w:rsidRDefault="00B84AD8" w:rsidP="001445F2">
            <w:pPr>
              <w:rPr>
                <w:rFonts w:eastAsia="Century Gothic" w:cs="Arial"/>
                <w:sz w:val="20"/>
                <w:szCs w:val="20"/>
              </w:rPr>
            </w:pPr>
          </w:p>
        </w:tc>
        <w:tc>
          <w:tcPr>
            <w:tcW w:w="2943" w:type="dxa"/>
          </w:tcPr>
          <w:p w14:paraId="55869972" w14:textId="77777777" w:rsidR="002D1BB2" w:rsidRPr="00131EED" w:rsidRDefault="002D1BB2" w:rsidP="001445F2">
            <w:pPr>
              <w:rPr>
                <w:rFonts w:eastAsia="Century Gothic" w:cs="Arial"/>
                <w:sz w:val="20"/>
                <w:szCs w:val="20"/>
              </w:rPr>
            </w:pPr>
            <w:r w:rsidRPr="00131EED">
              <w:rPr>
                <w:rFonts w:eastAsia="Century Gothic" w:cs="Arial"/>
                <w:sz w:val="20"/>
                <w:szCs w:val="20"/>
              </w:rPr>
              <w:t>Páramos y subxerofitia</w:t>
            </w:r>
          </w:p>
          <w:p w14:paraId="758DB5A1" w14:textId="77777777" w:rsidR="002D1BB2" w:rsidRPr="00131EED" w:rsidRDefault="002D1BB2" w:rsidP="001445F2">
            <w:pPr>
              <w:rPr>
                <w:rFonts w:eastAsia="Century Gothic" w:cs="Arial"/>
                <w:sz w:val="20"/>
                <w:szCs w:val="20"/>
              </w:rPr>
            </w:pPr>
          </w:p>
          <w:p w14:paraId="2C30EAB5" w14:textId="192D1074" w:rsidR="002D1BB2" w:rsidRPr="00131EED" w:rsidRDefault="001C0E56" w:rsidP="001445F2">
            <w:pPr>
              <w:rPr>
                <w:rFonts w:eastAsia="Century Gothic" w:cs="Arial"/>
                <w:sz w:val="20"/>
                <w:szCs w:val="20"/>
              </w:rPr>
            </w:pPr>
            <w:r w:rsidRPr="00131EED">
              <w:rPr>
                <w:rFonts w:eastAsia="Century Gothic" w:cs="Arial"/>
                <w:noProof/>
                <w:sz w:val="20"/>
                <w:szCs w:val="20"/>
                <w:lang w:eastAsia="en-US"/>
              </w:rPr>
              <w:drawing>
                <wp:inline distT="0" distB="0" distL="0" distR="0" wp14:anchorId="70DCE0BE" wp14:editId="115BDCA2">
                  <wp:extent cx="1680724" cy="2379600"/>
                  <wp:effectExtent l="0" t="0" r="0" b="1905"/>
                  <wp:docPr id="1358183833"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183833" name="Imagen 1358183833"/>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680724" cy="2379600"/>
                          </a:xfrm>
                          <a:prstGeom prst="rect">
                            <a:avLst/>
                          </a:prstGeom>
                        </pic:spPr>
                      </pic:pic>
                    </a:graphicData>
                  </a:graphic>
                </wp:inline>
              </w:drawing>
            </w:r>
          </w:p>
          <w:p w14:paraId="02651BFA" w14:textId="1A5600A8" w:rsidR="00B84AD8" w:rsidRPr="00131EED" w:rsidRDefault="001B0BF1" w:rsidP="001445F2">
            <w:pPr>
              <w:rPr>
                <w:rFonts w:eastAsia="Century Gothic" w:cs="Arial"/>
                <w:sz w:val="20"/>
                <w:szCs w:val="20"/>
              </w:rPr>
            </w:pPr>
            <w:r w:rsidRPr="00131EED">
              <w:rPr>
                <w:rFonts w:eastAsia="Century Gothic" w:cs="Arial"/>
                <w:sz w:val="20"/>
                <w:szCs w:val="20"/>
              </w:rPr>
              <w:t>37.560</w:t>
            </w:r>
            <w:r w:rsidR="002D1BB2" w:rsidRPr="00131EED">
              <w:rPr>
                <w:rFonts w:eastAsia="Century Gothic" w:cs="Arial"/>
                <w:sz w:val="20"/>
                <w:szCs w:val="20"/>
              </w:rPr>
              <w:t xml:space="preserve"> hectáre</w:t>
            </w:r>
            <w:r w:rsidR="00603877" w:rsidRPr="00131EED">
              <w:rPr>
                <w:rFonts w:eastAsia="Century Gothic" w:cs="Arial"/>
                <w:sz w:val="20"/>
                <w:szCs w:val="20"/>
              </w:rPr>
              <w:t>a</w:t>
            </w:r>
            <w:r w:rsidR="002D1BB2" w:rsidRPr="00131EED">
              <w:rPr>
                <w:rFonts w:eastAsia="Century Gothic" w:cs="Arial"/>
                <w:sz w:val="20"/>
                <w:szCs w:val="20"/>
              </w:rPr>
              <w:t>s</w:t>
            </w:r>
          </w:p>
        </w:tc>
        <w:tc>
          <w:tcPr>
            <w:tcW w:w="2943" w:type="dxa"/>
          </w:tcPr>
          <w:p w14:paraId="3DFF18DF" w14:textId="77777777" w:rsidR="002D1BB2" w:rsidRPr="00131EED" w:rsidRDefault="002D1BB2" w:rsidP="001445F2">
            <w:pPr>
              <w:rPr>
                <w:rFonts w:eastAsia="Century Gothic" w:cs="Arial"/>
                <w:sz w:val="20"/>
                <w:szCs w:val="20"/>
              </w:rPr>
            </w:pPr>
            <w:r w:rsidRPr="00131EED">
              <w:rPr>
                <w:rFonts w:eastAsia="Century Gothic" w:cs="Arial"/>
                <w:sz w:val="20"/>
                <w:szCs w:val="20"/>
              </w:rPr>
              <w:t>Áreas de Especial Importancia para el recurso hídrico</w:t>
            </w:r>
          </w:p>
          <w:p w14:paraId="5ACEF627" w14:textId="78548419" w:rsidR="002D1BB2" w:rsidRPr="00131EED" w:rsidRDefault="0020462C" w:rsidP="001445F2">
            <w:pPr>
              <w:rPr>
                <w:rFonts w:eastAsia="Century Gothic" w:cs="Arial"/>
                <w:sz w:val="20"/>
                <w:szCs w:val="20"/>
              </w:rPr>
            </w:pPr>
            <w:r w:rsidRPr="00131EED">
              <w:rPr>
                <w:rFonts w:eastAsia="Century Gothic" w:cs="Arial"/>
                <w:noProof/>
                <w:sz w:val="20"/>
                <w:szCs w:val="20"/>
                <w:lang w:eastAsia="en-US"/>
              </w:rPr>
              <w:drawing>
                <wp:inline distT="0" distB="0" distL="0" distR="0" wp14:anchorId="5D5CA2CC" wp14:editId="6E4CBF82">
                  <wp:extent cx="1680724" cy="2379600"/>
                  <wp:effectExtent l="0" t="0" r="0" b="1905"/>
                  <wp:docPr id="1242592933"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592933" name="Imagen 1242592933"/>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1680724" cy="2379600"/>
                          </a:xfrm>
                          <a:prstGeom prst="rect">
                            <a:avLst/>
                          </a:prstGeom>
                        </pic:spPr>
                      </pic:pic>
                    </a:graphicData>
                  </a:graphic>
                </wp:inline>
              </w:drawing>
            </w:r>
          </w:p>
          <w:p w14:paraId="7BEEFE8A" w14:textId="57D96153" w:rsidR="00B84AD8" w:rsidRPr="00131EED" w:rsidRDefault="004D255B" w:rsidP="001445F2">
            <w:pPr>
              <w:rPr>
                <w:rFonts w:eastAsia="Century Gothic" w:cs="Arial"/>
                <w:sz w:val="20"/>
                <w:szCs w:val="20"/>
              </w:rPr>
            </w:pPr>
            <w:r w:rsidRPr="00131EED">
              <w:rPr>
                <w:rFonts w:eastAsia="Century Gothic" w:cs="Arial"/>
                <w:sz w:val="20"/>
                <w:szCs w:val="20"/>
              </w:rPr>
              <w:t>117.096</w:t>
            </w:r>
            <w:r w:rsidR="002D1BB2" w:rsidRPr="00131EED">
              <w:rPr>
                <w:rFonts w:eastAsia="Century Gothic" w:cs="Arial"/>
                <w:sz w:val="20"/>
                <w:szCs w:val="20"/>
              </w:rPr>
              <w:t xml:space="preserve"> hectáreas</w:t>
            </w:r>
          </w:p>
        </w:tc>
      </w:tr>
      <w:tr w:rsidR="008B056B" w:rsidRPr="00131EED" w14:paraId="1A1B5A45" w14:textId="77777777" w:rsidTr="002D1BB2">
        <w:tc>
          <w:tcPr>
            <w:tcW w:w="2942" w:type="dxa"/>
          </w:tcPr>
          <w:p w14:paraId="486E0EDC" w14:textId="77777777" w:rsidR="002D1BB2" w:rsidRPr="00131EED" w:rsidRDefault="002D1BB2" w:rsidP="001445F2">
            <w:pPr>
              <w:rPr>
                <w:rFonts w:eastAsia="Century Gothic" w:cs="Arial"/>
                <w:sz w:val="20"/>
                <w:szCs w:val="20"/>
              </w:rPr>
            </w:pPr>
            <w:r w:rsidRPr="00131EED">
              <w:rPr>
                <w:rFonts w:eastAsia="Century Gothic" w:cs="Arial"/>
                <w:sz w:val="20"/>
                <w:szCs w:val="20"/>
              </w:rPr>
              <w:t>Nodos de restauración RFPP Cuenca Alta del río Bogotá</w:t>
            </w:r>
          </w:p>
          <w:p w14:paraId="3584D215" w14:textId="77777777" w:rsidR="002D1BB2" w:rsidRPr="00131EED" w:rsidRDefault="002D1BB2" w:rsidP="001445F2">
            <w:pPr>
              <w:rPr>
                <w:rFonts w:eastAsia="Century Gothic" w:cs="Arial"/>
                <w:sz w:val="20"/>
                <w:szCs w:val="20"/>
              </w:rPr>
            </w:pPr>
          </w:p>
          <w:p w14:paraId="5A5C05CC" w14:textId="761EAFE2" w:rsidR="002D1BB2" w:rsidRPr="00131EED" w:rsidRDefault="008B056B" w:rsidP="001445F2">
            <w:pPr>
              <w:rPr>
                <w:rFonts w:eastAsia="Century Gothic" w:cs="Arial"/>
                <w:sz w:val="20"/>
                <w:szCs w:val="20"/>
              </w:rPr>
            </w:pPr>
            <w:r w:rsidRPr="00131EED">
              <w:rPr>
                <w:rFonts w:eastAsia="Century Gothic" w:cs="Arial"/>
                <w:noProof/>
                <w:sz w:val="20"/>
                <w:szCs w:val="20"/>
                <w:lang w:eastAsia="en-US"/>
              </w:rPr>
              <w:drawing>
                <wp:inline distT="0" distB="0" distL="0" distR="0" wp14:anchorId="124E7414" wp14:editId="7F5B5805">
                  <wp:extent cx="1680724" cy="2379600"/>
                  <wp:effectExtent l="0" t="0" r="0" b="1905"/>
                  <wp:docPr id="29576391"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76391" name="Imagen 29576391"/>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680724" cy="2379600"/>
                          </a:xfrm>
                          <a:prstGeom prst="rect">
                            <a:avLst/>
                          </a:prstGeom>
                        </pic:spPr>
                      </pic:pic>
                    </a:graphicData>
                  </a:graphic>
                </wp:inline>
              </w:drawing>
            </w:r>
          </w:p>
          <w:p w14:paraId="1622146E" w14:textId="28979B44" w:rsidR="002D1BB2" w:rsidRPr="00131EED" w:rsidRDefault="002D1BB2" w:rsidP="001445F2">
            <w:pPr>
              <w:rPr>
                <w:rFonts w:eastAsia="Century Gothic" w:cs="Arial"/>
                <w:sz w:val="20"/>
                <w:szCs w:val="20"/>
              </w:rPr>
            </w:pPr>
            <w:r w:rsidRPr="00131EED">
              <w:rPr>
                <w:rFonts w:eastAsia="Century Gothic" w:cs="Arial"/>
                <w:sz w:val="20"/>
                <w:szCs w:val="20"/>
              </w:rPr>
              <w:t>13.6</w:t>
            </w:r>
            <w:r w:rsidR="00C5782E" w:rsidRPr="00131EED">
              <w:rPr>
                <w:rFonts w:eastAsia="Century Gothic" w:cs="Arial"/>
                <w:sz w:val="20"/>
                <w:szCs w:val="20"/>
              </w:rPr>
              <w:t>04</w:t>
            </w:r>
            <w:r w:rsidRPr="00131EED">
              <w:rPr>
                <w:rFonts w:eastAsia="Century Gothic" w:cs="Arial"/>
                <w:sz w:val="20"/>
                <w:szCs w:val="20"/>
              </w:rPr>
              <w:t xml:space="preserve"> hectáreas</w:t>
            </w:r>
          </w:p>
          <w:p w14:paraId="357870F9" w14:textId="77777777" w:rsidR="00B84AD8" w:rsidRPr="00131EED" w:rsidRDefault="00B84AD8" w:rsidP="001445F2">
            <w:pPr>
              <w:rPr>
                <w:rFonts w:eastAsia="Century Gothic" w:cs="Arial"/>
                <w:sz w:val="20"/>
                <w:szCs w:val="20"/>
              </w:rPr>
            </w:pPr>
          </w:p>
        </w:tc>
        <w:tc>
          <w:tcPr>
            <w:tcW w:w="2943" w:type="dxa"/>
          </w:tcPr>
          <w:p w14:paraId="60E6A632" w14:textId="77777777" w:rsidR="002D1BB2" w:rsidRPr="00131EED" w:rsidRDefault="002D1BB2" w:rsidP="001445F2">
            <w:pPr>
              <w:rPr>
                <w:rFonts w:eastAsia="Century Gothic" w:cs="Arial"/>
                <w:sz w:val="20"/>
                <w:szCs w:val="20"/>
              </w:rPr>
            </w:pPr>
            <w:r w:rsidRPr="00131EED">
              <w:rPr>
                <w:rFonts w:eastAsia="Century Gothic" w:cs="Arial"/>
                <w:sz w:val="20"/>
                <w:szCs w:val="20"/>
              </w:rPr>
              <w:t>Zonas identificadas para restauración según zonificación POMCA</w:t>
            </w:r>
          </w:p>
          <w:p w14:paraId="470BF532" w14:textId="69DD3BFA" w:rsidR="002D1BB2" w:rsidRPr="00131EED" w:rsidRDefault="00F43163" w:rsidP="001445F2">
            <w:pPr>
              <w:rPr>
                <w:rFonts w:eastAsia="Century Gothic" w:cs="Arial"/>
                <w:sz w:val="20"/>
                <w:szCs w:val="20"/>
              </w:rPr>
            </w:pPr>
            <w:r w:rsidRPr="00131EED">
              <w:rPr>
                <w:rFonts w:eastAsia="Century Gothic" w:cs="Arial"/>
                <w:noProof/>
                <w:sz w:val="20"/>
                <w:szCs w:val="20"/>
                <w:lang w:eastAsia="en-US"/>
              </w:rPr>
              <w:drawing>
                <wp:inline distT="0" distB="0" distL="0" distR="0" wp14:anchorId="6752D982" wp14:editId="78701826">
                  <wp:extent cx="1680724" cy="2379600"/>
                  <wp:effectExtent l="0" t="0" r="0" b="1905"/>
                  <wp:docPr id="698655515"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655515" name="Imagen 698655515"/>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680724" cy="2379600"/>
                          </a:xfrm>
                          <a:prstGeom prst="rect">
                            <a:avLst/>
                          </a:prstGeom>
                        </pic:spPr>
                      </pic:pic>
                    </a:graphicData>
                  </a:graphic>
                </wp:inline>
              </w:drawing>
            </w:r>
          </w:p>
          <w:p w14:paraId="6892C072" w14:textId="042F8EDC" w:rsidR="00B84AD8" w:rsidRPr="00131EED" w:rsidRDefault="00A11DDC" w:rsidP="001445F2">
            <w:pPr>
              <w:rPr>
                <w:rFonts w:eastAsia="Century Gothic" w:cs="Arial"/>
                <w:sz w:val="20"/>
                <w:szCs w:val="20"/>
              </w:rPr>
            </w:pPr>
            <w:r w:rsidRPr="00131EED">
              <w:rPr>
                <w:rFonts w:eastAsia="Century Gothic" w:cs="Arial"/>
                <w:sz w:val="20"/>
                <w:szCs w:val="20"/>
              </w:rPr>
              <w:t>82.178</w:t>
            </w:r>
            <w:r w:rsidR="002D1BB2" w:rsidRPr="00131EED">
              <w:rPr>
                <w:rFonts w:eastAsia="Century Gothic" w:cs="Arial"/>
                <w:sz w:val="20"/>
                <w:szCs w:val="20"/>
              </w:rPr>
              <w:t xml:space="preserve"> hectáreas</w:t>
            </w:r>
          </w:p>
        </w:tc>
        <w:tc>
          <w:tcPr>
            <w:tcW w:w="2943" w:type="dxa"/>
          </w:tcPr>
          <w:p w14:paraId="32202234" w14:textId="77777777" w:rsidR="002D1BB2" w:rsidRPr="00131EED" w:rsidRDefault="002D1BB2" w:rsidP="001445F2">
            <w:pPr>
              <w:rPr>
                <w:rFonts w:eastAsia="Century Gothic" w:cs="Arial"/>
                <w:sz w:val="20"/>
                <w:szCs w:val="20"/>
              </w:rPr>
            </w:pPr>
            <w:r w:rsidRPr="00131EED">
              <w:rPr>
                <w:rFonts w:eastAsia="Century Gothic" w:cs="Arial"/>
                <w:sz w:val="20"/>
                <w:szCs w:val="20"/>
              </w:rPr>
              <w:t>Corredores de aves identificados en Sabana de Bogotá</w:t>
            </w:r>
          </w:p>
          <w:p w14:paraId="11B1AC00" w14:textId="77777777" w:rsidR="002D1BB2" w:rsidRPr="00131EED" w:rsidRDefault="002D1BB2" w:rsidP="001445F2">
            <w:pPr>
              <w:rPr>
                <w:rFonts w:eastAsia="Century Gothic" w:cs="Arial"/>
                <w:sz w:val="20"/>
                <w:szCs w:val="20"/>
              </w:rPr>
            </w:pPr>
          </w:p>
          <w:p w14:paraId="647032D1" w14:textId="23399EB7" w:rsidR="002D1BB2" w:rsidRPr="00131EED" w:rsidRDefault="00061F61" w:rsidP="001445F2">
            <w:pPr>
              <w:rPr>
                <w:rFonts w:eastAsia="Century Gothic" w:cs="Arial"/>
                <w:sz w:val="20"/>
                <w:szCs w:val="20"/>
              </w:rPr>
            </w:pPr>
            <w:r w:rsidRPr="00131EED">
              <w:rPr>
                <w:rFonts w:eastAsia="Century Gothic" w:cs="Arial"/>
                <w:noProof/>
                <w:sz w:val="20"/>
                <w:szCs w:val="20"/>
                <w:lang w:eastAsia="en-US"/>
              </w:rPr>
              <w:drawing>
                <wp:inline distT="0" distB="0" distL="0" distR="0" wp14:anchorId="748A9E74" wp14:editId="7C4B8667">
                  <wp:extent cx="1680724" cy="2379600"/>
                  <wp:effectExtent l="0" t="0" r="0" b="1905"/>
                  <wp:docPr id="34235111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351118" name="Imagen 342351118"/>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680724" cy="2379600"/>
                          </a:xfrm>
                          <a:prstGeom prst="rect">
                            <a:avLst/>
                          </a:prstGeom>
                        </pic:spPr>
                      </pic:pic>
                    </a:graphicData>
                  </a:graphic>
                </wp:inline>
              </w:drawing>
            </w:r>
          </w:p>
          <w:p w14:paraId="18CBE659" w14:textId="06C4549C" w:rsidR="002D1BB2" w:rsidRPr="00131EED" w:rsidRDefault="00D440D2" w:rsidP="002D1BB2">
            <w:pPr>
              <w:rPr>
                <w:rFonts w:eastAsia="Century Gothic" w:cs="Arial"/>
                <w:sz w:val="20"/>
                <w:szCs w:val="20"/>
              </w:rPr>
            </w:pPr>
            <w:r w:rsidRPr="00131EED">
              <w:rPr>
                <w:rFonts w:eastAsia="Century Gothic" w:cs="Arial"/>
                <w:sz w:val="20"/>
                <w:szCs w:val="20"/>
              </w:rPr>
              <w:t>214.987</w:t>
            </w:r>
            <w:r w:rsidR="002D1BB2" w:rsidRPr="00131EED">
              <w:rPr>
                <w:rFonts w:eastAsia="Century Gothic" w:cs="Arial"/>
                <w:sz w:val="20"/>
                <w:szCs w:val="20"/>
              </w:rPr>
              <w:t xml:space="preserve"> hectáreas</w:t>
            </w:r>
          </w:p>
          <w:p w14:paraId="60EDB3E6" w14:textId="77777777" w:rsidR="00B84AD8" w:rsidRPr="00131EED" w:rsidRDefault="00B84AD8" w:rsidP="001445F2">
            <w:pPr>
              <w:rPr>
                <w:rFonts w:eastAsia="Century Gothic" w:cs="Arial"/>
                <w:sz w:val="20"/>
                <w:szCs w:val="20"/>
              </w:rPr>
            </w:pPr>
          </w:p>
        </w:tc>
      </w:tr>
    </w:tbl>
    <w:p w14:paraId="01DF279C" w14:textId="7834F622" w:rsidR="00B84AD8" w:rsidRPr="00131EED" w:rsidRDefault="002D1BB2" w:rsidP="002D1BB2">
      <w:pPr>
        <w:jc w:val="center"/>
        <w:rPr>
          <w:rFonts w:ascii="Baskerville" w:eastAsia="Century Gothic" w:hAnsi="Baskerville" w:cs="Arial"/>
        </w:rPr>
      </w:pPr>
      <w:r w:rsidRPr="00131EED">
        <w:rPr>
          <w:rFonts w:eastAsia="Century Gothic"/>
          <w:lang w:eastAsia="en-US"/>
        </w:rPr>
        <w:t>Fuente: MinAmbiente, 2024.</w:t>
      </w:r>
    </w:p>
    <w:p w14:paraId="35927E82" w14:textId="40EB22C6" w:rsidR="007523E8" w:rsidRPr="00131EED" w:rsidRDefault="007523E8" w:rsidP="001445F2">
      <w:pPr>
        <w:rPr>
          <w:rFonts w:ascii="Baskerville" w:eastAsia="Century Gothic" w:hAnsi="Baskerville" w:cs="Arial"/>
        </w:rPr>
      </w:pPr>
    </w:p>
    <w:p w14:paraId="17A1EE3C" w14:textId="6E4CF277" w:rsidR="007523E8" w:rsidRPr="00131EED" w:rsidRDefault="007523E8" w:rsidP="001445F2">
      <w:pPr>
        <w:rPr>
          <w:rFonts w:eastAsia="Century Gothic" w:cs="Arial"/>
        </w:rPr>
      </w:pPr>
    </w:p>
    <w:p w14:paraId="0961B048" w14:textId="354B287E" w:rsidR="002D1BB2" w:rsidRPr="00131EED" w:rsidRDefault="002D1BB2" w:rsidP="001445F2">
      <w:pPr>
        <w:rPr>
          <w:rFonts w:eastAsia="Century Gothic" w:cs="Arial"/>
        </w:rPr>
      </w:pPr>
    </w:p>
    <w:p w14:paraId="1F5D3108" w14:textId="2FC53CE4" w:rsidR="002D1BB2" w:rsidRPr="00131EED" w:rsidRDefault="002D1BB2" w:rsidP="001445F2">
      <w:pPr>
        <w:rPr>
          <w:rFonts w:eastAsia="Century Gothic" w:cs="Arial"/>
        </w:rPr>
      </w:pPr>
      <w:r w:rsidRPr="00131EED">
        <w:rPr>
          <w:rFonts w:eastAsia="Century Gothic" w:cs="Arial"/>
        </w:rPr>
        <w:t>El resultado de este análisis permitió identificar que en la Sabana de Bogotá es prioritario realizar la restauración ecológica en 1</w:t>
      </w:r>
      <w:r w:rsidR="00914BC1" w:rsidRPr="00131EED">
        <w:rPr>
          <w:rFonts w:eastAsia="Century Gothic" w:cs="Arial"/>
        </w:rPr>
        <w:t xml:space="preserve">4.707 </w:t>
      </w:r>
      <w:r w:rsidRPr="00131EED">
        <w:rPr>
          <w:rFonts w:eastAsia="Century Gothic" w:cs="Arial"/>
        </w:rPr>
        <w:t>hectáreas, en jurisdicción de 1</w:t>
      </w:r>
      <w:r w:rsidR="00C841D4" w:rsidRPr="00131EED">
        <w:rPr>
          <w:rFonts w:eastAsia="Century Gothic" w:cs="Arial"/>
        </w:rPr>
        <w:t>7</w:t>
      </w:r>
      <w:r w:rsidRPr="00131EED">
        <w:rPr>
          <w:rFonts w:eastAsia="Century Gothic" w:cs="Arial"/>
        </w:rPr>
        <w:t xml:space="preserve"> municipios, siendo los municipios de Chocontá y </w:t>
      </w:r>
      <w:r w:rsidR="008002A0" w:rsidRPr="00131EED">
        <w:rPr>
          <w:rFonts w:eastAsia="Century Gothic" w:cs="Arial"/>
        </w:rPr>
        <w:t>Guasca</w:t>
      </w:r>
      <w:r w:rsidRPr="00131EED">
        <w:rPr>
          <w:rFonts w:eastAsia="Century Gothic" w:cs="Arial"/>
        </w:rPr>
        <w:t xml:space="preserve"> los que más áreas prioritarias obtuvieron.</w:t>
      </w:r>
    </w:p>
    <w:p w14:paraId="57146143" w14:textId="7684377F" w:rsidR="002D1BB2" w:rsidRPr="00131EED" w:rsidRDefault="002D1BB2" w:rsidP="001445F2">
      <w:pPr>
        <w:rPr>
          <w:rFonts w:eastAsia="Century Gothic" w:cs="Arial"/>
        </w:rPr>
      </w:pPr>
    </w:p>
    <w:p w14:paraId="4951EC69" w14:textId="444EC5C5" w:rsidR="002D1BB2" w:rsidRPr="00131EED" w:rsidRDefault="002D1BB2" w:rsidP="001445F2">
      <w:pPr>
        <w:rPr>
          <w:rFonts w:eastAsia="Century Gothic" w:cs="Arial"/>
        </w:rPr>
      </w:pPr>
      <w:r w:rsidRPr="00131EED">
        <w:rPr>
          <w:rFonts w:eastAsia="Century Gothic" w:cs="Arial"/>
        </w:rPr>
        <w:t xml:space="preserve">Dentro de estas áreas, se identifican principalmente ecosistemas de páramo, bosques subxerofíticos, bosques andinos y áreas protegidas. El detalle de las áreas se puede observar en la </w:t>
      </w:r>
      <w:r w:rsidR="00EC51AC" w:rsidRPr="00131EED">
        <w:rPr>
          <w:rFonts w:eastAsia="Century Gothic" w:cs="Arial"/>
        </w:rPr>
        <w:fldChar w:fldCharType="begin"/>
      </w:r>
      <w:r w:rsidR="00EC51AC" w:rsidRPr="00131EED">
        <w:rPr>
          <w:rFonts w:eastAsia="Century Gothic" w:cs="Arial"/>
        </w:rPr>
        <w:instrText xml:space="preserve"> REF _Ref210944012 \h </w:instrText>
      </w:r>
      <w:r w:rsidR="004A11FA" w:rsidRPr="00131EED">
        <w:rPr>
          <w:rFonts w:eastAsia="Century Gothic" w:cs="Arial"/>
        </w:rPr>
        <w:instrText xml:space="preserve"> \* MERGEFORMAT </w:instrText>
      </w:r>
      <w:r w:rsidR="00EC51AC" w:rsidRPr="00131EED">
        <w:rPr>
          <w:rFonts w:eastAsia="Century Gothic" w:cs="Arial"/>
        </w:rPr>
      </w:r>
      <w:r w:rsidR="00EC51AC" w:rsidRPr="00131EED">
        <w:rPr>
          <w:rFonts w:eastAsia="Century Gothic" w:cs="Arial"/>
        </w:rPr>
        <w:fldChar w:fldCharType="separate"/>
      </w:r>
      <w:r w:rsidR="00CE096F" w:rsidRPr="00131EED">
        <w:t xml:space="preserve">Ilustración </w:t>
      </w:r>
      <w:r w:rsidR="00EC51AC" w:rsidRPr="00131EED">
        <w:rPr>
          <w:rFonts w:eastAsia="Century Gothic" w:cs="Arial"/>
        </w:rPr>
        <w:fldChar w:fldCharType="end"/>
      </w:r>
      <w:r w:rsidR="00EC51AC" w:rsidRPr="00131EED">
        <w:rPr>
          <w:rFonts w:eastAsia="Century Gothic" w:cs="Arial"/>
        </w:rPr>
        <w:t xml:space="preserve"> y la extensión de las áreas discriminadas por municipios en la </w:t>
      </w:r>
      <w:r w:rsidR="00EC51AC" w:rsidRPr="00131EED">
        <w:rPr>
          <w:rFonts w:eastAsia="Century Gothic" w:cs="Arial"/>
        </w:rPr>
        <w:fldChar w:fldCharType="begin"/>
      </w:r>
      <w:r w:rsidR="00EC51AC" w:rsidRPr="00131EED">
        <w:rPr>
          <w:rFonts w:eastAsia="Century Gothic" w:cs="Arial"/>
        </w:rPr>
        <w:instrText xml:space="preserve"> REF _Ref210944013 \h </w:instrText>
      </w:r>
      <w:r w:rsidR="004A11FA" w:rsidRPr="00131EED">
        <w:rPr>
          <w:rFonts w:eastAsia="Century Gothic" w:cs="Arial"/>
        </w:rPr>
        <w:instrText xml:space="preserve"> \* MERGEFORMAT </w:instrText>
      </w:r>
      <w:r w:rsidR="00EC51AC" w:rsidRPr="00131EED">
        <w:rPr>
          <w:rFonts w:eastAsia="Century Gothic" w:cs="Arial"/>
        </w:rPr>
      </w:r>
      <w:r w:rsidR="00EC51AC" w:rsidRPr="00131EED">
        <w:rPr>
          <w:rFonts w:eastAsia="Century Gothic" w:cs="Arial"/>
        </w:rPr>
        <w:fldChar w:fldCharType="separate"/>
      </w:r>
      <w:r w:rsidR="00CE096F" w:rsidRPr="00131EED">
        <w:t xml:space="preserve">Ilustración </w:t>
      </w:r>
      <w:r w:rsidR="00EC51AC" w:rsidRPr="00131EED">
        <w:rPr>
          <w:rFonts w:eastAsia="Century Gothic" w:cs="Arial"/>
        </w:rPr>
        <w:fldChar w:fldCharType="end"/>
      </w:r>
      <w:r w:rsidR="00EC51AC" w:rsidRPr="00131EED">
        <w:rPr>
          <w:rFonts w:eastAsia="Century Gothic" w:cs="Arial"/>
        </w:rPr>
        <w:t>.</w:t>
      </w:r>
    </w:p>
    <w:p w14:paraId="458F3683" w14:textId="635B4F6D" w:rsidR="002D1BB2" w:rsidRPr="00131EED" w:rsidRDefault="002D1BB2" w:rsidP="001445F2">
      <w:pPr>
        <w:rPr>
          <w:rFonts w:ascii="Baskerville" w:eastAsia="Century Gothic" w:hAnsi="Baskerville" w:cs="Arial"/>
        </w:rPr>
      </w:pPr>
    </w:p>
    <w:p w14:paraId="7BC1DF49" w14:textId="13AB7E98" w:rsidR="002D1BB2" w:rsidRPr="00131EED" w:rsidRDefault="002D1BB2" w:rsidP="004A11FA">
      <w:pPr>
        <w:pStyle w:val="Caption"/>
        <w:jc w:val="center"/>
        <w:rPr>
          <w:rFonts w:ascii="Baskerville" w:eastAsia="Century Gothic" w:hAnsi="Baskerville"/>
        </w:rPr>
      </w:pPr>
      <w:bookmarkStart w:id="212" w:name="_Ref210944012"/>
      <w:bookmarkStart w:id="213" w:name="_Toc216468820"/>
      <w:r w:rsidRPr="00131EED">
        <w:t xml:space="preserve">Ilustración </w:t>
      </w:r>
      <w:bookmarkEnd w:id="212"/>
      <w:r w:rsidRPr="00131EED">
        <w:fldChar w:fldCharType="begin"/>
      </w:r>
      <w:r w:rsidRPr="00131EED">
        <w:instrText xml:space="preserve"> SEQ Ilustración \* ARABIC </w:instrText>
      </w:r>
      <w:r w:rsidRPr="00131EED">
        <w:fldChar w:fldCharType="separate"/>
      </w:r>
      <w:r w:rsidR="00CE096F">
        <w:rPr>
          <w:noProof/>
        </w:rPr>
        <w:t>55</w:t>
      </w:r>
      <w:r w:rsidRPr="00131EED">
        <w:fldChar w:fldCharType="end"/>
      </w:r>
      <w:r w:rsidRPr="00131EED">
        <w:t>. Áreas identificadas como prioritarias para la restauración ecológica en la Sabana de Bogotá</w:t>
      </w:r>
      <w:bookmarkEnd w:id="213"/>
    </w:p>
    <w:p w14:paraId="260FDF2E" w14:textId="6618C5B7" w:rsidR="002D1BB2" w:rsidRPr="00131EED" w:rsidRDefault="002E3119" w:rsidP="00BC4493">
      <w:pPr>
        <w:jc w:val="center"/>
        <w:rPr>
          <w:rFonts w:ascii="Baskerville" w:eastAsia="Century Gothic" w:hAnsi="Baskerville" w:cs="Arial"/>
        </w:rPr>
      </w:pPr>
      <w:r w:rsidRPr="00131EED">
        <w:rPr>
          <w:rFonts w:ascii="Baskerville" w:eastAsia="Century Gothic" w:hAnsi="Baskerville" w:cs="Arial"/>
          <w:noProof/>
          <w:lang w:eastAsia="en-US"/>
        </w:rPr>
        <w:drawing>
          <wp:inline distT="0" distB="0" distL="0" distR="0" wp14:anchorId="488FF1AC" wp14:editId="4C4B3560">
            <wp:extent cx="3571875" cy="5057124"/>
            <wp:effectExtent l="0" t="0" r="0" b="0"/>
            <wp:docPr id="695514880"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514880" name="Imagen 695514880"/>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3573064" cy="5058807"/>
                    </a:xfrm>
                    <a:prstGeom prst="rect">
                      <a:avLst/>
                    </a:prstGeom>
                  </pic:spPr>
                </pic:pic>
              </a:graphicData>
            </a:graphic>
          </wp:inline>
        </w:drawing>
      </w:r>
    </w:p>
    <w:p w14:paraId="49204A40" w14:textId="77777777" w:rsidR="002D1BB2" w:rsidRPr="00131EED" w:rsidRDefault="002D1BB2" w:rsidP="002D1BB2">
      <w:pPr>
        <w:jc w:val="center"/>
        <w:rPr>
          <w:rFonts w:ascii="Baskerville" w:eastAsia="Century Gothic" w:hAnsi="Baskerville" w:cs="Arial"/>
          <w:sz w:val="20"/>
          <w:szCs w:val="20"/>
        </w:rPr>
      </w:pPr>
      <w:r w:rsidRPr="00131EED">
        <w:rPr>
          <w:rFonts w:eastAsia="Century Gothic"/>
          <w:sz w:val="20"/>
          <w:szCs w:val="20"/>
          <w:lang w:eastAsia="en-US"/>
        </w:rPr>
        <w:t>Fuente: MinAmbiente, 2024.</w:t>
      </w:r>
    </w:p>
    <w:p w14:paraId="3E75F32B" w14:textId="1A64A90A" w:rsidR="002D1BB2" w:rsidRPr="00131EED" w:rsidRDefault="002D1BB2" w:rsidP="001445F2">
      <w:pPr>
        <w:rPr>
          <w:rFonts w:ascii="Baskerville" w:eastAsia="Century Gothic" w:hAnsi="Baskerville" w:cs="Arial"/>
        </w:rPr>
      </w:pPr>
    </w:p>
    <w:p w14:paraId="22B5B02A" w14:textId="2E5D3EDB" w:rsidR="002D1BB2" w:rsidRPr="00131EED" w:rsidRDefault="002D1BB2" w:rsidP="001445F2">
      <w:pPr>
        <w:rPr>
          <w:rFonts w:ascii="Baskerville" w:eastAsia="Century Gothic" w:hAnsi="Baskerville" w:cs="Arial"/>
        </w:rPr>
      </w:pPr>
    </w:p>
    <w:p w14:paraId="67F9854A" w14:textId="07FD8BD8" w:rsidR="002D1BB2" w:rsidRPr="00131EED" w:rsidRDefault="002D1BB2" w:rsidP="006C35C8">
      <w:pPr>
        <w:pStyle w:val="Caption"/>
        <w:jc w:val="center"/>
        <w:rPr>
          <w:rFonts w:ascii="Baskerville" w:eastAsia="Century Gothic" w:hAnsi="Baskerville"/>
        </w:rPr>
      </w:pPr>
      <w:bookmarkStart w:id="214" w:name="_Ref210944013"/>
      <w:bookmarkStart w:id="215" w:name="_Toc216468821"/>
      <w:r w:rsidRPr="00131EED">
        <w:t xml:space="preserve">Ilustración </w:t>
      </w:r>
      <w:bookmarkEnd w:id="214"/>
      <w:r w:rsidRPr="00131EED">
        <w:fldChar w:fldCharType="begin"/>
      </w:r>
      <w:r w:rsidRPr="00131EED">
        <w:instrText xml:space="preserve"> SEQ Ilustración \* ARABIC </w:instrText>
      </w:r>
      <w:r w:rsidRPr="00131EED">
        <w:fldChar w:fldCharType="separate"/>
      </w:r>
      <w:r w:rsidR="00CE096F">
        <w:rPr>
          <w:noProof/>
        </w:rPr>
        <w:t>56</w:t>
      </w:r>
      <w:r w:rsidRPr="00131EED">
        <w:fldChar w:fldCharType="end"/>
      </w:r>
      <w:r w:rsidRPr="00131EED">
        <w:t xml:space="preserve"> Extensión de las áreas prioritarias para la restauración discriminadas por municipios en la Sabana de Bogotá.</w:t>
      </w:r>
      <w:bookmarkEnd w:id="215"/>
    </w:p>
    <w:p w14:paraId="3072695A" w14:textId="02136795" w:rsidR="002D1BB2" w:rsidRPr="00131EED" w:rsidRDefault="00AB1558" w:rsidP="00A215F9">
      <w:pPr>
        <w:jc w:val="center"/>
        <w:rPr>
          <w:rFonts w:ascii="Baskerville" w:eastAsia="Century Gothic" w:hAnsi="Baskerville" w:cs="Arial"/>
        </w:rPr>
      </w:pPr>
      <w:r w:rsidRPr="00131EED">
        <w:rPr>
          <w:rFonts w:ascii="Baskerville" w:eastAsia="Century Gothic" w:hAnsi="Baskerville" w:cs="Arial"/>
          <w:noProof/>
          <w:lang w:eastAsia="en-US"/>
        </w:rPr>
        <w:drawing>
          <wp:inline distT="0" distB="0" distL="0" distR="0" wp14:anchorId="3D796A96" wp14:editId="575B83A7">
            <wp:extent cx="5612130" cy="3777615"/>
            <wp:effectExtent l="0" t="0" r="7620" b="0"/>
            <wp:docPr id="9934328"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328" name="Imagen 1" descr="Gráfico, Gráfico de barras&#10;&#10;El contenido generado por IA puede ser incorrecto."/>
                    <pic:cNvPicPr/>
                  </pic:nvPicPr>
                  <pic:blipFill>
                    <a:blip r:embed="rId106"/>
                    <a:stretch>
                      <a:fillRect/>
                    </a:stretch>
                  </pic:blipFill>
                  <pic:spPr>
                    <a:xfrm>
                      <a:off x="0" y="0"/>
                      <a:ext cx="5612130" cy="3777615"/>
                    </a:xfrm>
                    <a:prstGeom prst="rect">
                      <a:avLst/>
                    </a:prstGeom>
                  </pic:spPr>
                </pic:pic>
              </a:graphicData>
            </a:graphic>
          </wp:inline>
        </w:drawing>
      </w:r>
    </w:p>
    <w:p w14:paraId="64E81A41" w14:textId="77777777" w:rsidR="002D1BB2" w:rsidRPr="00131EED" w:rsidRDefault="002D1BB2" w:rsidP="002D1BB2">
      <w:pPr>
        <w:jc w:val="center"/>
        <w:rPr>
          <w:rFonts w:ascii="Baskerville" w:eastAsia="Century Gothic" w:hAnsi="Baskerville" w:cs="Arial"/>
          <w:sz w:val="20"/>
          <w:szCs w:val="20"/>
        </w:rPr>
      </w:pPr>
      <w:r w:rsidRPr="00131EED">
        <w:rPr>
          <w:rFonts w:eastAsia="Century Gothic"/>
          <w:sz w:val="20"/>
          <w:szCs w:val="20"/>
          <w:lang w:eastAsia="en-US"/>
        </w:rPr>
        <w:t>Fuente: MinAmbiente, 2024.</w:t>
      </w:r>
    </w:p>
    <w:p w14:paraId="5446E1F3" w14:textId="6372B843" w:rsidR="002D1BB2" w:rsidRPr="00131EED" w:rsidRDefault="002D1BB2" w:rsidP="001445F2">
      <w:pPr>
        <w:rPr>
          <w:rFonts w:ascii="Baskerville" w:eastAsia="Century Gothic" w:hAnsi="Baskerville" w:cs="Arial"/>
        </w:rPr>
      </w:pPr>
    </w:p>
    <w:p w14:paraId="18FE9FF7" w14:textId="0313FB0F" w:rsidR="007523E8" w:rsidRPr="00131EED" w:rsidRDefault="007523E8" w:rsidP="001445F2">
      <w:pPr>
        <w:rPr>
          <w:rFonts w:ascii="Baskerville" w:eastAsia="Century Gothic" w:hAnsi="Baskerville" w:cs="Arial"/>
        </w:rPr>
      </w:pPr>
    </w:p>
    <w:p w14:paraId="30930EAB" w14:textId="30AD119F" w:rsidR="007523E8" w:rsidRPr="00131EED" w:rsidRDefault="00EC51AC" w:rsidP="001445F2">
      <w:pPr>
        <w:rPr>
          <w:rFonts w:eastAsia="Century Gothic" w:cs="Arial"/>
        </w:rPr>
      </w:pPr>
      <w:r w:rsidRPr="00131EED">
        <w:rPr>
          <w:rFonts w:eastAsia="Century Gothic" w:cs="Arial"/>
        </w:rPr>
        <w:t>Del anterior análisis se puede concluir la importancia y la urgencia de realizar acciones de restauración ecológica a lo largo de la Sabana de Bogotá, teniendo en cuenta que el 84% de la Sabana cuenta con valores de integridad ecológica en rango bajo y muy bajo, pero además que si no se realizan acciones en corto y mediano plazo, de manera planificada, organizada y direccionada a la recuperación de los ecosistemas estratégicos y a la consolidación de conectores ecológicos que permitan mantener la salud de estos ecosistemas, cada vez se va a ver más comprometida la sostenibilidad de la Sabana, ya que sus impactos aumentan la vulnerabilidad de la región ante la triple crisis planetaria y que finalmente terminará afectando la calidad de vida de los habitantes de la región.</w:t>
      </w:r>
    </w:p>
    <w:p w14:paraId="0A4E5361" w14:textId="77777777" w:rsidR="007523E8" w:rsidRPr="00131EED" w:rsidRDefault="007523E8" w:rsidP="001445F2">
      <w:pPr>
        <w:rPr>
          <w:rFonts w:ascii="Baskerville" w:eastAsia="Century Gothic" w:hAnsi="Baskerville" w:cs="Arial"/>
        </w:rPr>
      </w:pPr>
    </w:p>
    <w:p w14:paraId="2AB71251" w14:textId="77777777" w:rsidR="006C35C8" w:rsidRPr="00131EED" w:rsidRDefault="006C35C8" w:rsidP="001445F2">
      <w:pPr>
        <w:rPr>
          <w:rFonts w:ascii="Baskerville" w:eastAsia="Century Gothic" w:hAnsi="Baskerville" w:cs="Arial"/>
        </w:rPr>
      </w:pPr>
    </w:p>
    <w:p w14:paraId="0E6146CE" w14:textId="1645A512" w:rsidR="003405E7" w:rsidRPr="00131EED" w:rsidRDefault="003405E7" w:rsidP="00410194">
      <w:pPr>
        <w:pStyle w:val="Heading2"/>
        <w:numPr>
          <w:ilvl w:val="1"/>
          <w:numId w:val="31"/>
        </w:numPr>
      </w:pPr>
      <w:bookmarkStart w:id="216" w:name="_Toc216468718"/>
      <w:bookmarkStart w:id="217" w:name="_Toc167294623"/>
      <w:bookmarkStart w:id="218" w:name="_Toc167854510"/>
      <w:r w:rsidRPr="00131EED">
        <w:t xml:space="preserve">Árbol de conflictos sobre pérdida de </w:t>
      </w:r>
      <w:r w:rsidR="004A1FA5" w:rsidRPr="00131EED">
        <w:t>la integridad ecológica</w:t>
      </w:r>
      <w:bookmarkEnd w:id="216"/>
      <w:r w:rsidRPr="00131EED">
        <w:t xml:space="preserve"> </w:t>
      </w:r>
    </w:p>
    <w:bookmarkEnd w:id="217"/>
    <w:bookmarkEnd w:id="218"/>
    <w:p w14:paraId="44E5FCA4" w14:textId="77777777" w:rsidR="003405E7" w:rsidRPr="00131EED" w:rsidRDefault="003405E7" w:rsidP="003405E7">
      <w:pPr>
        <w:rPr>
          <w:rFonts w:ascii="Baskerville" w:eastAsia="Century Gothic" w:hAnsi="Baskerville" w:cs="Arial"/>
        </w:rPr>
      </w:pPr>
    </w:p>
    <w:p w14:paraId="4619F512" w14:textId="77777777" w:rsidR="003405E7" w:rsidRPr="00131EED" w:rsidRDefault="003405E7" w:rsidP="003405E7">
      <w:pPr>
        <w:rPr>
          <w:rFonts w:eastAsia="Century Gothic" w:cs="Arial"/>
        </w:rPr>
      </w:pPr>
      <w:r w:rsidRPr="00131EED">
        <w:rPr>
          <w:rFonts w:eastAsia="Century Gothic" w:cs="Arial"/>
        </w:rPr>
        <w:t>Para el árbol de conflictos se define como problema central la pérdida de integridad ecológica que se presenta en la Ecorregión Sabana de Bogotá, abordando las causas y 5 manifestaciones de esta problemática en la Sabana, i) Ecosistemas estratégicos de la Ecorregión Sabana que no están amparados bajo figuras de protección, ii) Pérdida de integridad ecológica, iii) Pérdida de conectividad y corredores ecológicos iv) Pérdida de especies v) Aumento de especies invasoras.</w:t>
      </w:r>
    </w:p>
    <w:p w14:paraId="6CDB970B" w14:textId="0557DDAE" w:rsidR="003405E7" w:rsidRPr="00131EED" w:rsidRDefault="003405E7" w:rsidP="003405E7">
      <w:pPr>
        <w:rPr>
          <w:rFonts w:eastAsia="Century Gothic" w:cs="Arial"/>
        </w:rPr>
      </w:pPr>
    </w:p>
    <w:p w14:paraId="3F3E633A" w14:textId="4F6EB253" w:rsidR="003405E7" w:rsidRPr="00131EED" w:rsidRDefault="00144777" w:rsidP="00A215F9">
      <w:pPr>
        <w:pStyle w:val="Caption"/>
        <w:jc w:val="center"/>
      </w:pPr>
      <w:bookmarkStart w:id="219" w:name="_Toc216468822"/>
      <w:r w:rsidRPr="00131EED">
        <w:t xml:space="preserve">Ilustración </w:t>
      </w:r>
      <w:r w:rsidRPr="00131EED">
        <w:fldChar w:fldCharType="begin"/>
      </w:r>
      <w:r w:rsidRPr="00131EED">
        <w:instrText>SEQ Ilustración \* ARABIC</w:instrText>
      </w:r>
      <w:r w:rsidRPr="00131EED">
        <w:fldChar w:fldCharType="separate"/>
      </w:r>
      <w:r w:rsidR="00CE096F">
        <w:rPr>
          <w:noProof/>
        </w:rPr>
        <w:t>57</w:t>
      </w:r>
      <w:r w:rsidRPr="00131EED">
        <w:fldChar w:fldCharType="end"/>
      </w:r>
      <w:r w:rsidRPr="00131EED">
        <w:t xml:space="preserve"> </w:t>
      </w:r>
      <w:r w:rsidR="003405E7" w:rsidRPr="00131EED">
        <w:t xml:space="preserve">Árbol de </w:t>
      </w:r>
      <w:r w:rsidR="004A1FA5" w:rsidRPr="00131EED">
        <w:t>conflictos</w:t>
      </w:r>
      <w:r w:rsidR="003405E7" w:rsidRPr="00131EED">
        <w:t>.</w:t>
      </w:r>
      <w:bookmarkEnd w:id="219"/>
    </w:p>
    <w:p w14:paraId="57718701" w14:textId="77777777" w:rsidR="003405E7" w:rsidRPr="00131EED" w:rsidRDefault="003405E7" w:rsidP="00A215F9">
      <w:pPr>
        <w:jc w:val="center"/>
        <w:rPr>
          <w:rFonts w:ascii="Baskerville" w:hAnsi="Baskerville" w:cs="Arial"/>
        </w:rPr>
      </w:pPr>
      <w:r w:rsidRPr="00131EED">
        <w:rPr>
          <w:rFonts w:ascii="Baskerville" w:hAnsi="Baskerville" w:cs="Arial"/>
          <w:noProof/>
          <w:lang w:eastAsia="en-US"/>
        </w:rPr>
        <w:drawing>
          <wp:inline distT="0" distB="0" distL="0" distR="0" wp14:anchorId="34B81A8E" wp14:editId="7331E506">
            <wp:extent cx="5102758" cy="2595880"/>
            <wp:effectExtent l="0" t="0" r="3175" b="0"/>
            <wp:docPr id="1999314981" name="Imagen 1999314981" descr="A diagram of problem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314981" name="Imagen 1999314981" descr="A diagram of problems with text&#10;&#10;AI-generated content may be incorrect."/>
                    <pic:cNvPicPr/>
                  </pic:nvPicPr>
                  <pic:blipFill rotWithShape="1">
                    <a:blip r:embed="rId107"/>
                    <a:srcRect t="9517"/>
                    <a:stretch/>
                  </pic:blipFill>
                  <pic:spPr bwMode="auto">
                    <a:xfrm>
                      <a:off x="0" y="0"/>
                      <a:ext cx="5105885" cy="2597471"/>
                    </a:xfrm>
                    <a:prstGeom prst="rect">
                      <a:avLst/>
                    </a:prstGeom>
                    <a:ln>
                      <a:noFill/>
                    </a:ln>
                    <a:extLst>
                      <a:ext uri="{53640926-AAD7-44D8-BBD7-CCE9431645EC}">
                        <a14:shadowObscured xmlns:a14="http://schemas.microsoft.com/office/drawing/2010/main"/>
                      </a:ext>
                    </a:extLst>
                  </pic:spPr>
                </pic:pic>
              </a:graphicData>
            </a:graphic>
          </wp:inline>
        </w:drawing>
      </w:r>
    </w:p>
    <w:p w14:paraId="39551086" w14:textId="17B79FB1" w:rsidR="003405E7" w:rsidRPr="00131EED" w:rsidRDefault="00FA5CE1" w:rsidP="00FA5CE1">
      <w:pPr>
        <w:jc w:val="center"/>
        <w:rPr>
          <w:rFonts w:cs="Arial"/>
          <w:sz w:val="20"/>
          <w:szCs w:val="20"/>
        </w:rPr>
      </w:pPr>
      <w:bookmarkStart w:id="220" w:name="_heading=h.2u6wntf" w:colFirst="0" w:colLast="0"/>
      <w:bookmarkEnd w:id="220"/>
      <w:r w:rsidRPr="00131EED">
        <w:rPr>
          <w:rFonts w:cs="Arial"/>
          <w:sz w:val="20"/>
          <w:szCs w:val="20"/>
        </w:rPr>
        <w:t xml:space="preserve">Fuente: MinAmbiente, </w:t>
      </w:r>
      <w:r w:rsidR="00FD5365" w:rsidRPr="00131EED">
        <w:rPr>
          <w:rFonts w:cs="Arial"/>
          <w:sz w:val="20"/>
          <w:szCs w:val="20"/>
        </w:rPr>
        <w:t>2025</w:t>
      </w:r>
    </w:p>
    <w:p w14:paraId="0F67B262" w14:textId="77777777" w:rsidR="003405E7" w:rsidRPr="00131EED" w:rsidRDefault="003405E7" w:rsidP="003405E7">
      <w:pPr>
        <w:rPr>
          <w:rFonts w:ascii="Baskerville" w:hAnsi="Baskerville" w:cs="Arial"/>
        </w:rPr>
      </w:pPr>
    </w:p>
    <w:p w14:paraId="18331AF1" w14:textId="78643BCA" w:rsidR="003405E7" w:rsidRPr="00131EED" w:rsidRDefault="00CF563E" w:rsidP="00410194">
      <w:pPr>
        <w:pStyle w:val="Heading2"/>
        <w:numPr>
          <w:ilvl w:val="1"/>
          <w:numId w:val="31"/>
        </w:numPr>
        <w:rPr>
          <w:rFonts w:eastAsia="Georgia"/>
        </w:rPr>
      </w:pPr>
      <w:bookmarkStart w:id="221" w:name="_Toc216468719"/>
      <w:r w:rsidRPr="00131EED">
        <w:rPr>
          <w:rFonts w:eastAsia="Georgia"/>
        </w:rPr>
        <w:t>Consideraciones para la conservación de la integridad ecológica y adaptación al cambio climático</w:t>
      </w:r>
      <w:bookmarkEnd w:id="221"/>
    </w:p>
    <w:p w14:paraId="7A2B3D3F" w14:textId="77777777" w:rsidR="00CF563E" w:rsidRPr="00131EED" w:rsidRDefault="00CF563E" w:rsidP="003405E7">
      <w:pPr>
        <w:rPr>
          <w:rFonts w:ascii="Baskerville" w:hAnsi="Baskerville" w:cs="Arial"/>
        </w:rPr>
      </w:pPr>
    </w:p>
    <w:p w14:paraId="7B9D5202" w14:textId="77777777" w:rsidR="003405E7" w:rsidRPr="00131EED" w:rsidRDefault="003405E7" w:rsidP="00410194">
      <w:pPr>
        <w:pStyle w:val="Heading3"/>
        <w:numPr>
          <w:ilvl w:val="2"/>
          <w:numId w:val="31"/>
        </w:numPr>
      </w:pPr>
      <w:bookmarkStart w:id="222" w:name="_Toc216468720"/>
      <w:r w:rsidRPr="00131EED">
        <w:t>Consideraciones para la generación de directrices sobre integridad ecológica</w:t>
      </w:r>
      <w:bookmarkEnd w:id="222"/>
    </w:p>
    <w:p w14:paraId="5D601B59" w14:textId="77777777" w:rsidR="003405E7" w:rsidRPr="00131EED" w:rsidRDefault="003405E7" w:rsidP="00327452"/>
    <w:p w14:paraId="4B0612A7" w14:textId="77777777" w:rsidR="003405E7" w:rsidRPr="00131EED" w:rsidRDefault="003405E7" w:rsidP="00410194">
      <w:pPr>
        <w:pStyle w:val="ListParagraph"/>
        <w:numPr>
          <w:ilvl w:val="0"/>
          <w:numId w:val="19"/>
        </w:numPr>
        <w:spacing w:after="0"/>
        <w:rPr>
          <w:rFonts w:cs="Arial"/>
          <w:sz w:val="24"/>
          <w:szCs w:val="24"/>
        </w:rPr>
      </w:pPr>
      <w:r w:rsidRPr="00131EED">
        <w:rPr>
          <w:rFonts w:cs="Arial"/>
          <w:sz w:val="24"/>
          <w:szCs w:val="24"/>
        </w:rPr>
        <w:t>Se evidencia la alta pérdida de la funcionalidad e integridad ecológica de la Sabana como área de interés ecológico nacional. Esta degradación pone en riesgo la sostenibilidad territorial y el bienestar de la población que depende de estos recursos y servicios ecosistémicos. Las consecuencias de esta pérdida requieren de acciones para evitar daños irreparables; en este sentido, se reafirma la necesidad de expedir las directrices de ordenamiento ambiental del territorio, en los términos del mencionado artículo 61 de la Ley 99 de 1993, que permitan a las autoridades de la Sabana reforzar sus acciones y guiar la transición y adaptación de esta área de interés ecológico nacional.</w:t>
      </w:r>
    </w:p>
    <w:p w14:paraId="43066B08" w14:textId="77777777" w:rsidR="003405E7" w:rsidRPr="00131EED" w:rsidRDefault="003405E7" w:rsidP="003405E7">
      <w:pPr>
        <w:pStyle w:val="ListParagraph"/>
        <w:spacing w:after="0"/>
        <w:rPr>
          <w:rFonts w:cs="Arial"/>
          <w:sz w:val="24"/>
          <w:szCs w:val="24"/>
        </w:rPr>
      </w:pPr>
    </w:p>
    <w:p w14:paraId="6844EDFE" w14:textId="77777777" w:rsidR="003405E7" w:rsidRPr="00131EED" w:rsidRDefault="003405E7" w:rsidP="00410194">
      <w:pPr>
        <w:pStyle w:val="ListParagraph"/>
        <w:numPr>
          <w:ilvl w:val="0"/>
          <w:numId w:val="19"/>
        </w:numPr>
        <w:autoSpaceDE w:val="0"/>
        <w:autoSpaceDN w:val="0"/>
        <w:adjustRightInd w:val="0"/>
        <w:spacing w:after="0"/>
        <w:rPr>
          <w:rFonts w:cs="Arial"/>
          <w:sz w:val="24"/>
          <w:szCs w:val="24"/>
        </w:rPr>
      </w:pPr>
      <w:r w:rsidRPr="00131EED">
        <w:rPr>
          <w:rFonts w:cs="Arial"/>
          <w:sz w:val="24"/>
          <w:szCs w:val="24"/>
        </w:rPr>
        <w:t xml:space="preserve">Los Bosques Andinos y particularmente la Subxerofitia, son ecosistemas altamente transformados en la Sabana de Bogotá, evidenciado en la cartografía actualizadas del IDEAM 2024 y demás fuentes analizadas. La existencia de remanentes de dichos ecosistemas por fuera de áreas con categoría de protección del SINAP u otras categorías de conservación in situ, evidencia la urgencia de detener su pérdida y fragmentación, y generar para los relictos de bosques andinos y subxerofitia, regulaciones y acciones que promuevan su protección. </w:t>
      </w:r>
    </w:p>
    <w:p w14:paraId="376B0C2E" w14:textId="77777777" w:rsidR="003405E7" w:rsidRPr="00131EED" w:rsidRDefault="003405E7" w:rsidP="003405E7">
      <w:pPr>
        <w:pStyle w:val="ListParagraph"/>
        <w:rPr>
          <w:rFonts w:cs="Arial"/>
          <w:sz w:val="24"/>
          <w:szCs w:val="24"/>
        </w:rPr>
      </w:pPr>
    </w:p>
    <w:p w14:paraId="20BF1190" w14:textId="77777777" w:rsidR="003405E7" w:rsidRPr="00131EED" w:rsidRDefault="003405E7" w:rsidP="00410194">
      <w:pPr>
        <w:pStyle w:val="ListParagraph"/>
        <w:numPr>
          <w:ilvl w:val="0"/>
          <w:numId w:val="19"/>
        </w:numPr>
        <w:autoSpaceDE w:val="0"/>
        <w:autoSpaceDN w:val="0"/>
        <w:adjustRightInd w:val="0"/>
        <w:spacing w:after="0"/>
        <w:rPr>
          <w:rFonts w:cs="Arial"/>
          <w:sz w:val="24"/>
          <w:szCs w:val="24"/>
        </w:rPr>
      </w:pPr>
      <w:r w:rsidRPr="00131EED">
        <w:rPr>
          <w:rFonts w:cs="Arial"/>
          <w:sz w:val="24"/>
          <w:szCs w:val="24"/>
        </w:rPr>
        <w:t>La pérdida de bosques andinos y de la subxerofitia, ecosistemas estratégicos, compromete el interés ecológico nacional de la Sabana y su destinación prioritaria forestal. Por ello, es fundamental preservar, restaurar y recuperar todos los fragmentos remanentes de estos ecosistemas. </w:t>
      </w:r>
    </w:p>
    <w:p w14:paraId="5D11746A" w14:textId="77777777" w:rsidR="003405E7" w:rsidRPr="00131EED" w:rsidRDefault="003405E7" w:rsidP="003405E7">
      <w:pPr>
        <w:autoSpaceDE w:val="0"/>
        <w:autoSpaceDN w:val="0"/>
        <w:adjustRightInd w:val="0"/>
        <w:rPr>
          <w:rFonts w:cs="Arial"/>
        </w:rPr>
      </w:pPr>
    </w:p>
    <w:p w14:paraId="01ABDBB5" w14:textId="77777777" w:rsidR="003405E7" w:rsidRPr="00131EED" w:rsidRDefault="003405E7" w:rsidP="00410194">
      <w:pPr>
        <w:pStyle w:val="ListParagraph"/>
        <w:numPr>
          <w:ilvl w:val="0"/>
          <w:numId w:val="19"/>
        </w:numPr>
        <w:autoSpaceDE w:val="0"/>
        <w:autoSpaceDN w:val="0"/>
        <w:adjustRightInd w:val="0"/>
        <w:spacing w:after="0"/>
        <w:rPr>
          <w:rFonts w:cs="Arial"/>
          <w:sz w:val="24"/>
          <w:szCs w:val="24"/>
        </w:rPr>
      </w:pPr>
      <w:r w:rsidRPr="00131EED">
        <w:rPr>
          <w:rFonts w:cs="Arial"/>
          <w:sz w:val="24"/>
          <w:szCs w:val="24"/>
        </w:rPr>
        <w:t>La información cartográfica disponible sobre estos ecosistemas es a escala 1:1.100.000; sin embargo, no se están incorporando adecuadamente en los instrumentos de ordenamiento territorial. Aunque esta cartografía debe considerarse una determinante, es necesario generar mapas más detallados a escala 1:25.000 para los ecosistemas andinos y de subxerofitia. Además, se deben promover procesos de declaratoria dentro del Sistema Nacional de Áreas Protegidas (SINAP) u otras estrategias de conservación in situ, con el fin de garantizar la conectividad de estos relictos y aumentar su representatividad en el sistema nacional.</w:t>
      </w:r>
    </w:p>
    <w:p w14:paraId="39185006" w14:textId="77777777" w:rsidR="003405E7" w:rsidRPr="00131EED" w:rsidRDefault="003405E7" w:rsidP="003405E7">
      <w:pPr>
        <w:pStyle w:val="ListParagraph"/>
        <w:autoSpaceDE w:val="0"/>
        <w:autoSpaceDN w:val="0"/>
        <w:adjustRightInd w:val="0"/>
        <w:spacing w:after="0"/>
        <w:rPr>
          <w:rFonts w:cs="Arial"/>
          <w:sz w:val="24"/>
          <w:szCs w:val="24"/>
        </w:rPr>
      </w:pPr>
    </w:p>
    <w:p w14:paraId="74C2C288" w14:textId="77777777" w:rsidR="003405E7" w:rsidRPr="00131EED" w:rsidRDefault="003405E7" w:rsidP="00410194">
      <w:pPr>
        <w:pStyle w:val="ListParagraph"/>
        <w:numPr>
          <w:ilvl w:val="0"/>
          <w:numId w:val="19"/>
        </w:numPr>
        <w:autoSpaceDE w:val="0"/>
        <w:autoSpaceDN w:val="0"/>
        <w:adjustRightInd w:val="0"/>
        <w:spacing w:after="0"/>
        <w:rPr>
          <w:rFonts w:cs="Arial"/>
          <w:sz w:val="24"/>
          <w:szCs w:val="24"/>
        </w:rPr>
      </w:pPr>
      <w:r w:rsidRPr="00131EED">
        <w:rPr>
          <w:rFonts w:cs="Arial"/>
          <w:sz w:val="24"/>
          <w:szCs w:val="24"/>
        </w:rPr>
        <w:t xml:space="preserve">Los humedales lóticos y lénticos son uno de los ecosistemas más transformados en la Sabana de Bogotá, se determina la necesidad de generar orientaciones para la protección de los humedales de la Sabana. Se evidencia que no se está dando uso al mapa nacional de humedales dispuesto en el Sistema de Información Ambiental de Colombia SIAC, el cual es una herramienta a escala 1.100.000 para la toma de decisiones hasta tanto se aumente a una escala detallada por parte de las autoridades ambientales regionales. </w:t>
      </w:r>
    </w:p>
    <w:p w14:paraId="6EADCFC4" w14:textId="77777777" w:rsidR="003405E7" w:rsidRPr="00131EED" w:rsidRDefault="003405E7" w:rsidP="003405E7">
      <w:pPr>
        <w:autoSpaceDE w:val="0"/>
        <w:autoSpaceDN w:val="0"/>
        <w:adjustRightInd w:val="0"/>
        <w:rPr>
          <w:rFonts w:cs="Arial"/>
        </w:rPr>
      </w:pPr>
    </w:p>
    <w:p w14:paraId="1D0895DB" w14:textId="77777777" w:rsidR="003405E7" w:rsidRPr="00131EED" w:rsidRDefault="003405E7" w:rsidP="00410194">
      <w:pPr>
        <w:pStyle w:val="ListParagraph"/>
        <w:numPr>
          <w:ilvl w:val="0"/>
          <w:numId w:val="19"/>
        </w:numPr>
        <w:autoSpaceDE w:val="0"/>
        <w:autoSpaceDN w:val="0"/>
        <w:adjustRightInd w:val="0"/>
        <w:spacing w:after="0"/>
        <w:rPr>
          <w:rFonts w:cs="Arial"/>
          <w:sz w:val="24"/>
          <w:szCs w:val="24"/>
        </w:rPr>
      </w:pPr>
      <w:r w:rsidRPr="00131EED">
        <w:rPr>
          <w:rFonts w:cs="Arial"/>
          <w:sz w:val="24"/>
          <w:szCs w:val="24"/>
        </w:rPr>
        <w:t xml:space="preserve">Perder estos humedales remanentes significa perder regulación hídrica, áreas para la protección del hábitat y de la biodiversidad local y migratoria, así como la capacidad de adaptación al cambio climático de la Sabana. </w:t>
      </w:r>
    </w:p>
    <w:p w14:paraId="6D69AB94" w14:textId="77777777" w:rsidR="003405E7" w:rsidRPr="00131EED" w:rsidRDefault="003405E7" w:rsidP="003405E7">
      <w:pPr>
        <w:pStyle w:val="ListParagraph"/>
        <w:autoSpaceDE w:val="0"/>
        <w:autoSpaceDN w:val="0"/>
        <w:adjustRightInd w:val="0"/>
        <w:spacing w:after="0"/>
        <w:rPr>
          <w:rFonts w:cs="Arial"/>
          <w:sz w:val="24"/>
          <w:szCs w:val="24"/>
        </w:rPr>
      </w:pPr>
      <w:r w:rsidRPr="00131EED">
        <w:rPr>
          <w:rFonts w:cs="Arial"/>
          <w:sz w:val="24"/>
          <w:szCs w:val="24"/>
        </w:rPr>
        <w:t> </w:t>
      </w:r>
    </w:p>
    <w:p w14:paraId="09E82F60" w14:textId="77777777" w:rsidR="003405E7" w:rsidRPr="00131EED" w:rsidRDefault="003405E7" w:rsidP="00410194">
      <w:pPr>
        <w:pStyle w:val="ListParagraph"/>
        <w:numPr>
          <w:ilvl w:val="0"/>
          <w:numId w:val="19"/>
        </w:numPr>
        <w:autoSpaceDE w:val="0"/>
        <w:autoSpaceDN w:val="0"/>
        <w:adjustRightInd w:val="0"/>
        <w:spacing w:after="0"/>
        <w:rPr>
          <w:rFonts w:cs="Arial"/>
          <w:sz w:val="24"/>
          <w:szCs w:val="24"/>
        </w:rPr>
      </w:pPr>
      <w:r w:rsidRPr="00131EED">
        <w:rPr>
          <w:rFonts w:cs="Arial"/>
          <w:sz w:val="24"/>
          <w:szCs w:val="24"/>
        </w:rPr>
        <w:t xml:space="preserve">Así como no están suficiente identificados en la Sabana de Bogotá los humedales permanentes y temporales (según denominación de la Política Nacional de humedales interiores), tampoco están adecuadamente incorporados en los instrumentos de ordenamiento territorial y adicionalmente no tienen identificada la ronda hídrica resultante de un proceso de acotamiento, como el humedal lótico Río Bogotá. </w:t>
      </w:r>
    </w:p>
    <w:p w14:paraId="2B6E2ADA" w14:textId="77777777" w:rsidR="003405E7" w:rsidRPr="00131EED" w:rsidRDefault="003405E7" w:rsidP="003405E7">
      <w:pPr>
        <w:pStyle w:val="ListParagraph"/>
        <w:autoSpaceDE w:val="0"/>
        <w:autoSpaceDN w:val="0"/>
        <w:adjustRightInd w:val="0"/>
        <w:spacing w:after="0"/>
        <w:rPr>
          <w:rFonts w:cs="Arial"/>
          <w:sz w:val="24"/>
          <w:szCs w:val="24"/>
        </w:rPr>
      </w:pPr>
      <w:r w:rsidRPr="00131EED">
        <w:rPr>
          <w:rFonts w:cs="Arial"/>
          <w:sz w:val="24"/>
          <w:szCs w:val="24"/>
        </w:rPr>
        <w:t> </w:t>
      </w:r>
    </w:p>
    <w:p w14:paraId="3C6EB0C8" w14:textId="340B5EEE" w:rsidR="003405E7" w:rsidRPr="00131EED" w:rsidRDefault="003405E7" w:rsidP="00410194">
      <w:pPr>
        <w:pStyle w:val="ListParagraph"/>
        <w:numPr>
          <w:ilvl w:val="0"/>
          <w:numId w:val="19"/>
        </w:numPr>
        <w:autoSpaceDE w:val="0"/>
        <w:autoSpaceDN w:val="0"/>
        <w:adjustRightInd w:val="0"/>
        <w:spacing w:after="0"/>
        <w:rPr>
          <w:rFonts w:cs="Arial"/>
          <w:sz w:val="24"/>
          <w:szCs w:val="24"/>
        </w:rPr>
      </w:pPr>
      <w:r w:rsidRPr="00131EED">
        <w:rPr>
          <w:rFonts w:cs="Arial"/>
          <w:sz w:val="24"/>
          <w:szCs w:val="24"/>
        </w:rPr>
        <w:t xml:space="preserve">La mayor parte de las afectaciones sobre humedales han generado la transformación total del ecosistema o el endurecimiento del suelo, en ambos casos eliminando o reduciendo gravemente la integridad ecológica y la prestación de servicios ecosistémicos de estos ecosistemas. Alguna de dichas afectaciones de dan desde los procesos mismos de mantenimiento en humedales lóticos y lénticos, entendidos como aquellos necesarios para la remoción de residuos sólidos, el control de especies invasoras, el mejoramiento de la calidad del agua y el manejo de excesos de sedimentos. Situaciones que obligan a generar directrices para que no se generen impactos significativos sobre estos ecosistemas. </w:t>
      </w:r>
    </w:p>
    <w:p w14:paraId="7D80BC59" w14:textId="77777777" w:rsidR="003405E7" w:rsidRPr="00131EED" w:rsidRDefault="003405E7" w:rsidP="003405E7">
      <w:pPr>
        <w:pStyle w:val="ListParagraph"/>
        <w:autoSpaceDE w:val="0"/>
        <w:autoSpaceDN w:val="0"/>
        <w:adjustRightInd w:val="0"/>
        <w:spacing w:after="0"/>
        <w:rPr>
          <w:rFonts w:cs="Arial"/>
          <w:sz w:val="24"/>
          <w:szCs w:val="24"/>
        </w:rPr>
      </w:pPr>
      <w:r w:rsidRPr="00131EED">
        <w:rPr>
          <w:rFonts w:cs="Arial"/>
          <w:sz w:val="24"/>
          <w:szCs w:val="24"/>
        </w:rPr>
        <w:t> </w:t>
      </w:r>
    </w:p>
    <w:p w14:paraId="4EC69E6A" w14:textId="77777777" w:rsidR="003405E7" w:rsidRPr="00131EED" w:rsidRDefault="003405E7" w:rsidP="00410194">
      <w:pPr>
        <w:pStyle w:val="ListParagraph"/>
        <w:numPr>
          <w:ilvl w:val="0"/>
          <w:numId w:val="19"/>
        </w:numPr>
        <w:rPr>
          <w:rFonts w:cs="Arial"/>
          <w:sz w:val="24"/>
          <w:szCs w:val="24"/>
        </w:rPr>
      </w:pPr>
      <w:r w:rsidRPr="00131EED">
        <w:rPr>
          <w:rFonts w:cs="Arial"/>
          <w:sz w:val="24"/>
          <w:szCs w:val="24"/>
        </w:rPr>
        <w:t>Las intervenciones hidráulicas en los humedales de la Sabana de Bogotá no han logrado demostrar efectos positivos sobre la integridad ecológica de los ecosistemas acuáticos de la Sabana y por el contrario afectan su funcionalidad ambiental.</w:t>
      </w:r>
    </w:p>
    <w:p w14:paraId="3E47B042" w14:textId="77777777" w:rsidR="000F207A" w:rsidRPr="00131EED" w:rsidRDefault="000F207A" w:rsidP="000F207A">
      <w:pPr>
        <w:pStyle w:val="ListParagraph"/>
        <w:rPr>
          <w:rFonts w:ascii="Baskerville" w:hAnsi="Baskerville" w:cs="Arial"/>
          <w:sz w:val="24"/>
          <w:szCs w:val="24"/>
        </w:rPr>
      </w:pPr>
    </w:p>
    <w:p w14:paraId="0DA853FF" w14:textId="59EE22EA" w:rsidR="000F207A" w:rsidRPr="00131EED" w:rsidRDefault="000F207A" w:rsidP="00410194">
      <w:pPr>
        <w:pStyle w:val="Heading3"/>
        <w:numPr>
          <w:ilvl w:val="2"/>
          <w:numId w:val="31"/>
        </w:numPr>
        <w:rPr>
          <w:b w:val="0"/>
          <w:smallCaps/>
        </w:rPr>
      </w:pPr>
      <w:bookmarkStart w:id="223" w:name="_Toc216468721"/>
      <w:r w:rsidRPr="00131EED">
        <w:rPr>
          <w:rFonts w:eastAsia="Century Gothic"/>
        </w:rPr>
        <w:t xml:space="preserve">Consideraciones para la generación de directrices sobre </w:t>
      </w:r>
      <w:r w:rsidR="00282EAB" w:rsidRPr="00131EED">
        <w:rPr>
          <w:rFonts w:eastAsia="Century Gothic"/>
        </w:rPr>
        <w:t xml:space="preserve">humedales, subxerofitia, bosques andinos, áreas del SINAP, OMEC y </w:t>
      </w:r>
      <w:r w:rsidRPr="00131EED">
        <w:rPr>
          <w:rFonts w:eastAsia="Century Gothic"/>
        </w:rPr>
        <w:t>áreas rurales</w:t>
      </w:r>
      <w:r w:rsidR="0081254E" w:rsidRPr="00131EED">
        <w:rPr>
          <w:rFonts w:eastAsia="Century Gothic"/>
        </w:rPr>
        <w:t xml:space="preserve"> para la adecuada gestión del suelo</w:t>
      </w:r>
      <w:bookmarkEnd w:id="223"/>
      <w:r w:rsidRPr="00131EED">
        <w:rPr>
          <w:rFonts w:eastAsia="Century Gothic"/>
        </w:rPr>
        <w:t xml:space="preserve"> </w:t>
      </w:r>
    </w:p>
    <w:p w14:paraId="0DAB0727" w14:textId="77777777" w:rsidR="000F207A" w:rsidRPr="00131EED" w:rsidRDefault="000F207A" w:rsidP="000F207A">
      <w:pPr>
        <w:rPr>
          <w:rFonts w:ascii="Baskerville" w:eastAsia="Century Gothic" w:hAnsi="Baskerville" w:cs="Arial"/>
        </w:rPr>
      </w:pPr>
    </w:p>
    <w:p w14:paraId="753E0868" w14:textId="60C10C24" w:rsidR="000F207A" w:rsidRPr="00131EED" w:rsidRDefault="000F207A" w:rsidP="00410194">
      <w:pPr>
        <w:pStyle w:val="ListParagraph"/>
        <w:numPr>
          <w:ilvl w:val="0"/>
          <w:numId w:val="20"/>
        </w:numPr>
        <w:spacing w:after="0"/>
        <w:rPr>
          <w:rFonts w:eastAsia="Century Gothic" w:cs="Arial"/>
          <w:sz w:val="24"/>
          <w:szCs w:val="24"/>
        </w:rPr>
      </w:pPr>
      <w:r w:rsidRPr="00131EED">
        <w:rPr>
          <w:rFonts w:eastAsia="Century Gothic" w:cs="Arial"/>
          <w:sz w:val="24"/>
          <w:szCs w:val="24"/>
        </w:rPr>
        <w:t>La ocupación descontrolada del territorio y el uso extensivo del suelo han generado graves impactos, como la pérdida de vidas por riesgos de desastres, daños a la infraestructura y desplazamientos por desastres, exacerbados por el cambio climático. La falta de información precisa sobre riesgos y cambio climático —por ejemplo, estudios básicos y detallados de riesgo— dificulta la toma de decisiones y la implementación de medidas de adaptación. Además, la ineficacia en la aplicación de instrumentos de ordenamiento territorial aumenta la vulnerabilidad. La ocupación de zonas de amenaza alta, como áreas inundables o propensas a deslizamientos y avenidas torrenciales, expone a las poblaciones a peligros evitables y eleva el costo humano y económico de los desastres. Por lo anterior, deben mantenerse sin ocupar las áreas de amenaza alta, es decir las área</w:t>
      </w:r>
      <w:r w:rsidR="18120505" w:rsidRPr="00131EED">
        <w:rPr>
          <w:rFonts w:eastAsia="Century Gothic" w:cs="Arial"/>
          <w:sz w:val="24"/>
          <w:szCs w:val="24"/>
        </w:rPr>
        <w:t>s</w:t>
      </w:r>
      <w:r w:rsidRPr="00131EED">
        <w:rPr>
          <w:rFonts w:eastAsia="Century Gothic" w:cs="Arial"/>
          <w:sz w:val="24"/>
          <w:szCs w:val="24"/>
        </w:rPr>
        <w:t xml:space="preserve"> de amenazas naturales, protegiendo y recuperando su funcionalidad ecológica en áreas aun no ocupadas. </w:t>
      </w:r>
    </w:p>
    <w:p w14:paraId="67D5622F" w14:textId="77777777" w:rsidR="000F207A" w:rsidRPr="00131EED" w:rsidRDefault="000F207A" w:rsidP="000F207A">
      <w:pPr>
        <w:pStyle w:val="ListParagraph"/>
        <w:spacing w:after="0"/>
        <w:rPr>
          <w:rFonts w:eastAsia="Century Gothic" w:cs="Arial"/>
          <w:sz w:val="24"/>
          <w:szCs w:val="24"/>
        </w:rPr>
      </w:pPr>
    </w:p>
    <w:p w14:paraId="00248E34" w14:textId="77777777" w:rsidR="000F207A" w:rsidRPr="00131EED" w:rsidRDefault="000F207A" w:rsidP="00410194">
      <w:pPr>
        <w:pStyle w:val="ListParagraph"/>
        <w:numPr>
          <w:ilvl w:val="0"/>
          <w:numId w:val="20"/>
        </w:numPr>
        <w:spacing w:after="0"/>
        <w:rPr>
          <w:rFonts w:eastAsia="Century Gothic" w:cs="Arial"/>
          <w:sz w:val="24"/>
          <w:szCs w:val="24"/>
        </w:rPr>
      </w:pPr>
      <w:r w:rsidRPr="00131EED">
        <w:rPr>
          <w:rFonts w:eastAsia="Century Gothic" w:cs="Arial"/>
          <w:sz w:val="24"/>
          <w:szCs w:val="24"/>
        </w:rPr>
        <w:t>Las áreas de amenaza alta por inundación, movimientos en masa y avenidas torrenciales, identificadas en los estudios básicos de los planes de ordenamiento territorial y en los POMCA, son estratégicas para la protección del ciclo del agua y la integridad ecológica pero se siguen ocupando a través de procesos y obras de “mitigación de riesgos”, muchas veces con el único propósito de habilitar nuevo suelo para urbanizar, como se observa por ejemplo cuando se actualizan mapas de inundación con posterioridad a la realización de obras hidráulicas de ríos como el Bogotá. Por tanto, es preciso evitar su ocupación o urbanización y, por el contrario, reservarlas expresamente para aumentar la adaptación territorial y reducir riesgos de desastres basados en ecosistemas.</w:t>
      </w:r>
    </w:p>
    <w:p w14:paraId="15700E4D" w14:textId="77777777" w:rsidR="000F207A" w:rsidRPr="00131EED" w:rsidRDefault="000F207A" w:rsidP="000F207A">
      <w:pPr>
        <w:pStyle w:val="ListParagraph"/>
        <w:rPr>
          <w:rFonts w:eastAsia="Century Gothic" w:cs="Arial"/>
          <w:sz w:val="24"/>
          <w:szCs w:val="24"/>
        </w:rPr>
      </w:pPr>
    </w:p>
    <w:p w14:paraId="06E1564D" w14:textId="77777777" w:rsidR="000F207A" w:rsidRPr="00131EED" w:rsidRDefault="000F207A" w:rsidP="00410194">
      <w:pPr>
        <w:pStyle w:val="ListParagraph"/>
        <w:numPr>
          <w:ilvl w:val="0"/>
          <w:numId w:val="20"/>
        </w:numPr>
        <w:spacing w:after="0"/>
        <w:rPr>
          <w:rFonts w:eastAsia="Century Gothic" w:cs="Arial"/>
          <w:sz w:val="24"/>
          <w:szCs w:val="24"/>
        </w:rPr>
      </w:pPr>
      <w:r w:rsidRPr="00131EED">
        <w:rPr>
          <w:rFonts w:eastAsia="Century Gothic" w:cs="Arial"/>
          <w:sz w:val="24"/>
          <w:szCs w:val="24"/>
        </w:rPr>
        <w:t>La ocupación urbana y suburbana extensiva en la Sabana de Bogotá, impulsada por modelos de baja densidad que no resuelven el déficit de vivienda social, se caracteriza por la expansión informal hacia terrenos de importancia ambiental y agropecuaria. Esta dinámica, que carece de servicios básicos y genera retos para una planificación territorial sostenible, se explica principalmente por la insuficiente habilitación de suelo formal dentro de los perímetros urbanos y de expansión regulados por los Planes de Ordenamiento Territorial (POT), así como por la débil implementación de instrumentos de gestión del suelo que incorporen criterios ambientales esenciales.</w:t>
      </w:r>
    </w:p>
    <w:p w14:paraId="0DB87DE8" w14:textId="77777777" w:rsidR="000F207A" w:rsidRPr="00131EED" w:rsidRDefault="000F207A" w:rsidP="000F207A">
      <w:pPr>
        <w:rPr>
          <w:rFonts w:eastAsia="Century Gothic" w:cs="Arial"/>
        </w:rPr>
      </w:pPr>
    </w:p>
    <w:p w14:paraId="79C2E036" w14:textId="1FBE63F2" w:rsidR="000F207A" w:rsidRPr="00131EED" w:rsidRDefault="000F207A" w:rsidP="00410194">
      <w:pPr>
        <w:pStyle w:val="ListParagraph"/>
        <w:numPr>
          <w:ilvl w:val="0"/>
          <w:numId w:val="20"/>
        </w:numPr>
        <w:spacing w:after="0"/>
        <w:rPr>
          <w:rFonts w:eastAsia="Century Gothic" w:cs="Arial"/>
          <w:sz w:val="24"/>
          <w:szCs w:val="24"/>
        </w:rPr>
      </w:pPr>
      <w:r w:rsidRPr="00131EED">
        <w:rPr>
          <w:rFonts w:eastAsia="Century Gothic" w:cs="Arial"/>
          <w:sz w:val="24"/>
          <w:szCs w:val="24"/>
        </w:rPr>
        <w:t>Las consecuencias negativas de esta ocupación incluyen la pérdida de áreas de importancia ambiental por la fragmentación del paisaje, el sellamiento del suelo, la pérdida de biodiversidad, y la pérdida de áreas necesaria para la producción de alimentos en suelos rurales agropecuarios.</w:t>
      </w:r>
    </w:p>
    <w:p w14:paraId="44206D16" w14:textId="77777777" w:rsidR="000F207A" w:rsidRPr="00131EED" w:rsidRDefault="000F207A" w:rsidP="000F207A">
      <w:pPr>
        <w:pStyle w:val="ListParagraph"/>
        <w:rPr>
          <w:rFonts w:eastAsia="Century Gothic" w:cs="Arial"/>
          <w:sz w:val="24"/>
          <w:szCs w:val="24"/>
        </w:rPr>
      </w:pPr>
    </w:p>
    <w:p w14:paraId="2B05BF95" w14:textId="660CF4D5" w:rsidR="000F207A" w:rsidRPr="00131EED" w:rsidRDefault="000F207A" w:rsidP="00410194">
      <w:pPr>
        <w:pStyle w:val="ListParagraph"/>
        <w:numPr>
          <w:ilvl w:val="0"/>
          <w:numId w:val="20"/>
        </w:numPr>
        <w:spacing w:after="0"/>
        <w:rPr>
          <w:rFonts w:eastAsia="Century Gothic" w:cs="Arial"/>
          <w:sz w:val="24"/>
          <w:szCs w:val="24"/>
        </w:rPr>
      </w:pPr>
      <w:r w:rsidRPr="00131EED">
        <w:rPr>
          <w:rFonts w:eastAsia="Century Gothic" w:cs="Arial"/>
          <w:sz w:val="24"/>
          <w:szCs w:val="24"/>
        </w:rPr>
        <w:t>Las áreas de importancia ambiental en la Sabana de Bogotá, designadas, declaradas o delimitadas por las autoridades ambientales, han sufrido una transformación significativa. Estas zonas, clave para la sostenibilidad por los servicios ecosistémicos que brindan a la biodiversidad y a la población, deben ser protegidas, restauradas y conectadas. El propósito es conformar una red ecológica que garantice la conservación de la biodiversidad, la conectividad ecológica, la regulación del ciclo del agua y la adaptación y mitigación del cambio climático. Por ello, es fundamental que se reconozcan como determinantes ambientales en los instrumentos de ordenamiento territorial.</w:t>
      </w:r>
    </w:p>
    <w:p w14:paraId="169381C3" w14:textId="77777777" w:rsidR="000F207A" w:rsidRPr="00131EED" w:rsidRDefault="000F207A" w:rsidP="000F207A">
      <w:pPr>
        <w:pStyle w:val="ListParagraph"/>
        <w:rPr>
          <w:rFonts w:eastAsia="Century Gothic" w:cs="Arial"/>
          <w:sz w:val="24"/>
          <w:szCs w:val="24"/>
        </w:rPr>
      </w:pPr>
    </w:p>
    <w:p w14:paraId="33E5C605" w14:textId="5F92E035" w:rsidR="000F207A" w:rsidRPr="00131EED" w:rsidRDefault="000F207A" w:rsidP="00410194">
      <w:pPr>
        <w:pStyle w:val="ListParagraph"/>
        <w:numPr>
          <w:ilvl w:val="0"/>
          <w:numId w:val="20"/>
        </w:numPr>
        <w:autoSpaceDE w:val="0"/>
        <w:autoSpaceDN w:val="0"/>
        <w:adjustRightInd w:val="0"/>
        <w:spacing w:after="0"/>
        <w:rPr>
          <w:rFonts w:eastAsia="Century Gothic" w:cs="Arial"/>
          <w:sz w:val="24"/>
          <w:szCs w:val="24"/>
        </w:rPr>
      </w:pPr>
      <w:r w:rsidRPr="00131EED">
        <w:rPr>
          <w:rFonts w:eastAsia="Century Gothic" w:cs="Arial"/>
          <w:sz w:val="24"/>
          <w:szCs w:val="24"/>
        </w:rPr>
        <w:t xml:space="preserve">Dada su degradación, baja representatividad dentro del Sistema Nacional de Áreas Protegidas y otras estrategias de conservación in situ, así como la fuerte presión ejercida por actividades industriales, urbanas y extractivas, es necesario establecer directrices específicas para </w:t>
      </w:r>
      <w:r w:rsidR="00C44355" w:rsidRPr="00131EED">
        <w:rPr>
          <w:rFonts w:eastAsia="Century Gothic" w:cs="Arial"/>
          <w:sz w:val="24"/>
          <w:szCs w:val="24"/>
        </w:rPr>
        <w:t>las z</w:t>
      </w:r>
      <w:r w:rsidRPr="00131EED">
        <w:rPr>
          <w:rFonts w:eastAsia="Century Gothic" w:cs="Arial"/>
          <w:sz w:val="24"/>
          <w:szCs w:val="24"/>
        </w:rPr>
        <w:t>onas de recarga de acuíferos</w:t>
      </w:r>
      <w:r w:rsidR="00C44355" w:rsidRPr="00131EED">
        <w:rPr>
          <w:rFonts w:eastAsia="Century Gothic" w:cs="Arial"/>
          <w:sz w:val="24"/>
          <w:szCs w:val="24"/>
        </w:rPr>
        <w:t xml:space="preserve">, los </w:t>
      </w:r>
      <w:r w:rsidRPr="00131EED">
        <w:rPr>
          <w:rFonts w:eastAsia="Century Gothic" w:cs="Arial"/>
          <w:sz w:val="24"/>
          <w:szCs w:val="24"/>
        </w:rPr>
        <w:t>Bosques andinos</w:t>
      </w:r>
      <w:r w:rsidR="00C44355" w:rsidRPr="00131EED">
        <w:rPr>
          <w:rFonts w:eastAsia="Century Gothic" w:cs="Arial"/>
          <w:sz w:val="24"/>
          <w:szCs w:val="24"/>
        </w:rPr>
        <w:t xml:space="preserve">, la </w:t>
      </w:r>
      <w:r w:rsidRPr="00131EED">
        <w:rPr>
          <w:rFonts w:eastAsia="Century Gothic" w:cs="Arial"/>
          <w:sz w:val="24"/>
          <w:szCs w:val="24"/>
        </w:rPr>
        <w:t xml:space="preserve"> Subxerof</w:t>
      </w:r>
      <w:r w:rsidR="00C44355" w:rsidRPr="00131EED">
        <w:rPr>
          <w:rFonts w:eastAsia="Century Gothic" w:cs="Arial"/>
          <w:sz w:val="24"/>
          <w:szCs w:val="24"/>
        </w:rPr>
        <w:t>itia, los h</w:t>
      </w:r>
      <w:r w:rsidRPr="00131EED">
        <w:rPr>
          <w:rFonts w:eastAsia="Century Gothic" w:cs="Arial"/>
          <w:sz w:val="24"/>
          <w:szCs w:val="24"/>
        </w:rPr>
        <w:t>umedales</w:t>
      </w:r>
      <w:r w:rsidR="00C44355" w:rsidRPr="00131EED">
        <w:rPr>
          <w:rFonts w:eastAsia="Century Gothic" w:cs="Arial"/>
          <w:sz w:val="24"/>
          <w:szCs w:val="24"/>
        </w:rPr>
        <w:t xml:space="preserve"> y las á</w:t>
      </w:r>
      <w:r w:rsidRPr="00131EED">
        <w:rPr>
          <w:rFonts w:eastAsia="Century Gothic" w:cs="Arial"/>
          <w:sz w:val="24"/>
          <w:szCs w:val="24"/>
        </w:rPr>
        <w:t xml:space="preserve">reas de </w:t>
      </w:r>
      <w:r w:rsidR="00C44355" w:rsidRPr="00131EED">
        <w:rPr>
          <w:rFonts w:eastAsia="Century Gothic" w:cs="Arial"/>
          <w:sz w:val="24"/>
          <w:szCs w:val="24"/>
        </w:rPr>
        <w:t>a</w:t>
      </w:r>
      <w:r w:rsidRPr="00131EED">
        <w:rPr>
          <w:rFonts w:eastAsia="Century Gothic" w:cs="Arial"/>
          <w:sz w:val="24"/>
          <w:szCs w:val="24"/>
        </w:rPr>
        <w:t xml:space="preserve">menazas </w:t>
      </w:r>
      <w:r w:rsidR="00C44355" w:rsidRPr="00131EED">
        <w:rPr>
          <w:rFonts w:eastAsia="Century Gothic" w:cs="Arial"/>
          <w:sz w:val="24"/>
          <w:szCs w:val="24"/>
        </w:rPr>
        <w:t>n</w:t>
      </w:r>
      <w:r w:rsidRPr="00131EED">
        <w:rPr>
          <w:rFonts w:eastAsia="Century Gothic" w:cs="Arial"/>
          <w:sz w:val="24"/>
          <w:szCs w:val="24"/>
        </w:rPr>
        <w:t>aturales: zonas de amenaza alta por inundación, movimientos en masa y avenidas torrenciales.</w:t>
      </w:r>
    </w:p>
    <w:p w14:paraId="10EA7FCB" w14:textId="77777777" w:rsidR="000F207A" w:rsidRPr="00131EED" w:rsidRDefault="000F207A" w:rsidP="000F207A">
      <w:pPr>
        <w:rPr>
          <w:rFonts w:eastAsia="Century Gothic" w:cs="Arial"/>
        </w:rPr>
      </w:pPr>
    </w:p>
    <w:p w14:paraId="0F353749" w14:textId="6C198C3B" w:rsidR="000F207A" w:rsidRPr="00131EED" w:rsidRDefault="000F207A" w:rsidP="00410194">
      <w:pPr>
        <w:pStyle w:val="ListParagraph"/>
        <w:numPr>
          <w:ilvl w:val="0"/>
          <w:numId w:val="20"/>
        </w:numPr>
        <w:spacing w:after="0"/>
        <w:rPr>
          <w:rFonts w:eastAsia="Century Gothic" w:cs="Arial"/>
          <w:sz w:val="24"/>
          <w:szCs w:val="24"/>
        </w:rPr>
      </w:pPr>
      <w:r w:rsidRPr="00131EED">
        <w:rPr>
          <w:rFonts w:eastAsia="Century Gothic" w:cs="Arial"/>
          <w:sz w:val="24"/>
          <w:szCs w:val="24"/>
        </w:rPr>
        <w:t>El crecimiento permanente de la huella de ocupación en la Sabana sobre suelo rural, ha deteriorado su interés ecológico y vocación prioritaria agrícola y forestal, tal como lo establece la Ley 99 de 1993. Por tanto</w:t>
      </w:r>
      <w:r w:rsidR="0E312277" w:rsidRPr="00131EED">
        <w:rPr>
          <w:rFonts w:eastAsia="Century Gothic" w:cs="Arial"/>
          <w:sz w:val="24"/>
          <w:szCs w:val="24"/>
        </w:rPr>
        <w:t>,</w:t>
      </w:r>
      <w:r w:rsidRPr="00131EED">
        <w:rPr>
          <w:rFonts w:eastAsia="Century Gothic" w:cs="Arial"/>
          <w:sz w:val="24"/>
          <w:szCs w:val="24"/>
        </w:rPr>
        <w:t xml:space="preserve"> es necesario tomar medidas para proteger el recurso suelo de su transformación en las áreas rurales, todas aquellas que no estén urbanizadas y que no cuenten con ninguna destinación diferente desde los actuales instrumentos de ordenamiento territorial.</w:t>
      </w:r>
    </w:p>
    <w:p w14:paraId="0796A944" w14:textId="77777777" w:rsidR="000F207A" w:rsidRPr="00131EED" w:rsidRDefault="000F207A" w:rsidP="000F207A">
      <w:pPr>
        <w:pStyle w:val="ListParagraph"/>
        <w:rPr>
          <w:rFonts w:eastAsia="Century Gothic" w:cs="Arial"/>
          <w:sz w:val="24"/>
          <w:szCs w:val="24"/>
        </w:rPr>
      </w:pPr>
    </w:p>
    <w:p w14:paraId="39E83C97" w14:textId="77777777" w:rsidR="000F207A" w:rsidRPr="00131EED" w:rsidRDefault="000F207A" w:rsidP="00410194">
      <w:pPr>
        <w:pStyle w:val="ListParagraph"/>
        <w:numPr>
          <w:ilvl w:val="0"/>
          <w:numId w:val="20"/>
        </w:numPr>
        <w:spacing w:after="0"/>
        <w:rPr>
          <w:rFonts w:eastAsia="Century Gothic" w:cs="Arial"/>
          <w:sz w:val="24"/>
          <w:szCs w:val="24"/>
        </w:rPr>
      </w:pPr>
      <w:r w:rsidRPr="00131EED">
        <w:rPr>
          <w:rFonts w:eastAsia="Century Gothic" w:cs="Arial"/>
          <w:sz w:val="24"/>
          <w:szCs w:val="24"/>
        </w:rPr>
        <w:t>El recurso suelo presenta altas tasas de pérdida debido al sellamiento e impermeabilización, en contravía de la política de gestión sostenible del suelo del Ministerio de Ambiente y Desarrollo Sostenible, que busca su protección según los factores de degradación de cada región. En la Sabana de Bogotá, esta degradación ha reducido sus funciones ecológicas y ambientales, como la captura de carbono, la infiltración y recarga de acuíferos, la regulación hídrica y el soporte de biodiversidad. Para evitar su transformación, es fundamental restringir el crecimiento urbano y suburbano fuera de las áreas definidas en los instrumentos de ordenamiento, consolidando así un límite ambiental que preserve su vocación agrícola y forestal.</w:t>
      </w:r>
    </w:p>
    <w:p w14:paraId="1D69511D" w14:textId="77777777" w:rsidR="000F207A" w:rsidRPr="00131EED" w:rsidRDefault="000F207A" w:rsidP="000F207A">
      <w:pPr>
        <w:rPr>
          <w:rFonts w:eastAsia="Century Gothic" w:cs="Arial"/>
        </w:rPr>
      </w:pPr>
    </w:p>
    <w:p w14:paraId="6C597A5B" w14:textId="77777777" w:rsidR="000F207A" w:rsidRPr="00131EED" w:rsidRDefault="000F207A" w:rsidP="00410194">
      <w:pPr>
        <w:pStyle w:val="ListParagraph"/>
        <w:numPr>
          <w:ilvl w:val="0"/>
          <w:numId w:val="20"/>
        </w:numPr>
        <w:spacing w:after="0"/>
        <w:rPr>
          <w:rFonts w:eastAsia="Century Gothic" w:cs="Arial"/>
          <w:sz w:val="24"/>
          <w:szCs w:val="24"/>
        </w:rPr>
      </w:pPr>
      <w:r w:rsidRPr="00131EED">
        <w:rPr>
          <w:rFonts w:eastAsia="Century Gothic" w:cs="Arial"/>
          <w:sz w:val="24"/>
          <w:szCs w:val="24"/>
        </w:rPr>
        <w:t>La ocupación mediante vivienda campestre y suelo suburbano sobre los suelos rurales agropecuarios es un proceso registrado en las últimas décadas en la Sabana de Bogotá. Es preciso generar directrices que permitan a los tomadores de decisiones, ya sean autoridades ambientales o entes territoriales, aumentar la protección del suelo e impedir que dichas tipologías y patrones de ocupación crezcan ilimitadamente en detrimento del recurso suelo como de la Sabana de Bogotá.</w:t>
      </w:r>
    </w:p>
    <w:p w14:paraId="3FB7F76F" w14:textId="77777777" w:rsidR="000F207A" w:rsidRPr="00131EED" w:rsidRDefault="000F207A" w:rsidP="000F207A">
      <w:pPr>
        <w:pStyle w:val="ListParagraph"/>
        <w:rPr>
          <w:rFonts w:eastAsia="Century Gothic" w:cs="Arial"/>
          <w:sz w:val="24"/>
          <w:szCs w:val="24"/>
        </w:rPr>
      </w:pPr>
    </w:p>
    <w:p w14:paraId="0F9C3944" w14:textId="77777777" w:rsidR="000F207A" w:rsidRPr="00131EED" w:rsidRDefault="000F207A" w:rsidP="00410194">
      <w:pPr>
        <w:pStyle w:val="ListParagraph"/>
        <w:numPr>
          <w:ilvl w:val="0"/>
          <w:numId w:val="20"/>
        </w:numPr>
        <w:spacing w:after="0"/>
        <w:rPr>
          <w:rFonts w:eastAsia="Century Gothic" w:cs="Arial"/>
          <w:sz w:val="24"/>
          <w:szCs w:val="24"/>
        </w:rPr>
      </w:pPr>
      <w:r w:rsidRPr="00131EED">
        <w:rPr>
          <w:rFonts w:eastAsia="Century Gothic" w:cs="Arial"/>
          <w:sz w:val="24"/>
          <w:szCs w:val="24"/>
        </w:rPr>
        <w:t>Las áreas de mayor transformación en la Sabana son las ciudades, las cuales, si bien son entornos artificializados, tienen la oportunidad de aumentar su resiliencia territorial mediante la protección y recuperación de la biodiversidad urbana. Por tanto, es preciso orientar acciones que permitan a los municipios y al Distrito Capital generar bosques urbanos, áreas de humedales, huertos y jardinería regenerativa, entre otras soluciones basadas en la naturaleza, para aumentar las áreas verdes conectadas con la región y fortalecer la adaptación territorial basada en ecosistemas.</w:t>
      </w:r>
    </w:p>
    <w:p w14:paraId="774D944E" w14:textId="77777777" w:rsidR="000F207A" w:rsidRPr="00131EED" w:rsidRDefault="000F207A" w:rsidP="000F207A">
      <w:pPr>
        <w:rPr>
          <w:rFonts w:ascii="Baskerville" w:eastAsia="Century Gothic" w:hAnsi="Baskerville" w:cs="Arial"/>
        </w:rPr>
      </w:pPr>
    </w:p>
    <w:p w14:paraId="6A4E946B" w14:textId="77777777" w:rsidR="00C53524" w:rsidRPr="00131EED" w:rsidRDefault="00C53524" w:rsidP="00410194">
      <w:pPr>
        <w:pStyle w:val="Heading3"/>
        <w:numPr>
          <w:ilvl w:val="2"/>
          <w:numId w:val="31"/>
        </w:numPr>
        <w:rPr>
          <w:b w:val="0"/>
          <w:smallCaps/>
        </w:rPr>
      </w:pPr>
      <w:bookmarkStart w:id="224" w:name="_Toc216468722"/>
      <w:r w:rsidRPr="00131EED">
        <w:rPr>
          <w:rFonts w:eastAsia="Century Gothic"/>
        </w:rPr>
        <w:t>Consideraciones para la generación de directrices para zonas de compatibilidad minera e infraestructuras de transmisión de energía</w:t>
      </w:r>
      <w:bookmarkEnd w:id="224"/>
      <w:r w:rsidRPr="00131EED">
        <w:rPr>
          <w:rFonts w:eastAsia="Century Gothic"/>
        </w:rPr>
        <w:t xml:space="preserve">   </w:t>
      </w:r>
    </w:p>
    <w:p w14:paraId="63A0C355" w14:textId="77777777" w:rsidR="00C53524" w:rsidRPr="00131EED" w:rsidRDefault="00C53524" w:rsidP="00C53524">
      <w:pPr>
        <w:rPr>
          <w:rFonts w:ascii="Baskerville" w:eastAsia="Century Gothic" w:hAnsi="Baskerville" w:cs="Arial"/>
        </w:rPr>
      </w:pPr>
    </w:p>
    <w:p w14:paraId="29727FDA" w14:textId="20B03D3A" w:rsidR="00C53524" w:rsidRPr="00131EED" w:rsidRDefault="00C53524" w:rsidP="00410194">
      <w:pPr>
        <w:pStyle w:val="ListParagraph"/>
        <w:numPr>
          <w:ilvl w:val="0"/>
          <w:numId w:val="14"/>
        </w:numPr>
        <w:spacing w:after="0"/>
        <w:ind w:right="49"/>
        <w:rPr>
          <w:rFonts w:cs="Arial"/>
          <w:sz w:val="24"/>
          <w:szCs w:val="24"/>
        </w:rPr>
      </w:pPr>
      <w:r w:rsidRPr="00131EED">
        <w:rPr>
          <w:rFonts w:cs="Arial"/>
          <w:sz w:val="24"/>
          <w:szCs w:val="24"/>
        </w:rPr>
        <w:t>El desarrollo de la actividad minera en la Sabana de Bogotá sigue generando conflictos con los humedales, bosques andinos y subxerofíticos, páramos, y zonas de recarga de acuíferos. Estas áreas presentan superposiciones con zonas compatibles con la minería en más de 4.500 hectáreas de la Sabana. En estos ecosistemas estratégicos, la actividad minera es totalmente incompatible con su integridad ecológica y funcionalidad. Las consecuencias directas incluyen la degradación de estos ecosistemas, afectaciones a la fauna, flora y recursos hídricos, pérdida del suelo y, como resultado, la disminución de la prestación de servicios ecosistémicos esenciales para la Sabana y áreas colindantes. Entre estos servicios se encuentran la regulación hídrica, el hábitat para la biodiversidad andina, la recarga de acuíferos, la captura de carbono y el control de la erosión, entre otros.</w:t>
      </w:r>
    </w:p>
    <w:p w14:paraId="289F9E38" w14:textId="77777777" w:rsidR="00C53524" w:rsidRPr="00131EED" w:rsidRDefault="00C53524" w:rsidP="00C53524">
      <w:pPr>
        <w:pStyle w:val="ListParagraph"/>
        <w:spacing w:after="0"/>
        <w:ind w:left="360" w:right="49"/>
        <w:rPr>
          <w:rFonts w:cs="Arial"/>
          <w:sz w:val="24"/>
          <w:szCs w:val="24"/>
        </w:rPr>
      </w:pPr>
    </w:p>
    <w:p w14:paraId="0E85A3E3" w14:textId="132E89D1" w:rsidR="00C53524" w:rsidRPr="00131EED" w:rsidRDefault="00C53524" w:rsidP="00C53524">
      <w:pPr>
        <w:pStyle w:val="ListParagraph"/>
        <w:spacing w:after="0"/>
        <w:ind w:left="360" w:right="49"/>
        <w:rPr>
          <w:rFonts w:cs="Arial"/>
          <w:sz w:val="24"/>
          <w:szCs w:val="24"/>
        </w:rPr>
      </w:pPr>
      <w:r w:rsidRPr="00131EED">
        <w:rPr>
          <w:rFonts w:cs="Arial"/>
          <w:sz w:val="24"/>
          <w:szCs w:val="24"/>
        </w:rPr>
        <w:t xml:space="preserve">La actividad minera destruye o alterar significativamente el hábitat natural de las especies subxerofíticas. La remoción de la vegetación y la alteración del terreno disminuyen la capacidad de estas plantas para sobrevivir, afectando la biodiversidad local y potencialmente llevando a la extinción de especies adaptadas a estas condiciones únicas </w:t>
      </w:r>
      <w:sdt>
        <w:sdtPr>
          <w:rPr>
            <w:rFonts w:cs="Arial"/>
            <w:sz w:val="24"/>
            <w:szCs w:val="24"/>
          </w:rPr>
          <w:id w:val="-1585145894"/>
          <w:citation/>
        </w:sdtPr>
        <w:sdtEndPr/>
        <w:sdtContent>
          <w:r w:rsidRPr="00131EED">
            <w:rPr>
              <w:rFonts w:cs="Arial"/>
              <w:sz w:val="24"/>
              <w:szCs w:val="24"/>
            </w:rPr>
            <w:fldChar w:fldCharType="begin"/>
          </w:r>
          <w:r w:rsidRPr="00131EED">
            <w:rPr>
              <w:rFonts w:cs="Arial"/>
              <w:sz w:val="24"/>
              <w:szCs w:val="24"/>
            </w:rPr>
            <w:instrText xml:space="preserve"> CITATION Min17 \l 2058 </w:instrText>
          </w:r>
          <w:r w:rsidRPr="00131EED">
            <w:rPr>
              <w:rFonts w:cs="Arial"/>
              <w:sz w:val="24"/>
              <w:szCs w:val="24"/>
            </w:rPr>
            <w:fldChar w:fldCharType="separate"/>
          </w:r>
          <w:r w:rsidRPr="00131EED">
            <w:rPr>
              <w:rFonts w:cs="Arial"/>
              <w:sz w:val="24"/>
              <w:szCs w:val="24"/>
            </w:rPr>
            <w:t>(Ministerio de Ambiente y Desarrollo Sostenible, 2017)</w:t>
          </w:r>
          <w:r w:rsidRPr="00131EED">
            <w:rPr>
              <w:rFonts w:cs="Arial"/>
              <w:sz w:val="24"/>
              <w:szCs w:val="24"/>
            </w:rPr>
            <w:fldChar w:fldCharType="end"/>
          </w:r>
        </w:sdtContent>
      </w:sdt>
      <w:r w:rsidRPr="00131EED">
        <w:rPr>
          <w:rFonts w:cs="Arial"/>
          <w:sz w:val="24"/>
          <w:szCs w:val="24"/>
        </w:rPr>
        <w:t xml:space="preserve">. Las operaciones mineras contaminan los cuerpos de agua superficiales y subterráneos con metales pesados y químicos, lo que afecta directamente la disponibilidad y calidad del agua necesaria para la vida de las plantas subxerofíticas </w:t>
      </w:r>
      <w:sdt>
        <w:sdtPr>
          <w:rPr>
            <w:rFonts w:cs="Arial"/>
            <w:sz w:val="24"/>
            <w:szCs w:val="24"/>
          </w:rPr>
          <w:id w:val="-471053738"/>
          <w:citation/>
        </w:sdtPr>
        <w:sdtEndPr/>
        <w:sdtContent>
          <w:r w:rsidRPr="00131EED">
            <w:rPr>
              <w:rFonts w:cs="Arial"/>
              <w:sz w:val="24"/>
              <w:szCs w:val="24"/>
            </w:rPr>
            <w:fldChar w:fldCharType="begin"/>
          </w:r>
          <w:r w:rsidRPr="00131EED">
            <w:rPr>
              <w:rFonts w:cs="Arial"/>
              <w:sz w:val="24"/>
              <w:szCs w:val="24"/>
            </w:rPr>
            <w:instrText xml:space="preserve"> CITATION Ins18 \l 2058 </w:instrText>
          </w:r>
          <w:r w:rsidRPr="00131EED">
            <w:rPr>
              <w:rFonts w:cs="Arial"/>
              <w:sz w:val="24"/>
              <w:szCs w:val="24"/>
            </w:rPr>
            <w:fldChar w:fldCharType="separate"/>
          </w:r>
          <w:r w:rsidRPr="00131EED">
            <w:rPr>
              <w:rFonts w:cs="Arial"/>
              <w:sz w:val="24"/>
              <w:szCs w:val="24"/>
            </w:rPr>
            <w:t>(Instituto Humboldt, 2018)</w:t>
          </w:r>
          <w:r w:rsidRPr="00131EED">
            <w:rPr>
              <w:rFonts w:cs="Arial"/>
              <w:sz w:val="24"/>
              <w:szCs w:val="24"/>
            </w:rPr>
            <w:fldChar w:fldCharType="end"/>
          </w:r>
        </w:sdtContent>
      </w:sdt>
      <w:r w:rsidRPr="00131EED">
        <w:rPr>
          <w:rFonts w:cs="Arial"/>
          <w:sz w:val="24"/>
          <w:szCs w:val="24"/>
        </w:rPr>
        <w:t xml:space="preserve">. La minería puede alterar los patrones naturales de drenaje en la región, cambiando la hidrología local. </w:t>
      </w:r>
    </w:p>
    <w:p w14:paraId="37ECF144" w14:textId="77777777" w:rsidR="00C53524" w:rsidRPr="00131EED" w:rsidRDefault="00C53524" w:rsidP="00C53524">
      <w:pPr>
        <w:pStyle w:val="ListParagraph"/>
        <w:spacing w:after="0"/>
        <w:ind w:left="360"/>
        <w:rPr>
          <w:rFonts w:cs="Arial"/>
          <w:sz w:val="24"/>
          <w:szCs w:val="24"/>
        </w:rPr>
      </w:pPr>
    </w:p>
    <w:p w14:paraId="17F08137" w14:textId="77777777" w:rsidR="00C53524" w:rsidRPr="00131EED" w:rsidRDefault="00C53524" w:rsidP="00410194">
      <w:pPr>
        <w:pStyle w:val="ListParagraph"/>
        <w:numPr>
          <w:ilvl w:val="0"/>
          <w:numId w:val="21"/>
        </w:numPr>
        <w:spacing w:after="0"/>
        <w:rPr>
          <w:rFonts w:cs="Arial"/>
          <w:sz w:val="24"/>
          <w:szCs w:val="24"/>
        </w:rPr>
      </w:pPr>
      <w:r w:rsidRPr="00131EED">
        <w:rPr>
          <w:rFonts w:cs="Arial"/>
          <w:sz w:val="24"/>
          <w:szCs w:val="24"/>
        </w:rPr>
        <w:t xml:space="preserve">Persiste la actividad minera en zonas no compatibles, lo que evidencia la dificultad en la aplicación del seguimiento y de los instrumentos ambientales previstos para tal fin. </w:t>
      </w:r>
    </w:p>
    <w:p w14:paraId="0099E7B6" w14:textId="77777777" w:rsidR="00C53524" w:rsidRPr="00131EED" w:rsidRDefault="00C53524" w:rsidP="00C53524">
      <w:pPr>
        <w:autoSpaceDE w:val="0"/>
        <w:autoSpaceDN w:val="0"/>
        <w:adjustRightInd w:val="0"/>
        <w:rPr>
          <w:rFonts w:cs="Arial"/>
        </w:rPr>
      </w:pPr>
    </w:p>
    <w:p w14:paraId="2B5AE498" w14:textId="77777777" w:rsidR="00C53524" w:rsidRPr="00131EED" w:rsidRDefault="00C53524" w:rsidP="00410194">
      <w:pPr>
        <w:pStyle w:val="ListParagraph"/>
        <w:numPr>
          <w:ilvl w:val="0"/>
          <w:numId w:val="21"/>
        </w:numPr>
        <w:spacing w:after="0"/>
        <w:rPr>
          <w:rFonts w:cs="Arial"/>
          <w:sz w:val="24"/>
          <w:szCs w:val="24"/>
        </w:rPr>
      </w:pPr>
      <w:r w:rsidRPr="00131EED">
        <w:rPr>
          <w:rFonts w:cs="Arial"/>
          <w:sz w:val="24"/>
          <w:szCs w:val="24"/>
        </w:rPr>
        <w:t>Persiste condiciones de amenaza alta por movimientos en masa, inundaciones y avenidas torrenciales en zonas mineras, y no hay orientaciones generales para que los municipios puedan establecer mejores usos post-mineros que les permitan aumentar sus áreas verdes y su adaptación territorial. La rehabilitación de estos espacios puede promover actividades sostenibles como el ecoturismo, la agricultura ecológica y la conservación de la biodiversidad, mejorando la calidad de vida de las comunidades locales y fomentando un desarrollo económico más equilibrado</w:t>
      </w:r>
    </w:p>
    <w:p w14:paraId="59006CE4" w14:textId="77777777" w:rsidR="00C53524" w:rsidRPr="00131EED" w:rsidRDefault="00C53524" w:rsidP="00C53524">
      <w:pPr>
        <w:pStyle w:val="ListParagraph"/>
        <w:spacing w:after="0"/>
        <w:ind w:left="360"/>
        <w:rPr>
          <w:rFonts w:cs="Arial"/>
          <w:sz w:val="24"/>
          <w:szCs w:val="24"/>
        </w:rPr>
      </w:pPr>
    </w:p>
    <w:p w14:paraId="005E4BB9" w14:textId="77777777" w:rsidR="00C53524" w:rsidRPr="00131EED" w:rsidRDefault="00C53524" w:rsidP="00410194">
      <w:pPr>
        <w:pStyle w:val="ListParagraph"/>
        <w:numPr>
          <w:ilvl w:val="0"/>
          <w:numId w:val="9"/>
        </w:numPr>
        <w:spacing w:after="0"/>
        <w:rPr>
          <w:rFonts w:cs="Arial"/>
          <w:sz w:val="24"/>
          <w:szCs w:val="24"/>
        </w:rPr>
      </w:pPr>
      <w:r w:rsidRPr="00131EED">
        <w:rPr>
          <w:rFonts w:cs="Arial"/>
          <w:sz w:val="24"/>
          <w:szCs w:val="24"/>
        </w:rPr>
        <w:t xml:space="preserve">Para líneas de transmisión eléctrica, es ausente en la planificación previa a la construcción del proyecto la concertación con la población del proyecto, donde se definan de forma temprana trazados alternos para evitar conflictos con las comunidades. Esta sería una buena práctica para evitar que la Declaratoria de Utilidad Pública (DUP) que emite mediante Resolución motivada por interés general el Ministerio de Minas y Energía se haga sin haber tenido la debida socialización y concertación.  </w:t>
      </w:r>
    </w:p>
    <w:p w14:paraId="3C8BAEC1" w14:textId="77777777" w:rsidR="00C53524" w:rsidRPr="00131EED" w:rsidRDefault="00C53524" w:rsidP="00C53524">
      <w:pPr>
        <w:pStyle w:val="ListParagraph"/>
        <w:spacing w:after="0"/>
        <w:ind w:left="360"/>
        <w:rPr>
          <w:rFonts w:cs="Arial"/>
          <w:sz w:val="24"/>
          <w:szCs w:val="24"/>
        </w:rPr>
      </w:pPr>
    </w:p>
    <w:p w14:paraId="55BC04F2" w14:textId="77777777" w:rsidR="00C53524" w:rsidRPr="00131EED" w:rsidRDefault="00C53524" w:rsidP="00C53524">
      <w:pPr>
        <w:ind w:left="360"/>
        <w:rPr>
          <w:rFonts w:cs="Arial"/>
        </w:rPr>
      </w:pPr>
      <w:r w:rsidRPr="00131EED">
        <w:rPr>
          <w:rFonts w:cs="Arial"/>
        </w:rPr>
        <w:t>No se observan corredores factibles para las ampliaciones del sistema eléctrico. Por ejemplo, instalar torres de doble circuito para tener la posibilidad de ampliación o priorizar la localización de nuevas infraestructuras sobre o cerca de las existentes.</w:t>
      </w:r>
    </w:p>
    <w:p w14:paraId="2916902E" w14:textId="77777777" w:rsidR="00C53524" w:rsidRPr="00131EED" w:rsidRDefault="00C53524" w:rsidP="00C53524">
      <w:pPr>
        <w:pStyle w:val="ListParagraph"/>
        <w:spacing w:after="0"/>
        <w:ind w:left="360"/>
        <w:rPr>
          <w:rFonts w:cs="Arial"/>
          <w:sz w:val="24"/>
          <w:szCs w:val="24"/>
        </w:rPr>
      </w:pPr>
    </w:p>
    <w:p w14:paraId="61A60D80" w14:textId="77777777" w:rsidR="00C53524" w:rsidRPr="00131EED" w:rsidRDefault="00C53524" w:rsidP="00C53524">
      <w:pPr>
        <w:pStyle w:val="ListParagraph"/>
        <w:spacing w:after="0"/>
        <w:ind w:left="360"/>
        <w:rPr>
          <w:rFonts w:cs="Arial"/>
          <w:sz w:val="24"/>
          <w:szCs w:val="24"/>
        </w:rPr>
      </w:pPr>
      <w:r w:rsidRPr="00131EED">
        <w:rPr>
          <w:rFonts w:cs="Arial"/>
          <w:sz w:val="24"/>
          <w:szCs w:val="24"/>
        </w:rPr>
        <w:t>La práctica de construir las torres en zonas paralelas a la infraestructura vial y férrea existente para evitar o minimizar conflictos con las comunidades por intervención de predios privados o de interés especial, es ausente en la Sabana. No se observa que se seleccionen rutas que minimicen la necesidad de construir nuevos caminos de acceso para el transporte de la infraestructura del proyecto (anclajes, estructuras, cables, aisladores, maquinaria, vehículos, malacates, etc.).</w:t>
      </w:r>
    </w:p>
    <w:p w14:paraId="3A60CAB5" w14:textId="77777777" w:rsidR="00C53524" w:rsidRPr="00131EED" w:rsidRDefault="00C53524" w:rsidP="00C53524">
      <w:pPr>
        <w:rPr>
          <w:rFonts w:cs="Arial"/>
        </w:rPr>
      </w:pPr>
    </w:p>
    <w:p w14:paraId="2E4D481D" w14:textId="77777777" w:rsidR="00C53524" w:rsidRPr="00131EED" w:rsidRDefault="00C53524" w:rsidP="00C53524">
      <w:pPr>
        <w:pStyle w:val="ListParagraph"/>
        <w:spacing w:after="0"/>
        <w:ind w:left="360"/>
        <w:rPr>
          <w:rFonts w:cs="Arial"/>
          <w:color w:val="000000" w:themeColor="text1"/>
          <w:sz w:val="24"/>
          <w:szCs w:val="24"/>
        </w:rPr>
      </w:pPr>
      <w:r w:rsidRPr="00131EED">
        <w:rPr>
          <w:rFonts w:cs="Arial"/>
          <w:sz w:val="24"/>
          <w:szCs w:val="24"/>
        </w:rPr>
        <w:t xml:space="preserve">El </w:t>
      </w:r>
      <w:r w:rsidRPr="00131EED">
        <w:rPr>
          <w:rFonts w:cs="Arial"/>
          <w:color w:val="000000" w:themeColor="text1"/>
          <w:sz w:val="24"/>
          <w:szCs w:val="24"/>
        </w:rPr>
        <w:t>establecimiento concertado de compensaciones no es una práctica implementada, el establecimiento de servidumbre no suele incluir las afectaciones a la cobertura vegetal.</w:t>
      </w:r>
    </w:p>
    <w:p w14:paraId="65D44983" w14:textId="77777777" w:rsidR="00C53524" w:rsidRPr="00131EED" w:rsidRDefault="00C53524" w:rsidP="00C53524">
      <w:pPr>
        <w:pStyle w:val="ListParagraph"/>
        <w:spacing w:after="0"/>
        <w:ind w:left="360"/>
        <w:rPr>
          <w:rFonts w:cs="Arial"/>
          <w:color w:val="000000" w:themeColor="text1"/>
          <w:sz w:val="24"/>
          <w:szCs w:val="24"/>
        </w:rPr>
      </w:pPr>
    </w:p>
    <w:p w14:paraId="1C1523A6" w14:textId="77777777" w:rsidR="00C53524" w:rsidRPr="00131EED" w:rsidRDefault="00C53524" w:rsidP="00C53524">
      <w:pPr>
        <w:pStyle w:val="ListParagraph"/>
        <w:spacing w:after="0"/>
        <w:ind w:left="360"/>
        <w:rPr>
          <w:rFonts w:cs="Arial"/>
          <w:color w:val="000000" w:themeColor="text1"/>
          <w:sz w:val="24"/>
          <w:szCs w:val="24"/>
        </w:rPr>
      </w:pPr>
      <w:r w:rsidRPr="00131EED">
        <w:rPr>
          <w:rFonts w:cs="Arial"/>
          <w:color w:val="000000" w:themeColor="text1"/>
          <w:sz w:val="24"/>
          <w:szCs w:val="24"/>
        </w:rPr>
        <w:t>No cuenta la Sabana de Bogotá con una evaluación ambiental estratégica para el sector energético, de tal manera que se genere una planificación a largo plazo que permita la armonización de dichos proyectos con las determinantes ambientales del medio natural, con una fuerte participación de la ciudadanía. La Evaluación Ambiental Estratégica (EAE) es un instrumento de apoyo para la incorporación de la dimensión ambiental a la toma de decisiones estratégicas. Brinda recomendaciones para que las políticas, planes, programas, y el desarrollo regional de la Sabana de Bogotá, incorporen consideraciones ambientales alineadas con la visión de sostenibilidad y el desarrollo sostenible. La aplicación de esta metodología para el sector energético de la Sabana de Bogotá, lleva implícito una fuerte participación de actores institucionales, sectoriales, sociales y otros grupos de interés que tienen incidencia o estarían afectados por las decisiones incorporadas al territorio.</w:t>
      </w:r>
    </w:p>
    <w:p w14:paraId="720550D9" w14:textId="77777777" w:rsidR="00C53524" w:rsidRPr="00131EED" w:rsidRDefault="00C53524" w:rsidP="00C53524">
      <w:pPr>
        <w:rPr>
          <w:lang w:eastAsia="en-US"/>
        </w:rPr>
      </w:pPr>
    </w:p>
    <w:p w14:paraId="45E8F481" w14:textId="77777777" w:rsidR="00877CC3" w:rsidRPr="00131EED" w:rsidRDefault="00877CC3">
      <w:pPr>
        <w:spacing w:after="200" w:line="276" w:lineRule="auto"/>
        <w:jc w:val="left"/>
        <w:rPr>
          <w:rFonts w:ascii="Century Gothic" w:hAnsi="Century Gothic" w:cs="Calibri"/>
          <w:b/>
          <w:bCs/>
          <w:smallCaps/>
          <w:color w:val="000000"/>
          <w:sz w:val="36"/>
          <w:szCs w:val="36"/>
          <w:lang w:eastAsia="en-US"/>
        </w:rPr>
      </w:pPr>
      <w:r w:rsidRPr="00131EED">
        <w:br w:type="page"/>
      </w:r>
    </w:p>
    <w:p w14:paraId="5E048B26" w14:textId="7A23AE77" w:rsidR="00F421F8" w:rsidRPr="00131EED" w:rsidRDefault="00F421F8" w:rsidP="00410194">
      <w:pPr>
        <w:pStyle w:val="Heading1"/>
        <w:numPr>
          <w:ilvl w:val="0"/>
          <w:numId w:val="31"/>
        </w:numPr>
        <w:spacing w:before="0" w:after="0" w:line="240" w:lineRule="auto"/>
      </w:pPr>
      <w:bookmarkStart w:id="225" w:name="_Toc216468723"/>
      <w:r w:rsidRPr="00131EED">
        <w:t>LA OCUPACIÓN Y LA PÉRDIDA DE CAPACIDAD ADAPTATIVA EN LA SABANA DE BOGOTÁ</w:t>
      </w:r>
      <w:bookmarkEnd w:id="225"/>
      <w:r w:rsidRPr="00131EED">
        <w:t xml:space="preserve">  </w:t>
      </w:r>
    </w:p>
    <w:p w14:paraId="6F5B2BAF" w14:textId="77777777" w:rsidR="00F421F8" w:rsidRPr="00131EED" w:rsidRDefault="00F421F8" w:rsidP="00F421F8">
      <w:pPr>
        <w:pStyle w:val="NormalWeb"/>
        <w:spacing w:before="0" w:beforeAutospacing="0" w:after="0" w:afterAutospacing="0"/>
        <w:rPr>
          <w:rFonts w:ascii="Baskerville" w:hAnsi="Baskerville" w:cs="Arial"/>
          <w:color w:val="000000"/>
          <w:sz w:val="22"/>
          <w:szCs w:val="22"/>
        </w:rPr>
      </w:pPr>
    </w:p>
    <w:p w14:paraId="17A7D495" w14:textId="77777777" w:rsidR="00F421F8" w:rsidRPr="00131EED" w:rsidRDefault="00F421F8" w:rsidP="00410194">
      <w:pPr>
        <w:pStyle w:val="Heading2"/>
        <w:numPr>
          <w:ilvl w:val="1"/>
          <w:numId w:val="31"/>
        </w:numPr>
        <w:spacing w:before="0" w:line="240" w:lineRule="auto"/>
      </w:pPr>
      <w:bookmarkStart w:id="226" w:name="_Toc216468724"/>
      <w:r w:rsidRPr="00131EED">
        <w:rPr>
          <w:color w:val="000000" w:themeColor="text1"/>
        </w:rPr>
        <w:t>LA OCUPACIÓN EN LA SABANA DE BOGOTÁ</w:t>
      </w:r>
      <w:bookmarkEnd w:id="226"/>
    </w:p>
    <w:p w14:paraId="1C932349" w14:textId="77777777" w:rsidR="00F421F8" w:rsidRPr="00131EED" w:rsidRDefault="00F421F8" w:rsidP="00F421F8">
      <w:pPr>
        <w:rPr>
          <w:lang w:eastAsia="en-US"/>
        </w:rPr>
      </w:pPr>
    </w:p>
    <w:p w14:paraId="53BD621D" w14:textId="77777777" w:rsidR="00F421F8" w:rsidRPr="00131EED" w:rsidRDefault="00F421F8" w:rsidP="00F421F8">
      <w:pPr>
        <w:pStyle w:val="NormalWeb"/>
        <w:spacing w:before="0" w:beforeAutospacing="0" w:after="0" w:afterAutospacing="0"/>
        <w:rPr>
          <w:rFonts w:eastAsia="Baskerville Old Face" w:cs="Baskerville Old Face"/>
          <w:color w:val="000000" w:themeColor="text1"/>
        </w:rPr>
      </w:pPr>
      <w:r w:rsidRPr="00131EED">
        <w:rPr>
          <w:rFonts w:eastAsia="Baskerville Old Face" w:cs="Baskerville Old Face"/>
          <w:color w:val="000000" w:themeColor="text1"/>
        </w:rPr>
        <w:t>Diferentes estudios (IDOM, 2019; SDHT, 2023; SDP, 2020) recogen casi como una constante, que el diagnóstico y las perspectivas de la dinámica creciente de ocupación del suelo de la Sabana reflejan un panorama preocupante producto de un modelo de ocupación que ha limitado la posibilidad de alcanzar un desarrollo integral sostenible de la región. Lo anterior cuestiona la capacidad y los insumos con los que ha contado el estado para ordenar este territorio, en especial en lo que se refiere a la planeación y a la gestión municipal. </w:t>
      </w:r>
    </w:p>
    <w:p w14:paraId="2369CE06" w14:textId="77777777" w:rsidR="00F421F8" w:rsidRPr="00131EED" w:rsidRDefault="00F421F8" w:rsidP="00F421F8">
      <w:pPr>
        <w:pStyle w:val="NormalWeb"/>
        <w:spacing w:before="0" w:beforeAutospacing="0" w:after="0" w:afterAutospacing="0"/>
        <w:rPr>
          <w:rFonts w:eastAsia="Baskerville Old Face" w:cs="Baskerville Old Face"/>
          <w:color w:val="000000" w:themeColor="text1"/>
        </w:rPr>
      </w:pPr>
    </w:p>
    <w:p w14:paraId="2D118DB4" w14:textId="77777777" w:rsidR="00F421F8" w:rsidRPr="00131EED" w:rsidRDefault="00F421F8" w:rsidP="00F421F8">
      <w:pPr>
        <w:pStyle w:val="NormalWeb"/>
        <w:spacing w:before="0" w:beforeAutospacing="0" w:after="0" w:afterAutospacing="0"/>
        <w:rPr>
          <w:rFonts w:eastAsia="Baskerville Old Face" w:cs="Baskerville Old Face"/>
          <w:color w:val="000000"/>
        </w:rPr>
      </w:pPr>
      <w:r w:rsidRPr="00131EED">
        <w:rPr>
          <w:rFonts w:eastAsia="Baskerville Old Face" w:cs="Baskerville Old Face"/>
          <w:color w:val="000000" w:themeColor="text1"/>
        </w:rPr>
        <w:t>La Sabana de Bogotá funciona como una red de ciudades, con Bogotá como núcleo principal. Los municipios aledaños, interconectados por relaciones ecológicas, funcionales y físicas, dependen en gran medida de la capital. Algunos municipios destacan por su tamaño y rol funcional en la región.</w:t>
      </w:r>
    </w:p>
    <w:p w14:paraId="1575FDD9" w14:textId="77777777" w:rsidR="00F421F8" w:rsidRPr="00131EED" w:rsidRDefault="00F421F8" w:rsidP="00F421F8">
      <w:pPr>
        <w:pStyle w:val="NormalWeb"/>
        <w:spacing w:before="0" w:beforeAutospacing="0" w:after="0" w:afterAutospacing="0"/>
        <w:rPr>
          <w:rFonts w:eastAsia="Baskerville Old Face" w:cs="Baskerville Old Face"/>
          <w:color w:val="000000"/>
        </w:rPr>
      </w:pPr>
    </w:p>
    <w:p w14:paraId="6A981DEF" w14:textId="77777777" w:rsidR="00F421F8" w:rsidRPr="00131EED" w:rsidRDefault="00F421F8" w:rsidP="00F421F8">
      <w:pPr>
        <w:pStyle w:val="NormalWeb"/>
        <w:spacing w:before="0" w:beforeAutospacing="0" w:after="0" w:afterAutospacing="0"/>
        <w:rPr>
          <w:rFonts w:eastAsia="Baskerville Old Face" w:cs="Baskerville Old Face"/>
          <w:color w:val="000000"/>
        </w:rPr>
      </w:pPr>
      <w:r w:rsidRPr="00131EED">
        <w:rPr>
          <w:rFonts w:eastAsia="Baskerville Old Face" w:cs="Baskerville Old Face"/>
          <w:color w:val="000000" w:themeColor="text1"/>
        </w:rPr>
        <w:t xml:space="preserve">La concentración de población y actividad económica en Bogotá ha configurado sus relaciones con los municipios circundantes. La ciudad ha establecido fuertes vínculos tanto con áreas urbanas como rurales, especialmente aquellas más cercanas a sus fronteras. </w:t>
      </w:r>
    </w:p>
    <w:p w14:paraId="68C14B30" w14:textId="77777777" w:rsidR="00F421F8" w:rsidRPr="00131EED" w:rsidRDefault="00F421F8" w:rsidP="00F421F8">
      <w:pPr>
        <w:pStyle w:val="NormalWeb"/>
        <w:spacing w:before="0" w:beforeAutospacing="0" w:after="0" w:afterAutospacing="0"/>
        <w:rPr>
          <w:rFonts w:eastAsia="Baskerville Old Face" w:cs="Baskerville Old Face"/>
          <w:color w:val="000000"/>
        </w:rPr>
      </w:pPr>
    </w:p>
    <w:p w14:paraId="5A6E69D2" w14:textId="77777777" w:rsidR="00F421F8" w:rsidRPr="00131EED" w:rsidRDefault="00F421F8" w:rsidP="00F421F8">
      <w:pPr>
        <w:pStyle w:val="NormalWeb"/>
        <w:spacing w:before="0" w:beforeAutospacing="0" w:after="0" w:afterAutospacing="0"/>
        <w:rPr>
          <w:rFonts w:eastAsia="Baskerville Old Face" w:cs="Baskerville Old Face"/>
          <w:color w:val="000000"/>
        </w:rPr>
      </w:pPr>
      <w:r w:rsidRPr="00131EED">
        <w:rPr>
          <w:rFonts w:eastAsia="Baskerville Old Face" w:cs="Baskerville Old Face"/>
          <w:color w:val="000000" w:themeColor="text1"/>
        </w:rPr>
        <w:t xml:space="preserve">Con respecto a la ocupación rural, además de sostener los procesos ecológicos esenciales del territorio, ofrece capacidades de soporte para el desarrollo de las actividades socioeconómicas de la región (SDP, 2013). El área rural de la sabana genera la mayor parte de servicios ecosistémicos de la que se beneficia la cuarta parte de la población del país, entre ellos, servicios de aprovisionamiento con los recursos energéticos, hídricos y de seguridad alimentaria, y servicios de regulación de los ecosistemas como la regulación climática y de régimen hidrológico. </w:t>
      </w:r>
    </w:p>
    <w:p w14:paraId="58DE8104" w14:textId="77777777" w:rsidR="00F421F8" w:rsidRPr="00131EED" w:rsidRDefault="00F421F8" w:rsidP="00F421F8">
      <w:pPr>
        <w:pStyle w:val="NormalWeb"/>
        <w:spacing w:before="0" w:beforeAutospacing="0" w:after="0" w:afterAutospacing="0"/>
        <w:rPr>
          <w:rFonts w:eastAsia="Baskerville Old Face" w:cs="Baskerville Old Face"/>
          <w:color w:val="000000"/>
        </w:rPr>
      </w:pPr>
    </w:p>
    <w:p w14:paraId="6B086D96" w14:textId="77777777" w:rsidR="00F421F8" w:rsidRPr="00131EED" w:rsidRDefault="00F421F8" w:rsidP="00F421F8">
      <w:pPr>
        <w:pStyle w:val="NormalWeb"/>
        <w:spacing w:before="0" w:beforeAutospacing="0" w:after="0" w:afterAutospacing="0"/>
        <w:rPr>
          <w:rFonts w:eastAsia="Baskerville Old Face" w:cs="Baskerville Old Face"/>
          <w:color w:val="000000"/>
        </w:rPr>
      </w:pPr>
      <w:r w:rsidRPr="00131EED">
        <w:rPr>
          <w:rFonts w:eastAsia="Baskerville Old Face" w:cs="Baskerville Old Face"/>
          <w:color w:val="000000" w:themeColor="text1"/>
        </w:rPr>
        <w:t>Como describe el territorio rural se compone de diversos biomas o paisajes bioclimáticos, donde predominan los orobiomas andinos altos (47%) y los orobiomas medios (43%), los cuales se caracterizan por tener climas frío-seco, frío-húmedo y frío muy húmedo. Dentro de estos biomas hay un conjunto de ecosistemas que pueden clasificarse en dos tipos: naturales y transformados. Los ecosistemas naturales son coberturas que no han sufrido mayores transformaciones por acción antrópica o que habiendo sido transformadas responden a una dinámica de regeneración natural. Entre esta categoría se encuentran los bosques naturales, los arbustales (vegetación leñosa de páramo, de montaña, de sabana o xerofíticos), los herbazales (hierbas y gramíneas de árboles y arbustos de páramos, de sabanas y xerofíticos) y la vegetación secundaria del proceso de sucesión de pastos o cultivos. (Useche. C, 2013),</w:t>
      </w:r>
    </w:p>
    <w:p w14:paraId="3D610C5A" w14:textId="77777777" w:rsidR="00F421F8" w:rsidRPr="00131EED" w:rsidRDefault="00F421F8" w:rsidP="00F421F8">
      <w:pPr>
        <w:pStyle w:val="NormalWeb"/>
        <w:spacing w:before="0" w:beforeAutospacing="0" w:after="0" w:afterAutospacing="0"/>
        <w:rPr>
          <w:rFonts w:eastAsia="Baskerville Old Face" w:cs="Baskerville Old Face"/>
          <w:color w:val="000000"/>
        </w:rPr>
      </w:pPr>
    </w:p>
    <w:p w14:paraId="4F23B216" w14:textId="77777777" w:rsidR="00F421F8" w:rsidRPr="00131EED" w:rsidRDefault="00F421F8" w:rsidP="00F421F8">
      <w:pPr>
        <w:pStyle w:val="NormalWeb"/>
        <w:spacing w:before="0" w:beforeAutospacing="0" w:after="0" w:afterAutospacing="0"/>
        <w:rPr>
          <w:rFonts w:eastAsia="Baskerville Old Face" w:cs="Baskerville Old Face"/>
          <w:color w:val="000000"/>
        </w:rPr>
      </w:pPr>
      <w:r w:rsidRPr="00131EED">
        <w:rPr>
          <w:rFonts w:eastAsia="Baskerville Old Face" w:cs="Baskerville Old Face"/>
          <w:color w:val="000000" w:themeColor="text1"/>
        </w:rPr>
        <w:t xml:space="preserve">Los ecosistemas transformados incluyen tanto los ecosistemas urbanos como los </w:t>
      </w:r>
      <w:r w:rsidRPr="00131EED">
        <w:rPr>
          <w:rFonts w:eastAsia="Baskerville Old Face" w:cs="Baskerville Old Face"/>
          <w:i/>
          <w:color w:val="000000" w:themeColor="text1"/>
        </w:rPr>
        <w:t>agroecosistemas</w:t>
      </w:r>
      <w:r w:rsidRPr="00131EED">
        <w:rPr>
          <w:rFonts w:eastAsia="Baskerville Old Face" w:cs="Baskerville Old Face"/>
          <w:color w:val="000000" w:themeColor="text1"/>
        </w:rPr>
        <w:t>, estos últimos corresponden a las áreas donde las coberturas vegetales naturales han sido mayormente transformadas por actividades humanas y presentan diferentes arreglos espaciales de vegetación sembrada y manejada de manera antrópica. Además, pertenecen a esta categoría los cultivos anuales o transitorios, cultivos semipermanentes y permanentes, pastos para ganado y las áreas agrícolas heterogéneas.</w:t>
      </w:r>
    </w:p>
    <w:p w14:paraId="2773C438" w14:textId="77777777" w:rsidR="00F421F8" w:rsidRPr="00131EED" w:rsidRDefault="00F421F8" w:rsidP="00F421F8">
      <w:pPr>
        <w:pStyle w:val="NormalWeb"/>
        <w:spacing w:before="0" w:beforeAutospacing="0" w:after="0" w:afterAutospacing="0"/>
        <w:rPr>
          <w:rFonts w:eastAsia="Baskerville Old Face" w:cs="Baskerville Old Face"/>
          <w:color w:val="000000"/>
        </w:rPr>
      </w:pPr>
    </w:p>
    <w:p w14:paraId="1F3B6419" w14:textId="77777777" w:rsidR="00F421F8" w:rsidRPr="00131EED" w:rsidRDefault="00F421F8" w:rsidP="00F421F8">
      <w:pPr>
        <w:pStyle w:val="NormalWeb"/>
        <w:spacing w:before="0" w:beforeAutospacing="0" w:after="0" w:afterAutospacing="0"/>
        <w:rPr>
          <w:rFonts w:eastAsia="Baskerville Old Face" w:cs="Baskerville Old Face"/>
          <w:color w:val="000000"/>
        </w:rPr>
      </w:pPr>
      <w:r w:rsidRPr="00131EED">
        <w:rPr>
          <w:rFonts w:eastAsia="Baskerville Old Face" w:cs="Baskerville Old Face"/>
          <w:color w:val="000000" w:themeColor="text1"/>
        </w:rPr>
        <w:t xml:space="preserve">La ocupación humana del territorio y el desarrollo del mercado inmobiliario de la Sabana de Bogotá, responden tanto a las dinámicas propias de la demanda del suelo, como a las disposiciones emanadas de los Planes de Ordenamiento Territorial de los municipios, particularmente aquellas derivadas de la clasificación del suelo (urbano, de expansión, rural y de protección) y de las categorías de desarrollo restringido en suelo rural como áreas para vivienda campestre y suelo suburbano. </w:t>
      </w:r>
    </w:p>
    <w:p w14:paraId="447BDF0F" w14:textId="77777777" w:rsidR="00F421F8" w:rsidRPr="00131EED" w:rsidRDefault="00F421F8" w:rsidP="00F421F8">
      <w:pPr>
        <w:pStyle w:val="NormalWeb"/>
        <w:spacing w:before="0" w:beforeAutospacing="0" w:after="0" w:afterAutospacing="0"/>
        <w:rPr>
          <w:rFonts w:eastAsia="Baskerville Old Face" w:cs="Baskerville Old Face"/>
          <w:color w:val="000000"/>
        </w:rPr>
      </w:pPr>
    </w:p>
    <w:p w14:paraId="5F292354" w14:textId="77777777" w:rsidR="00F421F8" w:rsidRPr="00131EED" w:rsidRDefault="00F421F8" w:rsidP="00F421F8">
      <w:pPr>
        <w:pStyle w:val="NormalWeb"/>
        <w:spacing w:before="0" w:beforeAutospacing="0" w:after="0" w:afterAutospacing="0"/>
        <w:rPr>
          <w:rFonts w:eastAsia="Baskerville Old Face" w:cs="Baskerville Old Face"/>
          <w:color w:val="000000"/>
        </w:rPr>
      </w:pPr>
      <w:r w:rsidRPr="00131EED">
        <w:rPr>
          <w:rFonts w:eastAsia="Baskerville Old Face" w:cs="Baskerville Old Face"/>
          <w:color w:val="000000" w:themeColor="text1"/>
        </w:rPr>
        <w:t xml:space="preserve">La ocupación de la Sabana que tiene como origen a la ciudad de Bogotá, presenta una dinámica acelerada que se caracteriza por su forma expandida sobre suelos rurales y que configura un modelo conurbado entre los municipios cercanos y el núcleo urbano de Bogotá. </w:t>
      </w:r>
    </w:p>
    <w:p w14:paraId="483D4866" w14:textId="77777777" w:rsidR="00F421F8" w:rsidRPr="00131EED" w:rsidRDefault="00F421F8" w:rsidP="00F421F8">
      <w:pPr>
        <w:pStyle w:val="NormalWeb"/>
        <w:spacing w:before="0" w:beforeAutospacing="0" w:after="0" w:afterAutospacing="0"/>
        <w:rPr>
          <w:rFonts w:eastAsia="Baskerville Old Face" w:cs="Baskerville Old Face"/>
        </w:rPr>
      </w:pPr>
    </w:p>
    <w:p w14:paraId="720F46B2" w14:textId="77777777" w:rsidR="00F421F8" w:rsidRPr="00131EED" w:rsidRDefault="00F421F8" w:rsidP="00F421F8">
      <w:pPr>
        <w:pStyle w:val="NormalWeb"/>
        <w:spacing w:before="0" w:beforeAutospacing="0" w:after="0" w:afterAutospacing="0"/>
        <w:rPr>
          <w:rFonts w:eastAsia="Baskerville Old Face" w:cs="Baskerville Old Face"/>
          <w:color w:val="000000"/>
        </w:rPr>
      </w:pPr>
      <w:r w:rsidRPr="00131EED">
        <w:rPr>
          <w:rFonts w:eastAsia="Baskerville Old Face" w:cs="Baskerville Old Face"/>
          <w:color w:val="000000" w:themeColor="text1"/>
        </w:rPr>
        <w:t>De la misma forma, la ocupación territorial sobre los corredores viales de integración regional y de las áreas relacionadas con los suelos suburbanos ha generado nuevas ocupaciones territoriales que en varios casos han tenido mayor dinamismo que el propio desarrollo del suelo urbano o de expansión urbana disponible. Lo que se puede entender como el primer anillo de borde de Bogotá se caracteriza por concentrar un conjunto de funciones urbanas y metropolitanas, por presentar dinámicas de crecimiento poblacional aceleradas, y por la mayor habilitación y ocupación intensiva del suelo, en la que predomina la localización de los sectores industriales y residenciales (SDP, 2020).</w:t>
      </w:r>
    </w:p>
    <w:p w14:paraId="4F180C1B" w14:textId="77777777" w:rsidR="00F421F8" w:rsidRPr="00131EED" w:rsidRDefault="00F421F8" w:rsidP="00F421F8">
      <w:pPr>
        <w:pStyle w:val="NormalWeb"/>
        <w:spacing w:before="0" w:beforeAutospacing="0" w:after="0" w:afterAutospacing="0"/>
        <w:rPr>
          <w:rFonts w:eastAsia="Baskerville Old Face" w:cs="Baskerville Old Face"/>
        </w:rPr>
      </w:pPr>
    </w:p>
    <w:p w14:paraId="689541F2" w14:textId="77777777" w:rsidR="00F421F8" w:rsidRPr="00131EED" w:rsidRDefault="00F421F8" w:rsidP="00F421F8">
      <w:pPr>
        <w:pStyle w:val="NormalWeb"/>
        <w:spacing w:before="0" w:beforeAutospacing="0" w:after="0" w:afterAutospacing="0"/>
        <w:rPr>
          <w:rFonts w:eastAsia="Baskerville Old Face" w:cs="Baskerville Old Face"/>
          <w:color w:val="000000"/>
        </w:rPr>
      </w:pPr>
      <w:r w:rsidRPr="00131EED">
        <w:rPr>
          <w:rFonts w:eastAsia="Baskerville Old Face" w:cs="Baskerville Old Face"/>
          <w:color w:val="000000" w:themeColor="text1"/>
        </w:rPr>
        <w:t>Con respecto a la subdivisión predial rural, esta incrementa la densidad de la ocupación, pues en los municipios del norte y nororiente de Bogotá la ocupación se da principalmente por el aprovechamiento de la oferta ambiental asociada a la habilitación de suelo para vivienda campestre y a usos de turismo e institucionales de carácter privado como colegios y clubes. </w:t>
      </w:r>
    </w:p>
    <w:p w14:paraId="410FCE76" w14:textId="77777777" w:rsidR="00F421F8" w:rsidRPr="00131EED" w:rsidRDefault="00F421F8" w:rsidP="00F421F8">
      <w:pPr>
        <w:pStyle w:val="NormalWeb"/>
        <w:spacing w:before="0" w:beforeAutospacing="0" w:after="0" w:afterAutospacing="0"/>
        <w:rPr>
          <w:rFonts w:eastAsia="Baskerville Old Face" w:cs="Baskerville Old Face"/>
        </w:rPr>
      </w:pPr>
    </w:p>
    <w:p w14:paraId="16704DC6" w14:textId="2ABDEA02" w:rsidR="00F421F8" w:rsidRPr="00131EED" w:rsidRDefault="00F421F8" w:rsidP="00F421F8">
      <w:pPr>
        <w:pStyle w:val="NormalWeb"/>
        <w:spacing w:before="0" w:beforeAutospacing="0" w:after="0" w:afterAutospacing="0"/>
        <w:rPr>
          <w:rFonts w:eastAsia="Baskerville Old Face" w:cs="Baskerville Old Face"/>
          <w:color w:val="000000"/>
        </w:rPr>
      </w:pPr>
      <w:r w:rsidRPr="00131EED">
        <w:rPr>
          <w:rFonts w:cs="Arial"/>
          <w:color w:val="000000"/>
        </w:rPr>
        <w:t>En este sentido, el modelo de ocupación de la Sabana de Bogotá replica el mismo patrón de segregación del Distrito Capital, pues este refleja una diferenciación de la ocupación en la zona norte, occidente y sur conforme a las dinámicas económicas municipales. Igualmente, se observa la consolidación de un corredor urbano intermunicipal al occidente de la Sabana de Bogotá, caracterizado por usos del suelo de tipo periurbano o de transformación residencial como parte de la dinámica metropolitana de la región. </w:t>
      </w:r>
      <w:sdt>
        <w:sdtPr>
          <w:rPr>
            <w:rFonts w:eastAsia="Baskerville Old Face" w:cs="Baskerville Old Face"/>
            <w:color w:val="000000"/>
          </w:rPr>
          <w:id w:val="-724293233"/>
          <w:citation/>
        </w:sdtPr>
        <w:sdtEndPr>
          <w:rPr>
            <w:color w:val="000000" w:themeColor="text1"/>
          </w:rPr>
        </w:sdtEndPr>
        <w:sdtContent>
          <w:r w:rsidRPr="00131EED">
            <w:rPr>
              <w:rFonts w:eastAsia="Baskerville Old Face" w:cs="Baskerville Old Face"/>
              <w:color w:val="000000"/>
            </w:rPr>
            <w:fldChar w:fldCharType="begin"/>
          </w:r>
          <w:r w:rsidRPr="00131EED">
            <w:rPr>
              <w:rFonts w:eastAsia="Baskerville Old Face" w:cs="Baskerville Old Face"/>
              <w:color w:val="000000"/>
            </w:rPr>
            <w:instrText xml:space="preserve">CITATION Sec16 \l 9226 </w:instrText>
          </w:r>
          <w:r w:rsidRPr="00131EED">
            <w:rPr>
              <w:rFonts w:eastAsia="Baskerville Old Face" w:cs="Baskerville Old Face"/>
              <w:color w:val="000000"/>
            </w:rPr>
            <w:fldChar w:fldCharType="separate"/>
          </w:r>
          <w:r w:rsidRPr="00131EED">
            <w:rPr>
              <w:rFonts w:eastAsia="Baskerville Old Face" w:cs="Baskerville Old Face"/>
              <w:color w:val="000000"/>
            </w:rPr>
            <w:t>(SDP, 2016)</w:t>
          </w:r>
          <w:r w:rsidRPr="00131EED">
            <w:rPr>
              <w:rFonts w:eastAsia="Baskerville Old Face" w:cs="Baskerville Old Face"/>
              <w:color w:val="000000"/>
            </w:rPr>
            <w:fldChar w:fldCharType="end"/>
          </w:r>
        </w:sdtContent>
      </w:sdt>
      <w:r w:rsidRPr="00131EED">
        <w:rPr>
          <w:rFonts w:eastAsia="Baskerville Old Face" w:cs="Baskerville Old Face"/>
          <w:color w:val="000000"/>
        </w:rPr>
        <w:t>.</w:t>
      </w:r>
    </w:p>
    <w:p w14:paraId="6D6474A7" w14:textId="77777777" w:rsidR="00F421F8" w:rsidRPr="00131EED" w:rsidRDefault="00F421F8" w:rsidP="00F421F8">
      <w:pPr>
        <w:pStyle w:val="NormalWeb"/>
        <w:spacing w:before="0" w:beforeAutospacing="0" w:after="0" w:afterAutospacing="0"/>
        <w:rPr>
          <w:rFonts w:eastAsia="Baskerville Old Face" w:cs="Baskerville Old Face"/>
        </w:rPr>
      </w:pPr>
    </w:p>
    <w:p w14:paraId="41DC0EB3" w14:textId="093B927E" w:rsidR="00F421F8" w:rsidRPr="00131EED" w:rsidRDefault="00F421F8" w:rsidP="00F421F8">
      <w:pPr>
        <w:pStyle w:val="NormalWeb"/>
        <w:spacing w:before="0" w:beforeAutospacing="0" w:after="0" w:afterAutospacing="0"/>
        <w:rPr>
          <w:rFonts w:eastAsia="Baskerville Old Face" w:cs="Baskerville Old Face"/>
          <w:color w:val="000000"/>
        </w:rPr>
      </w:pPr>
      <w:r w:rsidRPr="00131EED">
        <w:rPr>
          <w:rFonts w:cs="Arial"/>
          <w:color w:val="000000"/>
        </w:rPr>
        <w:t>Los municipios de occidente, Cota, Funza, Madrid y Mosquera, han permitido la habilitación de suelo para el desarrollo principalmente de usos logísticos e industriales complementarios a la actividad del aeropuerto. Así, se expresa la ocupación como una extensión de la actividad industrial y empresarial de Bogotá localizada en el sector de Puente Aranda, Fontibón el centro extendido y el anillo de innovación. Dichos municipios han intensificado su ocupación sobre las vías de integración regional sin la consolidación de sus áreas al interior del perímetro urbano. En este modelo no se evidencia una provisión equilibrada de equipamientos ni de infraestructura dispuesta para atender los desarrollos, sino que permite el uso de la infraestructura y equipamientos del núcleo central del Distrito. </w:t>
      </w:r>
      <w:sdt>
        <w:sdtPr>
          <w:rPr>
            <w:rFonts w:eastAsia="Baskerville Old Face" w:cs="Baskerville Old Face"/>
            <w:color w:val="000000"/>
          </w:rPr>
          <w:id w:val="1654265990"/>
          <w:citation/>
        </w:sdtPr>
        <w:sdtEndPr>
          <w:rPr>
            <w:color w:val="000000" w:themeColor="text1"/>
          </w:rPr>
        </w:sdtEndPr>
        <w:sdtContent>
          <w:r w:rsidRPr="00131EED">
            <w:rPr>
              <w:rFonts w:eastAsia="Baskerville Old Face" w:cs="Baskerville Old Face"/>
              <w:color w:val="000000"/>
            </w:rPr>
            <w:fldChar w:fldCharType="begin"/>
          </w:r>
          <w:r w:rsidRPr="00131EED">
            <w:rPr>
              <w:rFonts w:eastAsia="Baskerville Old Face" w:cs="Baskerville Old Face"/>
              <w:color w:val="000000"/>
            </w:rPr>
            <w:instrText xml:space="preserve"> CITATION Sec16 \l 9226 </w:instrText>
          </w:r>
          <w:r w:rsidRPr="00131EED">
            <w:rPr>
              <w:rFonts w:eastAsia="Baskerville Old Face" w:cs="Baskerville Old Face"/>
              <w:color w:val="000000"/>
            </w:rPr>
            <w:fldChar w:fldCharType="separate"/>
          </w:r>
          <w:r w:rsidRPr="00131EED">
            <w:rPr>
              <w:rFonts w:eastAsia="Baskerville Old Face" w:cs="Baskerville Old Face"/>
              <w:color w:val="000000"/>
            </w:rPr>
            <w:t>(SDP, 2016)</w:t>
          </w:r>
          <w:r w:rsidRPr="00131EED">
            <w:rPr>
              <w:rFonts w:eastAsia="Baskerville Old Face" w:cs="Baskerville Old Face"/>
              <w:color w:val="000000"/>
            </w:rPr>
            <w:fldChar w:fldCharType="end"/>
          </w:r>
        </w:sdtContent>
      </w:sdt>
    </w:p>
    <w:p w14:paraId="322CAF63" w14:textId="77777777" w:rsidR="00F421F8" w:rsidRPr="00131EED" w:rsidRDefault="00F421F8" w:rsidP="00F421F8">
      <w:pPr>
        <w:pStyle w:val="NormalWeb"/>
        <w:spacing w:before="0" w:beforeAutospacing="0" w:after="0" w:afterAutospacing="0"/>
        <w:rPr>
          <w:rFonts w:eastAsia="Baskerville Old Face" w:cs="Baskerville Old Face"/>
        </w:rPr>
      </w:pPr>
    </w:p>
    <w:p w14:paraId="775131F1" w14:textId="7884C2C2" w:rsidR="00F421F8" w:rsidRPr="00131EED" w:rsidRDefault="00F421F8" w:rsidP="00F421F8">
      <w:pPr>
        <w:pStyle w:val="NormalWeb"/>
        <w:spacing w:before="0" w:beforeAutospacing="0" w:after="0" w:afterAutospacing="0"/>
        <w:rPr>
          <w:rFonts w:eastAsia="Baskerville Old Face" w:cs="Baskerville Old Face"/>
          <w:color w:val="000000"/>
        </w:rPr>
      </w:pPr>
      <w:r w:rsidRPr="00131EED">
        <w:rPr>
          <w:rFonts w:cs="Arial"/>
          <w:color w:val="000000"/>
        </w:rPr>
        <w:t xml:space="preserve">Por su parte, los municipios sobre el corredor norte y nororiente expresan una ocupación distinta que los municipios de occidente. Los municipios de Chía, Cajicá y Zipaquirá configuran un gran nodo de comercio y servicios sobre el corredor de la autopista norte. A su vez, los municipios del corredor Cota, Chía, Cajicá, Sopó y La Calera concentran la oferta de suelo para vivienda campestre en función de la oferta ambiental y paisajística. De manera particular, el municipio de Cota se configura como un eje en las relaciones industriales con el norte y el occidente de la Sabana, así como de localización de vivienda, comercio y servicios estrechamente vinculados con Chía. </w:t>
      </w:r>
      <w:sdt>
        <w:sdtPr>
          <w:rPr>
            <w:rFonts w:eastAsia="Baskerville Old Face" w:cs="Baskerville Old Face"/>
            <w:color w:val="000000"/>
          </w:rPr>
          <w:id w:val="768195792"/>
          <w:citation/>
        </w:sdtPr>
        <w:sdtEndPr>
          <w:rPr>
            <w:color w:val="000000" w:themeColor="text1"/>
          </w:rPr>
        </w:sdtEndPr>
        <w:sdtContent>
          <w:r w:rsidRPr="00131EED">
            <w:rPr>
              <w:rFonts w:eastAsia="Baskerville Old Face" w:cs="Baskerville Old Face"/>
              <w:color w:val="000000"/>
            </w:rPr>
            <w:fldChar w:fldCharType="begin"/>
          </w:r>
          <w:r w:rsidRPr="00131EED">
            <w:rPr>
              <w:rFonts w:eastAsia="Baskerville Old Face" w:cs="Baskerville Old Face"/>
              <w:color w:val="000000"/>
            </w:rPr>
            <w:instrText xml:space="preserve"> CITATION Sec16 \l 9226 </w:instrText>
          </w:r>
          <w:r w:rsidRPr="00131EED">
            <w:rPr>
              <w:rFonts w:eastAsia="Baskerville Old Face" w:cs="Baskerville Old Face"/>
              <w:color w:val="000000"/>
            </w:rPr>
            <w:fldChar w:fldCharType="separate"/>
          </w:r>
          <w:r w:rsidRPr="00131EED">
            <w:rPr>
              <w:rFonts w:eastAsia="Baskerville Old Face" w:cs="Baskerville Old Face"/>
              <w:color w:val="000000"/>
            </w:rPr>
            <w:t>(SDP, 2016)</w:t>
          </w:r>
          <w:r w:rsidRPr="00131EED">
            <w:rPr>
              <w:rFonts w:eastAsia="Baskerville Old Face" w:cs="Baskerville Old Face"/>
              <w:color w:val="000000"/>
            </w:rPr>
            <w:fldChar w:fldCharType="end"/>
          </w:r>
        </w:sdtContent>
      </w:sdt>
    </w:p>
    <w:p w14:paraId="00F5E79C" w14:textId="77777777" w:rsidR="00F421F8" w:rsidRPr="00131EED" w:rsidRDefault="00F421F8" w:rsidP="00F421F8">
      <w:pPr>
        <w:pStyle w:val="NormalWeb"/>
        <w:spacing w:before="0" w:beforeAutospacing="0" w:after="0" w:afterAutospacing="0"/>
        <w:rPr>
          <w:rFonts w:eastAsia="Baskerville Old Face" w:cs="Baskerville Old Face"/>
        </w:rPr>
      </w:pPr>
    </w:p>
    <w:p w14:paraId="74C3054A" w14:textId="77777777" w:rsidR="00F421F8" w:rsidRPr="00131EED" w:rsidRDefault="00F421F8" w:rsidP="00F421F8">
      <w:pPr>
        <w:pStyle w:val="NormalWeb"/>
        <w:spacing w:before="0" w:beforeAutospacing="0" w:after="0" w:afterAutospacing="0"/>
        <w:rPr>
          <w:rFonts w:eastAsia="Baskerville Old Face" w:cs="Baskerville Old Face"/>
          <w:color w:val="000000"/>
        </w:rPr>
      </w:pPr>
      <w:r w:rsidRPr="00131EED">
        <w:rPr>
          <w:rFonts w:eastAsia="Baskerville Old Face" w:cs="Baskerville Old Face"/>
          <w:color w:val="000000" w:themeColor="text1"/>
        </w:rPr>
        <w:t>Por otro lado, vale la pena mencionar que la intensidad de las dinámicas económicas, poblacionales y del mercado inmobiliario tienen influencia en el patrón de ocupación del suelo de los municipios de la Sabana de Bogotá, ya que de la localización de la actividad se deriva la distribución y subdivisión predial.  En el ámbito rural, los municipios que presentan mayor densidad predial son Cajicá, Chía y Cota, los cuales se caracterizan por un alto desarrollo de vivienda campestre y la consolidación de corredores de comercio y servicios sobre el troncal vial Chía-Siberia. Un segundo grupo de municipios se puede conformar por los municipios de Tabio, Tocancipá, Ubaque, Zipaquirá, Gachancipá, Tenjo y Chipaque, los cuales se caracterizan por mantener condiciones de baja intensidad en términos de subdivisión predial rural.</w:t>
      </w:r>
    </w:p>
    <w:p w14:paraId="78AEDBDF" w14:textId="77777777" w:rsidR="00F421F8" w:rsidRPr="00131EED" w:rsidRDefault="00F421F8" w:rsidP="00F421F8">
      <w:pPr>
        <w:pStyle w:val="NormalWeb"/>
        <w:spacing w:before="0" w:beforeAutospacing="0" w:after="0" w:afterAutospacing="0"/>
        <w:rPr>
          <w:rFonts w:eastAsia="Baskerville Old Face" w:cs="Baskerville Old Face"/>
        </w:rPr>
      </w:pPr>
    </w:p>
    <w:p w14:paraId="6735E648" w14:textId="7625278A" w:rsidR="00F421F8" w:rsidRPr="00131EED" w:rsidRDefault="00F421F8" w:rsidP="00F421F8">
      <w:pPr>
        <w:pStyle w:val="NormalWeb"/>
        <w:spacing w:before="0" w:beforeAutospacing="0" w:after="0" w:afterAutospacing="0"/>
        <w:rPr>
          <w:rFonts w:eastAsia="Baskerville Old Face" w:cs="Baskerville Old Face"/>
          <w:color w:val="000000"/>
        </w:rPr>
      </w:pPr>
      <w:r w:rsidRPr="00131EED">
        <w:rPr>
          <w:rFonts w:cs="Arial"/>
          <w:color w:val="000000"/>
        </w:rPr>
        <w:t xml:space="preserve">Según el estudio de IDOM realizado en el 2016 se puede concluir que la dinámica territorial de la huella urbana de Bogotá desde 1997 se acercó hasta los bordes del Río Bogotá, y aunque es parte de la estructura ecológica de la región, no logró detener el crecimiento de la huella lo que resultó en un proceso de conurbación entre Bogotá D.C y municipios como Chía, Cota, Cajicá, Funza y Mosquera, caracterizándose Chía y Cota principalmente en usos de vivienda, mientras que Funza, Mosquera y Cajicá se caracterizan por desarrollar principalmente usos industriales. Este tipo de suelo que para 1997 era libre, a 2016 se transforma en desarrollos inmobiliarios con tipologías edificatorias mixtas y estratos socioeconómicos diversos pero especializados según el municipio. </w:t>
      </w:r>
      <w:sdt>
        <w:sdtPr>
          <w:rPr>
            <w:rFonts w:eastAsia="Baskerville Old Face" w:cs="Baskerville Old Face"/>
            <w:color w:val="000000"/>
          </w:rPr>
          <w:id w:val="-546531950"/>
          <w:citation/>
        </w:sdtPr>
        <w:sdtEndPr>
          <w:rPr>
            <w:color w:val="000000" w:themeColor="text1"/>
          </w:rPr>
        </w:sdtEndPr>
        <w:sdtContent>
          <w:r w:rsidRPr="00131EED">
            <w:rPr>
              <w:rFonts w:eastAsia="Baskerville Old Face" w:cs="Baskerville Old Face"/>
              <w:color w:val="000000"/>
            </w:rPr>
            <w:fldChar w:fldCharType="begin"/>
          </w:r>
          <w:r w:rsidRPr="00131EED">
            <w:rPr>
              <w:rFonts w:eastAsia="Baskerville Old Face" w:cs="Baskerville Old Face"/>
              <w:color w:val="000000"/>
            </w:rPr>
            <w:instrText xml:space="preserve"> CITATION IDO19 \l 9226 </w:instrText>
          </w:r>
          <w:r w:rsidRPr="00131EED">
            <w:rPr>
              <w:rFonts w:eastAsia="Baskerville Old Face" w:cs="Baskerville Old Face"/>
              <w:color w:val="000000"/>
            </w:rPr>
            <w:fldChar w:fldCharType="separate"/>
          </w:r>
          <w:r w:rsidRPr="00131EED">
            <w:rPr>
              <w:rFonts w:eastAsia="Baskerville Old Face" w:cs="Baskerville Old Face"/>
              <w:color w:val="000000"/>
            </w:rPr>
            <w:t>(IDOM, 2019)</w:t>
          </w:r>
          <w:r w:rsidRPr="00131EED">
            <w:rPr>
              <w:rFonts w:eastAsia="Baskerville Old Face" w:cs="Baskerville Old Face"/>
              <w:color w:val="000000"/>
            </w:rPr>
            <w:fldChar w:fldCharType="end"/>
          </w:r>
        </w:sdtContent>
      </w:sdt>
    </w:p>
    <w:p w14:paraId="19D04421" w14:textId="77777777" w:rsidR="00F421F8" w:rsidRPr="00131EED" w:rsidRDefault="00F421F8" w:rsidP="00F421F8">
      <w:pPr>
        <w:pStyle w:val="NormalWeb"/>
        <w:spacing w:before="0" w:beforeAutospacing="0" w:after="0" w:afterAutospacing="0"/>
        <w:rPr>
          <w:rFonts w:eastAsia="Baskerville Old Face" w:cs="Baskerville Old Face"/>
        </w:rPr>
      </w:pPr>
    </w:p>
    <w:p w14:paraId="65D27602" w14:textId="7B0C4EC2" w:rsidR="00F421F8" w:rsidRPr="00131EED" w:rsidRDefault="00F421F8" w:rsidP="00F421F8">
      <w:pPr>
        <w:pStyle w:val="NormalWeb"/>
        <w:spacing w:before="0" w:beforeAutospacing="0" w:after="0" w:afterAutospacing="0"/>
        <w:rPr>
          <w:rFonts w:eastAsia="Baskerville Old Face" w:cs="Baskerville Old Face"/>
          <w:color w:val="000000"/>
        </w:rPr>
      </w:pPr>
      <w:r w:rsidRPr="00131EED">
        <w:rPr>
          <w:rFonts w:cs="Arial"/>
          <w:color w:val="000000"/>
        </w:rPr>
        <w:t>Igualmente, en términos de los 20 municipios que analiza este estudio, se identificó para 1997 que los cascos urbanos de los 20 municipios a excepción de Soacha se mantienen concentrados y aislados, la dispersión fue mínima caracterizada por los pequeños minifundios productivos del suelo de la región, suelo que según el estudio mantendría una tendencia de ocupación de manera dispersa por el surgimiento de industria y vivienda en tipología unifamiliar mayormente. </w:t>
      </w:r>
      <w:sdt>
        <w:sdtPr>
          <w:rPr>
            <w:rFonts w:eastAsia="Baskerville Old Face" w:cs="Baskerville Old Face"/>
            <w:color w:val="000000"/>
          </w:rPr>
          <w:id w:val="1009719166"/>
          <w:citation/>
        </w:sdtPr>
        <w:sdtEndPr>
          <w:rPr>
            <w:color w:val="000000" w:themeColor="text1"/>
          </w:rPr>
        </w:sdtEndPr>
        <w:sdtContent>
          <w:r w:rsidRPr="00131EED">
            <w:rPr>
              <w:rFonts w:eastAsia="Baskerville Old Face" w:cs="Baskerville Old Face"/>
              <w:color w:val="000000"/>
            </w:rPr>
            <w:fldChar w:fldCharType="begin"/>
          </w:r>
          <w:r w:rsidRPr="00131EED">
            <w:rPr>
              <w:rFonts w:eastAsia="Baskerville Old Face" w:cs="Baskerville Old Face"/>
              <w:color w:val="000000"/>
            </w:rPr>
            <w:instrText xml:space="preserve"> CITATION IDO19 \l 9226 </w:instrText>
          </w:r>
          <w:r w:rsidRPr="00131EED">
            <w:rPr>
              <w:rFonts w:eastAsia="Baskerville Old Face" w:cs="Baskerville Old Face"/>
              <w:color w:val="000000"/>
            </w:rPr>
            <w:fldChar w:fldCharType="separate"/>
          </w:r>
          <w:r w:rsidRPr="00131EED">
            <w:rPr>
              <w:rFonts w:eastAsia="Baskerville Old Face" w:cs="Baskerville Old Face"/>
              <w:color w:val="000000"/>
            </w:rPr>
            <w:t>(IDOM, 2019)</w:t>
          </w:r>
          <w:r w:rsidRPr="00131EED">
            <w:rPr>
              <w:rFonts w:eastAsia="Baskerville Old Face" w:cs="Baskerville Old Face"/>
              <w:color w:val="000000"/>
            </w:rPr>
            <w:fldChar w:fldCharType="end"/>
          </w:r>
        </w:sdtContent>
      </w:sdt>
    </w:p>
    <w:p w14:paraId="56062AA1" w14:textId="77777777" w:rsidR="00F421F8" w:rsidRPr="00131EED" w:rsidRDefault="00F421F8" w:rsidP="00F421F8">
      <w:pPr>
        <w:pStyle w:val="NormalWeb"/>
        <w:spacing w:before="0" w:beforeAutospacing="0" w:after="0" w:afterAutospacing="0"/>
        <w:rPr>
          <w:rFonts w:eastAsia="Baskerville Old Face" w:cs="Baskerville Old Face"/>
        </w:rPr>
      </w:pPr>
    </w:p>
    <w:p w14:paraId="459E3EA6" w14:textId="77777777" w:rsidR="00F421F8" w:rsidRPr="00131EED" w:rsidRDefault="00F421F8" w:rsidP="00F421F8">
      <w:pPr>
        <w:pStyle w:val="NormalWeb"/>
        <w:spacing w:before="0" w:beforeAutospacing="0" w:after="0" w:afterAutospacing="0"/>
        <w:rPr>
          <w:rFonts w:eastAsia="Baskerville Old Face" w:cs="Baskerville Old Face"/>
          <w:color w:val="000000"/>
        </w:rPr>
      </w:pPr>
      <w:r w:rsidRPr="00131EED">
        <w:rPr>
          <w:rFonts w:eastAsia="Baskerville Old Face" w:cs="Baskerville Old Face"/>
          <w:color w:val="000000" w:themeColor="text1"/>
        </w:rPr>
        <w:t>Del mismo modo este estudio identifica que municipios como Bogotá D.C., Fusagasugá, Soacha, Sibaté, Bojacá, El Rosal, Facatativá, Funza, Madrid, Mosquera y Tocancipá, desarrollaron vivienda sobre suelo urbano y de expansión principalmente, lo que permite identificar un consumo apropiado del suelo urbano en términos de un modelo de ciudad compacta, sin embargo municipios como Tabio, Tenjo, La Calera, Gachancipá, y Zipaquirá, volcaron su crecimiento sobre el suelo rural y aún más crítico municipios como Chía logran un crecimiento sobre su suelo de protección, identificando un crecimiento con altos impactos sobre la Estructura Ecológica Principal; de otro lado están los municipios como Cajicá, Cota y Sopó, los cuales crecen sobre suelo suburbano. </w:t>
      </w:r>
    </w:p>
    <w:p w14:paraId="62D6502D" w14:textId="77777777" w:rsidR="00F421F8" w:rsidRPr="00131EED" w:rsidRDefault="00F421F8" w:rsidP="00F421F8">
      <w:pPr>
        <w:pStyle w:val="NormalWeb"/>
        <w:spacing w:before="0" w:beforeAutospacing="0" w:after="0" w:afterAutospacing="0"/>
        <w:rPr>
          <w:rFonts w:eastAsia="Baskerville Old Face" w:cs="Baskerville Old Face"/>
        </w:rPr>
      </w:pPr>
    </w:p>
    <w:p w14:paraId="52CEC170" w14:textId="77777777" w:rsidR="00F421F8" w:rsidRPr="00131EED" w:rsidRDefault="00F421F8" w:rsidP="00F421F8">
      <w:pPr>
        <w:pStyle w:val="NormalWeb"/>
        <w:spacing w:before="0" w:beforeAutospacing="0" w:after="0" w:afterAutospacing="0"/>
        <w:rPr>
          <w:rFonts w:eastAsia="Baskerville Old Face" w:cs="Baskerville Old Face"/>
          <w:color w:val="000000"/>
        </w:rPr>
      </w:pPr>
      <w:r w:rsidRPr="00131EED">
        <w:rPr>
          <w:rFonts w:eastAsia="Baskerville Old Face" w:cs="Baskerville Old Face"/>
          <w:color w:val="000000" w:themeColor="text1"/>
        </w:rPr>
        <w:t>Cabe aclarar que parte de la justificación de este fenómeno radica en el cambio de la clasificación del suelo a través de las revisiones al POT del municipio, sin embargo, hoy la realidad es que por ejemplo Chía, creció sobre suelos que podrían ser de protección agropecuaria o ambiental. Adicionalmente, para algunos municipios es bajo el crecimiento sobre las áreas de expansión urbana, solo Facatativá logra un crecimiento principalmente sobre dicho suelo y municipios como Soacha, Bojacá y Madrid, logran un desarrollo importante de sus áreas de expansión, aunque no mayor al desarrollo en su suelo urbano.</w:t>
      </w:r>
    </w:p>
    <w:p w14:paraId="60DFBF86" w14:textId="77777777" w:rsidR="00F421F8" w:rsidRPr="00131EED" w:rsidRDefault="00F421F8" w:rsidP="00F421F8">
      <w:pPr>
        <w:pStyle w:val="NormalWeb"/>
        <w:spacing w:before="0" w:beforeAutospacing="0" w:after="0" w:afterAutospacing="0"/>
        <w:rPr>
          <w:rFonts w:eastAsia="Baskerville Old Face" w:cs="Baskerville Old Face"/>
          <w:color w:val="000000"/>
        </w:rPr>
      </w:pPr>
    </w:p>
    <w:p w14:paraId="02C36FB8" w14:textId="77777777" w:rsidR="00F421F8" w:rsidRPr="00131EED" w:rsidRDefault="00F421F8" w:rsidP="00F421F8">
      <w:pPr>
        <w:pStyle w:val="NormalWeb"/>
        <w:spacing w:before="0" w:beforeAutospacing="0" w:after="0" w:afterAutospacing="0"/>
        <w:rPr>
          <w:rFonts w:eastAsia="Baskerville Old Face" w:cs="Baskerville Old Face"/>
          <w:color w:val="000000"/>
        </w:rPr>
      </w:pPr>
      <w:r w:rsidRPr="00131EED">
        <w:rPr>
          <w:rFonts w:eastAsia="Baskerville Old Face" w:cs="Baskerville Old Face"/>
          <w:color w:val="000000" w:themeColor="text1"/>
        </w:rPr>
        <w:t>En términos del suelo destinado para el uso industrial se identifica un crecimiento sobre suelo urbano para municipios como Mosquera, sin embargo, municipios como Facatativá, y Cota lo hacen sobre suelo rural de baja densidad en contraste con Sibaté, Funza, Cajicá, Madrid, Tenjo, Tocancipá y Sopó, los cuales lo hacen sobre el suelo rural suburbano.</w:t>
      </w:r>
    </w:p>
    <w:p w14:paraId="1EA198DF" w14:textId="77777777" w:rsidR="00F421F8" w:rsidRPr="00131EED" w:rsidRDefault="00F421F8" w:rsidP="00F421F8">
      <w:pPr>
        <w:pStyle w:val="NormalWeb"/>
        <w:spacing w:before="0" w:beforeAutospacing="0" w:after="0" w:afterAutospacing="0"/>
        <w:rPr>
          <w:rFonts w:eastAsia="Baskerville Old Face" w:cs="Baskerville Old Face"/>
          <w:color w:val="000000"/>
        </w:rPr>
      </w:pPr>
    </w:p>
    <w:p w14:paraId="3872713D" w14:textId="77777777" w:rsidR="00F421F8" w:rsidRPr="00131EED" w:rsidRDefault="00F421F8" w:rsidP="00F421F8">
      <w:pPr>
        <w:pStyle w:val="NormalWeb"/>
        <w:spacing w:before="0" w:beforeAutospacing="0" w:after="0" w:afterAutospacing="0"/>
        <w:rPr>
          <w:rFonts w:eastAsia="Baskerville Old Face" w:cs="Baskerville Old Face"/>
          <w:color w:val="000000" w:themeColor="text1"/>
        </w:rPr>
      </w:pPr>
      <w:r w:rsidRPr="00131EED">
        <w:rPr>
          <w:rFonts w:eastAsia="Baskerville Old Face" w:cs="Baskerville Old Face"/>
          <w:color w:val="000000" w:themeColor="text1"/>
        </w:rPr>
        <w:t>Finalmente, la información de los distintos estudios técnicos referenciados (IDOM, 2019; SDHT, 2023; SDP, 2020) evidencia la alta y rápida transformación del suelo en la Sabana de Bogotá, principalmente por los usos urbanos y suburbanos, pero también por las dinámicas de localización de la actividad productiva, lo que evidencia la necesidad de generar directrices de ordenamiento ambiental que aporten a transformar dichas dinámicas, y que permita que las opciones de desarrollo regional se armonicen de mejor manera con límites territoriales, y con la protección de recursos como el suelo para aumentar su resiliencia territorial.</w:t>
      </w:r>
    </w:p>
    <w:p w14:paraId="196F13EB" w14:textId="77777777" w:rsidR="00F421F8" w:rsidRPr="00131EED" w:rsidRDefault="00F421F8" w:rsidP="00F421F8">
      <w:pPr>
        <w:pStyle w:val="NormalWeb"/>
        <w:spacing w:before="0" w:beforeAutospacing="0" w:after="0" w:afterAutospacing="0"/>
        <w:rPr>
          <w:rFonts w:eastAsia="Baskerville Old Face" w:cs="Baskerville Old Face"/>
          <w:color w:val="000000" w:themeColor="text1"/>
        </w:rPr>
      </w:pPr>
    </w:p>
    <w:p w14:paraId="555BE148" w14:textId="77777777" w:rsidR="00F421F8" w:rsidRPr="00131EED" w:rsidRDefault="00F421F8" w:rsidP="00410194">
      <w:pPr>
        <w:pStyle w:val="Heading3"/>
        <w:numPr>
          <w:ilvl w:val="2"/>
          <w:numId w:val="31"/>
        </w:numPr>
      </w:pPr>
      <w:bookmarkStart w:id="227" w:name="_Toc167294612"/>
      <w:bookmarkStart w:id="228" w:name="_Toc167854499"/>
      <w:bookmarkStart w:id="229" w:name="_Toc216468725"/>
      <w:r w:rsidRPr="00131EED">
        <w:t xml:space="preserve">Las transformaciones </w:t>
      </w:r>
      <w:bookmarkEnd w:id="227"/>
      <w:bookmarkEnd w:id="228"/>
      <w:r w:rsidRPr="00131EED">
        <w:t>territoriales y la huella de ocupación en la Sabana</w:t>
      </w:r>
      <w:bookmarkEnd w:id="229"/>
    </w:p>
    <w:p w14:paraId="40DE68DD" w14:textId="77777777" w:rsidR="00F421F8" w:rsidRPr="00131EED" w:rsidRDefault="00F421F8" w:rsidP="00F421F8">
      <w:pPr>
        <w:rPr>
          <w:rFonts w:eastAsia="Century Gothic" w:cs="Arial"/>
        </w:rPr>
      </w:pPr>
    </w:p>
    <w:p w14:paraId="2F69BABB" w14:textId="77777777" w:rsidR="00F421F8" w:rsidRPr="00131EED" w:rsidRDefault="00F421F8" w:rsidP="00F421F8">
      <w:pPr>
        <w:rPr>
          <w:rFonts w:eastAsia="Century Gothic" w:cs="Arial"/>
        </w:rPr>
      </w:pPr>
      <w:r w:rsidRPr="00131EED">
        <w:rPr>
          <w:rFonts w:eastAsia="Century Gothic" w:cs="Arial"/>
        </w:rPr>
        <w:t>Las transformaciones territoriales, impulsadas por modelos de desarrollo en función del mercado mundial, modifican estructuras socioespaciales a través de mecanismos y procesos de cambio. Estas transformaciones, que pueden ser no físicas, se reflejan en leyes, normas, gobierno y flujos de poder entre actores sociales. El análisis de las dinámicas territoriales y las áreas funcionales es crucial, ya que estas representan zonas interconectadas por intercambios económicos y sociales entre residentes de municipios adyacentes que comparten mercados locales, bienes públicos y servicios sociales (Ovalle, 2023)</w:t>
      </w:r>
      <w:r w:rsidRPr="00131EED">
        <w:rPr>
          <w:rFonts w:eastAsia="Century Gothic" w:cs="Arial"/>
          <w:vertAlign w:val="superscript"/>
        </w:rPr>
        <w:footnoteReference w:id="8"/>
      </w:r>
      <w:r w:rsidRPr="00131EED">
        <w:rPr>
          <w:rFonts w:eastAsia="Century Gothic" w:cs="Arial"/>
        </w:rPr>
        <w:t>.</w:t>
      </w:r>
    </w:p>
    <w:p w14:paraId="062D669D" w14:textId="6103D5CD" w:rsidR="00F421F8" w:rsidRPr="00131EED" w:rsidRDefault="00F421F8" w:rsidP="00F421F8">
      <w:pPr>
        <w:rPr>
          <w:rFonts w:eastAsia="Century Gothic" w:cs="Arial"/>
        </w:rPr>
      </w:pPr>
      <w:r w:rsidRPr="00131EED">
        <w:rPr>
          <w:rFonts w:eastAsia="Century Gothic" w:cs="Arial"/>
        </w:rPr>
        <w:t>La sabana de Bogotá puede ser entendida como un “territorio funcional”, es decir un área donde las interacciones económicas y sociales entre residentes, organizaciones y empresas son frecuentes. Estos territorios comprenden unidades geográficamente contiguas donde una parte significativa de la población se desplaza regularmente para trabajar. Esta noción de interdependencia espacial permite comprender las conexiones entre áreas urbanas y rurales, como el intercambio de bienes y servicios, que a menudo trascienden los límites administrativos; asimismo, facilita la identificación de dinámicas territoriales y promueve la asociatividad territorial con objetivos claros, mejorando la asignación de recursos para proyectos que contribuyan al desarrollo y bienestar de la población (DNP, 2020).</w:t>
      </w:r>
      <w:r w:rsidRPr="00131EED">
        <w:rPr>
          <w:rFonts w:eastAsia="Century Gothic" w:cs="Arial"/>
          <w:vertAlign w:val="superscript"/>
        </w:rPr>
        <w:footnoteReference w:id="9"/>
      </w:r>
    </w:p>
    <w:p w14:paraId="16C63DE0" w14:textId="77777777" w:rsidR="00F421F8" w:rsidRPr="00131EED" w:rsidRDefault="00F421F8" w:rsidP="00F421F8">
      <w:pPr>
        <w:rPr>
          <w:rFonts w:eastAsia="Century Gothic" w:cs="Arial"/>
        </w:rPr>
      </w:pPr>
    </w:p>
    <w:p w14:paraId="4E406DA0" w14:textId="77777777" w:rsidR="00F421F8" w:rsidRPr="00131EED" w:rsidRDefault="00F421F8" w:rsidP="00F421F8">
      <w:pPr>
        <w:rPr>
          <w:rFonts w:eastAsia="Century Gothic" w:cs="Arial"/>
        </w:rPr>
      </w:pPr>
      <w:r w:rsidRPr="00131EED">
        <w:rPr>
          <w:rFonts w:eastAsia="Century Gothic" w:cs="Arial"/>
        </w:rPr>
        <w:t>Las transformaciones territoriales, impulsadas por modelos de desarrollo globalizados, modifican la organización espacial de la sociedad, el análisis de las dinámicas territoriales y las áreas funcionales, donde las interacciones sociales y económicas son frecuentes, es crucial para comprender estos cambios. La morfología urbana, reflejo de estas interacciones, nos permite identificar patrones de urbanización, interdependencias entre áreas y diseñar estrategias para un desarrollo sostenible y equitativo, igualmente comprender las operaciones urbanas, las formas de crecimiento urbano y las tipologías arquitectónicas es clave para este análisis. La morfología urbana, junto a las dependencias territoriales y las dinámicas funcionales, ofrece una herramienta para guiar el desarrollo urbano hacia un futuro más sostenible y equitativo (Solá, M. 1997)</w:t>
      </w:r>
      <w:r w:rsidRPr="00131EED">
        <w:rPr>
          <w:rStyle w:val="FootnoteReference"/>
          <w:rFonts w:eastAsia="Century Gothic" w:cs="Arial"/>
        </w:rPr>
        <w:footnoteReference w:id="10"/>
      </w:r>
      <w:r w:rsidRPr="00131EED">
        <w:rPr>
          <w:rFonts w:eastAsia="Century Gothic" w:cs="Arial"/>
        </w:rPr>
        <w:t>.</w:t>
      </w:r>
    </w:p>
    <w:p w14:paraId="18BA7642" w14:textId="77777777" w:rsidR="00F421F8" w:rsidRPr="00131EED" w:rsidRDefault="00F421F8" w:rsidP="00F421F8">
      <w:pPr>
        <w:rPr>
          <w:rFonts w:eastAsia="Century Gothic" w:cs="Arial"/>
        </w:rPr>
      </w:pPr>
    </w:p>
    <w:p w14:paraId="4457815E" w14:textId="77777777" w:rsidR="00F421F8" w:rsidRPr="00131EED" w:rsidRDefault="00F421F8" w:rsidP="00F421F8">
      <w:pPr>
        <w:rPr>
          <w:rFonts w:eastAsia="Century Gothic" w:cs="Arial"/>
        </w:rPr>
      </w:pPr>
      <w:r w:rsidRPr="00131EED">
        <w:rPr>
          <w:rFonts w:eastAsia="Century Gothic" w:cs="Arial"/>
        </w:rPr>
        <w:t>La huella de ocupación es un indicador crucial para comprender la configuración y el crecimiento de las ciudades, así como su impacto en el entorno natural. Se define como la extensión espacial de las áreas urbanizadas, caracterizadas por construcciones, calles y superficies impermeables, lo que excluye las superficies naturales dentro de las ciudades. Esta huella se representa comúnmente mediante una máscara de asentamiento urbano, utilizando modelos ráster binarios de presencia y ausencia.</w:t>
      </w:r>
    </w:p>
    <w:p w14:paraId="6C0AC03F" w14:textId="77777777" w:rsidR="00F421F8" w:rsidRPr="00131EED" w:rsidRDefault="00F421F8" w:rsidP="00F421F8">
      <w:pPr>
        <w:rPr>
          <w:rFonts w:eastAsia="Century Gothic" w:cs="Arial"/>
        </w:rPr>
      </w:pPr>
    </w:p>
    <w:p w14:paraId="737E2D91" w14:textId="77777777" w:rsidR="00F421F8" w:rsidRPr="00131EED" w:rsidRDefault="00F421F8" w:rsidP="00F421F8">
      <w:pPr>
        <w:rPr>
          <w:rFonts w:eastAsia="Century Gothic" w:cs="Arial"/>
        </w:rPr>
      </w:pPr>
      <w:r w:rsidRPr="00131EED">
        <w:rPr>
          <w:rFonts w:eastAsia="Century Gothic" w:cs="Arial"/>
        </w:rPr>
        <w:t>La huella de ocupación puede ser analizada a través de datos intercensales, como los proporcionados por el Departamento Administrativo Nacional de Estadística (DANE). Estos datos permiten comprender la dinámica demográfica de una población entre dos censos, y por tanto el crecimiento y la evolución de las ciudades a lo largo del tiempo.</w:t>
      </w:r>
    </w:p>
    <w:p w14:paraId="4AA6F71B" w14:textId="77777777" w:rsidR="00F421F8" w:rsidRPr="00131EED" w:rsidRDefault="00F421F8" w:rsidP="00F421F8">
      <w:pPr>
        <w:rPr>
          <w:rFonts w:eastAsia="Century Gothic" w:cs="Arial"/>
        </w:rPr>
      </w:pPr>
    </w:p>
    <w:p w14:paraId="0262A226" w14:textId="77777777" w:rsidR="00F421F8" w:rsidRPr="00131EED" w:rsidRDefault="00F421F8" w:rsidP="00F421F8">
      <w:pPr>
        <w:rPr>
          <w:rFonts w:eastAsia="Century Gothic" w:cs="Arial"/>
        </w:rPr>
      </w:pPr>
    </w:p>
    <w:p w14:paraId="1CF34F64" w14:textId="77777777" w:rsidR="00F421F8" w:rsidRPr="00131EED" w:rsidRDefault="00F421F8" w:rsidP="00410194">
      <w:pPr>
        <w:pStyle w:val="Heading4"/>
        <w:numPr>
          <w:ilvl w:val="3"/>
          <w:numId w:val="31"/>
        </w:numPr>
      </w:pPr>
      <w:bookmarkStart w:id="230" w:name="_Toc216468726"/>
      <w:r w:rsidRPr="00131EED">
        <w:t>Huella de ocupación por fuera del suelo urbano, de expansión o rural-suburbano</w:t>
      </w:r>
      <w:bookmarkEnd w:id="230"/>
    </w:p>
    <w:p w14:paraId="3D398307" w14:textId="77777777" w:rsidR="00F421F8" w:rsidRPr="00131EED" w:rsidRDefault="00F421F8" w:rsidP="00F421F8">
      <w:pPr>
        <w:rPr>
          <w:rFonts w:ascii="Baskerville" w:eastAsia="Century Gothic" w:hAnsi="Baskerville" w:cs="Arial"/>
        </w:rPr>
      </w:pPr>
    </w:p>
    <w:p w14:paraId="751A6A62" w14:textId="05F24594" w:rsidR="004F100B" w:rsidRPr="00131EED" w:rsidRDefault="00F421F8" w:rsidP="006C35C8">
      <w:pPr>
        <w:pStyle w:val="Caption"/>
        <w:rPr>
          <w:rFonts w:eastAsia="Century Gothic"/>
        </w:rPr>
      </w:pPr>
      <w:r w:rsidRPr="00131EED">
        <w:rPr>
          <w:rFonts w:ascii="Baskerville Old Face" w:eastAsia="Century Gothic" w:hAnsi="Baskerville Old Face"/>
          <w:i w:val="0"/>
          <w:iCs w:val="0"/>
          <w:color w:val="auto"/>
          <w:sz w:val="24"/>
          <w:szCs w:val="24"/>
          <w:lang w:eastAsia="es-MX"/>
        </w:rPr>
        <w:t>El análisis de la Secretaría de Hábitat de Bogotá, plasmado en el documento “Disponibilidad de suelo urbanizable Bogotá Cundinamarca 2016-2020”, se basó en la determinación de la huella urbana elaborada por IDOM en 2018 para los años 1997, 2005, 2010 y 2016. Este estudio identificó que el consumo de suelo en la región alcanzó las 67,004.5 hectáreas para el año 2020, siendo Bogotá responsable de 36,443.5 hectáreas, lo que representa el 54.39% de la huella de la región. Le siguen Fusagasugá, Chía y Soacha, con 4,176.2 ha (6.23%), 3,199.2 ha (4.77%) y 2,826.1 ha (4.22%) respectivamente. Otros municipios tienen una ocupación que no supera el 2% de la región, siendo Gachancipá con 430.2 ha (0.64%) y Bojacá con 172.9 ha (0.26%) los de menor consumo de suelo urbano. Los detalles se pueden observar en la</w:t>
      </w:r>
      <w:r w:rsidR="006C35C8" w:rsidRPr="00131EED">
        <w:rPr>
          <w:rFonts w:ascii="Baskerville Old Face" w:eastAsia="Century Gothic" w:hAnsi="Baskerville Old Face"/>
          <w:i w:val="0"/>
          <w:iCs w:val="0"/>
          <w:color w:val="auto"/>
          <w:sz w:val="24"/>
          <w:szCs w:val="24"/>
          <w:lang w:eastAsia="es-MX"/>
        </w:rPr>
        <w:t xml:space="preserve"> tabla.</w:t>
      </w:r>
      <w:r w:rsidR="006C35C8" w:rsidRPr="00131EED">
        <w:rPr>
          <w:rFonts w:eastAsia="Century Gothic"/>
        </w:rPr>
        <w:t xml:space="preserve"> </w:t>
      </w:r>
      <w:bookmarkStart w:id="231" w:name="_Ref210849198"/>
    </w:p>
    <w:p w14:paraId="413F8BE6" w14:textId="3F4EE240" w:rsidR="00F421F8" w:rsidRPr="00131EED" w:rsidRDefault="00F421F8" w:rsidP="00F421F8">
      <w:pPr>
        <w:pStyle w:val="Caption"/>
        <w:jc w:val="center"/>
      </w:pPr>
      <w:bookmarkStart w:id="232" w:name="_Toc216468944"/>
      <w:r w:rsidRPr="00131EED">
        <w:t xml:space="preserve">Tabla </w:t>
      </w:r>
      <w:bookmarkEnd w:id="231"/>
      <w:r w:rsidRPr="00131EED">
        <w:fldChar w:fldCharType="begin"/>
      </w:r>
      <w:r w:rsidRPr="00131EED">
        <w:instrText xml:space="preserve"> SEQ Tabla \* ARABIC </w:instrText>
      </w:r>
      <w:r w:rsidRPr="00131EED">
        <w:fldChar w:fldCharType="separate"/>
      </w:r>
      <w:r w:rsidR="00CE096F">
        <w:rPr>
          <w:noProof/>
        </w:rPr>
        <w:t>34</w:t>
      </w:r>
      <w:r w:rsidRPr="00131EED">
        <w:fldChar w:fldCharType="end"/>
      </w:r>
      <w:r w:rsidRPr="00131EED">
        <w:t xml:space="preserve"> .</w:t>
      </w:r>
      <w:r w:rsidRPr="00131EED">
        <w:rPr>
          <w:rStyle w:val="SubtleReference"/>
          <w:smallCaps w:val="0"/>
          <w:color w:val="44546A"/>
        </w:rPr>
        <w:t xml:space="preserve"> Variación porcentual del comportamiento del tejido urbano en 22 municipios de la Sabana de Bogotá</w:t>
      </w:r>
      <w:bookmarkEnd w:id="232"/>
    </w:p>
    <w:p w14:paraId="3DE6CD3F" w14:textId="77777777" w:rsidR="00F421F8" w:rsidRPr="00131EED" w:rsidRDefault="00F421F8" w:rsidP="00F421F8">
      <w:pPr>
        <w:jc w:val="center"/>
        <w:rPr>
          <w:rFonts w:ascii="Baskerville" w:eastAsia="Century Gothic" w:hAnsi="Baskerville" w:cs="Arial"/>
        </w:rPr>
      </w:pPr>
      <w:r w:rsidRPr="00131EED">
        <w:rPr>
          <w:rFonts w:ascii="Baskerville" w:eastAsia="Century Gothic" w:hAnsi="Baskerville" w:cs="Arial"/>
          <w:noProof/>
          <w:lang w:eastAsia="en-US"/>
        </w:rPr>
        <w:drawing>
          <wp:inline distT="114300" distB="114300" distL="114300" distR="114300" wp14:anchorId="08F13719" wp14:editId="3563AACF">
            <wp:extent cx="4743227" cy="3048000"/>
            <wp:effectExtent l="0" t="0" r="635" b="0"/>
            <wp:docPr id="32" name="image19.png" descr="A table with numbers and a number of objects&#10;&#10;AI-generated content may be incorrect."/>
            <wp:cNvGraphicFramePr/>
            <a:graphic xmlns:a="http://schemas.openxmlformats.org/drawingml/2006/main">
              <a:graphicData uri="http://schemas.openxmlformats.org/drawingml/2006/picture">
                <pic:pic xmlns:pic="http://schemas.openxmlformats.org/drawingml/2006/picture">
                  <pic:nvPicPr>
                    <pic:cNvPr id="32" name="image19.png" descr="A table with numbers and a number of objects&#10;&#10;AI-generated content may be incorrect."/>
                    <pic:cNvPicPr preferRelativeResize="0"/>
                  </pic:nvPicPr>
                  <pic:blipFill rotWithShape="1">
                    <a:blip r:embed="rId108"/>
                    <a:srcRect t="4809"/>
                    <a:stretch/>
                  </pic:blipFill>
                  <pic:spPr bwMode="auto">
                    <a:xfrm>
                      <a:off x="0" y="0"/>
                      <a:ext cx="4760744" cy="3059256"/>
                    </a:xfrm>
                    <a:prstGeom prst="rect">
                      <a:avLst/>
                    </a:prstGeom>
                    <a:ln>
                      <a:noFill/>
                    </a:ln>
                    <a:extLst>
                      <a:ext uri="{53640926-AAD7-44D8-BBD7-CCE9431645EC}">
                        <a14:shadowObscured xmlns:a14="http://schemas.microsoft.com/office/drawing/2010/main"/>
                      </a:ext>
                    </a:extLst>
                  </pic:spPr>
                </pic:pic>
              </a:graphicData>
            </a:graphic>
          </wp:inline>
        </w:drawing>
      </w:r>
    </w:p>
    <w:p w14:paraId="5A5CC9CB" w14:textId="0222B2CE" w:rsidR="00F421F8" w:rsidRPr="00131EED" w:rsidRDefault="00F421F8" w:rsidP="00F421F8">
      <w:pPr>
        <w:jc w:val="center"/>
        <w:rPr>
          <w:rFonts w:eastAsia="Century Gothic" w:cs="Arial"/>
          <w:sz w:val="20"/>
          <w:szCs w:val="20"/>
        </w:rPr>
      </w:pPr>
      <w:r w:rsidRPr="00131EED">
        <w:rPr>
          <w:rFonts w:eastAsia="Century Gothic" w:cs="Arial"/>
          <w:sz w:val="20"/>
          <w:szCs w:val="20"/>
        </w:rPr>
        <w:t>Fuente: Secretaría del Hábitat de Bogotá</w:t>
      </w:r>
      <w:r w:rsidR="006C35C8" w:rsidRPr="00131EED">
        <w:rPr>
          <w:rFonts w:eastAsia="Century Gothic" w:cs="Arial"/>
          <w:sz w:val="20"/>
          <w:szCs w:val="20"/>
        </w:rPr>
        <w:t xml:space="preserve"> (2016)</w:t>
      </w:r>
    </w:p>
    <w:p w14:paraId="34B65DC5" w14:textId="77777777" w:rsidR="00F421F8" w:rsidRPr="00131EED" w:rsidRDefault="00F421F8" w:rsidP="00F421F8">
      <w:pPr>
        <w:jc w:val="center"/>
        <w:rPr>
          <w:rFonts w:eastAsia="Century Gothic" w:cs="Arial"/>
        </w:rPr>
      </w:pPr>
    </w:p>
    <w:p w14:paraId="53380D0E" w14:textId="4C7B2907" w:rsidR="00F421F8" w:rsidRPr="00131EED" w:rsidRDefault="00F421F8" w:rsidP="00F421F8">
      <w:pPr>
        <w:rPr>
          <w:rFonts w:eastAsia="Century Gothic" w:cs="Arial"/>
        </w:rPr>
      </w:pPr>
      <w:r w:rsidRPr="00131EED">
        <w:rPr>
          <w:rFonts w:eastAsia="Century Gothic" w:cs="Arial"/>
        </w:rPr>
        <w:t xml:space="preserve">Según se observa, los municipios de la región han experimentado tasas superiores a las de Bogotá, especialmente entre los años 2005 y 2010. Esto se refleja en un aumento del “tejido urbano” fuera de las cabeceras municipales, es decir de las áreas determinadas para el crecimiento urbano. Como ejemplo, el área ocupada por fuera de la cabecera es casi 12 veces mayor que el área ocupada en la cabecera municipal para el caso de Cota y Tabio, 10 veces mayor en La Calera, y 8 veces mayor en Tenjo, como se puede observar en la </w:t>
      </w:r>
      <w:r w:rsidRPr="00131EED">
        <w:rPr>
          <w:rFonts w:eastAsia="Century Gothic" w:cs="Arial"/>
        </w:rPr>
        <w:fldChar w:fldCharType="begin"/>
      </w:r>
      <w:r w:rsidRPr="00131EED">
        <w:rPr>
          <w:rFonts w:eastAsia="Century Gothic" w:cs="Arial"/>
        </w:rPr>
        <w:instrText xml:space="preserve"> REF _Ref210849045 \h </w:instrText>
      </w:r>
      <w:r w:rsidRPr="00131EED">
        <w:rPr>
          <w:rFonts w:eastAsia="Century Gothic" w:cs="Arial"/>
        </w:rPr>
      </w:r>
      <w:r w:rsidRPr="00131EED">
        <w:rPr>
          <w:rFonts w:eastAsia="Century Gothic" w:cs="Arial"/>
        </w:rPr>
        <w:fldChar w:fldCharType="separate"/>
      </w:r>
      <w:r w:rsidR="00CE096F" w:rsidRPr="00131EED">
        <w:t xml:space="preserve">Tabla </w:t>
      </w:r>
      <w:r w:rsidRPr="00131EED">
        <w:rPr>
          <w:rFonts w:eastAsia="Century Gothic" w:cs="Arial"/>
        </w:rPr>
        <w:fldChar w:fldCharType="end"/>
      </w:r>
      <w:r w:rsidRPr="00131EED">
        <w:rPr>
          <w:rFonts w:eastAsia="Century Gothic" w:cs="Arial"/>
        </w:rPr>
        <w:t>.</w:t>
      </w:r>
    </w:p>
    <w:p w14:paraId="2859BEA9" w14:textId="77777777" w:rsidR="00F421F8" w:rsidRPr="00131EED" w:rsidRDefault="00F421F8" w:rsidP="00F421F8">
      <w:pPr>
        <w:rPr>
          <w:rFonts w:ascii="Baskerville" w:eastAsia="Century Gothic" w:hAnsi="Baskerville" w:cs="Arial"/>
        </w:rPr>
      </w:pPr>
    </w:p>
    <w:p w14:paraId="15F41471" w14:textId="77777777" w:rsidR="00F421F8" w:rsidRPr="00131EED" w:rsidRDefault="00F421F8" w:rsidP="00F421F8">
      <w:pPr>
        <w:rPr>
          <w:rFonts w:ascii="Baskerville" w:eastAsia="Century Gothic" w:hAnsi="Baskerville" w:cs="Arial"/>
        </w:rPr>
      </w:pPr>
    </w:p>
    <w:p w14:paraId="4FC0EB9F" w14:textId="118AF047" w:rsidR="00F421F8" w:rsidRPr="00131EED" w:rsidRDefault="00F421F8" w:rsidP="00F421F8">
      <w:pPr>
        <w:pStyle w:val="Caption"/>
        <w:jc w:val="center"/>
      </w:pPr>
      <w:bookmarkStart w:id="233" w:name="_Ref210849045"/>
      <w:bookmarkStart w:id="234" w:name="_Toc216468945"/>
      <w:r w:rsidRPr="00131EED">
        <w:t xml:space="preserve">Tabla </w:t>
      </w:r>
      <w:bookmarkEnd w:id="233"/>
      <w:r w:rsidRPr="00131EED">
        <w:fldChar w:fldCharType="begin"/>
      </w:r>
      <w:r w:rsidRPr="00131EED">
        <w:instrText xml:space="preserve"> SEQ Tabla \* ARABIC </w:instrText>
      </w:r>
      <w:r w:rsidRPr="00131EED">
        <w:fldChar w:fldCharType="separate"/>
      </w:r>
      <w:r w:rsidR="00CE096F">
        <w:rPr>
          <w:noProof/>
        </w:rPr>
        <w:t>35</w:t>
      </w:r>
      <w:r w:rsidRPr="00131EED">
        <w:fldChar w:fldCharType="end"/>
      </w:r>
      <w:r w:rsidRPr="00131EED">
        <w:t xml:space="preserve"> </w:t>
      </w:r>
      <w:r w:rsidRPr="00131EED">
        <w:rPr>
          <w:rStyle w:val="SubtleReference"/>
          <w:smallCaps w:val="0"/>
          <w:color w:val="44546A"/>
        </w:rPr>
        <w:t xml:space="preserve"> Cociente entre área del tejido urbano fuera del perímetro urbano</w:t>
      </w:r>
      <w:bookmarkEnd w:id="234"/>
    </w:p>
    <w:p w14:paraId="371C11EC" w14:textId="77777777" w:rsidR="00F421F8" w:rsidRPr="00131EED" w:rsidRDefault="00F421F8" w:rsidP="00F421F8">
      <w:pPr>
        <w:jc w:val="center"/>
        <w:rPr>
          <w:rFonts w:ascii="Baskerville" w:eastAsia="Century Gothic" w:hAnsi="Baskerville" w:cs="Arial"/>
        </w:rPr>
      </w:pPr>
      <w:r w:rsidRPr="00131EED">
        <w:rPr>
          <w:noProof/>
          <w:lang w:eastAsia="en-US"/>
        </w:rPr>
        <w:drawing>
          <wp:inline distT="0" distB="0" distL="0" distR="0" wp14:anchorId="07C43912" wp14:editId="0DCE127A">
            <wp:extent cx="2762250" cy="3105150"/>
            <wp:effectExtent l="0" t="0" r="0" b="0"/>
            <wp:docPr id="29" name="image5.png" descr="A graph with green bars&#10;&#10;AI-generated content may be incorrect."/>
            <wp:cNvGraphicFramePr/>
            <a:graphic xmlns:a="http://schemas.openxmlformats.org/drawingml/2006/main">
              <a:graphicData uri="http://schemas.openxmlformats.org/drawingml/2006/picture">
                <pic:pic xmlns:pic="http://schemas.openxmlformats.org/drawingml/2006/picture">
                  <pic:nvPicPr>
                    <pic:cNvPr id="29" name="image5.png" descr="A graph with green bars&#10;&#10;AI-generated content may be incorrect."/>
                    <pic:cNvPicPr preferRelativeResize="0"/>
                  </pic:nvPicPr>
                  <pic:blipFill rotWithShape="1">
                    <a:blip r:embed="rId109"/>
                    <a:srcRect l="3983" t="3081" r="2182" b="1629"/>
                    <a:stretch/>
                  </pic:blipFill>
                  <pic:spPr bwMode="auto">
                    <a:xfrm>
                      <a:off x="0" y="0"/>
                      <a:ext cx="2762697" cy="3105652"/>
                    </a:xfrm>
                    <a:prstGeom prst="rect">
                      <a:avLst/>
                    </a:prstGeom>
                    <a:ln>
                      <a:noFill/>
                    </a:ln>
                    <a:extLst>
                      <a:ext uri="{53640926-AAD7-44D8-BBD7-CCE9431645EC}">
                        <a14:shadowObscured xmlns:a14="http://schemas.microsoft.com/office/drawing/2010/main"/>
                      </a:ext>
                    </a:extLst>
                  </pic:spPr>
                </pic:pic>
              </a:graphicData>
            </a:graphic>
          </wp:inline>
        </w:drawing>
      </w:r>
    </w:p>
    <w:p w14:paraId="4E958206" w14:textId="77777777" w:rsidR="00F421F8" w:rsidRPr="00131EED" w:rsidRDefault="00F421F8" w:rsidP="00F421F8">
      <w:pPr>
        <w:jc w:val="center"/>
        <w:rPr>
          <w:rFonts w:eastAsia="Century Gothic" w:cs="Arial"/>
          <w:sz w:val="20"/>
          <w:szCs w:val="20"/>
        </w:rPr>
      </w:pPr>
      <w:r w:rsidRPr="00131EED">
        <w:rPr>
          <w:rFonts w:eastAsia="Century Gothic" w:cs="Arial"/>
          <w:sz w:val="20"/>
          <w:szCs w:val="20"/>
        </w:rPr>
        <w:t>Fuente: SDH, 2020</w:t>
      </w:r>
    </w:p>
    <w:p w14:paraId="58AA0901" w14:textId="77777777" w:rsidR="00F421F8" w:rsidRPr="00131EED" w:rsidRDefault="00F421F8" w:rsidP="00F421F8">
      <w:pPr>
        <w:rPr>
          <w:rFonts w:eastAsia="Century Gothic" w:cs="Arial"/>
        </w:rPr>
      </w:pPr>
    </w:p>
    <w:p w14:paraId="0E2849A0" w14:textId="3587BC20" w:rsidR="00F421F8" w:rsidRPr="00131EED" w:rsidRDefault="00F421F8" w:rsidP="00F421F8">
      <w:pPr>
        <w:rPr>
          <w:rFonts w:eastAsia="Century Gothic" w:cs="Arial"/>
        </w:rPr>
      </w:pPr>
      <w:r w:rsidRPr="00131EED">
        <w:rPr>
          <w:rFonts w:eastAsia="Century Gothic" w:cs="Arial"/>
        </w:rPr>
        <w:t xml:space="preserve">De la misma forma, al tomar como muestra de análisis los Planes de Ordenamiento Territorial de 7 municipios de la Sabana (ver </w:t>
      </w:r>
      <w:r w:rsidRPr="00131EED">
        <w:rPr>
          <w:rFonts w:eastAsia="Century Gothic" w:cs="Arial"/>
        </w:rPr>
        <w:fldChar w:fldCharType="begin"/>
      </w:r>
      <w:r w:rsidRPr="00131EED">
        <w:rPr>
          <w:rFonts w:eastAsia="Century Gothic" w:cs="Arial"/>
        </w:rPr>
        <w:instrText xml:space="preserve"> REF _Ref210849247 \h </w:instrText>
      </w:r>
      <w:r w:rsidRPr="00131EED">
        <w:rPr>
          <w:rFonts w:eastAsia="Century Gothic" w:cs="Arial"/>
        </w:rPr>
      </w:r>
      <w:r w:rsidRPr="00131EED">
        <w:rPr>
          <w:rFonts w:eastAsia="Century Gothic" w:cs="Arial"/>
        </w:rPr>
        <w:fldChar w:fldCharType="separate"/>
      </w:r>
      <w:r w:rsidR="00CE096F" w:rsidRPr="00131EED">
        <w:t xml:space="preserve">Tabla </w:t>
      </w:r>
      <w:r w:rsidRPr="00131EED">
        <w:rPr>
          <w:rFonts w:eastAsia="Century Gothic" w:cs="Arial"/>
        </w:rPr>
        <w:fldChar w:fldCharType="end"/>
      </w:r>
      <w:r w:rsidRPr="00131EED">
        <w:rPr>
          <w:rFonts w:eastAsia="Century Gothic" w:cs="Arial"/>
        </w:rPr>
        <w:t xml:space="preserve">), se pudo determinar la relación entre la huella de ocupación y la clasificación del suelo definida en los instrumentos de ordenamiento. </w:t>
      </w:r>
    </w:p>
    <w:p w14:paraId="3A9D45EF" w14:textId="77777777" w:rsidR="00F421F8" w:rsidRPr="00131EED" w:rsidRDefault="00F421F8" w:rsidP="00F421F8">
      <w:pPr>
        <w:pStyle w:val="Caption"/>
        <w:spacing w:after="0"/>
        <w:jc w:val="center"/>
        <w:rPr>
          <w:rFonts w:ascii="Baskerville" w:hAnsi="Baskerville"/>
        </w:rPr>
      </w:pPr>
    </w:p>
    <w:p w14:paraId="3E90AE40" w14:textId="0D4F0CF5" w:rsidR="00F421F8" w:rsidRPr="00131EED" w:rsidRDefault="00F421F8" w:rsidP="00F421F8">
      <w:pPr>
        <w:pStyle w:val="Caption"/>
        <w:jc w:val="center"/>
      </w:pPr>
      <w:bookmarkStart w:id="235" w:name="_Ref210849247"/>
      <w:bookmarkStart w:id="236" w:name="_Toc216468946"/>
      <w:r w:rsidRPr="00131EED">
        <w:t xml:space="preserve">Tabla </w:t>
      </w:r>
      <w:bookmarkEnd w:id="235"/>
      <w:r w:rsidRPr="00131EED">
        <w:fldChar w:fldCharType="begin"/>
      </w:r>
      <w:r w:rsidRPr="00131EED">
        <w:instrText xml:space="preserve"> SEQ Tabla \* ARABIC </w:instrText>
      </w:r>
      <w:r w:rsidRPr="00131EED">
        <w:fldChar w:fldCharType="separate"/>
      </w:r>
      <w:r w:rsidR="00CE096F">
        <w:rPr>
          <w:noProof/>
        </w:rPr>
        <w:t>36</w:t>
      </w:r>
      <w:r w:rsidRPr="00131EED">
        <w:fldChar w:fldCharType="end"/>
      </w:r>
      <w:r w:rsidRPr="00131EED">
        <w:t>. Planes de Ordenamiento Territorial utilizados para análisis de huella de ocupación.</w:t>
      </w:r>
      <w:bookmarkEnd w:id="236"/>
    </w:p>
    <w:tbl>
      <w:tblPr>
        <w:tblStyle w:val="TableGrid"/>
        <w:tblW w:w="3708" w:type="dxa"/>
        <w:jc w:val="center"/>
        <w:tblLook w:val="04A0" w:firstRow="1" w:lastRow="0" w:firstColumn="1" w:lastColumn="0" w:noHBand="0" w:noVBand="1"/>
      </w:tblPr>
      <w:tblGrid>
        <w:gridCol w:w="2328"/>
        <w:gridCol w:w="1380"/>
      </w:tblGrid>
      <w:tr w:rsidR="00F421F8" w:rsidRPr="00131EED" w14:paraId="785FA19F" w14:textId="77777777" w:rsidTr="00C94137">
        <w:trPr>
          <w:trHeight w:val="262"/>
          <w:tblHeader/>
          <w:jc w:val="center"/>
        </w:trPr>
        <w:tc>
          <w:tcPr>
            <w:tcW w:w="0" w:type="auto"/>
            <w:hideMark/>
          </w:tcPr>
          <w:p w14:paraId="4F79B194" w14:textId="77777777" w:rsidR="00F421F8" w:rsidRPr="00131EED" w:rsidRDefault="00F421F8">
            <w:pPr>
              <w:rPr>
                <w:rFonts w:eastAsia="Century Gothic" w:cs="Arial"/>
                <w:b/>
                <w:sz w:val="20"/>
                <w:szCs w:val="20"/>
              </w:rPr>
            </w:pPr>
            <w:r w:rsidRPr="00131EED">
              <w:rPr>
                <w:rFonts w:eastAsia="Century Gothic" w:cs="Arial"/>
                <w:b/>
                <w:sz w:val="20"/>
                <w:szCs w:val="20"/>
              </w:rPr>
              <w:t>Cartografía analizada</w:t>
            </w:r>
          </w:p>
        </w:tc>
        <w:tc>
          <w:tcPr>
            <w:tcW w:w="0" w:type="auto"/>
            <w:hideMark/>
          </w:tcPr>
          <w:p w14:paraId="0A9E5CED" w14:textId="77777777" w:rsidR="00F421F8" w:rsidRPr="00131EED" w:rsidRDefault="00F421F8">
            <w:pPr>
              <w:rPr>
                <w:rFonts w:eastAsia="Century Gothic" w:cs="Arial"/>
                <w:b/>
                <w:sz w:val="20"/>
                <w:szCs w:val="20"/>
              </w:rPr>
            </w:pPr>
            <w:r w:rsidRPr="00131EED">
              <w:rPr>
                <w:rFonts w:eastAsia="Century Gothic" w:cs="Arial"/>
                <w:b/>
                <w:sz w:val="20"/>
                <w:szCs w:val="20"/>
              </w:rPr>
              <w:t>Municipio</w:t>
            </w:r>
          </w:p>
        </w:tc>
      </w:tr>
      <w:tr w:rsidR="00F421F8" w:rsidRPr="00131EED" w14:paraId="483F2033" w14:textId="77777777">
        <w:trPr>
          <w:trHeight w:val="262"/>
          <w:jc w:val="center"/>
        </w:trPr>
        <w:tc>
          <w:tcPr>
            <w:tcW w:w="0" w:type="auto"/>
            <w:hideMark/>
          </w:tcPr>
          <w:p w14:paraId="07C85371" w14:textId="77777777" w:rsidR="00F421F8" w:rsidRPr="00131EED" w:rsidRDefault="00F421F8">
            <w:pPr>
              <w:rPr>
                <w:rFonts w:eastAsia="Century Gothic" w:cs="Arial"/>
                <w:sz w:val="20"/>
                <w:szCs w:val="20"/>
              </w:rPr>
            </w:pPr>
            <w:r w:rsidRPr="00131EED">
              <w:rPr>
                <w:rFonts w:eastAsia="Century Gothic" w:cs="Arial"/>
                <w:sz w:val="20"/>
                <w:szCs w:val="20"/>
              </w:rPr>
              <w:t>Acuerdo 016 de 2014</w:t>
            </w:r>
          </w:p>
        </w:tc>
        <w:tc>
          <w:tcPr>
            <w:tcW w:w="0" w:type="auto"/>
            <w:hideMark/>
          </w:tcPr>
          <w:p w14:paraId="2B35C123" w14:textId="77777777" w:rsidR="00F421F8" w:rsidRPr="00131EED" w:rsidRDefault="00F421F8">
            <w:pPr>
              <w:rPr>
                <w:rFonts w:eastAsia="Century Gothic" w:cs="Arial"/>
                <w:sz w:val="20"/>
                <w:szCs w:val="20"/>
              </w:rPr>
            </w:pPr>
            <w:r w:rsidRPr="00131EED">
              <w:rPr>
                <w:rFonts w:eastAsia="Century Gothic" w:cs="Arial"/>
                <w:sz w:val="20"/>
                <w:szCs w:val="20"/>
              </w:rPr>
              <w:t>Cajicá</w:t>
            </w:r>
          </w:p>
        </w:tc>
      </w:tr>
      <w:tr w:rsidR="00F421F8" w:rsidRPr="00131EED" w14:paraId="4154ED96" w14:textId="77777777">
        <w:trPr>
          <w:trHeight w:val="262"/>
          <w:jc w:val="center"/>
        </w:trPr>
        <w:tc>
          <w:tcPr>
            <w:tcW w:w="0" w:type="auto"/>
            <w:hideMark/>
          </w:tcPr>
          <w:p w14:paraId="38C31F1E" w14:textId="77777777" w:rsidR="00F421F8" w:rsidRPr="00131EED" w:rsidRDefault="00F421F8">
            <w:pPr>
              <w:rPr>
                <w:rFonts w:eastAsia="Century Gothic" w:cs="Arial"/>
                <w:sz w:val="20"/>
                <w:szCs w:val="20"/>
              </w:rPr>
            </w:pPr>
            <w:r w:rsidRPr="00131EED">
              <w:rPr>
                <w:rFonts w:eastAsia="Century Gothic" w:cs="Arial"/>
                <w:sz w:val="20"/>
                <w:szCs w:val="20"/>
              </w:rPr>
              <w:t>Decreto 135 de 2011</w:t>
            </w:r>
          </w:p>
        </w:tc>
        <w:tc>
          <w:tcPr>
            <w:tcW w:w="0" w:type="auto"/>
            <w:hideMark/>
          </w:tcPr>
          <w:p w14:paraId="308D8C87" w14:textId="77777777" w:rsidR="00F421F8" w:rsidRPr="00131EED" w:rsidRDefault="00F421F8">
            <w:pPr>
              <w:rPr>
                <w:rFonts w:eastAsia="Century Gothic" w:cs="Arial"/>
                <w:sz w:val="20"/>
                <w:szCs w:val="20"/>
              </w:rPr>
            </w:pPr>
            <w:r w:rsidRPr="00131EED">
              <w:rPr>
                <w:rFonts w:eastAsia="Century Gothic" w:cs="Arial"/>
                <w:sz w:val="20"/>
                <w:szCs w:val="20"/>
              </w:rPr>
              <w:t>Sesquilé</w:t>
            </w:r>
          </w:p>
        </w:tc>
      </w:tr>
      <w:tr w:rsidR="00F421F8" w:rsidRPr="00131EED" w14:paraId="0A2EB72C" w14:textId="77777777">
        <w:trPr>
          <w:trHeight w:val="262"/>
          <w:jc w:val="center"/>
        </w:trPr>
        <w:tc>
          <w:tcPr>
            <w:tcW w:w="0" w:type="auto"/>
            <w:hideMark/>
          </w:tcPr>
          <w:p w14:paraId="722B6576" w14:textId="77777777" w:rsidR="00F421F8" w:rsidRPr="00131EED" w:rsidRDefault="00F421F8">
            <w:pPr>
              <w:rPr>
                <w:rFonts w:eastAsia="Century Gothic" w:cs="Arial"/>
                <w:sz w:val="20"/>
                <w:szCs w:val="20"/>
              </w:rPr>
            </w:pPr>
            <w:r w:rsidRPr="00131EED">
              <w:rPr>
                <w:rFonts w:eastAsia="Century Gothic" w:cs="Arial"/>
                <w:sz w:val="20"/>
                <w:szCs w:val="20"/>
              </w:rPr>
              <w:t>Decreto 022 del 2009</w:t>
            </w:r>
          </w:p>
        </w:tc>
        <w:tc>
          <w:tcPr>
            <w:tcW w:w="0" w:type="auto"/>
            <w:hideMark/>
          </w:tcPr>
          <w:p w14:paraId="05E05522" w14:textId="77777777" w:rsidR="00F421F8" w:rsidRPr="00131EED" w:rsidRDefault="00F421F8">
            <w:pPr>
              <w:rPr>
                <w:rFonts w:eastAsia="Century Gothic" w:cs="Arial"/>
                <w:sz w:val="20"/>
                <w:szCs w:val="20"/>
              </w:rPr>
            </w:pPr>
            <w:r w:rsidRPr="00131EED">
              <w:rPr>
                <w:rFonts w:eastAsia="Century Gothic" w:cs="Arial"/>
                <w:sz w:val="20"/>
                <w:szCs w:val="20"/>
              </w:rPr>
              <w:t>Gachancipá</w:t>
            </w:r>
          </w:p>
        </w:tc>
      </w:tr>
      <w:tr w:rsidR="00F421F8" w:rsidRPr="00131EED" w14:paraId="29FB77B9" w14:textId="77777777">
        <w:trPr>
          <w:trHeight w:val="262"/>
          <w:jc w:val="center"/>
        </w:trPr>
        <w:tc>
          <w:tcPr>
            <w:tcW w:w="0" w:type="auto"/>
            <w:hideMark/>
          </w:tcPr>
          <w:p w14:paraId="3D35C0D7" w14:textId="77777777" w:rsidR="00F421F8" w:rsidRPr="00131EED" w:rsidRDefault="00F421F8">
            <w:pPr>
              <w:rPr>
                <w:rFonts w:eastAsia="Century Gothic" w:cs="Arial"/>
                <w:sz w:val="20"/>
                <w:szCs w:val="20"/>
              </w:rPr>
            </w:pPr>
            <w:r w:rsidRPr="00131EED">
              <w:rPr>
                <w:rFonts w:eastAsia="Century Gothic" w:cs="Arial"/>
                <w:sz w:val="20"/>
                <w:szCs w:val="20"/>
              </w:rPr>
              <w:t>Acuerdo 046 de 2000</w:t>
            </w:r>
          </w:p>
        </w:tc>
        <w:tc>
          <w:tcPr>
            <w:tcW w:w="0" w:type="auto"/>
            <w:hideMark/>
          </w:tcPr>
          <w:p w14:paraId="5233D83D" w14:textId="77777777" w:rsidR="00F421F8" w:rsidRPr="00131EED" w:rsidRDefault="00F421F8">
            <w:pPr>
              <w:rPr>
                <w:rFonts w:eastAsia="Century Gothic" w:cs="Arial"/>
                <w:sz w:val="20"/>
                <w:szCs w:val="20"/>
              </w:rPr>
            </w:pPr>
            <w:r w:rsidRPr="00131EED">
              <w:rPr>
                <w:rFonts w:eastAsia="Century Gothic" w:cs="Arial"/>
                <w:sz w:val="20"/>
                <w:szCs w:val="20"/>
              </w:rPr>
              <w:t>Soacha</w:t>
            </w:r>
          </w:p>
        </w:tc>
      </w:tr>
      <w:tr w:rsidR="00F421F8" w:rsidRPr="00131EED" w14:paraId="2A21BE44" w14:textId="77777777">
        <w:trPr>
          <w:trHeight w:val="262"/>
          <w:jc w:val="center"/>
        </w:trPr>
        <w:tc>
          <w:tcPr>
            <w:tcW w:w="0" w:type="auto"/>
            <w:hideMark/>
          </w:tcPr>
          <w:p w14:paraId="2F2CCCB3" w14:textId="77777777" w:rsidR="00F421F8" w:rsidRPr="00131EED" w:rsidRDefault="00F421F8">
            <w:pPr>
              <w:rPr>
                <w:rFonts w:eastAsia="Century Gothic" w:cs="Arial"/>
                <w:sz w:val="20"/>
                <w:szCs w:val="20"/>
              </w:rPr>
            </w:pPr>
            <w:r w:rsidRPr="00131EED">
              <w:rPr>
                <w:rFonts w:eastAsia="Century Gothic" w:cs="Arial"/>
                <w:sz w:val="20"/>
                <w:szCs w:val="20"/>
              </w:rPr>
              <w:t>Acuerdo 002 de 2016</w:t>
            </w:r>
          </w:p>
        </w:tc>
        <w:tc>
          <w:tcPr>
            <w:tcW w:w="0" w:type="auto"/>
            <w:hideMark/>
          </w:tcPr>
          <w:p w14:paraId="64B5B65B" w14:textId="77777777" w:rsidR="00F421F8" w:rsidRPr="00131EED" w:rsidRDefault="00F421F8">
            <w:pPr>
              <w:rPr>
                <w:rFonts w:eastAsia="Century Gothic" w:cs="Arial"/>
                <w:sz w:val="20"/>
                <w:szCs w:val="20"/>
              </w:rPr>
            </w:pPr>
            <w:r w:rsidRPr="00131EED">
              <w:rPr>
                <w:rFonts w:eastAsia="Century Gothic" w:cs="Arial"/>
                <w:sz w:val="20"/>
                <w:szCs w:val="20"/>
              </w:rPr>
              <w:t>Nemocón</w:t>
            </w:r>
          </w:p>
        </w:tc>
      </w:tr>
      <w:tr w:rsidR="00F421F8" w:rsidRPr="00131EED" w14:paraId="721ED1DF" w14:textId="77777777">
        <w:trPr>
          <w:trHeight w:val="262"/>
          <w:jc w:val="center"/>
        </w:trPr>
        <w:tc>
          <w:tcPr>
            <w:tcW w:w="0" w:type="auto"/>
            <w:hideMark/>
          </w:tcPr>
          <w:p w14:paraId="6B8CFE2F" w14:textId="77777777" w:rsidR="00F421F8" w:rsidRPr="00131EED" w:rsidRDefault="00F421F8">
            <w:pPr>
              <w:rPr>
                <w:rFonts w:eastAsia="Century Gothic" w:cs="Arial"/>
                <w:sz w:val="20"/>
                <w:szCs w:val="20"/>
              </w:rPr>
            </w:pPr>
            <w:r w:rsidRPr="00131EED">
              <w:rPr>
                <w:rFonts w:eastAsia="Century Gothic" w:cs="Arial"/>
                <w:sz w:val="20"/>
                <w:szCs w:val="20"/>
              </w:rPr>
              <w:t>Acuerdo 009 de 2011</w:t>
            </w:r>
          </w:p>
        </w:tc>
        <w:tc>
          <w:tcPr>
            <w:tcW w:w="0" w:type="auto"/>
            <w:hideMark/>
          </w:tcPr>
          <w:p w14:paraId="1B0035DB" w14:textId="77777777" w:rsidR="00F421F8" w:rsidRPr="00131EED" w:rsidRDefault="00F421F8">
            <w:pPr>
              <w:rPr>
                <w:rFonts w:eastAsia="Century Gothic" w:cs="Arial"/>
                <w:sz w:val="20"/>
                <w:szCs w:val="20"/>
              </w:rPr>
            </w:pPr>
            <w:r w:rsidRPr="00131EED">
              <w:rPr>
                <w:rFonts w:eastAsia="Century Gothic" w:cs="Arial"/>
                <w:sz w:val="20"/>
                <w:szCs w:val="20"/>
              </w:rPr>
              <w:t>Tenjo</w:t>
            </w:r>
          </w:p>
        </w:tc>
      </w:tr>
      <w:tr w:rsidR="00F421F8" w:rsidRPr="00131EED" w14:paraId="4A02A1D0" w14:textId="77777777">
        <w:trPr>
          <w:trHeight w:val="262"/>
          <w:jc w:val="center"/>
        </w:trPr>
        <w:tc>
          <w:tcPr>
            <w:tcW w:w="0" w:type="auto"/>
            <w:shd w:val="clear" w:color="auto" w:fill="FFFFFF" w:themeFill="background1"/>
            <w:hideMark/>
          </w:tcPr>
          <w:p w14:paraId="23664483" w14:textId="77777777" w:rsidR="00F421F8" w:rsidRPr="00131EED" w:rsidRDefault="00F421F8">
            <w:pPr>
              <w:rPr>
                <w:rFonts w:eastAsia="Century Gothic" w:cs="Arial"/>
                <w:sz w:val="20"/>
                <w:szCs w:val="20"/>
              </w:rPr>
            </w:pPr>
            <w:r w:rsidRPr="00131EED">
              <w:rPr>
                <w:rFonts w:eastAsia="Century Gothic" w:cs="Arial"/>
                <w:sz w:val="20"/>
                <w:szCs w:val="20"/>
              </w:rPr>
              <w:t>Acuerdo 17 de 2000</w:t>
            </w:r>
          </w:p>
        </w:tc>
        <w:tc>
          <w:tcPr>
            <w:tcW w:w="0" w:type="auto"/>
            <w:shd w:val="clear" w:color="auto" w:fill="FFFFFF" w:themeFill="background1"/>
            <w:hideMark/>
          </w:tcPr>
          <w:p w14:paraId="255F09AB" w14:textId="77777777" w:rsidR="00F421F8" w:rsidRPr="00131EED" w:rsidRDefault="00F421F8">
            <w:pPr>
              <w:rPr>
                <w:rFonts w:eastAsia="Century Gothic" w:cs="Arial"/>
                <w:sz w:val="20"/>
                <w:szCs w:val="20"/>
              </w:rPr>
            </w:pPr>
            <w:r w:rsidRPr="00131EED">
              <w:rPr>
                <w:rFonts w:eastAsia="Century Gothic" w:cs="Arial"/>
                <w:sz w:val="20"/>
                <w:szCs w:val="20"/>
              </w:rPr>
              <w:t>Chía</w:t>
            </w:r>
          </w:p>
        </w:tc>
      </w:tr>
    </w:tbl>
    <w:p w14:paraId="2F83328E" w14:textId="77777777" w:rsidR="00F421F8" w:rsidRPr="00131EED" w:rsidRDefault="00F421F8" w:rsidP="00F421F8">
      <w:pPr>
        <w:jc w:val="center"/>
        <w:rPr>
          <w:rFonts w:eastAsia="Century Gothic" w:cs="Arial"/>
          <w:sz w:val="20"/>
          <w:szCs w:val="18"/>
        </w:rPr>
      </w:pPr>
      <w:r w:rsidRPr="00131EED">
        <w:rPr>
          <w:rFonts w:eastAsia="Century Gothic" w:cs="Arial"/>
          <w:sz w:val="20"/>
          <w:szCs w:val="18"/>
        </w:rPr>
        <w:t>Fuente: MinAmbiente 2025</w:t>
      </w:r>
    </w:p>
    <w:p w14:paraId="68B14E2E" w14:textId="77777777" w:rsidR="00F31456" w:rsidRPr="00131EED" w:rsidRDefault="00F31456" w:rsidP="00F421F8">
      <w:pPr>
        <w:rPr>
          <w:rFonts w:eastAsia="Century Gothic" w:cs="Arial"/>
        </w:rPr>
      </w:pPr>
    </w:p>
    <w:p w14:paraId="1748DE5F" w14:textId="540F4405" w:rsidR="00F421F8" w:rsidRPr="00131EED" w:rsidRDefault="00F421F8" w:rsidP="00F421F8">
      <w:pPr>
        <w:rPr>
          <w:rFonts w:eastAsia="Century Gothic" w:cs="Arial"/>
        </w:rPr>
      </w:pPr>
      <w:r w:rsidRPr="00131EED">
        <w:rPr>
          <w:rFonts w:eastAsia="Century Gothic" w:cs="Arial"/>
        </w:rPr>
        <w:t>Los resultados evidencian que la huella se extiende sobre la clasificación de suelo rural y allí sobre el suelo suburbano, incluso en suelo de protección, con hectáreas superiores a la huella correspondiente al suelo de expansión urbana, la cual por definición debería contener la huella con características urbanas en su totalidad.</w:t>
      </w:r>
    </w:p>
    <w:p w14:paraId="6187A7AB" w14:textId="77777777" w:rsidR="00F421F8" w:rsidRPr="00131EED" w:rsidRDefault="00F421F8" w:rsidP="00F421F8">
      <w:pPr>
        <w:rPr>
          <w:rFonts w:eastAsia="Century Gothic"/>
          <w:lang w:eastAsia="en-US"/>
        </w:rPr>
      </w:pPr>
    </w:p>
    <w:p w14:paraId="2BA47304" w14:textId="77777777" w:rsidR="00F31456" w:rsidRPr="00131EED" w:rsidRDefault="00F31456" w:rsidP="00F421F8">
      <w:pPr>
        <w:rPr>
          <w:rFonts w:eastAsia="Century Gothic"/>
          <w:lang w:eastAsia="en-US"/>
        </w:rPr>
      </w:pPr>
    </w:p>
    <w:p w14:paraId="04B1B7B8" w14:textId="0B19A51E" w:rsidR="00F421F8" w:rsidRPr="00131EED" w:rsidRDefault="00F421F8" w:rsidP="00F31456">
      <w:pPr>
        <w:pStyle w:val="Caption"/>
        <w:jc w:val="center"/>
      </w:pPr>
      <w:bookmarkStart w:id="237" w:name="_Toc216468947"/>
      <w:r w:rsidRPr="00131EED">
        <w:t xml:space="preserve">Tabla </w:t>
      </w:r>
      <w:fldSimple w:instr=" SEQ Tabla \* ARABIC ">
        <w:r w:rsidR="00CE096F">
          <w:rPr>
            <w:noProof/>
          </w:rPr>
          <w:t>37</w:t>
        </w:r>
      </w:fldSimple>
      <w:r w:rsidRPr="00131EED">
        <w:t xml:space="preserve"> Huella de ocupación y clasificación del suelo</w:t>
      </w:r>
      <w:bookmarkStart w:id="238" w:name="_Hlk164670777"/>
      <w:bookmarkEnd w:id="237"/>
      <w:bookmarkEnd w:id="238"/>
    </w:p>
    <w:tbl>
      <w:tblPr>
        <w:tblStyle w:val="TableGrid"/>
        <w:tblW w:w="8500" w:type="dxa"/>
        <w:tblLook w:val="04A0" w:firstRow="1" w:lastRow="0" w:firstColumn="1" w:lastColumn="0" w:noHBand="0" w:noVBand="1"/>
      </w:tblPr>
      <w:tblGrid>
        <w:gridCol w:w="1661"/>
        <w:gridCol w:w="1311"/>
        <w:gridCol w:w="1607"/>
        <w:gridCol w:w="1272"/>
        <w:gridCol w:w="1209"/>
        <w:gridCol w:w="1440"/>
      </w:tblGrid>
      <w:tr w:rsidR="00F421F8" w:rsidRPr="00131EED" w14:paraId="21A04969" w14:textId="77777777">
        <w:trPr>
          <w:trHeight w:val="229"/>
          <w:tblHeader/>
        </w:trPr>
        <w:tc>
          <w:tcPr>
            <w:tcW w:w="1661" w:type="dxa"/>
            <w:hideMark/>
          </w:tcPr>
          <w:p w14:paraId="30E1C165" w14:textId="77777777" w:rsidR="00F421F8" w:rsidRPr="00131EED" w:rsidRDefault="00F421F8">
            <w:pPr>
              <w:rPr>
                <w:rFonts w:eastAsia="Century Gothic" w:cs="Arial"/>
                <w:b/>
                <w:i/>
                <w:sz w:val="20"/>
                <w:szCs w:val="20"/>
              </w:rPr>
            </w:pPr>
            <w:r w:rsidRPr="00131EED">
              <w:rPr>
                <w:rFonts w:cs="Arial"/>
                <w:b/>
                <w:sz w:val="20"/>
                <w:szCs w:val="20"/>
              </w:rPr>
              <w:t>Municipio</w:t>
            </w:r>
          </w:p>
        </w:tc>
        <w:tc>
          <w:tcPr>
            <w:tcW w:w="1311" w:type="dxa"/>
            <w:hideMark/>
          </w:tcPr>
          <w:p w14:paraId="5FC51854" w14:textId="77777777" w:rsidR="00F421F8" w:rsidRPr="00131EED" w:rsidRDefault="00F421F8" w:rsidP="004F100B">
            <w:pPr>
              <w:jc w:val="center"/>
              <w:rPr>
                <w:rFonts w:eastAsia="Century Gothic" w:cs="Arial"/>
                <w:b/>
                <w:i/>
                <w:sz w:val="20"/>
                <w:szCs w:val="20"/>
              </w:rPr>
            </w:pPr>
            <w:r w:rsidRPr="00131EED">
              <w:rPr>
                <w:rFonts w:cs="Arial"/>
                <w:b/>
                <w:sz w:val="20"/>
                <w:szCs w:val="20"/>
              </w:rPr>
              <w:t>Suelo Urbano (ha)</w:t>
            </w:r>
          </w:p>
        </w:tc>
        <w:tc>
          <w:tcPr>
            <w:tcW w:w="1607" w:type="dxa"/>
            <w:hideMark/>
          </w:tcPr>
          <w:p w14:paraId="27434A26" w14:textId="77777777" w:rsidR="00F421F8" w:rsidRPr="00131EED" w:rsidRDefault="00F421F8" w:rsidP="004F100B">
            <w:pPr>
              <w:jc w:val="center"/>
              <w:rPr>
                <w:rFonts w:eastAsia="Century Gothic" w:cs="Arial"/>
                <w:b/>
                <w:i/>
                <w:sz w:val="20"/>
                <w:szCs w:val="20"/>
              </w:rPr>
            </w:pPr>
            <w:r w:rsidRPr="00131EED">
              <w:rPr>
                <w:rFonts w:cs="Arial"/>
                <w:b/>
                <w:sz w:val="20"/>
                <w:szCs w:val="20"/>
              </w:rPr>
              <w:t>Suelo de expansión (ha)</w:t>
            </w:r>
          </w:p>
        </w:tc>
        <w:tc>
          <w:tcPr>
            <w:tcW w:w="1272" w:type="dxa"/>
            <w:hideMark/>
          </w:tcPr>
          <w:p w14:paraId="5B806267" w14:textId="77777777" w:rsidR="00F421F8" w:rsidRPr="00131EED" w:rsidRDefault="00F421F8" w:rsidP="004F100B">
            <w:pPr>
              <w:jc w:val="center"/>
              <w:rPr>
                <w:rFonts w:eastAsia="Century Gothic" w:cs="Arial"/>
                <w:b/>
                <w:i/>
                <w:sz w:val="20"/>
                <w:szCs w:val="20"/>
              </w:rPr>
            </w:pPr>
            <w:r w:rsidRPr="00131EED">
              <w:rPr>
                <w:rFonts w:cs="Arial"/>
                <w:b/>
                <w:sz w:val="20"/>
                <w:szCs w:val="20"/>
              </w:rPr>
              <w:t>Suelo Suburbano (ha)</w:t>
            </w:r>
          </w:p>
        </w:tc>
        <w:tc>
          <w:tcPr>
            <w:tcW w:w="1209" w:type="dxa"/>
            <w:hideMark/>
          </w:tcPr>
          <w:p w14:paraId="674BF803" w14:textId="77777777" w:rsidR="00F421F8" w:rsidRPr="00131EED" w:rsidRDefault="00F421F8" w:rsidP="004F100B">
            <w:pPr>
              <w:jc w:val="center"/>
              <w:rPr>
                <w:rFonts w:eastAsia="Century Gothic" w:cs="Arial"/>
                <w:b/>
                <w:i/>
                <w:sz w:val="20"/>
                <w:szCs w:val="20"/>
              </w:rPr>
            </w:pPr>
            <w:r w:rsidRPr="00131EED">
              <w:rPr>
                <w:rFonts w:cs="Arial"/>
                <w:b/>
                <w:sz w:val="20"/>
                <w:szCs w:val="20"/>
              </w:rPr>
              <w:t>Suelo Rural (ha)</w:t>
            </w:r>
          </w:p>
        </w:tc>
        <w:tc>
          <w:tcPr>
            <w:tcW w:w="1440" w:type="dxa"/>
            <w:hideMark/>
          </w:tcPr>
          <w:p w14:paraId="687668D3" w14:textId="77777777" w:rsidR="00F421F8" w:rsidRPr="00131EED" w:rsidRDefault="00F421F8" w:rsidP="004F100B">
            <w:pPr>
              <w:jc w:val="center"/>
              <w:rPr>
                <w:rFonts w:eastAsia="Century Gothic" w:cs="Arial"/>
                <w:b/>
                <w:i/>
                <w:sz w:val="20"/>
                <w:szCs w:val="20"/>
              </w:rPr>
            </w:pPr>
            <w:r w:rsidRPr="00131EED">
              <w:rPr>
                <w:rFonts w:cs="Arial"/>
                <w:b/>
                <w:sz w:val="20"/>
                <w:szCs w:val="20"/>
              </w:rPr>
              <w:t>Suelo de protección (ha)</w:t>
            </w:r>
          </w:p>
        </w:tc>
      </w:tr>
      <w:tr w:rsidR="00F421F8" w:rsidRPr="00131EED" w14:paraId="6145BB97" w14:textId="77777777">
        <w:trPr>
          <w:trHeight w:val="130"/>
        </w:trPr>
        <w:tc>
          <w:tcPr>
            <w:tcW w:w="1661" w:type="dxa"/>
            <w:hideMark/>
          </w:tcPr>
          <w:p w14:paraId="1D2D040F" w14:textId="77777777" w:rsidR="00F421F8" w:rsidRPr="00131EED" w:rsidRDefault="00F421F8">
            <w:pPr>
              <w:rPr>
                <w:rFonts w:eastAsia="Century Gothic" w:cs="Arial"/>
                <w:b/>
                <w:i/>
                <w:sz w:val="20"/>
                <w:szCs w:val="20"/>
              </w:rPr>
            </w:pPr>
            <w:r w:rsidRPr="00131EED">
              <w:rPr>
                <w:rFonts w:cs="Arial"/>
                <w:sz w:val="20"/>
                <w:szCs w:val="20"/>
              </w:rPr>
              <w:t>Cajicá</w:t>
            </w:r>
          </w:p>
        </w:tc>
        <w:tc>
          <w:tcPr>
            <w:tcW w:w="1311" w:type="dxa"/>
            <w:noWrap/>
            <w:hideMark/>
          </w:tcPr>
          <w:p w14:paraId="63016ECA" w14:textId="77777777" w:rsidR="00F421F8" w:rsidRPr="00131EED" w:rsidRDefault="00F421F8" w:rsidP="004F100B">
            <w:pPr>
              <w:jc w:val="right"/>
              <w:rPr>
                <w:rFonts w:eastAsia="Century Gothic" w:cs="Arial"/>
                <w:sz w:val="20"/>
                <w:szCs w:val="20"/>
              </w:rPr>
            </w:pPr>
            <w:r w:rsidRPr="00131EED">
              <w:rPr>
                <w:rFonts w:cs="Arial"/>
                <w:sz w:val="20"/>
                <w:szCs w:val="20"/>
              </w:rPr>
              <w:t>27</w:t>
            </w:r>
          </w:p>
        </w:tc>
        <w:tc>
          <w:tcPr>
            <w:tcW w:w="1607" w:type="dxa"/>
            <w:noWrap/>
            <w:hideMark/>
          </w:tcPr>
          <w:p w14:paraId="49043631" w14:textId="77777777" w:rsidR="00F421F8" w:rsidRPr="00131EED" w:rsidRDefault="00F421F8" w:rsidP="004F100B">
            <w:pPr>
              <w:jc w:val="right"/>
              <w:rPr>
                <w:rFonts w:eastAsia="Century Gothic" w:cs="Arial"/>
                <w:sz w:val="20"/>
                <w:szCs w:val="20"/>
              </w:rPr>
            </w:pPr>
            <w:r w:rsidRPr="00131EED">
              <w:rPr>
                <w:rFonts w:cs="Arial"/>
                <w:sz w:val="20"/>
                <w:szCs w:val="20"/>
              </w:rPr>
              <w:t>4</w:t>
            </w:r>
          </w:p>
        </w:tc>
        <w:tc>
          <w:tcPr>
            <w:tcW w:w="1272" w:type="dxa"/>
            <w:noWrap/>
            <w:hideMark/>
          </w:tcPr>
          <w:p w14:paraId="419FC47A" w14:textId="77777777" w:rsidR="00F421F8" w:rsidRPr="00131EED" w:rsidRDefault="00F421F8" w:rsidP="004F100B">
            <w:pPr>
              <w:jc w:val="right"/>
              <w:rPr>
                <w:rFonts w:eastAsia="Century Gothic" w:cs="Arial"/>
                <w:sz w:val="20"/>
                <w:szCs w:val="20"/>
              </w:rPr>
            </w:pPr>
            <w:r w:rsidRPr="00131EED">
              <w:rPr>
                <w:rFonts w:cs="Arial"/>
                <w:sz w:val="20"/>
                <w:szCs w:val="20"/>
              </w:rPr>
              <w:t>275</w:t>
            </w:r>
          </w:p>
        </w:tc>
        <w:tc>
          <w:tcPr>
            <w:tcW w:w="1209" w:type="dxa"/>
            <w:noWrap/>
            <w:hideMark/>
          </w:tcPr>
          <w:p w14:paraId="29414B85" w14:textId="77777777" w:rsidR="00F421F8" w:rsidRPr="00131EED" w:rsidRDefault="00F421F8" w:rsidP="004F100B">
            <w:pPr>
              <w:jc w:val="right"/>
              <w:rPr>
                <w:rFonts w:eastAsia="Century Gothic" w:cs="Arial"/>
                <w:sz w:val="20"/>
                <w:szCs w:val="20"/>
              </w:rPr>
            </w:pPr>
            <w:r w:rsidRPr="00131EED">
              <w:rPr>
                <w:rFonts w:cs="Arial"/>
                <w:sz w:val="20"/>
                <w:szCs w:val="20"/>
              </w:rPr>
              <w:t>197</w:t>
            </w:r>
          </w:p>
        </w:tc>
        <w:tc>
          <w:tcPr>
            <w:tcW w:w="1440" w:type="dxa"/>
            <w:noWrap/>
            <w:hideMark/>
          </w:tcPr>
          <w:p w14:paraId="48FB06EE" w14:textId="77777777" w:rsidR="00F421F8" w:rsidRPr="00131EED" w:rsidRDefault="00F421F8" w:rsidP="004F100B">
            <w:pPr>
              <w:jc w:val="right"/>
              <w:rPr>
                <w:rFonts w:eastAsia="Century Gothic" w:cs="Arial"/>
                <w:sz w:val="20"/>
                <w:szCs w:val="20"/>
              </w:rPr>
            </w:pPr>
            <w:r w:rsidRPr="00131EED">
              <w:rPr>
                <w:rFonts w:cs="Arial"/>
                <w:sz w:val="20"/>
                <w:szCs w:val="20"/>
              </w:rPr>
              <w:t>15</w:t>
            </w:r>
          </w:p>
        </w:tc>
      </w:tr>
      <w:tr w:rsidR="00F421F8" w:rsidRPr="00131EED" w14:paraId="2DCB12EE" w14:textId="77777777">
        <w:trPr>
          <w:trHeight w:val="130"/>
        </w:trPr>
        <w:tc>
          <w:tcPr>
            <w:tcW w:w="1661" w:type="dxa"/>
            <w:hideMark/>
          </w:tcPr>
          <w:p w14:paraId="4B3A759C" w14:textId="77777777" w:rsidR="00F421F8" w:rsidRPr="00131EED" w:rsidRDefault="00F421F8">
            <w:pPr>
              <w:rPr>
                <w:rFonts w:eastAsia="Century Gothic" w:cs="Arial"/>
                <w:b/>
                <w:i/>
                <w:sz w:val="20"/>
                <w:szCs w:val="20"/>
              </w:rPr>
            </w:pPr>
            <w:r w:rsidRPr="00131EED">
              <w:rPr>
                <w:rFonts w:cs="Arial"/>
                <w:sz w:val="20"/>
                <w:szCs w:val="20"/>
              </w:rPr>
              <w:t>Sesquilé</w:t>
            </w:r>
          </w:p>
        </w:tc>
        <w:tc>
          <w:tcPr>
            <w:tcW w:w="1311" w:type="dxa"/>
            <w:noWrap/>
            <w:hideMark/>
          </w:tcPr>
          <w:p w14:paraId="1CBEAEC7" w14:textId="77777777" w:rsidR="00F421F8" w:rsidRPr="00131EED" w:rsidRDefault="00F421F8" w:rsidP="004F100B">
            <w:pPr>
              <w:jc w:val="right"/>
              <w:rPr>
                <w:rFonts w:eastAsia="Century Gothic" w:cs="Arial"/>
                <w:sz w:val="20"/>
                <w:szCs w:val="20"/>
              </w:rPr>
            </w:pPr>
            <w:r w:rsidRPr="00131EED">
              <w:rPr>
                <w:rFonts w:cs="Arial"/>
                <w:sz w:val="20"/>
                <w:szCs w:val="20"/>
              </w:rPr>
              <w:t>14</w:t>
            </w:r>
          </w:p>
        </w:tc>
        <w:tc>
          <w:tcPr>
            <w:tcW w:w="1607" w:type="dxa"/>
            <w:noWrap/>
            <w:hideMark/>
          </w:tcPr>
          <w:p w14:paraId="5A43B83F" w14:textId="77777777" w:rsidR="00F421F8" w:rsidRPr="00131EED" w:rsidRDefault="00F421F8" w:rsidP="004F100B">
            <w:pPr>
              <w:jc w:val="right"/>
              <w:rPr>
                <w:rFonts w:eastAsia="Century Gothic" w:cs="Arial"/>
                <w:sz w:val="20"/>
                <w:szCs w:val="20"/>
              </w:rPr>
            </w:pPr>
            <w:r w:rsidRPr="00131EED">
              <w:rPr>
                <w:rFonts w:cs="Arial"/>
                <w:sz w:val="20"/>
                <w:szCs w:val="20"/>
              </w:rPr>
              <w:t>5</w:t>
            </w:r>
          </w:p>
        </w:tc>
        <w:tc>
          <w:tcPr>
            <w:tcW w:w="1272" w:type="dxa"/>
            <w:noWrap/>
            <w:hideMark/>
          </w:tcPr>
          <w:p w14:paraId="73002C50" w14:textId="77777777" w:rsidR="00F421F8" w:rsidRPr="00131EED" w:rsidRDefault="00F421F8" w:rsidP="004F100B">
            <w:pPr>
              <w:jc w:val="right"/>
              <w:rPr>
                <w:rFonts w:eastAsia="Century Gothic" w:cs="Arial"/>
                <w:sz w:val="20"/>
                <w:szCs w:val="20"/>
              </w:rPr>
            </w:pPr>
            <w:r w:rsidRPr="00131EED">
              <w:rPr>
                <w:rFonts w:cs="Arial"/>
                <w:sz w:val="20"/>
                <w:szCs w:val="20"/>
              </w:rPr>
              <w:t>3</w:t>
            </w:r>
          </w:p>
        </w:tc>
        <w:tc>
          <w:tcPr>
            <w:tcW w:w="1209" w:type="dxa"/>
            <w:noWrap/>
            <w:hideMark/>
          </w:tcPr>
          <w:p w14:paraId="68B0FAB0" w14:textId="77777777" w:rsidR="00F421F8" w:rsidRPr="00131EED" w:rsidRDefault="00F421F8" w:rsidP="004F100B">
            <w:pPr>
              <w:jc w:val="right"/>
              <w:rPr>
                <w:rFonts w:eastAsia="Century Gothic" w:cs="Arial"/>
                <w:sz w:val="20"/>
                <w:szCs w:val="20"/>
              </w:rPr>
            </w:pPr>
            <w:r w:rsidRPr="00131EED">
              <w:rPr>
                <w:rFonts w:cs="Arial"/>
                <w:sz w:val="20"/>
                <w:szCs w:val="20"/>
              </w:rPr>
              <w:t>20</w:t>
            </w:r>
          </w:p>
        </w:tc>
        <w:tc>
          <w:tcPr>
            <w:tcW w:w="1440" w:type="dxa"/>
            <w:noWrap/>
            <w:hideMark/>
          </w:tcPr>
          <w:p w14:paraId="688E1511" w14:textId="77777777" w:rsidR="00F421F8" w:rsidRPr="00131EED" w:rsidRDefault="00F421F8" w:rsidP="004F100B">
            <w:pPr>
              <w:jc w:val="right"/>
              <w:rPr>
                <w:rFonts w:eastAsia="Century Gothic" w:cs="Arial"/>
                <w:sz w:val="20"/>
                <w:szCs w:val="20"/>
              </w:rPr>
            </w:pPr>
            <w:r w:rsidRPr="00131EED">
              <w:rPr>
                <w:rFonts w:cs="Arial"/>
                <w:sz w:val="20"/>
                <w:szCs w:val="20"/>
              </w:rPr>
              <w:t>2</w:t>
            </w:r>
          </w:p>
        </w:tc>
      </w:tr>
      <w:tr w:rsidR="00F421F8" w:rsidRPr="00131EED" w14:paraId="0ACAB3B7" w14:textId="77777777">
        <w:trPr>
          <w:trHeight w:val="180"/>
        </w:trPr>
        <w:tc>
          <w:tcPr>
            <w:tcW w:w="1661" w:type="dxa"/>
            <w:hideMark/>
          </w:tcPr>
          <w:p w14:paraId="62A2018F" w14:textId="77777777" w:rsidR="00F421F8" w:rsidRPr="00131EED" w:rsidRDefault="00F421F8">
            <w:pPr>
              <w:rPr>
                <w:rFonts w:eastAsia="Century Gothic" w:cs="Arial"/>
                <w:b/>
                <w:i/>
                <w:sz w:val="20"/>
                <w:szCs w:val="20"/>
              </w:rPr>
            </w:pPr>
            <w:r w:rsidRPr="00131EED">
              <w:rPr>
                <w:rFonts w:cs="Arial"/>
                <w:sz w:val="20"/>
                <w:szCs w:val="20"/>
              </w:rPr>
              <w:t>Gachancipá</w:t>
            </w:r>
          </w:p>
        </w:tc>
        <w:tc>
          <w:tcPr>
            <w:tcW w:w="1311" w:type="dxa"/>
            <w:noWrap/>
            <w:hideMark/>
          </w:tcPr>
          <w:p w14:paraId="7C22C7A0" w14:textId="77777777" w:rsidR="00F421F8" w:rsidRPr="00131EED" w:rsidRDefault="00F421F8" w:rsidP="004F100B">
            <w:pPr>
              <w:jc w:val="right"/>
              <w:rPr>
                <w:rFonts w:eastAsia="Century Gothic" w:cs="Arial"/>
                <w:sz w:val="20"/>
                <w:szCs w:val="20"/>
              </w:rPr>
            </w:pPr>
            <w:r w:rsidRPr="00131EED">
              <w:rPr>
                <w:rFonts w:cs="Arial"/>
                <w:sz w:val="20"/>
                <w:szCs w:val="20"/>
              </w:rPr>
              <w:t>0</w:t>
            </w:r>
          </w:p>
        </w:tc>
        <w:tc>
          <w:tcPr>
            <w:tcW w:w="1607" w:type="dxa"/>
            <w:noWrap/>
            <w:hideMark/>
          </w:tcPr>
          <w:p w14:paraId="5D514EEB" w14:textId="77777777" w:rsidR="00F421F8" w:rsidRPr="00131EED" w:rsidRDefault="00F421F8" w:rsidP="004F100B">
            <w:pPr>
              <w:jc w:val="right"/>
              <w:rPr>
                <w:rFonts w:eastAsia="Century Gothic" w:cs="Arial"/>
                <w:sz w:val="20"/>
                <w:szCs w:val="20"/>
              </w:rPr>
            </w:pPr>
            <w:r w:rsidRPr="00131EED">
              <w:rPr>
                <w:rFonts w:cs="Arial"/>
                <w:sz w:val="20"/>
                <w:szCs w:val="20"/>
              </w:rPr>
              <w:t xml:space="preserve">                    -   </w:t>
            </w:r>
          </w:p>
        </w:tc>
        <w:tc>
          <w:tcPr>
            <w:tcW w:w="1272" w:type="dxa"/>
            <w:noWrap/>
            <w:hideMark/>
          </w:tcPr>
          <w:p w14:paraId="134D68B6" w14:textId="77777777" w:rsidR="00F421F8" w:rsidRPr="00131EED" w:rsidRDefault="00F421F8" w:rsidP="004F100B">
            <w:pPr>
              <w:jc w:val="right"/>
              <w:rPr>
                <w:rFonts w:eastAsia="Century Gothic" w:cs="Arial"/>
                <w:sz w:val="20"/>
                <w:szCs w:val="20"/>
              </w:rPr>
            </w:pPr>
            <w:r w:rsidRPr="00131EED">
              <w:rPr>
                <w:rFonts w:cs="Arial"/>
                <w:sz w:val="20"/>
                <w:szCs w:val="20"/>
              </w:rPr>
              <w:t xml:space="preserve"> - </w:t>
            </w:r>
          </w:p>
        </w:tc>
        <w:tc>
          <w:tcPr>
            <w:tcW w:w="1209" w:type="dxa"/>
            <w:noWrap/>
            <w:hideMark/>
          </w:tcPr>
          <w:p w14:paraId="1BB6D1B4" w14:textId="77777777" w:rsidR="00F421F8" w:rsidRPr="00131EED" w:rsidRDefault="00F421F8" w:rsidP="004F100B">
            <w:pPr>
              <w:jc w:val="right"/>
              <w:rPr>
                <w:rFonts w:eastAsia="Century Gothic" w:cs="Arial"/>
                <w:sz w:val="20"/>
                <w:szCs w:val="20"/>
              </w:rPr>
            </w:pPr>
            <w:r w:rsidRPr="00131EED">
              <w:rPr>
                <w:rFonts w:cs="Arial"/>
                <w:sz w:val="20"/>
                <w:szCs w:val="20"/>
              </w:rPr>
              <w:t>24</w:t>
            </w:r>
          </w:p>
        </w:tc>
        <w:tc>
          <w:tcPr>
            <w:tcW w:w="1440" w:type="dxa"/>
            <w:noWrap/>
            <w:hideMark/>
          </w:tcPr>
          <w:p w14:paraId="4F97BA16" w14:textId="77777777" w:rsidR="00F421F8" w:rsidRPr="00131EED" w:rsidRDefault="00F421F8" w:rsidP="004F100B">
            <w:pPr>
              <w:jc w:val="right"/>
              <w:rPr>
                <w:rFonts w:eastAsia="Century Gothic" w:cs="Arial"/>
                <w:sz w:val="20"/>
                <w:szCs w:val="20"/>
              </w:rPr>
            </w:pPr>
            <w:r w:rsidRPr="00131EED">
              <w:rPr>
                <w:rFonts w:cs="Arial"/>
                <w:sz w:val="20"/>
                <w:szCs w:val="20"/>
              </w:rPr>
              <w:t>0</w:t>
            </w:r>
          </w:p>
        </w:tc>
      </w:tr>
      <w:tr w:rsidR="00F421F8" w:rsidRPr="00131EED" w14:paraId="3270B5FB" w14:textId="77777777">
        <w:trPr>
          <w:trHeight w:val="130"/>
        </w:trPr>
        <w:tc>
          <w:tcPr>
            <w:tcW w:w="1661" w:type="dxa"/>
            <w:hideMark/>
          </w:tcPr>
          <w:p w14:paraId="1D5D1F2B" w14:textId="77777777" w:rsidR="00F421F8" w:rsidRPr="00131EED" w:rsidRDefault="00F421F8">
            <w:pPr>
              <w:rPr>
                <w:rFonts w:eastAsia="Century Gothic" w:cs="Arial"/>
                <w:b/>
                <w:i/>
                <w:sz w:val="20"/>
                <w:szCs w:val="20"/>
              </w:rPr>
            </w:pPr>
            <w:r w:rsidRPr="00131EED">
              <w:rPr>
                <w:rFonts w:cs="Arial"/>
                <w:sz w:val="20"/>
                <w:szCs w:val="20"/>
              </w:rPr>
              <w:t>Soacha</w:t>
            </w:r>
          </w:p>
        </w:tc>
        <w:tc>
          <w:tcPr>
            <w:tcW w:w="1311" w:type="dxa"/>
            <w:noWrap/>
            <w:hideMark/>
          </w:tcPr>
          <w:p w14:paraId="18816421" w14:textId="77777777" w:rsidR="00F421F8" w:rsidRPr="00131EED" w:rsidRDefault="00F421F8" w:rsidP="004F100B">
            <w:pPr>
              <w:jc w:val="right"/>
              <w:rPr>
                <w:rFonts w:eastAsia="Century Gothic" w:cs="Arial"/>
                <w:sz w:val="20"/>
                <w:szCs w:val="20"/>
              </w:rPr>
            </w:pPr>
            <w:r w:rsidRPr="00131EED">
              <w:rPr>
                <w:rFonts w:cs="Arial"/>
                <w:sz w:val="20"/>
                <w:szCs w:val="20"/>
              </w:rPr>
              <w:t>0</w:t>
            </w:r>
          </w:p>
        </w:tc>
        <w:tc>
          <w:tcPr>
            <w:tcW w:w="1607" w:type="dxa"/>
            <w:noWrap/>
            <w:hideMark/>
          </w:tcPr>
          <w:p w14:paraId="36EAFF9C" w14:textId="77777777" w:rsidR="00F421F8" w:rsidRPr="00131EED" w:rsidRDefault="00F421F8" w:rsidP="004F100B">
            <w:pPr>
              <w:jc w:val="right"/>
              <w:rPr>
                <w:rFonts w:eastAsia="Century Gothic" w:cs="Arial"/>
                <w:sz w:val="20"/>
                <w:szCs w:val="20"/>
              </w:rPr>
            </w:pPr>
            <w:r w:rsidRPr="00131EED">
              <w:rPr>
                <w:rFonts w:cs="Arial"/>
                <w:sz w:val="20"/>
                <w:szCs w:val="20"/>
              </w:rPr>
              <w:t>137</w:t>
            </w:r>
          </w:p>
        </w:tc>
        <w:tc>
          <w:tcPr>
            <w:tcW w:w="1272" w:type="dxa"/>
            <w:noWrap/>
            <w:hideMark/>
          </w:tcPr>
          <w:p w14:paraId="705CD14C" w14:textId="77777777" w:rsidR="00F421F8" w:rsidRPr="00131EED" w:rsidRDefault="00F421F8" w:rsidP="004F100B">
            <w:pPr>
              <w:jc w:val="right"/>
              <w:rPr>
                <w:rFonts w:eastAsia="Century Gothic" w:cs="Arial"/>
                <w:sz w:val="20"/>
                <w:szCs w:val="20"/>
              </w:rPr>
            </w:pPr>
            <w:r w:rsidRPr="00131EED">
              <w:rPr>
                <w:rFonts w:cs="Arial"/>
                <w:sz w:val="20"/>
                <w:szCs w:val="20"/>
              </w:rPr>
              <w:t>4</w:t>
            </w:r>
          </w:p>
        </w:tc>
        <w:tc>
          <w:tcPr>
            <w:tcW w:w="1209" w:type="dxa"/>
            <w:noWrap/>
            <w:hideMark/>
          </w:tcPr>
          <w:p w14:paraId="33D63158" w14:textId="77777777" w:rsidR="00F421F8" w:rsidRPr="00131EED" w:rsidRDefault="00F421F8" w:rsidP="004F100B">
            <w:pPr>
              <w:jc w:val="right"/>
              <w:rPr>
                <w:rFonts w:eastAsia="Century Gothic" w:cs="Arial"/>
                <w:sz w:val="20"/>
                <w:szCs w:val="20"/>
              </w:rPr>
            </w:pPr>
            <w:r w:rsidRPr="00131EED">
              <w:rPr>
                <w:rFonts w:cs="Arial"/>
                <w:sz w:val="20"/>
                <w:szCs w:val="20"/>
              </w:rPr>
              <w:t>281</w:t>
            </w:r>
          </w:p>
        </w:tc>
        <w:tc>
          <w:tcPr>
            <w:tcW w:w="1440" w:type="dxa"/>
            <w:noWrap/>
            <w:hideMark/>
          </w:tcPr>
          <w:p w14:paraId="3B2FC3A0" w14:textId="77777777" w:rsidR="00F421F8" w:rsidRPr="00131EED" w:rsidRDefault="00F421F8" w:rsidP="004F100B">
            <w:pPr>
              <w:jc w:val="right"/>
              <w:rPr>
                <w:rFonts w:eastAsia="Century Gothic" w:cs="Arial"/>
                <w:sz w:val="20"/>
                <w:szCs w:val="20"/>
              </w:rPr>
            </w:pPr>
            <w:r w:rsidRPr="00131EED">
              <w:rPr>
                <w:rFonts w:cs="Arial"/>
                <w:sz w:val="20"/>
                <w:szCs w:val="20"/>
              </w:rPr>
              <w:t xml:space="preserve"> - </w:t>
            </w:r>
          </w:p>
        </w:tc>
      </w:tr>
      <w:tr w:rsidR="00F421F8" w:rsidRPr="00131EED" w14:paraId="6673983B" w14:textId="77777777">
        <w:trPr>
          <w:trHeight w:val="130"/>
        </w:trPr>
        <w:tc>
          <w:tcPr>
            <w:tcW w:w="1661" w:type="dxa"/>
            <w:hideMark/>
          </w:tcPr>
          <w:p w14:paraId="29022465" w14:textId="77777777" w:rsidR="00F421F8" w:rsidRPr="00131EED" w:rsidRDefault="00F421F8">
            <w:pPr>
              <w:rPr>
                <w:rFonts w:eastAsia="Century Gothic" w:cs="Arial"/>
                <w:b/>
                <w:i/>
                <w:sz w:val="20"/>
                <w:szCs w:val="20"/>
              </w:rPr>
            </w:pPr>
            <w:r w:rsidRPr="00131EED">
              <w:rPr>
                <w:rFonts w:cs="Arial"/>
                <w:sz w:val="20"/>
                <w:szCs w:val="20"/>
              </w:rPr>
              <w:t>Nemocón</w:t>
            </w:r>
          </w:p>
        </w:tc>
        <w:tc>
          <w:tcPr>
            <w:tcW w:w="1311" w:type="dxa"/>
            <w:noWrap/>
            <w:hideMark/>
          </w:tcPr>
          <w:p w14:paraId="523AF1BC" w14:textId="77777777" w:rsidR="00F421F8" w:rsidRPr="00131EED" w:rsidRDefault="00F421F8" w:rsidP="004F100B">
            <w:pPr>
              <w:jc w:val="right"/>
              <w:rPr>
                <w:rFonts w:eastAsia="Century Gothic" w:cs="Arial"/>
                <w:sz w:val="20"/>
                <w:szCs w:val="20"/>
              </w:rPr>
            </w:pPr>
            <w:r w:rsidRPr="00131EED">
              <w:rPr>
                <w:rFonts w:cs="Arial"/>
                <w:sz w:val="20"/>
                <w:szCs w:val="20"/>
              </w:rPr>
              <w:t>7</w:t>
            </w:r>
          </w:p>
        </w:tc>
        <w:tc>
          <w:tcPr>
            <w:tcW w:w="1607" w:type="dxa"/>
            <w:noWrap/>
            <w:hideMark/>
          </w:tcPr>
          <w:p w14:paraId="3A58983B" w14:textId="77777777" w:rsidR="00F421F8" w:rsidRPr="00131EED" w:rsidRDefault="00F421F8" w:rsidP="004F100B">
            <w:pPr>
              <w:jc w:val="right"/>
              <w:rPr>
                <w:rFonts w:eastAsia="Century Gothic" w:cs="Arial"/>
                <w:sz w:val="20"/>
                <w:szCs w:val="20"/>
              </w:rPr>
            </w:pPr>
            <w:r w:rsidRPr="00131EED">
              <w:rPr>
                <w:rFonts w:cs="Arial"/>
                <w:sz w:val="20"/>
                <w:szCs w:val="20"/>
              </w:rPr>
              <w:t>0</w:t>
            </w:r>
          </w:p>
        </w:tc>
        <w:tc>
          <w:tcPr>
            <w:tcW w:w="1272" w:type="dxa"/>
            <w:noWrap/>
            <w:hideMark/>
          </w:tcPr>
          <w:p w14:paraId="73D4EE97" w14:textId="77777777" w:rsidR="00F421F8" w:rsidRPr="00131EED" w:rsidRDefault="00F421F8" w:rsidP="004F100B">
            <w:pPr>
              <w:jc w:val="right"/>
              <w:rPr>
                <w:rFonts w:eastAsia="Century Gothic" w:cs="Arial"/>
                <w:sz w:val="20"/>
                <w:szCs w:val="20"/>
              </w:rPr>
            </w:pPr>
            <w:r w:rsidRPr="00131EED">
              <w:rPr>
                <w:rFonts w:cs="Arial"/>
                <w:sz w:val="20"/>
                <w:szCs w:val="20"/>
              </w:rPr>
              <w:t>1</w:t>
            </w:r>
          </w:p>
        </w:tc>
        <w:tc>
          <w:tcPr>
            <w:tcW w:w="1209" w:type="dxa"/>
            <w:noWrap/>
            <w:hideMark/>
          </w:tcPr>
          <w:p w14:paraId="4AD20AEB" w14:textId="77777777" w:rsidR="00F421F8" w:rsidRPr="00131EED" w:rsidRDefault="00F421F8" w:rsidP="004F100B">
            <w:pPr>
              <w:jc w:val="right"/>
              <w:rPr>
                <w:rFonts w:eastAsia="Century Gothic" w:cs="Arial"/>
                <w:sz w:val="20"/>
                <w:szCs w:val="20"/>
              </w:rPr>
            </w:pPr>
            <w:r w:rsidRPr="00131EED">
              <w:rPr>
                <w:rFonts w:cs="Arial"/>
                <w:sz w:val="20"/>
                <w:szCs w:val="20"/>
              </w:rPr>
              <w:t>25</w:t>
            </w:r>
          </w:p>
        </w:tc>
        <w:tc>
          <w:tcPr>
            <w:tcW w:w="1440" w:type="dxa"/>
            <w:noWrap/>
            <w:hideMark/>
          </w:tcPr>
          <w:p w14:paraId="76F9C125" w14:textId="77777777" w:rsidR="00F421F8" w:rsidRPr="00131EED" w:rsidRDefault="00F421F8" w:rsidP="004F100B">
            <w:pPr>
              <w:jc w:val="right"/>
              <w:rPr>
                <w:rFonts w:eastAsia="Century Gothic" w:cs="Arial"/>
                <w:sz w:val="20"/>
                <w:szCs w:val="20"/>
              </w:rPr>
            </w:pPr>
            <w:r w:rsidRPr="00131EED">
              <w:rPr>
                <w:rFonts w:cs="Arial"/>
                <w:sz w:val="20"/>
                <w:szCs w:val="20"/>
              </w:rPr>
              <w:t>12</w:t>
            </w:r>
          </w:p>
        </w:tc>
      </w:tr>
      <w:tr w:rsidR="00F421F8" w:rsidRPr="00131EED" w14:paraId="08D0BA06" w14:textId="77777777">
        <w:trPr>
          <w:trHeight w:val="130"/>
        </w:trPr>
        <w:tc>
          <w:tcPr>
            <w:tcW w:w="1661" w:type="dxa"/>
            <w:hideMark/>
          </w:tcPr>
          <w:p w14:paraId="7BA40FEF" w14:textId="77777777" w:rsidR="00F421F8" w:rsidRPr="00131EED" w:rsidRDefault="00F421F8">
            <w:pPr>
              <w:rPr>
                <w:rFonts w:eastAsia="Century Gothic" w:cs="Arial"/>
                <w:b/>
                <w:i/>
                <w:sz w:val="20"/>
                <w:szCs w:val="20"/>
              </w:rPr>
            </w:pPr>
            <w:r w:rsidRPr="00131EED">
              <w:rPr>
                <w:rFonts w:cs="Arial"/>
                <w:sz w:val="20"/>
                <w:szCs w:val="20"/>
              </w:rPr>
              <w:t>Tenjo</w:t>
            </w:r>
          </w:p>
        </w:tc>
        <w:tc>
          <w:tcPr>
            <w:tcW w:w="1311" w:type="dxa"/>
            <w:noWrap/>
            <w:hideMark/>
          </w:tcPr>
          <w:p w14:paraId="6004315E" w14:textId="77777777" w:rsidR="00F421F8" w:rsidRPr="00131EED" w:rsidRDefault="00F421F8" w:rsidP="004F100B">
            <w:pPr>
              <w:jc w:val="right"/>
              <w:rPr>
                <w:rFonts w:eastAsia="Century Gothic" w:cs="Arial"/>
                <w:sz w:val="20"/>
                <w:szCs w:val="20"/>
              </w:rPr>
            </w:pPr>
            <w:r w:rsidRPr="00131EED">
              <w:rPr>
                <w:rFonts w:cs="Arial"/>
                <w:sz w:val="20"/>
                <w:szCs w:val="20"/>
              </w:rPr>
              <w:t>25</w:t>
            </w:r>
          </w:p>
        </w:tc>
        <w:tc>
          <w:tcPr>
            <w:tcW w:w="1607" w:type="dxa"/>
            <w:noWrap/>
            <w:hideMark/>
          </w:tcPr>
          <w:p w14:paraId="1BE6D292" w14:textId="77777777" w:rsidR="00F421F8" w:rsidRPr="00131EED" w:rsidRDefault="00F421F8" w:rsidP="004F100B">
            <w:pPr>
              <w:jc w:val="right"/>
              <w:rPr>
                <w:rFonts w:eastAsia="Century Gothic" w:cs="Arial"/>
                <w:sz w:val="20"/>
                <w:szCs w:val="20"/>
              </w:rPr>
            </w:pPr>
            <w:r w:rsidRPr="00131EED">
              <w:rPr>
                <w:rFonts w:cs="Arial"/>
                <w:sz w:val="20"/>
                <w:szCs w:val="20"/>
              </w:rPr>
              <w:t>23</w:t>
            </w:r>
          </w:p>
        </w:tc>
        <w:tc>
          <w:tcPr>
            <w:tcW w:w="1272" w:type="dxa"/>
            <w:noWrap/>
            <w:hideMark/>
          </w:tcPr>
          <w:p w14:paraId="0128E257" w14:textId="77777777" w:rsidR="00F421F8" w:rsidRPr="00131EED" w:rsidRDefault="00F421F8" w:rsidP="004F100B">
            <w:pPr>
              <w:jc w:val="right"/>
              <w:rPr>
                <w:rFonts w:eastAsia="Century Gothic" w:cs="Arial"/>
                <w:sz w:val="20"/>
                <w:szCs w:val="20"/>
              </w:rPr>
            </w:pPr>
            <w:r w:rsidRPr="00131EED">
              <w:rPr>
                <w:rFonts w:cs="Arial"/>
                <w:sz w:val="20"/>
                <w:szCs w:val="20"/>
              </w:rPr>
              <w:t>3</w:t>
            </w:r>
          </w:p>
        </w:tc>
        <w:tc>
          <w:tcPr>
            <w:tcW w:w="1209" w:type="dxa"/>
            <w:noWrap/>
            <w:hideMark/>
          </w:tcPr>
          <w:p w14:paraId="187FD908" w14:textId="77777777" w:rsidR="00F421F8" w:rsidRPr="00131EED" w:rsidRDefault="00F421F8" w:rsidP="004F100B">
            <w:pPr>
              <w:jc w:val="right"/>
              <w:rPr>
                <w:rFonts w:eastAsia="Century Gothic" w:cs="Arial"/>
                <w:sz w:val="20"/>
                <w:szCs w:val="20"/>
              </w:rPr>
            </w:pPr>
            <w:r w:rsidRPr="00131EED">
              <w:rPr>
                <w:rFonts w:cs="Arial"/>
                <w:sz w:val="20"/>
                <w:szCs w:val="20"/>
              </w:rPr>
              <w:t>32</w:t>
            </w:r>
          </w:p>
        </w:tc>
        <w:tc>
          <w:tcPr>
            <w:tcW w:w="1440" w:type="dxa"/>
            <w:noWrap/>
            <w:hideMark/>
          </w:tcPr>
          <w:p w14:paraId="7BB5CEF0" w14:textId="77777777" w:rsidR="00F421F8" w:rsidRPr="00131EED" w:rsidRDefault="00F421F8" w:rsidP="004F100B">
            <w:pPr>
              <w:jc w:val="right"/>
              <w:rPr>
                <w:rFonts w:eastAsia="Century Gothic" w:cs="Arial"/>
                <w:sz w:val="20"/>
                <w:szCs w:val="20"/>
              </w:rPr>
            </w:pPr>
            <w:r w:rsidRPr="00131EED">
              <w:rPr>
                <w:rFonts w:cs="Arial"/>
                <w:sz w:val="20"/>
                <w:szCs w:val="20"/>
              </w:rPr>
              <w:t>15</w:t>
            </w:r>
          </w:p>
        </w:tc>
      </w:tr>
      <w:tr w:rsidR="00F421F8" w:rsidRPr="00131EED" w14:paraId="65BDE637" w14:textId="77777777">
        <w:trPr>
          <w:trHeight w:val="130"/>
        </w:trPr>
        <w:tc>
          <w:tcPr>
            <w:tcW w:w="1661" w:type="dxa"/>
            <w:hideMark/>
          </w:tcPr>
          <w:p w14:paraId="4A7D388B" w14:textId="77777777" w:rsidR="00F421F8" w:rsidRPr="00131EED" w:rsidRDefault="00F421F8">
            <w:pPr>
              <w:rPr>
                <w:rFonts w:eastAsia="Century Gothic" w:cs="Arial"/>
                <w:b/>
                <w:i/>
                <w:sz w:val="20"/>
                <w:szCs w:val="20"/>
              </w:rPr>
            </w:pPr>
            <w:r w:rsidRPr="00131EED">
              <w:rPr>
                <w:rFonts w:cs="Arial"/>
                <w:sz w:val="20"/>
                <w:szCs w:val="20"/>
              </w:rPr>
              <w:t>Chía</w:t>
            </w:r>
          </w:p>
        </w:tc>
        <w:tc>
          <w:tcPr>
            <w:tcW w:w="1311" w:type="dxa"/>
            <w:noWrap/>
            <w:hideMark/>
          </w:tcPr>
          <w:p w14:paraId="40EF0776" w14:textId="77777777" w:rsidR="00F421F8" w:rsidRPr="00131EED" w:rsidRDefault="00F421F8" w:rsidP="004F100B">
            <w:pPr>
              <w:jc w:val="right"/>
              <w:rPr>
                <w:rFonts w:eastAsia="Century Gothic" w:cs="Arial"/>
                <w:sz w:val="20"/>
                <w:szCs w:val="20"/>
              </w:rPr>
            </w:pPr>
            <w:r w:rsidRPr="00131EED">
              <w:rPr>
                <w:rFonts w:cs="Arial"/>
                <w:sz w:val="20"/>
                <w:szCs w:val="20"/>
              </w:rPr>
              <w:t xml:space="preserve"> - </w:t>
            </w:r>
          </w:p>
        </w:tc>
        <w:tc>
          <w:tcPr>
            <w:tcW w:w="1607" w:type="dxa"/>
            <w:noWrap/>
            <w:hideMark/>
          </w:tcPr>
          <w:p w14:paraId="2CFE00FA" w14:textId="77777777" w:rsidR="00F421F8" w:rsidRPr="00131EED" w:rsidRDefault="00F421F8" w:rsidP="004F100B">
            <w:pPr>
              <w:jc w:val="right"/>
              <w:rPr>
                <w:rFonts w:eastAsia="Century Gothic" w:cs="Arial"/>
                <w:sz w:val="20"/>
                <w:szCs w:val="20"/>
              </w:rPr>
            </w:pPr>
            <w:r w:rsidRPr="00131EED">
              <w:rPr>
                <w:rFonts w:cs="Arial"/>
                <w:sz w:val="20"/>
                <w:szCs w:val="20"/>
              </w:rPr>
              <w:t>46</w:t>
            </w:r>
          </w:p>
        </w:tc>
        <w:tc>
          <w:tcPr>
            <w:tcW w:w="1272" w:type="dxa"/>
            <w:noWrap/>
            <w:hideMark/>
          </w:tcPr>
          <w:p w14:paraId="277838C2" w14:textId="77777777" w:rsidR="00F421F8" w:rsidRPr="00131EED" w:rsidRDefault="00F421F8" w:rsidP="004F100B">
            <w:pPr>
              <w:jc w:val="right"/>
              <w:rPr>
                <w:rFonts w:eastAsia="Century Gothic" w:cs="Arial"/>
                <w:sz w:val="20"/>
                <w:szCs w:val="20"/>
              </w:rPr>
            </w:pPr>
            <w:r w:rsidRPr="00131EED">
              <w:rPr>
                <w:rFonts w:cs="Arial"/>
                <w:sz w:val="20"/>
                <w:szCs w:val="20"/>
              </w:rPr>
              <w:t>253</w:t>
            </w:r>
          </w:p>
        </w:tc>
        <w:tc>
          <w:tcPr>
            <w:tcW w:w="1209" w:type="dxa"/>
            <w:noWrap/>
            <w:hideMark/>
          </w:tcPr>
          <w:p w14:paraId="4A263E52" w14:textId="77777777" w:rsidR="00F421F8" w:rsidRPr="00131EED" w:rsidRDefault="00F421F8" w:rsidP="004F100B">
            <w:pPr>
              <w:jc w:val="right"/>
              <w:rPr>
                <w:rFonts w:eastAsia="Century Gothic" w:cs="Arial"/>
                <w:sz w:val="20"/>
                <w:szCs w:val="20"/>
              </w:rPr>
            </w:pPr>
            <w:r w:rsidRPr="00131EED">
              <w:rPr>
                <w:rFonts w:cs="Arial"/>
                <w:sz w:val="20"/>
                <w:szCs w:val="20"/>
              </w:rPr>
              <w:t>331</w:t>
            </w:r>
          </w:p>
        </w:tc>
        <w:tc>
          <w:tcPr>
            <w:tcW w:w="1440" w:type="dxa"/>
            <w:noWrap/>
            <w:hideMark/>
          </w:tcPr>
          <w:p w14:paraId="3831B372" w14:textId="77777777" w:rsidR="00F421F8" w:rsidRPr="00131EED" w:rsidRDefault="00F421F8" w:rsidP="004F100B">
            <w:pPr>
              <w:jc w:val="right"/>
              <w:rPr>
                <w:rFonts w:eastAsia="Century Gothic" w:cs="Arial"/>
                <w:sz w:val="20"/>
                <w:szCs w:val="20"/>
              </w:rPr>
            </w:pPr>
            <w:r w:rsidRPr="00131EED">
              <w:rPr>
                <w:rFonts w:cs="Arial"/>
                <w:sz w:val="20"/>
                <w:szCs w:val="20"/>
              </w:rPr>
              <w:t>283</w:t>
            </w:r>
          </w:p>
        </w:tc>
      </w:tr>
      <w:tr w:rsidR="00F421F8" w:rsidRPr="00131EED" w14:paraId="0A2F4C17" w14:textId="77777777">
        <w:trPr>
          <w:trHeight w:val="130"/>
        </w:trPr>
        <w:tc>
          <w:tcPr>
            <w:tcW w:w="1661" w:type="dxa"/>
            <w:hideMark/>
          </w:tcPr>
          <w:p w14:paraId="4135C8F6" w14:textId="77777777" w:rsidR="00F421F8" w:rsidRPr="00131EED" w:rsidRDefault="00F421F8">
            <w:pPr>
              <w:rPr>
                <w:rFonts w:eastAsia="Century Gothic" w:cs="Arial"/>
                <w:b/>
                <w:i/>
                <w:sz w:val="20"/>
                <w:szCs w:val="20"/>
              </w:rPr>
            </w:pPr>
            <w:r w:rsidRPr="00131EED">
              <w:rPr>
                <w:rFonts w:cs="Arial"/>
                <w:sz w:val="20"/>
                <w:szCs w:val="20"/>
              </w:rPr>
              <w:t>Total</w:t>
            </w:r>
          </w:p>
        </w:tc>
        <w:tc>
          <w:tcPr>
            <w:tcW w:w="1311" w:type="dxa"/>
            <w:noWrap/>
            <w:hideMark/>
          </w:tcPr>
          <w:p w14:paraId="476B5E4F" w14:textId="77777777" w:rsidR="00F421F8" w:rsidRPr="00131EED" w:rsidRDefault="00F421F8" w:rsidP="004F100B">
            <w:pPr>
              <w:jc w:val="right"/>
              <w:rPr>
                <w:rFonts w:eastAsia="Century Gothic" w:cs="Arial"/>
                <w:sz w:val="20"/>
                <w:szCs w:val="20"/>
              </w:rPr>
            </w:pPr>
            <w:r w:rsidRPr="00131EED">
              <w:rPr>
                <w:rFonts w:cs="Arial"/>
                <w:sz w:val="20"/>
                <w:szCs w:val="20"/>
              </w:rPr>
              <w:t>74</w:t>
            </w:r>
          </w:p>
        </w:tc>
        <w:tc>
          <w:tcPr>
            <w:tcW w:w="1607" w:type="dxa"/>
            <w:noWrap/>
            <w:hideMark/>
          </w:tcPr>
          <w:p w14:paraId="7D0DC779" w14:textId="77777777" w:rsidR="00F421F8" w:rsidRPr="00131EED" w:rsidRDefault="00F421F8" w:rsidP="004F100B">
            <w:pPr>
              <w:jc w:val="right"/>
              <w:rPr>
                <w:rFonts w:eastAsia="Century Gothic" w:cs="Arial"/>
                <w:sz w:val="20"/>
                <w:szCs w:val="20"/>
              </w:rPr>
            </w:pPr>
            <w:r w:rsidRPr="00131EED">
              <w:rPr>
                <w:rFonts w:cs="Arial"/>
                <w:sz w:val="20"/>
                <w:szCs w:val="20"/>
              </w:rPr>
              <w:t>216</w:t>
            </w:r>
          </w:p>
        </w:tc>
        <w:tc>
          <w:tcPr>
            <w:tcW w:w="1272" w:type="dxa"/>
            <w:noWrap/>
            <w:hideMark/>
          </w:tcPr>
          <w:p w14:paraId="14AA77CD" w14:textId="77777777" w:rsidR="00F421F8" w:rsidRPr="00131EED" w:rsidRDefault="00F421F8" w:rsidP="004F100B">
            <w:pPr>
              <w:jc w:val="right"/>
              <w:rPr>
                <w:rFonts w:eastAsia="Century Gothic" w:cs="Arial"/>
                <w:sz w:val="20"/>
                <w:szCs w:val="20"/>
              </w:rPr>
            </w:pPr>
            <w:r w:rsidRPr="00131EED">
              <w:rPr>
                <w:rFonts w:cs="Arial"/>
                <w:sz w:val="20"/>
                <w:szCs w:val="20"/>
              </w:rPr>
              <w:t>539</w:t>
            </w:r>
          </w:p>
        </w:tc>
        <w:tc>
          <w:tcPr>
            <w:tcW w:w="1209" w:type="dxa"/>
            <w:noWrap/>
            <w:hideMark/>
          </w:tcPr>
          <w:p w14:paraId="6AC2BD46" w14:textId="77777777" w:rsidR="00F421F8" w:rsidRPr="00131EED" w:rsidRDefault="00F421F8" w:rsidP="004F100B">
            <w:pPr>
              <w:jc w:val="right"/>
              <w:rPr>
                <w:rFonts w:eastAsia="Century Gothic" w:cs="Arial"/>
                <w:sz w:val="20"/>
                <w:szCs w:val="20"/>
              </w:rPr>
            </w:pPr>
            <w:r w:rsidRPr="00131EED">
              <w:rPr>
                <w:rFonts w:cs="Arial"/>
                <w:sz w:val="20"/>
                <w:szCs w:val="20"/>
              </w:rPr>
              <w:t>909</w:t>
            </w:r>
          </w:p>
        </w:tc>
        <w:tc>
          <w:tcPr>
            <w:tcW w:w="1440" w:type="dxa"/>
            <w:noWrap/>
            <w:hideMark/>
          </w:tcPr>
          <w:p w14:paraId="4BE42369" w14:textId="77777777" w:rsidR="00F421F8" w:rsidRPr="00131EED" w:rsidRDefault="00F421F8" w:rsidP="004F100B">
            <w:pPr>
              <w:jc w:val="right"/>
              <w:rPr>
                <w:rFonts w:eastAsia="Century Gothic" w:cs="Arial"/>
                <w:sz w:val="20"/>
                <w:szCs w:val="20"/>
              </w:rPr>
            </w:pPr>
            <w:r w:rsidRPr="00131EED">
              <w:rPr>
                <w:rFonts w:cs="Arial"/>
                <w:sz w:val="20"/>
                <w:szCs w:val="20"/>
              </w:rPr>
              <w:t>328</w:t>
            </w:r>
          </w:p>
        </w:tc>
      </w:tr>
      <w:tr w:rsidR="00F421F8" w:rsidRPr="00131EED" w14:paraId="1DD72714" w14:textId="77777777">
        <w:trPr>
          <w:trHeight w:val="130"/>
        </w:trPr>
        <w:tc>
          <w:tcPr>
            <w:tcW w:w="1661" w:type="dxa"/>
            <w:hideMark/>
          </w:tcPr>
          <w:p w14:paraId="5386B2C5" w14:textId="77777777" w:rsidR="00F421F8" w:rsidRPr="00131EED" w:rsidRDefault="00F421F8">
            <w:pPr>
              <w:rPr>
                <w:rFonts w:eastAsia="Century Gothic" w:cs="Arial"/>
                <w:b/>
                <w:sz w:val="20"/>
                <w:szCs w:val="20"/>
              </w:rPr>
            </w:pPr>
            <w:r w:rsidRPr="00131EED">
              <w:rPr>
                <w:rFonts w:cs="Arial"/>
                <w:sz w:val="20"/>
                <w:szCs w:val="20"/>
              </w:rPr>
              <w:t>Porcentaje</w:t>
            </w:r>
          </w:p>
        </w:tc>
        <w:tc>
          <w:tcPr>
            <w:tcW w:w="1311" w:type="dxa"/>
            <w:noWrap/>
            <w:hideMark/>
          </w:tcPr>
          <w:p w14:paraId="7185140B" w14:textId="77777777" w:rsidR="00F421F8" w:rsidRPr="00131EED" w:rsidRDefault="00F421F8" w:rsidP="004F100B">
            <w:pPr>
              <w:jc w:val="right"/>
              <w:rPr>
                <w:rFonts w:eastAsia="Century Gothic" w:cs="Arial"/>
                <w:b/>
                <w:sz w:val="20"/>
                <w:szCs w:val="20"/>
              </w:rPr>
            </w:pPr>
            <w:r w:rsidRPr="00131EED">
              <w:rPr>
                <w:rFonts w:cs="Arial"/>
                <w:sz w:val="20"/>
                <w:szCs w:val="20"/>
              </w:rPr>
              <w:t>3,6%</w:t>
            </w:r>
          </w:p>
        </w:tc>
        <w:tc>
          <w:tcPr>
            <w:tcW w:w="1607" w:type="dxa"/>
            <w:noWrap/>
            <w:hideMark/>
          </w:tcPr>
          <w:p w14:paraId="195EDA17" w14:textId="77777777" w:rsidR="00F421F8" w:rsidRPr="00131EED" w:rsidRDefault="00F421F8" w:rsidP="004F100B">
            <w:pPr>
              <w:jc w:val="right"/>
              <w:rPr>
                <w:rFonts w:eastAsia="Century Gothic" w:cs="Arial"/>
                <w:b/>
                <w:sz w:val="20"/>
                <w:szCs w:val="20"/>
              </w:rPr>
            </w:pPr>
            <w:r w:rsidRPr="00131EED">
              <w:rPr>
                <w:rFonts w:cs="Arial"/>
                <w:sz w:val="20"/>
                <w:szCs w:val="20"/>
              </w:rPr>
              <w:t>10,5%</w:t>
            </w:r>
          </w:p>
        </w:tc>
        <w:tc>
          <w:tcPr>
            <w:tcW w:w="1272" w:type="dxa"/>
            <w:noWrap/>
            <w:hideMark/>
          </w:tcPr>
          <w:p w14:paraId="66E17401" w14:textId="77777777" w:rsidR="00F421F8" w:rsidRPr="00131EED" w:rsidRDefault="00F421F8" w:rsidP="004F100B">
            <w:pPr>
              <w:jc w:val="right"/>
              <w:rPr>
                <w:rFonts w:eastAsia="Century Gothic" w:cs="Arial"/>
                <w:b/>
                <w:sz w:val="20"/>
                <w:szCs w:val="20"/>
              </w:rPr>
            </w:pPr>
            <w:r w:rsidRPr="00131EED">
              <w:rPr>
                <w:rFonts w:cs="Arial"/>
                <w:sz w:val="20"/>
                <w:szCs w:val="20"/>
              </w:rPr>
              <w:t>26,1%</w:t>
            </w:r>
          </w:p>
        </w:tc>
        <w:tc>
          <w:tcPr>
            <w:tcW w:w="1209" w:type="dxa"/>
            <w:noWrap/>
            <w:hideMark/>
          </w:tcPr>
          <w:p w14:paraId="722C276C" w14:textId="77777777" w:rsidR="00F421F8" w:rsidRPr="00131EED" w:rsidRDefault="00F421F8" w:rsidP="004F100B">
            <w:pPr>
              <w:jc w:val="right"/>
              <w:rPr>
                <w:rFonts w:eastAsia="Century Gothic" w:cs="Arial"/>
                <w:b/>
                <w:sz w:val="20"/>
                <w:szCs w:val="20"/>
              </w:rPr>
            </w:pPr>
            <w:r w:rsidRPr="00131EED">
              <w:rPr>
                <w:rFonts w:cs="Arial"/>
                <w:sz w:val="20"/>
                <w:szCs w:val="20"/>
              </w:rPr>
              <w:t>44,0%</w:t>
            </w:r>
          </w:p>
        </w:tc>
        <w:tc>
          <w:tcPr>
            <w:tcW w:w="1440" w:type="dxa"/>
            <w:noWrap/>
            <w:hideMark/>
          </w:tcPr>
          <w:p w14:paraId="22F14B01" w14:textId="77777777" w:rsidR="00F421F8" w:rsidRPr="00131EED" w:rsidRDefault="00F421F8" w:rsidP="004F100B">
            <w:pPr>
              <w:jc w:val="right"/>
              <w:rPr>
                <w:rFonts w:eastAsia="Century Gothic" w:cs="Arial"/>
                <w:b/>
                <w:sz w:val="20"/>
                <w:szCs w:val="20"/>
              </w:rPr>
            </w:pPr>
            <w:r w:rsidRPr="00131EED">
              <w:rPr>
                <w:rFonts w:cs="Arial"/>
                <w:sz w:val="20"/>
                <w:szCs w:val="20"/>
              </w:rPr>
              <w:t>15,9%</w:t>
            </w:r>
          </w:p>
        </w:tc>
      </w:tr>
    </w:tbl>
    <w:p w14:paraId="24B95FE9" w14:textId="77777777" w:rsidR="00F421F8" w:rsidRPr="00131EED" w:rsidRDefault="00F421F8" w:rsidP="00F421F8">
      <w:pPr>
        <w:jc w:val="center"/>
        <w:rPr>
          <w:rFonts w:eastAsia="Century Gothic" w:cs="Arial"/>
          <w:sz w:val="20"/>
          <w:szCs w:val="20"/>
        </w:rPr>
      </w:pPr>
      <w:r w:rsidRPr="00131EED">
        <w:rPr>
          <w:rFonts w:eastAsia="Century Gothic" w:cs="Arial"/>
          <w:sz w:val="20"/>
          <w:szCs w:val="20"/>
        </w:rPr>
        <w:t>Fuente: Elaboración propia a partir de Planes de Ordenamiento Territorial municipales.</w:t>
      </w:r>
    </w:p>
    <w:p w14:paraId="76A13652" w14:textId="77777777" w:rsidR="00F421F8" w:rsidRPr="00131EED" w:rsidRDefault="00F421F8" w:rsidP="0026092A">
      <w:pPr>
        <w:rPr>
          <w:rFonts w:eastAsia="Century Gothic"/>
        </w:rPr>
      </w:pPr>
    </w:p>
    <w:p w14:paraId="21ADEF56" w14:textId="660737F6" w:rsidR="00F421F8" w:rsidRPr="00131EED" w:rsidRDefault="00F421F8" w:rsidP="0026092A">
      <w:pPr>
        <w:rPr>
          <w:rFonts w:ascii="Baskerville" w:eastAsia="Century Gothic" w:hAnsi="Baskerville"/>
        </w:rPr>
      </w:pPr>
      <w:r w:rsidRPr="00131EED">
        <w:rPr>
          <w:rFonts w:eastAsia="Century Gothic"/>
        </w:rPr>
        <w:t>En la</w:t>
      </w:r>
      <w:r w:rsidR="0026092A" w:rsidRPr="00131EED">
        <w:rPr>
          <w:rFonts w:eastAsia="Century Gothic"/>
        </w:rPr>
        <w:t xml:space="preserve"> </w:t>
      </w:r>
      <w:r w:rsidR="0026092A" w:rsidRPr="00131EED">
        <w:rPr>
          <w:rFonts w:eastAsia="Century Gothic"/>
        </w:rPr>
        <w:fldChar w:fldCharType="begin"/>
      </w:r>
      <w:r w:rsidR="0026092A" w:rsidRPr="00131EED">
        <w:rPr>
          <w:rFonts w:eastAsia="Century Gothic"/>
        </w:rPr>
        <w:instrText xml:space="preserve"> REF _Ref210983443 \h </w:instrText>
      </w:r>
      <w:r w:rsidR="0026092A" w:rsidRPr="00131EED">
        <w:rPr>
          <w:rFonts w:eastAsia="Century Gothic"/>
        </w:rPr>
      </w:r>
      <w:r w:rsidR="0026092A" w:rsidRPr="00131EED">
        <w:rPr>
          <w:rFonts w:eastAsia="Century Gothic"/>
        </w:rPr>
        <w:fldChar w:fldCharType="separate"/>
      </w:r>
      <w:r w:rsidR="00CE096F" w:rsidRPr="00131EED">
        <w:t xml:space="preserve">Ilustración </w:t>
      </w:r>
      <w:r w:rsidR="0026092A" w:rsidRPr="00131EED">
        <w:rPr>
          <w:rFonts w:eastAsia="Century Gothic"/>
        </w:rPr>
        <w:fldChar w:fldCharType="end"/>
      </w:r>
      <w:r w:rsidRPr="00131EED">
        <w:rPr>
          <w:rFonts w:eastAsia="Century Gothic"/>
        </w:rPr>
        <w:t xml:space="preserve"> </w:t>
      </w:r>
      <w:r w:rsidRPr="00131EED">
        <w:rPr>
          <w:rFonts w:eastAsia="Century Gothic"/>
        </w:rPr>
        <w:fldChar w:fldCharType="begin"/>
      </w:r>
      <w:r w:rsidRPr="00131EED">
        <w:rPr>
          <w:rFonts w:eastAsia="Century Gothic"/>
        </w:rPr>
        <w:instrText xml:space="preserve"> REF _Ref210907507 \h  \* MERGEFORMAT </w:instrText>
      </w:r>
      <w:r w:rsidRPr="00131EED">
        <w:rPr>
          <w:rFonts w:eastAsia="Century Gothic"/>
        </w:rPr>
      </w:r>
      <w:r w:rsidRPr="00131EED">
        <w:rPr>
          <w:rFonts w:eastAsia="Century Gothic"/>
        </w:rPr>
        <w:fldChar w:fldCharType="separate"/>
      </w:r>
      <w:r w:rsidR="00CE096F" w:rsidRPr="00131EED">
        <w:t xml:space="preserve">Ilustración </w:t>
      </w:r>
      <w:r w:rsidRPr="00131EED">
        <w:rPr>
          <w:rFonts w:eastAsia="Century Gothic"/>
        </w:rPr>
        <w:fldChar w:fldCharType="end"/>
      </w:r>
      <w:r w:rsidRPr="00131EED">
        <w:rPr>
          <w:rFonts w:eastAsia="Century Gothic"/>
        </w:rPr>
        <w:t>se evidencia la relación que tiene la huella de ocupación y la clasificación del suelo en los municip</w:t>
      </w:r>
      <w:r w:rsidR="00EB15DE" w:rsidRPr="00131EED">
        <w:rPr>
          <w:rFonts w:eastAsia="Century Gothic"/>
        </w:rPr>
        <w:t>i</w:t>
      </w:r>
      <w:r w:rsidRPr="00131EED">
        <w:rPr>
          <w:rFonts w:eastAsia="Century Gothic"/>
        </w:rPr>
        <w:t>os de Chía y Cajicá, espacialmente en la identificación de incompatibilidades con los instrumentos de ordenamiento, resaltando que la mayor cantidad de huella urbana se ubica en los suelos rurales, mientras en áreas con clasificación de suburbano para vivienda y suelo de expansión urbana no han sido desarrollados. Estas situaciones pueden derivar en conflictos socioambientales y en pérdida de áreas rurales de importancia para la gestión del suelo</w:t>
      </w:r>
      <w:r w:rsidRPr="00131EED">
        <w:rPr>
          <w:rFonts w:ascii="Baskerville" w:eastAsia="Century Gothic" w:hAnsi="Baskerville"/>
        </w:rPr>
        <w:t xml:space="preserve">. </w:t>
      </w:r>
    </w:p>
    <w:p w14:paraId="28C38059" w14:textId="77777777" w:rsidR="00F421F8" w:rsidRPr="00131EED" w:rsidRDefault="00F421F8" w:rsidP="00F421F8">
      <w:pPr>
        <w:rPr>
          <w:rFonts w:eastAsia="Century Gothic"/>
        </w:rPr>
      </w:pPr>
    </w:p>
    <w:p w14:paraId="6F1FA275" w14:textId="77777777" w:rsidR="00F421F8" w:rsidRPr="00131EED" w:rsidRDefault="00F421F8" w:rsidP="00F421F8">
      <w:pPr>
        <w:rPr>
          <w:rFonts w:eastAsia="Century Gothic"/>
        </w:rPr>
      </w:pPr>
      <w:bookmarkStart w:id="239" w:name="_Ref210850848"/>
    </w:p>
    <w:p w14:paraId="2BA85153" w14:textId="77777777" w:rsidR="00F421F8" w:rsidRPr="00131EED" w:rsidRDefault="00F421F8" w:rsidP="00F421F8">
      <w:pPr>
        <w:spacing w:after="200" w:line="276" w:lineRule="auto"/>
        <w:jc w:val="left"/>
        <w:rPr>
          <w:rFonts w:ascii="Arial" w:eastAsia="Calibri" w:hAnsi="Arial" w:cs="Arial"/>
          <w:i/>
          <w:iCs/>
          <w:color w:val="44546A"/>
          <w:sz w:val="18"/>
          <w:szCs w:val="18"/>
          <w:lang w:eastAsia="en-US"/>
        </w:rPr>
      </w:pPr>
      <w:r w:rsidRPr="00131EED">
        <w:br w:type="page"/>
      </w:r>
    </w:p>
    <w:p w14:paraId="7344A980" w14:textId="38B3DC50" w:rsidR="00F421F8" w:rsidRPr="00131EED" w:rsidRDefault="00F421F8" w:rsidP="00F421F8">
      <w:pPr>
        <w:pStyle w:val="Caption"/>
        <w:jc w:val="center"/>
      </w:pPr>
      <w:bookmarkStart w:id="240" w:name="_Ref210907507"/>
      <w:bookmarkStart w:id="241" w:name="_Toc216468823"/>
      <w:r w:rsidRPr="00131EED">
        <w:t xml:space="preserve">Ilustración </w:t>
      </w:r>
      <w:bookmarkEnd w:id="239"/>
      <w:bookmarkEnd w:id="240"/>
      <w:r w:rsidRPr="00131EED">
        <w:fldChar w:fldCharType="begin"/>
      </w:r>
      <w:r w:rsidRPr="00131EED">
        <w:instrText>SEQ Ilustración \* ARABIC</w:instrText>
      </w:r>
      <w:r w:rsidRPr="00131EED">
        <w:fldChar w:fldCharType="separate"/>
      </w:r>
      <w:r w:rsidR="00CE096F">
        <w:rPr>
          <w:noProof/>
        </w:rPr>
        <w:t>58</w:t>
      </w:r>
      <w:r w:rsidRPr="00131EED">
        <w:fldChar w:fldCharType="end"/>
      </w:r>
      <w:r w:rsidRPr="00131EED">
        <w:t xml:space="preserve"> Huella de ocupación en Chía, según clasificación de suelo.</w:t>
      </w:r>
      <w:bookmarkEnd w:id="241"/>
    </w:p>
    <w:p w14:paraId="2C27973A" w14:textId="77777777" w:rsidR="00F421F8" w:rsidRPr="00131EED" w:rsidRDefault="00F421F8" w:rsidP="00F421F8">
      <w:pPr>
        <w:jc w:val="center"/>
        <w:rPr>
          <w:rFonts w:ascii="Baskerville" w:eastAsia="Century Gothic" w:hAnsi="Baskerville" w:cs="Arial"/>
        </w:rPr>
      </w:pPr>
      <w:r w:rsidRPr="00131EED">
        <w:rPr>
          <w:rFonts w:ascii="Baskerville" w:eastAsia="Century Gothic" w:hAnsi="Baskerville" w:cs="Arial"/>
          <w:noProof/>
          <w:lang w:eastAsia="en-US"/>
        </w:rPr>
        <w:drawing>
          <wp:inline distT="0" distB="0" distL="0" distR="0" wp14:anchorId="35A788DE" wp14:editId="773A8F7A">
            <wp:extent cx="2567940" cy="3323678"/>
            <wp:effectExtent l="19050" t="19050" r="22860" b="10160"/>
            <wp:docPr id="2029179474"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74110" cy="3331663"/>
                    </a:xfrm>
                    <a:prstGeom prst="rect">
                      <a:avLst/>
                    </a:prstGeom>
                    <a:noFill/>
                    <a:ln>
                      <a:solidFill>
                        <a:schemeClr val="tx1"/>
                      </a:solidFill>
                    </a:ln>
                  </pic:spPr>
                </pic:pic>
              </a:graphicData>
            </a:graphic>
          </wp:inline>
        </w:drawing>
      </w:r>
    </w:p>
    <w:p w14:paraId="05E14C23" w14:textId="77777777" w:rsidR="00F421F8" w:rsidRPr="00131EED" w:rsidRDefault="00F421F8" w:rsidP="00F421F8">
      <w:pPr>
        <w:jc w:val="center"/>
        <w:rPr>
          <w:rFonts w:eastAsia="Century Gothic"/>
          <w:sz w:val="20"/>
          <w:szCs w:val="20"/>
        </w:rPr>
      </w:pPr>
      <w:r w:rsidRPr="00131EED">
        <w:rPr>
          <w:rFonts w:eastAsia="Century Gothic"/>
          <w:sz w:val="20"/>
          <w:szCs w:val="20"/>
        </w:rPr>
        <w:t>Fuente: Elaboración propia a partir de cartografía del Plan de Ordenamiento Territorial</w:t>
      </w:r>
    </w:p>
    <w:p w14:paraId="2F3299CE" w14:textId="77777777" w:rsidR="00F421F8" w:rsidRPr="00131EED" w:rsidRDefault="00F421F8" w:rsidP="0026092A">
      <w:bookmarkStart w:id="242" w:name="_Ref210851155"/>
      <w:bookmarkStart w:id="243" w:name="_Ref210907564"/>
    </w:p>
    <w:p w14:paraId="43434B6D" w14:textId="5E55E1ED" w:rsidR="00F421F8" w:rsidRPr="00131EED" w:rsidRDefault="00F421F8" w:rsidP="00F421F8">
      <w:pPr>
        <w:pStyle w:val="Caption"/>
        <w:jc w:val="center"/>
      </w:pPr>
      <w:bookmarkStart w:id="244" w:name="_Ref210983443"/>
      <w:bookmarkStart w:id="245" w:name="_Toc216468824"/>
      <w:r w:rsidRPr="00131EED">
        <w:t xml:space="preserve">Ilustración </w:t>
      </w:r>
      <w:bookmarkEnd w:id="242"/>
      <w:bookmarkEnd w:id="243"/>
      <w:bookmarkEnd w:id="244"/>
      <w:r w:rsidRPr="00131EED">
        <w:fldChar w:fldCharType="begin"/>
      </w:r>
      <w:r w:rsidRPr="00131EED">
        <w:instrText>SEQ Ilustración \* ARABIC</w:instrText>
      </w:r>
      <w:r w:rsidRPr="00131EED">
        <w:fldChar w:fldCharType="separate"/>
      </w:r>
      <w:r w:rsidR="00CE096F">
        <w:rPr>
          <w:noProof/>
        </w:rPr>
        <w:t>59</w:t>
      </w:r>
      <w:r w:rsidRPr="00131EED">
        <w:fldChar w:fldCharType="end"/>
      </w:r>
      <w:r w:rsidRPr="00131EED">
        <w:t>. Huella de ocupación en el municipio de Cajicá, según clasificación de suelo definido en el POT.</w:t>
      </w:r>
      <w:bookmarkEnd w:id="245"/>
    </w:p>
    <w:p w14:paraId="07B17B67" w14:textId="77777777" w:rsidR="00F421F8" w:rsidRPr="00131EED" w:rsidRDefault="00F421F8" w:rsidP="00F421F8">
      <w:pPr>
        <w:jc w:val="center"/>
        <w:rPr>
          <w:rFonts w:ascii="Baskerville" w:hAnsi="Baskerville" w:cs="Arial"/>
        </w:rPr>
      </w:pPr>
      <w:r w:rsidRPr="00131EED">
        <w:rPr>
          <w:rFonts w:ascii="Baskerville" w:hAnsi="Baskerville" w:cs="Arial"/>
          <w:noProof/>
          <w:lang w:eastAsia="en-US"/>
        </w:rPr>
        <w:drawing>
          <wp:inline distT="0" distB="0" distL="0" distR="0" wp14:anchorId="1C9F2B91" wp14:editId="47129C8A">
            <wp:extent cx="3769743" cy="2675985"/>
            <wp:effectExtent l="19050" t="19050" r="21590" b="10160"/>
            <wp:docPr id="1122686927"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686927" name="Imagen 1" descr="Mapa&#10;&#10;Descripción generada automáticamente"/>
                    <pic:cNvPicPr/>
                  </pic:nvPicPr>
                  <pic:blipFill rotWithShape="1">
                    <a:blip r:embed="rId111" cstate="print">
                      <a:extLst>
                        <a:ext uri="{28A0092B-C50C-407E-A947-70E740481C1C}">
                          <a14:useLocalDpi xmlns:a14="http://schemas.microsoft.com/office/drawing/2010/main" val="0"/>
                        </a:ext>
                      </a:extLst>
                    </a:blip>
                    <a:srcRect l="1492" t="1533" r="2224" b="1783"/>
                    <a:stretch/>
                  </pic:blipFill>
                  <pic:spPr bwMode="auto">
                    <a:xfrm>
                      <a:off x="0" y="0"/>
                      <a:ext cx="3818848" cy="271084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9D281E5" w14:textId="77777777" w:rsidR="00F421F8" w:rsidRPr="00131EED" w:rsidRDefault="00F421F8" w:rsidP="00F421F8">
      <w:pPr>
        <w:jc w:val="center"/>
        <w:rPr>
          <w:rFonts w:eastAsia="Century Gothic" w:cs="Arial"/>
          <w:sz w:val="20"/>
          <w:szCs w:val="20"/>
        </w:rPr>
      </w:pPr>
      <w:r w:rsidRPr="00131EED">
        <w:rPr>
          <w:rFonts w:eastAsia="Century Gothic" w:cs="Arial"/>
          <w:sz w:val="20"/>
          <w:szCs w:val="20"/>
        </w:rPr>
        <w:t>Fuente: Elaboración propia a partir de cartografía del Plan de Ordenamiento Territorial del municipio de Cajicá</w:t>
      </w:r>
    </w:p>
    <w:p w14:paraId="1BCE16DE" w14:textId="77777777" w:rsidR="00F421F8" w:rsidRPr="00131EED" w:rsidRDefault="00F421F8" w:rsidP="00410194">
      <w:pPr>
        <w:pStyle w:val="Heading4"/>
        <w:numPr>
          <w:ilvl w:val="3"/>
          <w:numId w:val="31"/>
        </w:numPr>
      </w:pPr>
      <w:bookmarkStart w:id="246" w:name="_heading=h.ilf7xj5j8dv2" w:colFirst="0" w:colLast="0"/>
      <w:bookmarkStart w:id="247" w:name="_heading=h.t81sq3no3z8t" w:colFirst="0" w:colLast="0"/>
      <w:bookmarkStart w:id="248" w:name="_Toc216468727"/>
      <w:bookmarkEnd w:id="246"/>
      <w:bookmarkEnd w:id="247"/>
      <w:r w:rsidRPr="00131EED">
        <w:t>Huella de ocupación con tipología urbana en suelo rural</w:t>
      </w:r>
      <w:bookmarkEnd w:id="248"/>
      <w:r w:rsidRPr="00131EED">
        <w:t xml:space="preserve"> </w:t>
      </w:r>
    </w:p>
    <w:p w14:paraId="4C50130C" w14:textId="77777777" w:rsidR="00F421F8" w:rsidRPr="00131EED" w:rsidRDefault="00F421F8" w:rsidP="00F421F8">
      <w:pPr>
        <w:rPr>
          <w:rFonts w:ascii="Baskerville" w:eastAsia="Century Gothic" w:hAnsi="Baskerville" w:cs="Arial"/>
        </w:rPr>
      </w:pPr>
    </w:p>
    <w:p w14:paraId="36F78961" w14:textId="77777777" w:rsidR="00F421F8" w:rsidRPr="00131EED" w:rsidRDefault="00F421F8" w:rsidP="00F421F8">
      <w:pPr>
        <w:rPr>
          <w:rFonts w:cs="Arial"/>
        </w:rPr>
      </w:pPr>
      <w:r w:rsidRPr="00131EED">
        <w:rPr>
          <w:rFonts w:cs="Arial"/>
        </w:rPr>
        <w:t>Teniendo en cuenta que la huella de ocupación se consolidó sobre suelos clasificados como rurales, fue necesario identificar las características de la transformación en los procesos de ocupación a partir de la densidad de viviendas y habitantes, con el fin de establecer una relación entre las características de la subdivisión predial, el número de viviendas por hectárea y la densidad poblacional. Es importante precisar que las normas nacionales (Ley 388 de 1997, Decreto 1077 de 2015) establecen que suelos rurales y allí incluyendo los suburbanos, deben tener menor densidad y ocupación con respecto al suelo clasificado como urbano, de tal manera que se garantice su destinación y propósitos de ordenamiento, y en el caso del suburbano, la adecuada transición urbano rural.</w:t>
      </w:r>
    </w:p>
    <w:p w14:paraId="515E15CB" w14:textId="77777777" w:rsidR="00F421F8" w:rsidRPr="00131EED" w:rsidRDefault="00F421F8" w:rsidP="00F421F8">
      <w:pPr>
        <w:rPr>
          <w:rFonts w:cs="Arial"/>
        </w:rPr>
      </w:pPr>
    </w:p>
    <w:p w14:paraId="2176F87F" w14:textId="6FEC6717" w:rsidR="00F421F8" w:rsidRPr="00131EED" w:rsidRDefault="00F421F8" w:rsidP="00F421F8">
      <w:pPr>
        <w:rPr>
          <w:rFonts w:cs="Arial"/>
        </w:rPr>
      </w:pPr>
      <w:r w:rsidRPr="00131EED">
        <w:rPr>
          <w:rFonts w:cs="Arial"/>
        </w:rPr>
        <w:t xml:space="preserve">Se identificaron densidades habitacionales en suelo rural y suburbano similares a las del suelo urbano, superando las 10 viviendas por hectárea. En Chía, 140 ha de suelo rural y 106 ha de suelo rural suburbano presentan características urbanas (más de 10 viviendas por hectárea) como se observa en la </w:t>
      </w:r>
      <w:r w:rsidRPr="00131EED">
        <w:rPr>
          <w:rFonts w:cs="Arial"/>
        </w:rPr>
        <w:fldChar w:fldCharType="begin"/>
      </w:r>
      <w:r w:rsidRPr="00131EED">
        <w:rPr>
          <w:rFonts w:cs="Arial"/>
        </w:rPr>
        <w:instrText xml:space="preserve"> REF _Ref210851435 \h </w:instrText>
      </w:r>
      <w:r w:rsidRPr="00131EED">
        <w:rPr>
          <w:rFonts w:cs="Arial"/>
        </w:rPr>
      </w:r>
      <w:r w:rsidRPr="00131EED">
        <w:rPr>
          <w:rFonts w:cs="Arial"/>
        </w:rPr>
        <w:fldChar w:fldCharType="separate"/>
      </w:r>
      <w:r w:rsidR="00CE096F" w:rsidRPr="00131EED">
        <w:t xml:space="preserve">Ilustración </w:t>
      </w:r>
      <w:r w:rsidRPr="00131EED">
        <w:rPr>
          <w:rFonts w:cs="Arial"/>
        </w:rPr>
        <w:fldChar w:fldCharType="end"/>
      </w:r>
      <w:r w:rsidRPr="00131EED">
        <w:rPr>
          <w:rFonts w:cs="Arial"/>
        </w:rPr>
        <w:t>. Casos similares se observan en Cajicá (75 ha rurales y 125 ha suburbanas) y Tenjo (6 ha rurales). Estas densificaciones irregulares en suelo no urbano reproducen tipologías de ocupación propias de la urbanización, generando impactos ambientales y sociales negativos.</w:t>
      </w:r>
    </w:p>
    <w:p w14:paraId="6C27DB41" w14:textId="77777777" w:rsidR="00F421F8" w:rsidRPr="00131EED" w:rsidRDefault="00F421F8" w:rsidP="00F421F8">
      <w:pPr>
        <w:rPr>
          <w:rFonts w:cs="Arial"/>
        </w:rPr>
      </w:pPr>
    </w:p>
    <w:p w14:paraId="50133284" w14:textId="704B22F3" w:rsidR="00F421F8" w:rsidRPr="00131EED" w:rsidRDefault="00F421F8" w:rsidP="00F421F8">
      <w:pPr>
        <w:pStyle w:val="Caption"/>
        <w:jc w:val="center"/>
      </w:pPr>
      <w:bookmarkStart w:id="249" w:name="_Ref210851435"/>
      <w:bookmarkStart w:id="250" w:name="_Toc216468825"/>
      <w:r w:rsidRPr="00131EED">
        <w:t xml:space="preserve">Ilustración </w:t>
      </w:r>
      <w:bookmarkEnd w:id="249"/>
      <w:r w:rsidRPr="00131EED">
        <w:fldChar w:fldCharType="begin"/>
      </w:r>
      <w:r w:rsidRPr="00131EED">
        <w:instrText>SEQ Ilustración \* ARABIC</w:instrText>
      </w:r>
      <w:r w:rsidRPr="00131EED">
        <w:fldChar w:fldCharType="separate"/>
      </w:r>
      <w:r w:rsidR="00CE096F">
        <w:rPr>
          <w:noProof/>
        </w:rPr>
        <w:t>60</w:t>
      </w:r>
      <w:r w:rsidRPr="00131EED">
        <w:fldChar w:fldCharType="end"/>
      </w:r>
      <w:r w:rsidRPr="00131EED">
        <w:t>. Viviendas por ha según clasificación de suelo Chía y Cajicá</w:t>
      </w:r>
      <w:bookmarkEnd w:id="250"/>
    </w:p>
    <w:p w14:paraId="0B85CCFF" w14:textId="77777777" w:rsidR="00F421F8" w:rsidRPr="00131EED" w:rsidRDefault="00F421F8" w:rsidP="00F421F8">
      <w:pPr>
        <w:jc w:val="center"/>
        <w:rPr>
          <w:rFonts w:ascii="Baskerville" w:hAnsi="Baskerville" w:cs="Arial"/>
        </w:rPr>
      </w:pPr>
      <w:r w:rsidRPr="00131EED">
        <w:rPr>
          <w:rFonts w:ascii="Baskerville" w:hAnsi="Baskerville" w:cs="Arial"/>
          <w:noProof/>
          <w:lang w:eastAsia="en-US"/>
        </w:rPr>
        <w:drawing>
          <wp:inline distT="0" distB="0" distL="0" distR="0" wp14:anchorId="2435DC1E" wp14:editId="414A2DCF">
            <wp:extent cx="2142697" cy="3030876"/>
            <wp:effectExtent l="0" t="0" r="0" b="0"/>
            <wp:docPr id="27955835" name="Imagen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5835" name="Imagen 1" descr="A map of a city&#10;&#10;AI-generated content may be incorrect."/>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2214495" cy="3132435"/>
                    </a:xfrm>
                    <a:prstGeom prst="rect">
                      <a:avLst/>
                    </a:prstGeom>
                  </pic:spPr>
                </pic:pic>
              </a:graphicData>
            </a:graphic>
          </wp:inline>
        </w:drawing>
      </w:r>
    </w:p>
    <w:p w14:paraId="2715FA5A" w14:textId="77777777" w:rsidR="00F421F8" w:rsidRPr="00131EED" w:rsidRDefault="00F421F8" w:rsidP="00F421F8">
      <w:pPr>
        <w:jc w:val="center"/>
        <w:rPr>
          <w:rFonts w:ascii="Baskerville" w:hAnsi="Baskerville" w:cs="Arial"/>
        </w:rPr>
      </w:pPr>
    </w:p>
    <w:p w14:paraId="11320C84" w14:textId="77777777" w:rsidR="00F421F8" w:rsidRPr="00131EED" w:rsidRDefault="00F421F8" w:rsidP="00F421F8">
      <w:pPr>
        <w:jc w:val="center"/>
        <w:rPr>
          <w:rFonts w:eastAsia="Century Gothic" w:cs="Arial"/>
          <w:sz w:val="20"/>
          <w:szCs w:val="20"/>
        </w:rPr>
      </w:pPr>
      <w:r w:rsidRPr="00131EED">
        <w:rPr>
          <w:rFonts w:eastAsia="Century Gothic" w:cs="Arial"/>
          <w:sz w:val="20"/>
          <w:szCs w:val="20"/>
        </w:rPr>
        <w:t>Fuente: Elaboración propia a partir de cartografía del Plan de Ordenamiento Territorial del municipio de Cajicá</w:t>
      </w:r>
    </w:p>
    <w:p w14:paraId="4816D1CF" w14:textId="77777777" w:rsidR="00F421F8" w:rsidRPr="00131EED" w:rsidRDefault="00F421F8" w:rsidP="00F421F8">
      <w:pPr>
        <w:pStyle w:val="Caption"/>
        <w:jc w:val="center"/>
      </w:pPr>
    </w:p>
    <w:p w14:paraId="5F40E271" w14:textId="38C40DBD" w:rsidR="00F421F8" w:rsidRPr="00131EED" w:rsidRDefault="00F421F8" w:rsidP="00F31456">
      <w:pPr>
        <w:pStyle w:val="Caption"/>
        <w:jc w:val="center"/>
      </w:pPr>
      <w:bookmarkStart w:id="251" w:name="_Toc216468826"/>
      <w:r w:rsidRPr="00131EED">
        <w:t xml:space="preserve">Ilustración </w:t>
      </w:r>
      <w:r w:rsidRPr="00131EED">
        <w:fldChar w:fldCharType="begin"/>
      </w:r>
      <w:r w:rsidRPr="00131EED">
        <w:instrText>SEQ Ilustración \* ARABIC</w:instrText>
      </w:r>
      <w:r w:rsidRPr="00131EED">
        <w:fldChar w:fldCharType="separate"/>
      </w:r>
      <w:r w:rsidR="00CE096F">
        <w:rPr>
          <w:noProof/>
        </w:rPr>
        <w:t>61</w:t>
      </w:r>
      <w:r w:rsidRPr="00131EED">
        <w:fldChar w:fldCharType="end"/>
      </w:r>
      <w:r w:rsidRPr="00131EED">
        <w:t>. Viviendas por ha según clasificación de suelo Tenjo</w:t>
      </w:r>
      <w:bookmarkEnd w:id="251"/>
    </w:p>
    <w:p w14:paraId="573BE18A" w14:textId="77777777" w:rsidR="00F421F8" w:rsidRPr="00131EED" w:rsidRDefault="00F421F8" w:rsidP="00F421F8">
      <w:pPr>
        <w:jc w:val="center"/>
        <w:rPr>
          <w:rFonts w:ascii="Baskerville" w:hAnsi="Baskerville" w:cs="Arial"/>
        </w:rPr>
      </w:pPr>
      <w:r w:rsidRPr="00131EED">
        <w:rPr>
          <w:rFonts w:ascii="Baskerville" w:hAnsi="Baskerville" w:cs="Arial"/>
          <w:noProof/>
          <w:lang w:eastAsia="en-US"/>
        </w:rPr>
        <w:drawing>
          <wp:inline distT="0" distB="0" distL="0" distR="0" wp14:anchorId="55CC3FE8" wp14:editId="17BC7BBA">
            <wp:extent cx="4241750" cy="2998693"/>
            <wp:effectExtent l="0" t="0" r="6985" b="0"/>
            <wp:docPr id="1712249416" name="Imagen 4"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249416" name="Imagen 4" descr="Mapa&#10;&#10;Descripción generada automáticamente"/>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4248601" cy="3003536"/>
                    </a:xfrm>
                    <a:prstGeom prst="rect">
                      <a:avLst/>
                    </a:prstGeom>
                  </pic:spPr>
                </pic:pic>
              </a:graphicData>
            </a:graphic>
          </wp:inline>
        </w:drawing>
      </w:r>
    </w:p>
    <w:p w14:paraId="058493DD" w14:textId="77777777" w:rsidR="00F421F8" w:rsidRPr="00131EED" w:rsidRDefault="00F421F8" w:rsidP="00F421F8">
      <w:pPr>
        <w:jc w:val="center"/>
        <w:rPr>
          <w:rFonts w:cs="Arial"/>
          <w:sz w:val="20"/>
          <w:szCs w:val="20"/>
        </w:rPr>
      </w:pPr>
      <w:r w:rsidRPr="00131EED">
        <w:rPr>
          <w:rFonts w:cs="Arial"/>
          <w:sz w:val="20"/>
          <w:szCs w:val="20"/>
        </w:rPr>
        <w:t>Fuente: Elaboración propia a partir de Planes de Ordenamiento Territorial e información DANE 2018.</w:t>
      </w:r>
    </w:p>
    <w:p w14:paraId="4A292667" w14:textId="77777777" w:rsidR="00F421F8" w:rsidRPr="00131EED" w:rsidRDefault="00F421F8" w:rsidP="00F421F8">
      <w:pPr>
        <w:rPr>
          <w:rFonts w:cs="Arial"/>
        </w:rPr>
      </w:pPr>
    </w:p>
    <w:p w14:paraId="27B32233" w14:textId="77777777" w:rsidR="00F421F8" w:rsidRPr="00131EED" w:rsidRDefault="00F421F8" w:rsidP="00F421F8">
      <w:pPr>
        <w:rPr>
          <w:rFonts w:cs="Arial"/>
        </w:rPr>
      </w:pPr>
      <w:r w:rsidRPr="00131EED">
        <w:rPr>
          <w:rFonts w:cs="Arial"/>
        </w:rPr>
        <w:t>Con base en esos resultados y a partir de la información de la base catastral nacional, fue posible estimar el índice de ocupación de los terrenos urbanos y rurales, con el fin de establecer similitudes en los patrones de ocupación entre diferentes clasificaciones de suelo.</w:t>
      </w:r>
    </w:p>
    <w:p w14:paraId="1E33BDC5" w14:textId="77777777" w:rsidR="00F421F8" w:rsidRPr="00131EED" w:rsidRDefault="00F421F8" w:rsidP="00F421F8">
      <w:pPr>
        <w:rPr>
          <w:rFonts w:cs="Arial"/>
        </w:rPr>
      </w:pPr>
    </w:p>
    <w:p w14:paraId="4203EDBB" w14:textId="77777777" w:rsidR="00F421F8" w:rsidRPr="00131EED" w:rsidRDefault="00F421F8" w:rsidP="00F421F8">
      <w:pPr>
        <w:rPr>
          <w:rFonts w:cs="Arial"/>
        </w:rPr>
      </w:pPr>
      <w:r w:rsidRPr="00131EED">
        <w:rPr>
          <w:rFonts w:cs="Arial"/>
        </w:rPr>
        <w:t>El análisis del índice de ocupación expone tipologías de vivienda que contravienen los criterios de transformación y ocupación en suelo rural y suburbano. Cruzando datos de Planes de Ordenamiento Territorial y la Base Catastral Nacional, se evidenció que parte de la ocupación en estas áreas replica patrones urbanos, con áreas construidas superiores al 60% del lote. Esta situación genera conflictos territoriales y ambientales, al transgredir las normas establecidas para estos suelos.</w:t>
      </w:r>
    </w:p>
    <w:p w14:paraId="2BC3FD7F" w14:textId="77777777" w:rsidR="00F421F8" w:rsidRPr="00131EED" w:rsidRDefault="00F421F8" w:rsidP="00F421F8">
      <w:pPr>
        <w:rPr>
          <w:rFonts w:cs="Arial"/>
        </w:rPr>
      </w:pPr>
    </w:p>
    <w:p w14:paraId="18E0AD75" w14:textId="0449503D" w:rsidR="00F421F8" w:rsidRPr="00131EED" w:rsidRDefault="00F421F8" w:rsidP="00F421F8">
      <w:pPr>
        <w:pBdr>
          <w:top w:val="nil"/>
          <w:left w:val="nil"/>
          <w:bottom w:val="nil"/>
          <w:right w:val="nil"/>
          <w:between w:val="nil"/>
        </w:pBdr>
        <w:rPr>
          <w:rFonts w:cs="Arial"/>
        </w:rPr>
      </w:pPr>
      <w:r w:rsidRPr="00131EED">
        <w:rPr>
          <w:rFonts w:cs="Arial"/>
        </w:rPr>
        <w:t>Hallazgos similares se pueden identificar en la investigación “Territorios híbridos metropolitanos: transformaciones urbanizadoras en el sector central de la Sabana de Bogotá”</w:t>
      </w:r>
      <w:sdt>
        <w:sdtPr>
          <w:rPr>
            <w:rFonts w:cs="Arial"/>
          </w:rPr>
          <w:id w:val="822853720"/>
          <w:citation/>
        </w:sdtPr>
        <w:sdtEndPr/>
        <w:sdtContent>
          <w:r w:rsidRPr="00131EED">
            <w:rPr>
              <w:rFonts w:cs="Arial"/>
            </w:rPr>
            <w:fldChar w:fldCharType="begin"/>
          </w:r>
          <w:r w:rsidRPr="00131EED">
            <w:rPr>
              <w:rFonts w:cs="Arial"/>
            </w:rPr>
            <w:instrText xml:space="preserve"> CITATION Rom20 \l 9226 </w:instrText>
          </w:r>
          <w:r w:rsidRPr="00131EED">
            <w:rPr>
              <w:rFonts w:cs="Arial"/>
            </w:rPr>
            <w:fldChar w:fldCharType="separate"/>
          </w:r>
          <w:r w:rsidRPr="00131EED">
            <w:rPr>
              <w:rFonts w:cs="Arial"/>
            </w:rPr>
            <w:t xml:space="preserve"> (Romero Mejía, 2020)</w:t>
          </w:r>
          <w:r w:rsidRPr="00131EED">
            <w:rPr>
              <w:rFonts w:cs="Arial"/>
            </w:rPr>
            <w:fldChar w:fldCharType="end"/>
          </w:r>
        </w:sdtContent>
      </w:sdt>
      <w:r w:rsidRPr="00131EED">
        <w:rPr>
          <w:rFonts w:cs="Arial"/>
        </w:rPr>
        <w:t xml:space="preserve">; respecto a la morfología de las áreas construidas y el mosaico territorial resultante en la Sabana de Bogotá, el autor señala: </w:t>
      </w:r>
    </w:p>
    <w:p w14:paraId="7E6B1D71" w14:textId="77777777" w:rsidR="00F421F8" w:rsidRPr="00131EED" w:rsidRDefault="00F421F8" w:rsidP="00F421F8">
      <w:pPr>
        <w:pBdr>
          <w:top w:val="nil"/>
          <w:left w:val="nil"/>
          <w:bottom w:val="nil"/>
          <w:right w:val="nil"/>
          <w:between w:val="nil"/>
        </w:pBdr>
        <w:rPr>
          <w:rFonts w:cs="Arial"/>
        </w:rPr>
      </w:pPr>
    </w:p>
    <w:p w14:paraId="6E55843D" w14:textId="77777777" w:rsidR="00F421F8" w:rsidRPr="00131EED" w:rsidRDefault="00F421F8" w:rsidP="00F421F8">
      <w:pPr>
        <w:pBdr>
          <w:top w:val="nil"/>
          <w:left w:val="nil"/>
          <w:bottom w:val="nil"/>
          <w:right w:val="nil"/>
          <w:between w:val="nil"/>
        </w:pBdr>
        <w:ind w:left="720"/>
        <w:rPr>
          <w:rFonts w:cs="Arial"/>
          <w:i/>
        </w:rPr>
      </w:pPr>
      <w:r w:rsidRPr="00131EED">
        <w:rPr>
          <w:rFonts w:cs="Arial"/>
        </w:rPr>
        <w:t>“</w:t>
      </w:r>
      <w:r w:rsidRPr="00131EED">
        <w:rPr>
          <w:rFonts w:cs="Arial"/>
          <w:i/>
        </w:rPr>
        <w:t>El perfil morfológico de las áreas construidas de la Sabana es cada vez más diverso e insular; está condicionado por los estratos que configuran el territorio, sin embargo, la materialización es cada vez más genérica. Está constituido por: 1) patrones urbanísticos de planificación unitaria, autocontenidos y polarizados en la infraestructura vial en aglomeraciones lineales o de mayor espesor; 2) aglomeraciones lineales hibridas, que se materializan mediante configuraciones tradicionales de edificaciones adosadas que se polarizan sobre las arterias regionales; 3) edificaciones dispersas; 4) tejidos mixtos compactos de localización fragmentada en el territorio; y 5) los aglomerados que se encuentran divididos entre: los núcleos urbanos tradicionales y los aglomerados exentos, todos ellos conectados entre sí a través de la red vial y los espacios libres.</w:t>
      </w:r>
    </w:p>
    <w:p w14:paraId="61BF12AB" w14:textId="77777777" w:rsidR="00F421F8" w:rsidRPr="00131EED" w:rsidRDefault="00F421F8" w:rsidP="00F421F8">
      <w:pPr>
        <w:pBdr>
          <w:top w:val="nil"/>
          <w:left w:val="nil"/>
          <w:bottom w:val="nil"/>
          <w:right w:val="nil"/>
          <w:between w:val="nil"/>
        </w:pBdr>
        <w:ind w:left="720"/>
        <w:rPr>
          <w:rFonts w:cs="Arial"/>
        </w:rPr>
      </w:pPr>
    </w:p>
    <w:p w14:paraId="7A3C035C" w14:textId="3967C236" w:rsidR="00F421F8" w:rsidRPr="00131EED" w:rsidRDefault="00F421F8" w:rsidP="00F421F8">
      <w:pPr>
        <w:pBdr>
          <w:top w:val="nil"/>
          <w:left w:val="nil"/>
          <w:bottom w:val="nil"/>
          <w:right w:val="nil"/>
          <w:between w:val="nil"/>
        </w:pBdr>
        <w:ind w:left="720"/>
        <w:rPr>
          <w:rFonts w:eastAsia="Arial" w:cs="Arial"/>
          <w:b/>
          <w:color w:val="000000"/>
        </w:rPr>
      </w:pPr>
      <w:r w:rsidRPr="00131EED">
        <w:rPr>
          <w:rFonts w:cs="Arial"/>
          <w:i/>
        </w:rPr>
        <w:t>La Sabana tiene la forma de un “mosaico territorial” muy antropizado; la matriz que contiene al espacio agrícola está cada vez más fragmentada por la ocupación dispersa del territorio sobre los espacios rurales que han sido urbanizados y endurecidos. La pérdida veloz de tierra, con valoraciones agrológicas que las clasifican como aptas para la producción de alimentos, y la progresiva degradación del paisaje, es uno de los temas que deben ser abordados desde las diferentes esferas: la del planeamiento, la académica, la ciudadana, la política y la económica. El suelo rural se concibe como un espacio expectante para la urbanización más que una pieza del sistema ambiental del territorio, y como un recurso no renovable que debe ser protegido. La interpenetración entre asentamientos urbanos de diferentes tipos, y el campo es una característica de la ciudad territorial del presente que le asigna a los suelos rurales, una función integradora de escala regional.</w:t>
      </w:r>
      <w:r w:rsidRPr="00131EED">
        <w:rPr>
          <w:rFonts w:cs="Arial"/>
        </w:rPr>
        <w:t>”</w:t>
      </w:r>
      <w:sdt>
        <w:sdtPr>
          <w:rPr>
            <w:rFonts w:cs="Arial"/>
          </w:rPr>
          <w:id w:val="2003856182"/>
          <w:citation/>
        </w:sdtPr>
        <w:sdtEndPr/>
        <w:sdtContent>
          <w:r w:rsidRPr="00131EED">
            <w:rPr>
              <w:rFonts w:cs="Arial"/>
            </w:rPr>
            <w:fldChar w:fldCharType="begin"/>
          </w:r>
          <w:r w:rsidRPr="00131EED">
            <w:rPr>
              <w:rFonts w:cs="Arial"/>
            </w:rPr>
            <w:instrText xml:space="preserve"> CITATION Rom20 \l 9226 </w:instrText>
          </w:r>
          <w:r w:rsidRPr="00131EED">
            <w:rPr>
              <w:rFonts w:cs="Arial"/>
            </w:rPr>
            <w:fldChar w:fldCharType="separate"/>
          </w:r>
          <w:r w:rsidRPr="00131EED">
            <w:rPr>
              <w:rFonts w:cs="Arial"/>
            </w:rPr>
            <w:t xml:space="preserve"> (Romero Mejía, 2020)</w:t>
          </w:r>
          <w:r w:rsidRPr="00131EED">
            <w:rPr>
              <w:rFonts w:cs="Arial"/>
            </w:rPr>
            <w:fldChar w:fldCharType="end"/>
          </w:r>
        </w:sdtContent>
      </w:sdt>
    </w:p>
    <w:p w14:paraId="6B59C712" w14:textId="77777777" w:rsidR="00F421F8" w:rsidRPr="00131EED" w:rsidRDefault="00F421F8" w:rsidP="00F421F8">
      <w:pPr>
        <w:rPr>
          <w:rFonts w:cs="Arial"/>
        </w:rPr>
      </w:pPr>
    </w:p>
    <w:p w14:paraId="6E36F80B" w14:textId="77777777" w:rsidR="00F421F8" w:rsidRPr="00131EED" w:rsidRDefault="00F421F8" w:rsidP="00F421F8">
      <w:pPr>
        <w:rPr>
          <w:rFonts w:eastAsia="Century Gothic" w:cs="Arial"/>
        </w:rPr>
      </w:pPr>
      <w:r w:rsidRPr="00131EED">
        <w:rPr>
          <w:rFonts w:cs="Arial"/>
        </w:rPr>
        <w:t>Al respecto es importante reiterar que la evidencia de tipologías de ocupación que no corresponden con los criterios asociados a las clasificaciones de suelo definidas en los instrumentos de ordenamiento, evidencian la importancia de definir límites a los procesos de transformación, que contribuyan a mitigar el impacto de la huella de antropización que se extiende a lo largo de la Sabana de Bogotá, evitar la continuidad del proceso de degradación del suelo por sellamiento y contribuir a la consolidación de bordes de transición urbano y rurales</w:t>
      </w:r>
    </w:p>
    <w:p w14:paraId="1F8AF919" w14:textId="77777777" w:rsidR="00CD4A47" w:rsidRPr="00131EED" w:rsidRDefault="00CD4A47" w:rsidP="00F421F8">
      <w:pPr>
        <w:rPr>
          <w:rFonts w:eastAsia="Century Gothic" w:cs="Arial"/>
        </w:rPr>
      </w:pPr>
    </w:p>
    <w:p w14:paraId="4DD6BD99" w14:textId="77777777" w:rsidR="00F421F8" w:rsidRPr="00131EED" w:rsidRDefault="00F421F8" w:rsidP="00410194">
      <w:pPr>
        <w:pStyle w:val="Heading4"/>
        <w:numPr>
          <w:ilvl w:val="3"/>
          <w:numId w:val="31"/>
        </w:numPr>
      </w:pPr>
      <w:bookmarkStart w:id="252" w:name="_Toc216468728"/>
      <w:r w:rsidRPr="00131EED">
        <w:t>Vigencia y concertación de asuntos ambientales de Planes de Ordenamiento Territorial</w:t>
      </w:r>
      <w:bookmarkEnd w:id="252"/>
    </w:p>
    <w:p w14:paraId="42347D4F" w14:textId="77777777" w:rsidR="00F421F8" w:rsidRPr="00131EED" w:rsidRDefault="00F421F8" w:rsidP="00F421F8">
      <w:pPr>
        <w:rPr>
          <w:rFonts w:ascii="Baskerville" w:eastAsia="Century Gothic" w:hAnsi="Baskerville" w:cs="Arial"/>
        </w:rPr>
      </w:pPr>
    </w:p>
    <w:p w14:paraId="72B81AA9" w14:textId="2088F7BF" w:rsidR="00F421F8" w:rsidRPr="00131EED" w:rsidRDefault="00F421F8" w:rsidP="00F31456">
      <w:pPr>
        <w:rPr>
          <w:rFonts w:eastAsia="Century Gothic" w:cs="Arial"/>
        </w:rPr>
      </w:pPr>
      <w:r w:rsidRPr="00131EED">
        <w:rPr>
          <w:rFonts w:eastAsia="Century Gothic" w:cs="Arial"/>
        </w:rPr>
        <w:t>A partir de la información suministrada por las Corporaciones Autónomas Regionales a propósito del estado de concertación de los asuntos ambientales de los Planes de Ordenamiento Territorial de su jurisdicción, fue posible determinar que</w:t>
      </w:r>
      <w:r w:rsidR="00CD4A47" w:rsidRPr="00131EED">
        <w:rPr>
          <w:rFonts w:eastAsia="Century Gothic" w:cs="Arial"/>
        </w:rPr>
        <w:t>,</w:t>
      </w:r>
      <w:r w:rsidRPr="00131EED">
        <w:rPr>
          <w:rFonts w:eastAsia="Century Gothic" w:cs="Arial"/>
        </w:rPr>
        <w:t xml:space="preserve"> de los </w:t>
      </w:r>
      <w:r w:rsidR="00812210" w:rsidRPr="00131EED">
        <w:rPr>
          <w:rFonts w:eastAsia="Century Gothic" w:cs="Arial"/>
        </w:rPr>
        <w:t>31</w:t>
      </w:r>
      <w:r w:rsidRPr="00131EED">
        <w:rPr>
          <w:rFonts w:eastAsia="Century Gothic" w:cs="Arial"/>
        </w:rPr>
        <w:t xml:space="preserve"> planes de ordenamiento territorial, el 6</w:t>
      </w:r>
      <w:r w:rsidR="00CC49D0" w:rsidRPr="00131EED">
        <w:rPr>
          <w:rFonts w:eastAsia="Century Gothic" w:cs="Arial"/>
        </w:rPr>
        <w:t>9,52</w:t>
      </w:r>
      <w:r w:rsidRPr="00131EED">
        <w:rPr>
          <w:rFonts w:eastAsia="Century Gothic" w:cs="Arial"/>
        </w:rPr>
        <w:t xml:space="preserve">%, correspondientes a </w:t>
      </w:r>
      <w:r w:rsidR="009665B9" w:rsidRPr="00131EED">
        <w:rPr>
          <w:rFonts w:eastAsia="Century Gothic" w:cs="Arial"/>
        </w:rPr>
        <w:t>20</w:t>
      </w:r>
      <w:r w:rsidRPr="00131EED">
        <w:rPr>
          <w:rFonts w:eastAsia="Century Gothic" w:cs="Arial"/>
        </w:rPr>
        <w:t xml:space="preserve"> municipios, adoptaron sus instrumentos </w:t>
      </w:r>
      <w:r w:rsidR="00EF2655" w:rsidRPr="00131EED">
        <w:rPr>
          <w:rFonts w:eastAsia="Century Gothic" w:cs="Arial"/>
        </w:rPr>
        <w:t xml:space="preserve">hasta </w:t>
      </w:r>
      <w:r w:rsidRPr="00131EED">
        <w:rPr>
          <w:rFonts w:eastAsia="Century Gothic" w:cs="Arial"/>
        </w:rPr>
        <w:t xml:space="preserve">el 2010, mientras que el </w:t>
      </w:r>
      <w:r w:rsidR="00EF2655" w:rsidRPr="00131EED">
        <w:rPr>
          <w:rFonts w:eastAsia="Century Gothic" w:cs="Arial"/>
        </w:rPr>
        <w:t>29.03</w:t>
      </w:r>
      <w:r w:rsidRPr="00131EED">
        <w:rPr>
          <w:rFonts w:eastAsia="Century Gothic" w:cs="Arial"/>
        </w:rPr>
        <w:t xml:space="preserve">% fueron adoptados entre el año 2011 y 2020. Apenas el </w:t>
      </w:r>
      <w:r w:rsidR="00EF2655" w:rsidRPr="00131EED">
        <w:rPr>
          <w:rFonts w:eastAsia="Century Gothic" w:cs="Arial"/>
        </w:rPr>
        <w:t>6,45</w:t>
      </w:r>
      <w:r w:rsidRPr="00131EED">
        <w:rPr>
          <w:rFonts w:eastAsia="Century Gothic" w:cs="Arial"/>
        </w:rPr>
        <w:t xml:space="preserve">% de los POT, correspondiente a </w:t>
      </w:r>
      <w:r w:rsidR="000D1804" w:rsidRPr="00131EED">
        <w:rPr>
          <w:rFonts w:eastAsia="Century Gothic" w:cs="Arial"/>
        </w:rPr>
        <w:t>2</w:t>
      </w:r>
      <w:r w:rsidRPr="00131EED">
        <w:rPr>
          <w:rFonts w:eastAsia="Century Gothic" w:cs="Arial"/>
        </w:rPr>
        <w:t xml:space="preserve"> municipios, fueron adoptados después del año 2020, como se observa en la </w:t>
      </w:r>
      <w:r w:rsidR="002F3E6C" w:rsidRPr="00131EED">
        <w:rPr>
          <w:rFonts w:eastAsia="Century Gothic" w:cs="Arial"/>
        </w:rPr>
        <w:fldChar w:fldCharType="begin"/>
      </w:r>
      <w:r w:rsidR="002F3E6C" w:rsidRPr="00131EED">
        <w:rPr>
          <w:rFonts w:eastAsia="Century Gothic" w:cs="Arial"/>
        </w:rPr>
        <w:instrText xml:space="preserve"> REF _Ref211336935 \h  \* MERGEFORMAT </w:instrText>
      </w:r>
      <w:r w:rsidR="002F3E6C" w:rsidRPr="00131EED">
        <w:rPr>
          <w:rFonts w:eastAsia="Century Gothic" w:cs="Arial"/>
        </w:rPr>
      </w:r>
      <w:r w:rsidR="002F3E6C" w:rsidRPr="00131EED">
        <w:rPr>
          <w:rFonts w:eastAsia="Century Gothic" w:cs="Arial"/>
        </w:rPr>
        <w:fldChar w:fldCharType="separate"/>
      </w:r>
      <w:r w:rsidR="00CE096F" w:rsidRPr="00131EED">
        <w:t xml:space="preserve">Ilustración </w:t>
      </w:r>
      <w:r w:rsidR="00CE096F">
        <w:t>62</w:t>
      </w:r>
      <w:r w:rsidR="002F3E6C" w:rsidRPr="00131EED">
        <w:rPr>
          <w:rFonts w:eastAsia="Century Gothic" w:cs="Arial"/>
        </w:rPr>
        <w:fldChar w:fldCharType="end"/>
      </w:r>
      <w:r w:rsidR="00F31456" w:rsidRPr="00131EED">
        <w:rPr>
          <w:rFonts w:eastAsia="Century Gothic" w:cs="Arial"/>
        </w:rPr>
        <w:t xml:space="preserve"> </w:t>
      </w:r>
      <w:r w:rsidRPr="00131EED">
        <w:rPr>
          <w:rFonts w:eastAsia="Century Gothic" w:cs="Arial"/>
        </w:rPr>
        <w:t>y en la</w:t>
      </w:r>
      <w:r w:rsidR="002F3E6C" w:rsidRPr="00131EED">
        <w:rPr>
          <w:rFonts w:eastAsia="Century Gothic" w:cs="Arial"/>
        </w:rPr>
        <w:t xml:space="preserve"> </w:t>
      </w:r>
      <w:r w:rsidR="002F3E6C" w:rsidRPr="00131EED">
        <w:rPr>
          <w:rFonts w:eastAsia="Century Gothic" w:cs="Arial"/>
        </w:rPr>
        <w:fldChar w:fldCharType="begin"/>
      </w:r>
      <w:r w:rsidR="002F3E6C" w:rsidRPr="00131EED">
        <w:rPr>
          <w:rFonts w:eastAsia="Century Gothic" w:cs="Arial"/>
        </w:rPr>
        <w:instrText xml:space="preserve"> REF _Ref211336960 \h  \* MERGEFORMAT </w:instrText>
      </w:r>
      <w:r w:rsidR="002F3E6C" w:rsidRPr="00131EED">
        <w:rPr>
          <w:rFonts w:eastAsia="Century Gothic" w:cs="Arial"/>
        </w:rPr>
      </w:r>
      <w:r w:rsidR="002F3E6C" w:rsidRPr="00131EED">
        <w:rPr>
          <w:rFonts w:eastAsia="Century Gothic" w:cs="Arial"/>
        </w:rPr>
        <w:fldChar w:fldCharType="separate"/>
      </w:r>
      <w:r w:rsidR="00CE096F" w:rsidRPr="00131EED">
        <w:t xml:space="preserve">Tabla </w:t>
      </w:r>
      <w:r w:rsidR="00CE096F">
        <w:t>38</w:t>
      </w:r>
      <w:r w:rsidR="002F3E6C" w:rsidRPr="00131EED">
        <w:rPr>
          <w:rFonts w:eastAsia="Century Gothic" w:cs="Arial"/>
        </w:rPr>
        <w:fldChar w:fldCharType="end"/>
      </w:r>
      <w:r w:rsidR="002F3E6C" w:rsidRPr="00131EED">
        <w:rPr>
          <w:rFonts w:eastAsia="Century Gothic" w:cs="Arial"/>
        </w:rPr>
        <w:t>.</w:t>
      </w:r>
    </w:p>
    <w:p w14:paraId="373AA1D5" w14:textId="77777777" w:rsidR="00F31456" w:rsidRPr="00131EED" w:rsidRDefault="00F31456" w:rsidP="00F31456">
      <w:pPr>
        <w:rPr>
          <w:rFonts w:eastAsia="Century Gothic" w:cs="Arial"/>
        </w:rPr>
      </w:pPr>
    </w:p>
    <w:p w14:paraId="65F79EF1" w14:textId="77777777" w:rsidR="00F31456" w:rsidRPr="00131EED" w:rsidRDefault="00F31456" w:rsidP="00F31456">
      <w:pPr>
        <w:rPr>
          <w:rFonts w:eastAsia="Century Gothic"/>
        </w:rPr>
      </w:pPr>
    </w:p>
    <w:p w14:paraId="1BE3B2DE" w14:textId="77777777" w:rsidR="00F421F8" w:rsidRPr="00131EED" w:rsidRDefault="00F421F8" w:rsidP="00F421F8">
      <w:pPr>
        <w:rPr>
          <w:rFonts w:eastAsia="Century Gothic" w:cs="Arial"/>
        </w:rPr>
      </w:pPr>
    </w:p>
    <w:p w14:paraId="645A2785" w14:textId="77777777" w:rsidR="00CD4A47" w:rsidRPr="00131EED" w:rsidRDefault="00CD4A47" w:rsidP="00F421F8">
      <w:pPr>
        <w:rPr>
          <w:rFonts w:eastAsia="Century Gothic" w:cs="Arial"/>
        </w:rPr>
      </w:pPr>
      <w:bookmarkStart w:id="253" w:name="_Ref210852135"/>
    </w:p>
    <w:p w14:paraId="495B5361" w14:textId="77777777" w:rsidR="00CD4A47" w:rsidRPr="00131EED" w:rsidRDefault="00CD4A47" w:rsidP="00F421F8">
      <w:pPr>
        <w:rPr>
          <w:rFonts w:eastAsia="Century Gothic" w:cs="Arial"/>
        </w:rPr>
      </w:pPr>
    </w:p>
    <w:p w14:paraId="0951B0AA" w14:textId="634D640F" w:rsidR="00F421F8" w:rsidRPr="00131EED" w:rsidRDefault="00F421F8" w:rsidP="00F421F8">
      <w:pPr>
        <w:pStyle w:val="Caption"/>
        <w:jc w:val="center"/>
      </w:pPr>
      <w:bookmarkStart w:id="254" w:name="_Ref211336935"/>
      <w:bookmarkStart w:id="255" w:name="_Toc216468827"/>
      <w:r w:rsidRPr="00131EED">
        <w:t xml:space="preserve">Ilustración </w:t>
      </w:r>
      <w:bookmarkEnd w:id="253"/>
      <w:r w:rsidRPr="00131EED">
        <w:fldChar w:fldCharType="begin"/>
      </w:r>
      <w:r w:rsidRPr="00131EED">
        <w:instrText>SEQ Ilustración \* ARABIC</w:instrText>
      </w:r>
      <w:r w:rsidRPr="00131EED">
        <w:fldChar w:fldCharType="separate"/>
      </w:r>
      <w:r w:rsidR="00CE096F">
        <w:rPr>
          <w:noProof/>
        </w:rPr>
        <w:t>62</w:t>
      </w:r>
      <w:r w:rsidRPr="00131EED">
        <w:fldChar w:fldCharType="end"/>
      </w:r>
      <w:bookmarkEnd w:id="254"/>
      <w:r w:rsidRPr="00131EED">
        <w:t xml:space="preserve"> Vigencia de los Planes de Ordenamiento Territorial de los municipios del ámbito Sabana de Bogotá</w:t>
      </w:r>
      <w:bookmarkEnd w:id="255"/>
    </w:p>
    <w:p w14:paraId="26ECEFEB" w14:textId="2A3581E8" w:rsidR="00997880" w:rsidRPr="00131EED" w:rsidRDefault="0076219B" w:rsidP="0076219B">
      <w:pPr>
        <w:jc w:val="center"/>
        <w:rPr>
          <w:lang w:eastAsia="en-US"/>
        </w:rPr>
      </w:pPr>
      <w:r w:rsidRPr="00131EED">
        <w:rPr>
          <w:noProof/>
          <w:lang w:eastAsia="en-US"/>
        </w:rPr>
        <w:drawing>
          <wp:inline distT="0" distB="0" distL="0" distR="0" wp14:anchorId="61C567A3" wp14:editId="56F73A79">
            <wp:extent cx="4881378" cy="2691441"/>
            <wp:effectExtent l="0" t="0" r="0" b="0"/>
            <wp:docPr id="317630219" name="Imagen 1" descr="Gráfico, Gráfico de líne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630219" name="Imagen 1" descr="Gráfico, Gráfico de líneas&#10;&#10;El contenido generado por IA puede ser incorrecto."/>
                    <pic:cNvPicPr/>
                  </pic:nvPicPr>
                  <pic:blipFill>
                    <a:blip r:embed="rId114"/>
                    <a:stretch>
                      <a:fillRect/>
                    </a:stretch>
                  </pic:blipFill>
                  <pic:spPr>
                    <a:xfrm>
                      <a:off x="0" y="0"/>
                      <a:ext cx="4888492" cy="2695363"/>
                    </a:xfrm>
                    <a:prstGeom prst="rect">
                      <a:avLst/>
                    </a:prstGeom>
                  </pic:spPr>
                </pic:pic>
              </a:graphicData>
            </a:graphic>
          </wp:inline>
        </w:drawing>
      </w:r>
    </w:p>
    <w:p w14:paraId="12DAB6CA" w14:textId="77777777" w:rsidR="00F421F8" w:rsidRPr="00131EED" w:rsidRDefault="00F421F8" w:rsidP="00F421F8">
      <w:pPr>
        <w:jc w:val="center"/>
        <w:rPr>
          <w:rFonts w:cs="Arial"/>
          <w:sz w:val="20"/>
          <w:szCs w:val="20"/>
        </w:rPr>
      </w:pPr>
      <w:r w:rsidRPr="00131EED">
        <w:rPr>
          <w:rFonts w:cs="Arial"/>
          <w:sz w:val="20"/>
          <w:szCs w:val="20"/>
        </w:rPr>
        <w:t>Fuente: Elaboración propia a partir de Plan de Ordenamiento Territorial y base catastral nacional.</w:t>
      </w:r>
    </w:p>
    <w:p w14:paraId="6E17C068" w14:textId="77777777" w:rsidR="00F421F8" w:rsidRPr="00131EED" w:rsidRDefault="00F421F8" w:rsidP="00F421F8">
      <w:pPr>
        <w:pStyle w:val="Caption"/>
        <w:spacing w:after="0"/>
        <w:jc w:val="center"/>
      </w:pPr>
      <w:bookmarkStart w:id="256" w:name="_Ref210852152"/>
    </w:p>
    <w:p w14:paraId="203D408E" w14:textId="79A716EF" w:rsidR="00F421F8" w:rsidRPr="00131EED" w:rsidRDefault="00F421F8" w:rsidP="00F421F8">
      <w:pPr>
        <w:pStyle w:val="Caption"/>
        <w:spacing w:after="0"/>
        <w:jc w:val="center"/>
      </w:pPr>
      <w:bookmarkStart w:id="257" w:name="_Ref211336960"/>
      <w:bookmarkStart w:id="258" w:name="_Toc216468948"/>
      <w:r w:rsidRPr="00131EED">
        <w:t xml:space="preserve">Tabla </w:t>
      </w:r>
      <w:bookmarkEnd w:id="256"/>
      <w:r w:rsidRPr="00131EED">
        <w:fldChar w:fldCharType="begin"/>
      </w:r>
      <w:r w:rsidRPr="00131EED">
        <w:instrText>SEQ Tabla \* ARABIC</w:instrText>
      </w:r>
      <w:r w:rsidRPr="00131EED">
        <w:fldChar w:fldCharType="separate"/>
      </w:r>
      <w:r w:rsidR="00CE096F">
        <w:rPr>
          <w:noProof/>
        </w:rPr>
        <w:t>38</w:t>
      </w:r>
      <w:r w:rsidRPr="00131EED">
        <w:fldChar w:fldCharType="end"/>
      </w:r>
      <w:bookmarkEnd w:id="257"/>
      <w:r w:rsidRPr="00131EED">
        <w:t>. POT del ámbito Sabana y concertación de asuntos ambientales</w:t>
      </w:r>
      <w:bookmarkEnd w:id="258"/>
      <w:r w:rsidRPr="00131EED">
        <w:t xml:space="preserve"> </w:t>
      </w:r>
    </w:p>
    <w:tbl>
      <w:tblPr>
        <w:tblStyle w:val="TableGrid"/>
        <w:tblW w:w="7770" w:type="dxa"/>
        <w:jc w:val="center"/>
        <w:tblLook w:val="0600" w:firstRow="0" w:lastRow="0" w:firstColumn="0" w:lastColumn="0" w:noHBand="1" w:noVBand="1"/>
      </w:tblPr>
      <w:tblGrid>
        <w:gridCol w:w="1714"/>
        <w:gridCol w:w="1906"/>
        <w:gridCol w:w="811"/>
        <w:gridCol w:w="2528"/>
        <w:gridCol w:w="811"/>
      </w:tblGrid>
      <w:tr w:rsidR="00F421F8" w:rsidRPr="00131EED" w14:paraId="6AD0C496" w14:textId="77777777">
        <w:trPr>
          <w:trHeight w:val="402"/>
          <w:tblHeader/>
          <w:jc w:val="center"/>
        </w:trPr>
        <w:tc>
          <w:tcPr>
            <w:tcW w:w="1714" w:type="dxa"/>
            <w:vAlign w:val="center"/>
            <w:hideMark/>
          </w:tcPr>
          <w:p w14:paraId="68E25B47" w14:textId="77777777" w:rsidR="00F421F8" w:rsidRPr="00131EED" w:rsidRDefault="00F421F8">
            <w:pPr>
              <w:jc w:val="center"/>
              <w:textAlignment w:val="center"/>
              <w:rPr>
                <w:rFonts w:cs="Arial"/>
                <w:sz w:val="20"/>
                <w:szCs w:val="20"/>
                <w:lang w:eastAsia="es-CO"/>
              </w:rPr>
            </w:pPr>
            <w:r w:rsidRPr="00131EED">
              <w:rPr>
                <w:rFonts w:eastAsia="Cambria" w:cs="Arial"/>
                <w:b/>
                <w:color w:val="000000"/>
                <w:kern w:val="24"/>
                <w:sz w:val="20"/>
                <w:szCs w:val="20"/>
                <w:lang w:eastAsia="es-CO"/>
              </w:rPr>
              <w:t>Municipio</w:t>
            </w:r>
          </w:p>
        </w:tc>
        <w:tc>
          <w:tcPr>
            <w:tcW w:w="1906" w:type="dxa"/>
            <w:vAlign w:val="center"/>
            <w:hideMark/>
          </w:tcPr>
          <w:p w14:paraId="4ED4AEE0" w14:textId="77777777" w:rsidR="00F421F8" w:rsidRPr="00131EED" w:rsidRDefault="00F421F8">
            <w:pPr>
              <w:jc w:val="center"/>
              <w:textAlignment w:val="center"/>
              <w:rPr>
                <w:rFonts w:cs="Arial"/>
                <w:sz w:val="20"/>
                <w:szCs w:val="20"/>
                <w:lang w:eastAsia="es-CO"/>
              </w:rPr>
            </w:pPr>
            <w:r w:rsidRPr="00131EED">
              <w:rPr>
                <w:rFonts w:eastAsia="Cambria" w:cs="Arial"/>
                <w:b/>
                <w:color w:val="000000"/>
                <w:kern w:val="24"/>
                <w:sz w:val="20"/>
                <w:szCs w:val="20"/>
                <w:lang w:eastAsia="es-CO"/>
              </w:rPr>
              <w:t>POT Vigente</w:t>
            </w:r>
          </w:p>
        </w:tc>
        <w:tc>
          <w:tcPr>
            <w:tcW w:w="811" w:type="dxa"/>
            <w:vAlign w:val="center"/>
            <w:hideMark/>
          </w:tcPr>
          <w:p w14:paraId="5045996C" w14:textId="77777777" w:rsidR="00F421F8" w:rsidRPr="00131EED" w:rsidRDefault="00F421F8">
            <w:pPr>
              <w:jc w:val="center"/>
              <w:textAlignment w:val="center"/>
              <w:rPr>
                <w:rFonts w:cs="Arial"/>
                <w:sz w:val="20"/>
                <w:szCs w:val="20"/>
                <w:lang w:eastAsia="es-CO"/>
              </w:rPr>
            </w:pPr>
            <w:r w:rsidRPr="00131EED">
              <w:rPr>
                <w:rFonts w:eastAsia="Cambria" w:cs="Arial"/>
                <w:b/>
                <w:color w:val="000000"/>
                <w:kern w:val="24"/>
                <w:sz w:val="20"/>
                <w:szCs w:val="20"/>
                <w:lang w:eastAsia="es-CO"/>
              </w:rPr>
              <w:t>Año</w:t>
            </w:r>
          </w:p>
        </w:tc>
        <w:tc>
          <w:tcPr>
            <w:tcW w:w="2528" w:type="dxa"/>
            <w:vAlign w:val="center"/>
            <w:hideMark/>
          </w:tcPr>
          <w:p w14:paraId="191B9A1B" w14:textId="77777777" w:rsidR="00F421F8" w:rsidRPr="00131EED" w:rsidRDefault="00F421F8">
            <w:pPr>
              <w:jc w:val="center"/>
              <w:textAlignment w:val="center"/>
              <w:rPr>
                <w:rFonts w:cs="Arial"/>
                <w:sz w:val="20"/>
                <w:szCs w:val="20"/>
                <w:lang w:eastAsia="es-CO"/>
              </w:rPr>
            </w:pPr>
            <w:r w:rsidRPr="00131EED">
              <w:rPr>
                <w:rFonts w:eastAsia="Cambria" w:cs="Arial"/>
                <w:b/>
                <w:color w:val="000000"/>
                <w:kern w:val="24"/>
                <w:sz w:val="20"/>
                <w:szCs w:val="20"/>
                <w:lang w:eastAsia="es-CO"/>
              </w:rPr>
              <w:t>Estado de concertación de asuntos ambientales</w:t>
            </w:r>
          </w:p>
        </w:tc>
        <w:tc>
          <w:tcPr>
            <w:tcW w:w="811" w:type="dxa"/>
            <w:vAlign w:val="center"/>
            <w:hideMark/>
          </w:tcPr>
          <w:p w14:paraId="52F3B76D" w14:textId="77777777" w:rsidR="00F421F8" w:rsidRPr="00131EED" w:rsidRDefault="00F421F8">
            <w:pPr>
              <w:jc w:val="center"/>
              <w:textAlignment w:val="center"/>
              <w:rPr>
                <w:rFonts w:cs="Arial"/>
                <w:sz w:val="20"/>
                <w:szCs w:val="20"/>
                <w:lang w:eastAsia="es-CO"/>
              </w:rPr>
            </w:pPr>
            <w:r w:rsidRPr="00131EED">
              <w:rPr>
                <w:rFonts w:eastAsia="Cambria" w:cs="Arial"/>
                <w:b/>
                <w:color w:val="000000"/>
                <w:kern w:val="24"/>
                <w:sz w:val="20"/>
                <w:szCs w:val="20"/>
                <w:lang w:eastAsia="es-CO"/>
              </w:rPr>
              <w:t>Año</w:t>
            </w:r>
          </w:p>
        </w:tc>
      </w:tr>
      <w:tr w:rsidR="00F421F8" w:rsidRPr="00131EED" w14:paraId="1F564E3E" w14:textId="77777777">
        <w:trPr>
          <w:trHeight w:val="135"/>
          <w:jc w:val="center"/>
        </w:trPr>
        <w:tc>
          <w:tcPr>
            <w:tcW w:w="1714" w:type="dxa"/>
            <w:vAlign w:val="center"/>
            <w:hideMark/>
          </w:tcPr>
          <w:p w14:paraId="66128F39" w14:textId="77777777" w:rsidR="00F421F8" w:rsidRPr="00131EED" w:rsidRDefault="00F421F8">
            <w:pPr>
              <w:jc w:val="center"/>
              <w:textAlignment w:val="center"/>
              <w:rPr>
                <w:rFonts w:cs="Arial"/>
                <w:sz w:val="20"/>
                <w:szCs w:val="20"/>
                <w:lang w:eastAsia="es-CO"/>
              </w:rPr>
            </w:pPr>
            <w:r w:rsidRPr="00131EED">
              <w:rPr>
                <w:rFonts w:eastAsia="Cambria" w:cs="Arial"/>
                <w:color w:val="000000"/>
                <w:kern w:val="24"/>
                <w:sz w:val="20"/>
                <w:szCs w:val="20"/>
                <w:lang w:eastAsia="es-CO"/>
              </w:rPr>
              <w:t>Bogotá, D.C.</w:t>
            </w:r>
          </w:p>
        </w:tc>
        <w:tc>
          <w:tcPr>
            <w:tcW w:w="1906" w:type="dxa"/>
            <w:vAlign w:val="center"/>
            <w:hideMark/>
          </w:tcPr>
          <w:p w14:paraId="710D6ABA"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Decreto 555</w:t>
            </w:r>
          </w:p>
        </w:tc>
        <w:tc>
          <w:tcPr>
            <w:tcW w:w="811" w:type="dxa"/>
            <w:vAlign w:val="center"/>
            <w:hideMark/>
          </w:tcPr>
          <w:p w14:paraId="2AC4466D"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2021</w:t>
            </w:r>
          </w:p>
        </w:tc>
        <w:tc>
          <w:tcPr>
            <w:tcW w:w="2528" w:type="dxa"/>
            <w:vAlign w:val="center"/>
            <w:hideMark/>
          </w:tcPr>
          <w:p w14:paraId="46CE89F5"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Concertado</w:t>
            </w:r>
          </w:p>
        </w:tc>
        <w:tc>
          <w:tcPr>
            <w:tcW w:w="811" w:type="dxa"/>
            <w:vAlign w:val="center"/>
            <w:hideMark/>
          </w:tcPr>
          <w:p w14:paraId="7C8F44FB"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2021</w:t>
            </w:r>
          </w:p>
        </w:tc>
      </w:tr>
      <w:tr w:rsidR="00F421F8" w:rsidRPr="00131EED" w14:paraId="20D4E714" w14:textId="77777777">
        <w:trPr>
          <w:trHeight w:val="135"/>
          <w:jc w:val="center"/>
        </w:trPr>
        <w:tc>
          <w:tcPr>
            <w:tcW w:w="1714" w:type="dxa"/>
            <w:vAlign w:val="center"/>
            <w:hideMark/>
          </w:tcPr>
          <w:p w14:paraId="4D045A25" w14:textId="77777777" w:rsidR="00F421F8" w:rsidRPr="00131EED" w:rsidRDefault="00F421F8">
            <w:pPr>
              <w:jc w:val="center"/>
              <w:textAlignment w:val="center"/>
              <w:rPr>
                <w:rFonts w:cs="Arial"/>
                <w:sz w:val="20"/>
                <w:szCs w:val="20"/>
                <w:lang w:eastAsia="es-CO"/>
              </w:rPr>
            </w:pPr>
            <w:r w:rsidRPr="00131EED">
              <w:rPr>
                <w:rFonts w:eastAsia="Cambria" w:cs="Arial"/>
                <w:color w:val="000000"/>
                <w:kern w:val="24"/>
                <w:sz w:val="20"/>
                <w:szCs w:val="20"/>
                <w:lang w:eastAsia="es-CO"/>
              </w:rPr>
              <w:t>Guasca</w:t>
            </w:r>
          </w:p>
        </w:tc>
        <w:tc>
          <w:tcPr>
            <w:tcW w:w="1906" w:type="dxa"/>
            <w:vAlign w:val="center"/>
            <w:hideMark/>
          </w:tcPr>
          <w:p w14:paraId="3B030B11"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Acuerdo 27</w:t>
            </w:r>
          </w:p>
        </w:tc>
        <w:tc>
          <w:tcPr>
            <w:tcW w:w="811" w:type="dxa"/>
            <w:vAlign w:val="center"/>
            <w:hideMark/>
          </w:tcPr>
          <w:p w14:paraId="7ECC6BE8"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2021</w:t>
            </w:r>
          </w:p>
        </w:tc>
        <w:tc>
          <w:tcPr>
            <w:tcW w:w="2528" w:type="dxa"/>
            <w:vAlign w:val="center"/>
            <w:hideMark/>
          </w:tcPr>
          <w:p w14:paraId="0354903B"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Sin información</w:t>
            </w:r>
          </w:p>
        </w:tc>
        <w:tc>
          <w:tcPr>
            <w:tcW w:w="811" w:type="dxa"/>
            <w:vAlign w:val="center"/>
            <w:hideMark/>
          </w:tcPr>
          <w:p w14:paraId="5E2DDF1B" w14:textId="77777777" w:rsidR="00F421F8" w:rsidRPr="00131EED" w:rsidRDefault="00F421F8">
            <w:pPr>
              <w:jc w:val="center"/>
              <w:rPr>
                <w:rFonts w:cs="Arial"/>
                <w:sz w:val="20"/>
                <w:szCs w:val="20"/>
                <w:lang w:eastAsia="es-CO"/>
              </w:rPr>
            </w:pPr>
          </w:p>
        </w:tc>
      </w:tr>
      <w:tr w:rsidR="00F421F8" w:rsidRPr="00131EED" w14:paraId="3DD1197E" w14:textId="77777777">
        <w:trPr>
          <w:trHeight w:val="210"/>
          <w:jc w:val="center"/>
        </w:trPr>
        <w:tc>
          <w:tcPr>
            <w:tcW w:w="1714" w:type="dxa"/>
            <w:vAlign w:val="center"/>
            <w:hideMark/>
          </w:tcPr>
          <w:p w14:paraId="22B1B3B3" w14:textId="77777777" w:rsidR="00F421F8" w:rsidRPr="00131EED" w:rsidRDefault="00F421F8">
            <w:pPr>
              <w:jc w:val="center"/>
              <w:textAlignment w:val="center"/>
              <w:rPr>
                <w:rFonts w:cs="Arial"/>
                <w:sz w:val="20"/>
                <w:szCs w:val="20"/>
                <w:lang w:eastAsia="es-CO"/>
              </w:rPr>
            </w:pPr>
            <w:r w:rsidRPr="00131EED">
              <w:rPr>
                <w:rFonts w:eastAsia="Cambria" w:cs="Arial"/>
                <w:color w:val="000000"/>
                <w:kern w:val="24"/>
                <w:sz w:val="20"/>
                <w:szCs w:val="20"/>
                <w:lang w:eastAsia="es-CO"/>
              </w:rPr>
              <w:t>Nemocón</w:t>
            </w:r>
          </w:p>
        </w:tc>
        <w:tc>
          <w:tcPr>
            <w:tcW w:w="1906" w:type="dxa"/>
            <w:vAlign w:val="center"/>
            <w:hideMark/>
          </w:tcPr>
          <w:p w14:paraId="16478DCE"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Acuerdo 002</w:t>
            </w:r>
          </w:p>
        </w:tc>
        <w:tc>
          <w:tcPr>
            <w:tcW w:w="811" w:type="dxa"/>
            <w:vAlign w:val="center"/>
            <w:hideMark/>
          </w:tcPr>
          <w:p w14:paraId="5217DF04"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2016</w:t>
            </w:r>
          </w:p>
        </w:tc>
        <w:tc>
          <w:tcPr>
            <w:tcW w:w="2528" w:type="dxa"/>
            <w:vAlign w:val="center"/>
            <w:hideMark/>
          </w:tcPr>
          <w:p w14:paraId="78D38BB8"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Sin información</w:t>
            </w:r>
          </w:p>
        </w:tc>
        <w:tc>
          <w:tcPr>
            <w:tcW w:w="811" w:type="dxa"/>
            <w:vAlign w:val="center"/>
            <w:hideMark/>
          </w:tcPr>
          <w:p w14:paraId="66A407EE" w14:textId="77777777" w:rsidR="00F421F8" w:rsidRPr="00131EED" w:rsidRDefault="00F421F8">
            <w:pPr>
              <w:jc w:val="center"/>
              <w:rPr>
                <w:rFonts w:cs="Arial"/>
                <w:sz w:val="20"/>
                <w:szCs w:val="20"/>
                <w:lang w:eastAsia="es-CO"/>
              </w:rPr>
            </w:pPr>
          </w:p>
        </w:tc>
      </w:tr>
      <w:tr w:rsidR="00F421F8" w:rsidRPr="00131EED" w14:paraId="43B32BC6" w14:textId="77777777">
        <w:trPr>
          <w:trHeight w:val="135"/>
          <w:jc w:val="center"/>
        </w:trPr>
        <w:tc>
          <w:tcPr>
            <w:tcW w:w="1714" w:type="dxa"/>
            <w:vAlign w:val="center"/>
            <w:hideMark/>
          </w:tcPr>
          <w:p w14:paraId="19CBBD0F" w14:textId="77777777" w:rsidR="00F421F8" w:rsidRPr="00131EED" w:rsidRDefault="00F421F8">
            <w:pPr>
              <w:jc w:val="center"/>
              <w:textAlignment w:val="center"/>
              <w:rPr>
                <w:rFonts w:cs="Arial"/>
                <w:sz w:val="20"/>
                <w:szCs w:val="20"/>
                <w:lang w:eastAsia="es-CO"/>
              </w:rPr>
            </w:pPr>
            <w:r w:rsidRPr="00131EED">
              <w:rPr>
                <w:rFonts w:eastAsia="Cambria" w:cs="Arial"/>
                <w:color w:val="000000"/>
                <w:kern w:val="24"/>
                <w:sz w:val="20"/>
                <w:szCs w:val="20"/>
                <w:lang w:eastAsia="es-CO"/>
              </w:rPr>
              <w:t>Bojacá</w:t>
            </w:r>
          </w:p>
        </w:tc>
        <w:tc>
          <w:tcPr>
            <w:tcW w:w="1906" w:type="dxa"/>
            <w:vAlign w:val="center"/>
            <w:hideMark/>
          </w:tcPr>
          <w:p w14:paraId="3820AA76"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Acuerdo 12</w:t>
            </w:r>
          </w:p>
        </w:tc>
        <w:tc>
          <w:tcPr>
            <w:tcW w:w="811" w:type="dxa"/>
            <w:vAlign w:val="center"/>
            <w:hideMark/>
          </w:tcPr>
          <w:p w14:paraId="58384BAE"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2015</w:t>
            </w:r>
          </w:p>
        </w:tc>
        <w:tc>
          <w:tcPr>
            <w:tcW w:w="2528" w:type="dxa"/>
            <w:vAlign w:val="center"/>
            <w:hideMark/>
          </w:tcPr>
          <w:p w14:paraId="02BC31C0"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Concertado</w:t>
            </w:r>
          </w:p>
        </w:tc>
        <w:tc>
          <w:tcPr>
            <w:tcW w:w="811" w:type="dxa"/>
            <w:vAlign w:val="center"/>
            <w:hideMark/>
          </w:tcPr>
          <w:p w14:paraId="08CD3692"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2015</w:t>
            </w:r>
          </w:p>
        </w:tc>
      </w:tr>
      <w:tr w:rsidR="00F421F8" w:rsidRPr="00131EED" w14:paraId="11BFE364" w14:textId="77777777">
        <w:trPr>
          <w:trHeight w:val="210"/>
          <w:jc w:val="center"/>
        </w:trPr>
        <w:tc>
          <w:tcPr>
            <w:tcW w:w="1714" w:type="dxa"/>
            <w:vAlign w:val="center"/>
            <w:hideMark/>
          </w:tcPr>
          <w:p w14:paraId="4BA32642" w14:textId="77777777" w:rsidR="00F421F8" w:rsidRPr="00131EED" w:rsidRDefault="00F421F8">
            <w:pPr>
              <w:jc w:val="center"/>
              <w:textAlignment w:val="center"/>
              <w:rPr>
                <w:rFonts w:cs="Arial"/>
                <w:sz w:val="20"/>
                <w:szCs w:val="20"/>
                <w:lang w:eastAsia="es-CO"/>
              </w:rPr>
            </w:pPr>
            <w:r w:rsidRPr="00131EED">
              <w:rPr>
                <w:rFonts w:eastAsia="Cambria" w:cs="Arial"/>
                <w:color w:val="000000"/>
                <w:kern w:val="24"/>
                <w:sz w:val="20"/>
                <w:szCs w:val="20"/>
                <w:lang w:eastAsia="es-CO"/>
              </w:rPr>
              <w:t>Madrid</w:t>
            </w:r>
          </w:p>
        </w:tc>
        <w:tc>
          <w:tcPr>
            <w:tcW w:w="1906" w:type="dxa"/>
            <w:vAlign w:val="center"/>
            <w:hideMark/>
          </w:tcPr>
          <w:p w14:paraId="4CFF8CA4"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Acuerdo 016</w:t>
            </w:r>
          </w:p>
        </w:tc>
        <w:tc>
          <w:tcPr>
            <w:tcW w:w="811" w:type="dxa"/>
            <w:vAlign w:val="center"/>
            <w:hideMark/>
          </w:tcPr>
          <w:p w14:paraId="02C3412E"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2015</w:t>
            </w:r>
          </w:p>
        </w:tc>
        <w:tc>
          <w:tcPr>
            <w:tcW w:w="2528" w:type="dxa"/>
            <w:vAlign w:val="center"/>
            <w:hideMark/>
          </w:tcPr>
          <w:p w14:paraId="17A82DC6"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En concertación</w:t>
            </w:r>
          </w:p>
        </w:tc>
        <w:tc>
          <w:tcPr>
            <w:tcW w:w="811" w:type="dxa"/>
            <w:vAlign w:val="center"/>
            <w:hideMark/>
          </w:tcPr>
          <w:p w14:paraId="29F0B0EB" w14:textId="77777777" w:rsidR="00F421F8" w:rsidRPr="00131EED" w:rsidRDefault="00F421F8">
            <w:pPr>
              <w:jc w:val="center"/>
              <w:rPr>
                <w:rFonts w:cs="Arial"/>
                <w:sz w:val="20"/>
                <w:szCs w:val="20"/>
                <w:lang w:eastAsia="es-CO"/>
              </w:rPr>
            </w:pPr>
          </w:p>
        </w:tc>
      </w:tr>
      <w:tr w:rsidR="00F421F8" w:rsidRPr="00131EED" w14:paraId="375A490C" w14:textId="77777777">
        <w:trPr>
          <w:trHeight w:val="210"/>
          <w:jc w:val="center"/>
        </w:trPr>
        <w:tc>
          <w:tcPr>
            <w:tcW w:w="1714" w:type="dxa"/>
            <w:vAlign w:val="center"/>
            <w:hideMark/>
          </w:tcPr>
          <w:p w14:paraId="098339C4" w14:textId="77777777" w:rsidR="00F421F8" w:rsidRPr="00131EED" w:rsidRDefault="00F421F8">
            <w:pPr>
              <w:jc w:val="center"/>
              <w:textAlignment w:val="center"/>
              <w:rPr>
                <w:rFonts w:eastAsia="Cambria" w:cs="Arial"/>
                <w:color w:val="000000"/>
                <w:kern w:val="24"/>
                <w:sz w:val="20"/>
                <w:szCs w:val="20"/>
                <w:lang w:eastAsia="es-CO"/>
              </w:rPr>
            </w:pPr>
            <w:r w:rsidRPr="00131EED">
              <w:rPr>
                <w:rFonts w:eastAsia="Cambria" w:cs="Arial"/>
                <w:color w:val="000000"/>
                <w:kern w:val="24"/>
                <w:sz w:val="20"/>
                <w:szCs w:val="20"/>
                <w:lang w:eastAsia="es-CO"/>
              </w:rPr>
              <w:t>Cajicá</w:t>
            </w:r>
          </w:p>
        </w:tc>
        <w:tc>
          <w:tcPr>
            <w:tcW w:w="1906" w:type="dxa"/>
            <w:vAlign w:val="center"/>
            <w:hideMark/>
          </w:tcPr>
          <w:p w14:paraId="0A4BBDCB"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Acuerdo 016</w:t>
            </w:r>
          </w:p>
        </w:tc>
        <w:tc>
          <w:tcPr>
            <w:tcW w:w="811" w:type="dxa"/>
            <w:vAlign w:val="center"/>
            <w:hideMark/>
          </w:tcPr>
          <w:p w14:paraId="16BCC0F5"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2014</w:t>
            </w:r>
          </w:p>
        </w:tc>
        <w:tc>
          <w:tcPr>
            <w:tcW w:w="2528" w:type="dxa"/>
            <w:vAlign w:val="center"/>
            <w:hideMark/>
          </w:tcPr>
          <w:p w14:paraId="624330EC"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Concertado</w:t>
            </w:r>
          </w:p>
        </w:tc>
        <w:tc>
          <w:tcPr>
            <w:tcW w:w="811" w:type="dxa"/>
            <w:vAlign w:val="center"/>
            <w:hideMark/>
          </w:tcPr>
          <w:p w14:paraId="46B8B73C"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2023</w:t>
            </w:r>
          </w:p>
        </w:tc>
      </w:tr>
      <w:tr w:rsidR="00F421F8" w:rsidRPr="00131EED" w14:paraId="3F187665" w14:textId="77777777">
        <w:trPr>
          <w:trHeight w:val="135"/>
          <w:jc w:val="center"/>
        </w:trPr>
        <w:tc>
          <w:tcPr>
            <w:tcW w:w="1714" w:type="dxa"/>
            <w:vAlign w:val="center"/>
            <w:hideMark/>
          </w:tcPr>
          <w:p w14:paraId="1DB11971" w14:textId="77777777" w:rsidR="00F421F8" w:rsidRPr="00131EED" w:rsidRDefault="00F421F8">
            <w:pPr>
              <w:jc w:val="center"/>
              <w:textAlignment w:val="center"/>
              <w:rPr>
                <w:rFonts w:eastAsia="Cambria" w:cs="Arial"/>
                <w:color w:val="000000"/>
                <w:kern w:val="24"/>
                <w:sz w:val="20"/>
                <w:szCs w:val="20"/>
                <w:lang w:eastAsia="es-CO"/>
              </w:rPr>
            </w:pPr>
            <w:r w:rsidRPr="00131EED">
              <w:rPr>
                <w:rFonts w:eastAsia="Cambria" w:cs="Arial"/>
                <w:color w:val="000000"/>
                <w:kern w:val="24"/>
                <w:sz w:val="20"/>
                <w:szCs w:val="20"/>
                <w:lang w:eastAsia="es-CO"/>
              </w:rPr>
              <w:t>Funza</w:t>
            </w:r>
          </w:p>
        </w:tc>
        <w:tc>
          <w:tcPr>
            <w:tcW w:w="1906" w:type="dxa"/>
            <w:vAlign w:val="center"/>
            <w:hideMark/>
          </w:tcPr>
          <w:p w14:paraId="2E29D3DA"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Acuerdo 13</w:t>
            </w:r>
          </w:p>
        </w:tc>
        <w:tc>
          <w:tcPr>
            <w:tcW w:w="811" w:type="dxa"/>
            <w:vAlign w:val="center"/>
            <w:hideMark/>
          </w:tcPr>
          <w:p w14:paraId="15B116D5"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2013</w:t>
            </w:r>
          </w:p>
        </w:tc>
        <w:tc>
          <w:tcPr>
            <w:tcW w:w="2528" w:type="dxa"/>
            <w:vAlign w:val="center"/>
            <w:hideMark/>
          </w:tcPr>
          <w:p w14:paraId="45C5AB8A"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Concertado</w:t>
            </w:r>
          </w:p>
        </w:tc>
        <w:tc>
          <w:tcPr>
            <w:tcW w:w="811" w:type="dxa"/>
            <w:vAlign w:val="center"/>
            <w:hideMark/>
          </w:tcPr>
          <w:p w14:paraId="4B52B5E2"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2013</w:t>
            </w:r>
          </w:p>
        </w:tc>
      </w:tr>
      <w:tr w:rsidR="00F421F8" w:rsidRPr="00131EED" w14:paraId="3FEE2288" w14:textId="77777777">
        <w:trPr>
          <w:trHeight w:val="135"/>
          <w:jc w:val="center"/>
        </w:trPr>
        <w:tc>
          <w:tcPr>
            <w:tcW w:w="1714" w:type="dxa"/>
            <w:vAlign w:val="center"/>
            <w:hideMark/>
          </w:tcPr>
          <w:p w14:paraId="2882CB9F" w14:textId="77777777" w:rsidR="00F421F8" w:rsidRPr="00131EED" w:rsidRDefault="00F421F8">
            <w:pPr>
              <w:jc w:val="center"/>
              <w:textAlignment w:val="center"/>
              <w:rPr>
                <w:rFonts w:eastAsia="Cambria" w:cs="Arial"/>
                <w:color w:val="000000"/>
                <w:kern w:val="24"/>
                <w:sz w:val="20"/>
                <w:szCs w:val="20"/>
                <w:lang w:eastAsia="es-CO"/>
              </w:rPr>
            </w:pPr>
            <w:r w:rsidRPr="00131EED">
              <w:rPr>
                <w:rFonts w:eastAsia="Cambria" w:cs="Arial"/>
                <w:color w:val="000000"/>
                <w:kern w:val="24"/>
                <w:sz w:val="20"/>
                <w:szCs w:val="20"/>
                <w:lang w:eastAsia="es-CO"/>
              </w:rPr>
              <w:t>Mosquera</w:t>
            </w:r>
          </w:p>
        </w:tc>
        <w:tc>
          <w:tcPr>
            <w:tcW w:w="1906" w:type="dxa"/>
            <w:vAlign w:val="center"/>
            <w:hideMark/>
          </w:tcPr>
          <w:p w14:paraId="3CCA5ED1"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Acuerdo 32</w:t>
            </w:r>
          </w:p>
        </w:tc>
        <w:tc>
          <w:tcPr>
            <w:tcW w:w="811" w:type="dxa"/>
            <w:vAlign w:val="center"/>
            <w:hideMark/>
          </w:tcPr>
          <w:p w14:paraId="3AA4396A"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2013</w:t>
            </w:r>
          </w:p>
        </w:tc>
        <w:tc>
          <w:tcPr>
            <w:tcW w:w="2528" w:type="dxa"/>
            <w:vAlign w:val="center"/>
            <w:hideMark/>
          </w:tcPr>
          <w:p w14:paraId="493B67E8"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En concertación</w:t>
            </w:r>
          </w:p>
        </w:tc>
        <w:tc>
          <w:tcPr>
            <w:tcW w:w="811" w:type="dxa"/>
            <w:vAlign w:val="center"/>
            <w:hideMark/>
          </w:tcPr>
          <w:p w14:paraId="070E054D" w14:textId="77777777" w:rsidR="00F421F8" w:rsidRPr="00131EED" w:rsidRDefault="00F421F8">
            <w:pPr>
              <w:jc w:val="center"/>
              <w:rPr>
                <w:rFonts w:eastAsia="Cambria" w:cs="Arial"/>
                <w:color w:val="000000"/>
                <w:kern w:val="24"/>
                <w:sz w:val="20"/>
                <w:szCs w:val="20"/>
                <w:lang w:eastAsia="es-CO"/>
              </w:rPr>
            </w:pPr>
          </w:p>
        </w:tc>
      </w:tr>
      <w:tr w:rsidR="00F421F8" w:rsidRPr="00131EED" w14:paraId="55480ADF" w14:textId="77777777">
        <w:trPr>
          <w:trHeight w:val="135"/>
          <w:jc w:val="center"/>
        </w:trPr>
        <w:tc>
          <w:tcPr>
            <w:tcW w:w="1714" w:type="dxa"/>
            <w:vAlign w:val="center"/>
            <w:hideMark/>
          </w:tcPr>
          <w:p w14:paraId="2DAF80CB" w14:textId="77777777" w:rsidR="00F421F8" w:rsidRPr="00131EED" w:rsidRDefault="00F421F8">
            <w:pPr>
              <w:jc w:val="center"/>
              <w:textAlignment w:val="center"/>
              <w:rPr>
                <w:rFonts w:eastAsia="Cambria" w:cs="Arial"/>
                <w:color w:val="000000"/>
                <w:kern w:val="24"/>
                <w:sz w:val="20"/>
                <w:szCs w:val="20"/>
                <w:lang w:eastAsia="es-CO"/>
              </w:rPr>
            </w:pPr>
            <w:r w:rsidRPr="00131EED">
              <w:rPr>
                <w:rFonts w:eastAsia="Cambria" w:cs="Arial"/>
                <w:color w:val="000000"/>
                <w:kern w:val="24"/>
                <w:sz w:val="20"/>
                <w:szCs w:val="20"/>
                <w:lang w:eastAsia="es-CO"/>
              </w:rPr>
              <w:t>Zipaquirá</w:t>
            </w:r>
          </w:p>
        </w:tc>
        <w:tc>
          <w:tcPr>
            <w:tcW w:w="1906" w:type="dxa"/>
            <w:vAlign w:val="center"/>
            <w:hideMark/>
          </w:tcPr>
          <w:p w14:paraId="40ECA6DD"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Decreto 012</w:t>
            </w:r>
          </w:p>
        </w:tc>
        <w:tc>
          <w:tcPr>
            <w:tcW w:w="811" w:type="dxa"/>
            <w:vAlign w:val="center"/>
            <w:hideMark/>
          </w:tcPr>
          <w:p w14:paraId="51CA5230"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2013</w:t>
            </w:r>
          </w:p>
        </w:tc>
        <w:tc>
          <w:tcPr>
            <w:tcW w:w="2528" w:type="dxa"/>
            <w:vAlign w:val="center"/>
            <w:hideMark/>
          </w:tcPr>
          <w:p w14:paraId="59BFD679"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Sin información</w:t>
            </w:r>
          </w:p>
        </w:tc>
        <w:tc>
          <w:tcPr>
            <w:tcW w:w="811" w:type="dxa"/>
            <w:vAlign w:val="center"/>
            <w:hideMark/>
          </w:tcPr>
          <w:p w14:paraId="2F93D466" w14:textId="77777777" w:rsidR="00F421F8" w:rsidRPr="00131EED" w:rsidRDefault="00F421F8">
            <w:pPr>
              <w:jc w:val="center"/>
              <w:rPr>
                <w:rFonts w:eastAsia="Cambria" w:cs="Arial"/>
                <w:color w:val="000000"/>
                <w:kern w:val="24"/>
                <w:sz w:val="20"/>
                <w:szCs w:val="20"/>
                <w:lang w:eastAsia="es-CO"/>
              </w:rPr>
            </w:pPr>
          </w:p>
        </w:tc>
      </w:tr>
      <w:tr w:rsidR="00F421F8" w:rsidRPr="00131EED" w14:paraId="5CADFE9F" w14:textId="77777777">
        <w:trPr>
          <w:trHeight w:val="135"/>
          <w:jc w:val="center"/>
        </w:trPr>
        <w:tc>
          <w:tcPr>
            <w:tcW w:w="1714" w:type="dxa"/>
            <w:vAlign w:val="center"/>
            <w:hideMark/>
          </w:tcPr>
          <w:p w14:paraId="47D5E13B" w14:textId="77777777" w:rsidR="00F421F8" w:rsidRPr="00131EED" w:rsidRDefault="00F421F8">
            <w:pPr>
              <w:jc w:val="center"/>
              <w:textAlignment w:val="center"/>
              <w:rPr>
                <w:rFonts w:eastAsia="Cambria" w:cs="Arial"/>
                <w:color w:val="000000"/>
                <w:kern w:val="24"/>
                <w:sz w:val="20"/>
                <w:szCs w:val="20"/>
                <w:lang w:eastAsia="es-CO"/>
              </w:rPr>
            </w:pPr>
            <w:r w:rsidRPr="00131EED">
              <w:rPr>
                <w:rFonts w:eastAsia="Cambria" w:cs="Arial"/>
                <w:color w:val="000000"/>
                <w:kern w:val="24"/>
                <w:sz w:val="20"/>
                <w:szCs w:val="20"/>
                <w:lang w:eastAsia="es-CO"/>
              </w:rPr>
              <w:t>Sesquilé</w:t>
            </w:r>
          </w:p>
        </w:tc>
        <w:tc>
          <w:tcPr>
            <w:tcW w:w="1906" w:type="dxa"/>
            <w:vAlign w:val="center"/>
            <w:hideMark/>
          </w:tcPr>
          <w:p w14:paraId="732E7490"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Decreto 135</w:t>
            </w:r>
          </w:p>
        </w:tc>
        <w:tc>
          <w:tcPr>
            <w:tcW w:w="811" w:type="dxa"/>
            <w:vAlign w:val="center"/>
            <w:hideMark/>
          </w:tcPr>
          <w:p w14:paraId="583ABA3D"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2011</w:t>
            </w:r>
          </w:p>
        </w:tc>
        <w:tc>
          <w:tcPr>
            <w:tcW w:w="2528" w:type="dxa"/>
            <w:vAlign w:val="center"/>
            <w:hideMark/>
          </w:tcPr>
          <w:p w14:paraId="60078ECC"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Sin información</w:t>
            </w:r>
          </w:p>
        </w:tc>
        <w:tc>
          <w:tcPr>
            <w:tcW w:w="811" w:type="dxa"/>
            <w:vAlign w:val="center"/>
            <w:hideMark/>
          </w:tcPr>
          <w:p w14:paraId="1CFE23BE" w14:textId="77777777" w:rsidR="00F421F8" w:rsidRPr="00131EED" w:rsidRDefault="00F421F8">
            <w:pPr>
              <w:jc w:val="center"/>
              <w:rPr>
                <w:rFonts w:eastAsia="Cambria" w:cs="Arial"/>
                <w:color w:val="000000"/>
                <w:kern w:val="24"/>
                <w:sz w:val="20"/>
                <w:szCs w:val="20"/>
                <w:lang w:eastAsia="es-CO"/>
              </w:rPr>
            </w:pPr>
          </w:p>
        </w:tc>
      </w:tr>
      <w:tr w:rsidR="00F421F8" w:rsidRPr="00131EED" w14:paraId="3E7DF7A9" w14:textId="77777777">
        <w:trPr>
          <w:trHeight w:val="210"/>
          <w:jc w:val="center"/>
        </w:trPr>
        <w:tc>
          <w:tcPr>
            <w:tcW w:w="1714" w:type="dxa"/>
            <w:vAlign w:val="center"/>
            <w:hideMark/>
          </w:tcPr>
          <w:p w14:paraId="1A0E085C" w14:textId="77777777" w:rsidR="00F421F8" w:rsidRPr="00131EED" w:rsidRDefault="00F421F8">
            <w:pPr>
              <w:jc w:val="center"/>
              <w:textAlignment w:val="center"/>
              <w:rPr>
                <w:rFonts w:cs="Arial"/>
                <w:sz w:val="20"/>
                <w:szCs w:val="20"/>
                <w:lang w:eastAsia="es-CO"/>
              </w:rPr>
            </w:pPr>
            <w:r w:rsidRPr="00131EED">
              <w:rPr>
                <w:rFonts w:eastAsia="Cambria" w:cs="Arial"/>
                <w:color w:val="000000"/>
                <w:kern w:val="24"/>
                <w:sz w:val="20"/>
                <w:szCs w:val="20"/>
                <w:lang w:eastAsia="es-CO"/>
              </w:rPr>
              <w:t>Tenjo</w:t>
            </w:r>
          </w:p>
        </w:tc>
        <w:tc>
          <w:tcPr>
            <w:tcW w:w="1906" w:type="dxa"/>
            <w:vAlign w:val="center"/>
            <w:hideMark/>
          </w:tcPr>
          <w:p w14:paraId="276368CC"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Acuerdo 009</w:t>
            </w:r>
          </w:p>
        </w:tc>
        <w:tc>
          <w:tcPr>
            <w:tcW w:w="811" w:type="dxa"/>
            <w:vAlign w:val="center"/>
            <w:hideMark/>
          </w:tcPr>
          <w:p w14:paraId="2BB81681"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2011</w:t>
            </w:r>
          </w:p>
        </w:tc>
        <w:tc>
          <w:tcPr>
            <w:tcW w:w="2528" w:type="dxa"/>
            <w:vAlign w:val="center"/>
            <w:hideMark/>
          </w:tcPr>
          <w:p w14:paraId="504415C6"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En concertación</w:t>
            </w:r>
          </w:p>
        </w:tc>
        <w:tc>
          <w:tcPr>
            <w:tcW w:w="811" w:type="dxa"/>
            <w:vAlign w:val="center"/>
            <w:hideMark/>
          </w:tcPr>
          <w:p w14:paraId="5F042EA2" w14:textId="77777777" w:rsidR="00F421F8" w:rsidRPr="00131EED" w:rsidRDefault="00F421F8">
            <w:pPr>
              <w:jc w:val="center"/>
              <w:rPr>
                <w:rFonts w:cs="Arial"/>
                <w:sz w:val="20"/>
                <w:szCs w:val="20"/>
                <w:lang w:eastAsia="es-CO"/>
              </w:rPr>
            </w:pPr>
          </w:p>
        </w:tc>
      </w:tr>
      <w:tr w:rsidR="00F421F8" w:rsidRPr="00131EED" w14:paraId="7C87C6A7" w14:textId="77777777">
        <w:trPr>
          <w:trHeight w:val="135"/>
          <w:jc w:val="center"/>
        </w:trPr>
        <w:tc>
          <w:tcPr>
            <w:tcW w:w="1714" w:type="dxa"/>
            <w:vAlign w:val="center"/>
            <w:hideMark/>
          </w:tcPr>
          <w:p w14:paraId="0192DD13" w14:textId="77777777" w:rsidR="00F421F8" w:rsidRPr="00131EED" w:rsidRDefault="00F421F8">
            <w:pPr>
              <w:jc w:val="center"/>
              <w:textAlignment w:val="center"/>
              <w:rPr>
                <w:rFonts w:cs="Arial"/>
                <w:sz w:val="20"/>
                <w:szCs w:val="20"/>
                <w:lang w:eastAsia="es-CO"/>
              </w:rPr>
            </w:pPr>
            <w:r w:rsidRPr="00131EED">
              <w:rPr>
                <w:rFonts w:eastAsia="Cambria" w:cs="Arial"/>
                <w:color w:val="000000"/>
                <w:kern w:val="24"/>
                <w:sz w:val="20"/>
                <w:szCs w:val="20"/>
                <w:lang w:eastAsia="es-CO"/>
              </w:rPr>
              <w:t>La Calera</w:t>
            </w:r>
          </w:p>
        </w:tc>
        <w:tc>
          <w:tcPr>
            <w:tcW w:w="1906" w:type="dxa"/>
            <w:vAlign w:val="center"/>
            <w:hideMark/>
          </w:tcPr>
          <w:p w14:paraId="7A37CABC"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Acuerdo 11</w:t>
            </w:r>
          </w:p>
        </w:tc>
        <w:tc>
          <w:tcPr>
            <w:tcW w:w="811" w:type="dxa"/>
            <w:vAlign w:val="center"/>
            <w:hideMark/>
          </w:tcPr>
          <w:p w14:paraId="49698E46"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2010</w:t>
            </w:r>
          </w:p>
        </w:tc>
        <w:tc>
          <w:tcPr>
            <w:tcW w:w="2528" w:type="dxa"/>
            <w:vAlign w:val="center"/>
            <w:hideMark/>
          </w:tcPr>
          <w:p w14:paraId="71840219"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En concertación</w:t>
            </w:r>
          </w:p>
        </w:tc>
        <w:tc>
          <w:tcPr>
            <w:tcW w:w="811" w:type="dxa"/>
            <w:vAlign w:val="center"/>
            <w:hideMark/>
          </w:tcPr>
          <w:p w14:paraId="70515DC8" w14:textId="77777777" w:rsidR="00F421F8" w:rsidRPr="00131EED" w:rsidRDefault="00F421F8">
            <w:pPr>
              <w:jc w:val="center"/>
              <w:rPr>
                <w:rFonts w:cs="Arial"/>
                <w:sz w:val="20"/>
                <w:szCs w:val="20"/>
                <w:lang w:eastAsia="es-CO"/>
              </w:rPr>
            </w:pPr>
          </w:p>
        </w:tc>
      </w:tr>
      <w:tr w:rsidR="00F421F8" w:rsidRPr="00131EED" w14:paraId="41672B18" w14:textId="77777777">
        <w:trPr>
          <w:trHeight w:val="135"/>
          <w:jc w:val="center"/>
        </w:trPr>
        <w:tc>
          <w:tcPr>
            <w:tcW w:w="1714" w:type="dxa"/>
            <w:vAlign w:val="center"/>
            <w:hideMark/>
          </w:tcPr>
          <w:p w14:paraId="7FDCDE63" w14:textId="77777777" w:rsidR="00F421F8" w:rsidRPr="00131EED" w:rsidRDefault="00F421F8">
            <w:pPr>
              <w:jc w:val="center"/>
              <w:textAlignment w:val="center"/>
              <w:rPr>
                <w:rFonts w:cs="Arial"/>
                <w:sz w:val="20"/>
                <w:szCs w:val="20"/>
                <w:lang w:eastAsia="es-CO"/>
              </w:rPr>
            </w:pPr>
            <w:r w:rsidRPr="00131EED">
              <w:rPr>
                <w:rFonts w:eastAsia="Cambria" w:cs="Arial"/>
                <w:color w:val="000000"/>
                <w:kern w:val="24"/>
                <w:sz w:val="20"/>
                <w:szCs w:val="20"/>
                <w:lang w:eastAsia="es-CO"/>
              </w:rPr>
              <w:t>Gachancipá</w:t>
            </w:r>
          </w:p>
        </w:tc>
        <w:tc>
          <w:tcPr>
            <w:tcW w:w="1906" w:type="dxa"/>
            <w:vAlign w:val="center"/>
            <w:hideMark/>
          </w:tcPr>
          <w:p w14:paraId="574C878E"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Decreto 022</w:t>
            </w:r>
          </w:p>
        </w:tc>
        <w:tc>
          <w:tcPr>
            <w:tcW w:w="811" w:type="dxa"/>
            <w:vAlign w:val="center"/>
            <w:hideMark/>
          </w:tcPr>
          <w:p w14:paraId="2DF93BB6"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2009</w:t>
            </w:r>
          </w:p>
        </w:tc>
        <w:tc>
          <w:tcPr>
            <w:tcW w:w="2528" w:type="dxa"/>
            <w:vAlign w:val="center"/>
            <w:hideMark/>
          </w:tcPr>
          <w:p w14:paraId="4D7488E3"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En concertación</w:t>
            </w:r>
          </w:p>
        </w:tc>
        <w:tc>
          <w:tcPr>
            <w:tcW w:w="811" w:type="dxa"/>
            <w:vAlign w:val="center"/>
            <w:hideMark/>
          </w:tcPr>
          <w:p w14:paraId="0AB44928" w14:textId="77777777" w:rsidR="00F421F8" w:rsidRPr="00131EED" w:rsidRDefault="00F421F8">
            <w:pPr>
              <w:jc w:val="center"/>
              <w:rPr>
                <w:rFonts w:cs="Arial"/>
                <w:sz w:val="20"/>
                <w:szCs w:val="20"/>
                <w:lang w:eastAsia="es-CO"/>
              </w:rPr>
            </w:pPr>
          </w:p>
        </w:tc>
      </w:tr>
      <w:tr w:rsidR="00F421F8" w:rsidRPr="00131EED" w14:paraId="140618C7" w14:textId="77777777">
        <w:trPr>
          <w:trHeight w:val="135"/>
          <w:jc w:val="center"/>
        </w:trPr>
        <w:tc>
          <w:tcPr>
            <w:tcW w:w="1714" w:type="dxa"/>
            <w:vAlign w:val="center"/>
            <w:hideMark/>
          </w:tcPr>
          <w:p w14:paraId="2DED0DF6" w14:textId="77777777" w:rsidR="00F421F8" w:rsidRPr="00131EED" w:rsidRDefault="00F421F8">
            <w:pPr>
              <w:jc w:val="center"/>
              <w:textAlignment w:val="center"/>
              <w:rPr>
                <w:rFonts w:cs="Arial"/>
                <w:sz w:val="20"/>
                <w:szCs w:val="20"/>
                <w:lang w:eastAsia="es-CO"/>
              </w:rPr>
            </w:pPr>
            <w:r w:rsidRPr="00131EED">
              <w:rPr>
                <w:rFonts w:eastAsia="Cambria" w:cs="Arial"/>
                <w:color w:val="000000"/>
                <w:kern w:val="24"/>
                <w:sz w:val="20"/>
                <w:szCs w:val="20"/>
                <w:lang w:eastAsia="es-CO"/>
              </w:rPr>
              <w:t>Chocontá</w:t>
            </w:r>
          </w:p>
        </w:tc>
        <w:tc>
          <w:tcPr>
            <w:tcW w:w="1906" w:type="dxa"/>
            <w:vAlign w:val="center"/>
            <w:hideMark/>
          </w:tcPr>
          <w:p w14:paraId="7A3D72D3"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Acuerdo 3</w:t>
            </w:r>
          </w:p>
        </w:tc>
        <w:tc>
          <w:tcPr>
            <w:tcW w:w="811" w:type="dxa"/>
            <w:vAlign w:val="center"/>
            <w:hideMark/>
          </w:tcPr>
          <w:p w14:paraId="226B0E67"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2002</w:t>
            </w:r>
          </w:p>
        </w:tc>
        <w:tc>
          <w:tcPr>
            <w:tcW w:w="2528" w:type="dxa"/>
            <w:vAlign w:val="center"/>
            <w:hideMark/>
          </w:tcPr>
          <w:p w14:paraId="001441BD"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Concertado</w:t>
            </w:r>
          </w:p>
        </w:tc>
        <w:tc>
          <w:tcPr>
            <w:tcW w:w="811" w:type="dxa"/>
            <w:vAlign w:val="center"/>
            <w:hideMark/>
          </w:tcPr>
          <w:p w14:paraId="242AAB9B"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2023</w:t>
            </w:r>
          </w:p>
        </w:tc>
      </w:tr>
      <w:tr w:rsidR="00F421F8" w:rsidRPr="00131EED" w14:paraId="1D731558" w14:textId="77777777">
        <w:trPr>
          <w:trHeight w:val="135"/>
          <w:jc w:val="center"/>
        </w:trPr>
        <w:tc>
          <w:tcPr>
            <w:tcW w:w="1714" w:type="dxa"/>
            <w:vAlign w:val="center"/>
            <w:hideMark/>
          </w:tcPr>
          <w:p w14:paraId="48F145A3" w14:textId="77777777" w:rsidR="00F421F8" w:rsidRPr="00131EED" w:rsidRDefault="00F421F8">
            <w:pPr>
              <w:jc w:val="center"/>
              <w:textAlignment w:val="center"/>
              <w:rPr>
                <w:rFonts w:cs="Arial"/>
                <w:sz w:val="20"/>
                <w:szCs w:val="20"/>
                <w:lang w:eastAsia="es-CO"/>
              </w:rPr>
            </w:pPr>
            <w:r w:rsidRPr="00131EED">
              <w:rPr>
                <w:rFonts w:eastAsia="Cambria" w:cs="Arial"/>
                <w:color w:val="000000"/>
                <w:kern w:val="24"/>
                <w:sz w:val="20"/>
                <w:szCs w:val="20"/>
                <w:lang w:eastAsia="es-CO"/>
              </w:rPr>
              <w:t>Facatativá</w:t>
            </w:r>
          </w:p>
        </w:tc>
        <w:tc>
          <w:tcPr>
            <w:tcW w:w="1906" w:type="dxa"/>
            <w:vAlign w:val="center"/>
            <w:hideMark/>
          </w:tcPr>
          <w:p w14:paraId="6B0952A8"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Decreto 69</w:t>
            </w:r>
          </w:p>
        </w:tc>
        <w:tc>
          <w:tcPr>
            <w:tcW w:w="811" w:type="dxa"/>
            <w:vAlign w:val="center"/>
            <w:hideMark/>
          </w:tcPr>
          <w:p w14:paraId="5FB4EC11"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2002</w:t>
            </w:r>
          </w:p>
        </w:tc>
        <w:tc>
          <w:tcPr>
            <w:tcW w:w="2528" w:type="dxa"/>
            <w:vAlign w:val="center"/>
            <w:hideMark/>
          </w:tcPr>
          <w:p w14:paraId="3AD13DE4"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Sin información</w:t>
            </w:r>
          </w:p>
        </w:tc>
        <w:tc>
          <w:tcPr>
            <w:tcW w:w="811" w:type="dxa"/>
            <w:vAlign w:val="center"/>
            <w:hideMark/>
          </w:tcPr>
          <w:p w14:paraId="08401505" w14:textId="77777777" w:rsidR="00F421F8" w:rsidRPr="00131EED" w:rsidRDefault="00F421F8">
            <w:pPr>
              <w:jc w:val="center"/>
              <w:rPr>
                <w:rFonts w:cs="Arial"/>
                <w:sz w:val="20"/>
                <w:szCs w:val="20"/>
                <w:lang w:eastAsia="es-CO"/>
              </w:rPr>
            </w:pPr>
          </w:p>
        </w:tc>
      </w:tr>
      <w:tr w:rsidR="00F421F8" w:rsidRPr="00131EED" w14:paraId="16A675BC" w14:textId="77777777">
        <w:trPr>
          <w:trHeight w:val="135"/>
          <w:jc w:val="center"/>
        </w:trPr>
        <w:tc>
          <w:tcPr>
            <w:tcW w:w="1714" w:type="dxa"/>
            <w:vAlign w:val="center"/>
            <w:hideMark/>
          </w:tcPr>
          <w:p w14:paraId="6306911B" w14:textId="77777777" w:rsidR="00F421F8" w:rsidRPr="00131EED" w:rsidRDefault="00F421F8">
            <w:pPr>
              <w:jc w:val="center"/>
              <w:textAlignment w:val="center"/>
              <w:rPr>
                <w:rFonts w:cs="Arial"/>
                <w:sz w:val="20"/>
                <w:szCs w:val="20"/>
                <w:lang w:eastAsia="es-CO"/>
              </w:rPr>
            </w:pPr>
            <w:r w:rsidRPr="00131EED">
              <w:rPr>
                <w:rFonts w:eastAsia="Cambria" w:cs="Arial"/>
                <w:color w:val="000000"/>
                <w:kern w:val="24"/>
                <w:sz w:val="20"/>
                <w:szCs w:val="20"/>
                <w:lang w:eastAsia="es-CO"/>
              </w:rPr>
              <w:t>Sibaté</w:t>
            </w:r>
          </w:p>
        </w:tc>
        <w:tc>
          <w:tcPr>
            <w:tcW w:w="1906" w:type="dxa"/>
            <w:vAlign w:val="center"/>
            <w:hideMark/>
          </w:tcPr>
          <w:p w14:paraId="0DF9A53C"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Acuerdo 10</w:t>
            </w:r>
          </w:p>
        </w:tc>
        <w:tc>
          <w:tcPr>
            <w:tcW w:w="811" w:type="dxa"/>
            <w:vAlign w:val="center"/>
            <w:hideMark/>
          </w:tcPr>
          <w:p w14:paraId="3D449BE7"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2002</w:t>
            </w:r>
          </w:p>
        </w:tc>
        <w:tc>
          <w:tcPr>
            <w:tcW w:w="2528" w:type="dxa"/>
            <w:vAlign w:val="center"/>
            <w:hideMark/>
          </w:tcPr>
          <w:p w14:paraId="0C1DD419"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Sin información</w:t>
            </w:r>
          </w:p>
        </w:tc>
        <w:tc>
          <w:tcPr>
            <w:tcW w:w="811" w:type="dxa"/>
            <w:vAlign w:val="center"/>
            <w:hideMark/>
          </w:tcPr>
          <w:p w14:paraId="6F5E7B20" w14:textId="77777777" w:rsidR="00F421F8" w:rsidRPr="00131EED" w:rsidRDefault="00F421F8">
            <w:pPr>
              <w:jc w:val="center"/>
              <w:rPr>
                <w:rFonts w:cs="Arial"/>
                <w:sz w:val="20"/>
                <w:szCs w:val="20"/>
                <w:lang w:eastAsia="es-CO"/>
              </w:rPr>
            </w:pPr>
          </w:p>
        </w:tc>
      </w:tr>
      <w:tr w:rsidR="00F421F8" w:rsidRPr="00131EED" w14:paraId="7CE87F6C" w14:textId="77777777">
        <w:trPr>
          <w:trHeight w:val="135"/>
          <w:jc w:val="center"/>
        </w:trPr>
        <w:tc>
          <w:tcPr>
            <w:tcW w:w="1714" w:type="dxa"/>
            <w:vAlign w:val="center"/>
            <w:hideMark/>
          </w:tcPr>
          <w:p w14:paraId="0AFF718F" w14:textId="77777777" w:rsidR="00F421F8" w:rsidRPr="00131EED" w:rsidRDefault="00F421F8">
            <w:pPr>
              <w:jc w:val="center"/>
              <w:textAlignment w:val="center"/>
              <w:rPr>
                <w:rFonts w:cs="Arial"/>
                <w:sz w:val="20"/>
                <w:szCs w:val="20"/>
                <w:lang w:eastAsia="es-CO"/>
              </w:rPr>
            </w:pPr>
            <w:r w:rsidRPr="00131EED">
              <w:rPr>
                <w:rFonts w:eastAsia="Cambria" w:cs="Arial"/>
                <w:color w:val="000000"/>
                <w:kern w:val="24"/>
                <w:sz w:val="20"/>
                <w:szCs w:val="20"/>
                <w:lang w:eastAsia="es-CO"/>
              </w:rPr>
              <w:t>Suesca</w:t>
            </w:r>
          </w:p>
        </w:tc>
        <w:tc>
          <w:tcPr>
            <w:tcW w:w="1906" w:type="dxa"/>
            <w:vAlign w:val="center"/>
            <w:hideMark/>
          </w:tcPr>
          <w:p w14:paraId="04B440A3"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Acuerdo 5</w:t>
            </w:r>
          </w:p>
        </w:tc>
        <w:tc>
          <w:tcPr>
            <w:tcW w:w="811" w:type="dxa"/>
            <w:vAlign w:val="center"/>
            <w:hideMark/>
          </w:tcPr>
          <w:p w14:paraId="12205DD9"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2002</w:t>
            </w:r>
          </w:p>
        </w:tc>
        <w:tc>
          <w:tcPr>
            <w:tcW w:w="2528" w:type="dxa"/>
            <w:vAlign w:val="center"/>
            <w:hideMark/>
          </w:tcPr>
          <w:p w14:paraId="7EBCFCE2"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Concertado</w:t>
            </w:r>
          </w:p>
        </w:tc>
        <w:tc>
          <w:tcPr>
            <w:tcW w:w="811" w:type="dxa"/>
            <w:vAlign w:val="center"/>
            <w:hideMark/>
          </w:tcPr>
          <w:p w14:paraId="333E6D01"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2023</w:t>
            </w:r>
          </w:p>
        </w:tc>
      </w:tr>
      <w:tr w:rsidR="00F421F8" w:rsidRPr="00131EED" w14:paraId="0FB40822" w14:textId="77777777">
        <w:trPr>
          <w:trHeight w:val="135"/>
          <w:jc w:val="center"/>
        </w:trPr>
        <w:tc>
          <w:tcPr>
            <w:tcW w:w="1714" w:type="dxa"/>
            <w:vAlign w:val="center"/>
            <w:hideMark/>
          </w:tcPr>
          <w:p w14:paraId="7E6D5E0C" w14:textId="77777777" w:rsidR="00F421F8" w:rsidRPr="00131EED" w:rsidRDefault="00F421F8">
            <w:pPr>
              <w:jc w:val="center"/>
              <w:textAlignment w:val="center"/>
              <w:rPr>
                <w:rFonts w:cs="Arial"/>
                <w:sz w:val="20"/>
                <w:szCs w:val="20"/>
                <w:lang w:eastAsia="es-CO"/>
              </w:rPr>
            </w:pPr>
            <w:r w:rsidRPr="00131EED">
              <w:rPr>
                <w:rFonts w:eastAsia="Cambria" w:cs="Arial"/>
                <w:color w:val="000000"/>
                <w:kern w:val="24"/>
                <w:sz w:val="20"/>
                <w:szCs w:val="20"/>
                <w:lang w:eastAsia="es-CO"/>
              </w:rPr>
              <w:t>El Rosal</w:t>
            </w:r>
          </w:p>
        </w:tc>
        <w:tc>
          <w:tcPr>
            <w:tcW w:w="1906" w:type="dxa"/>
            <w:vAlign w:val="center"/>
            <w:hideMark/>
          </w:tcPr>
          <w:p w14:paraId="44BDF077"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Acuerdo 13</w:t>
            </w:r>
          </w:p>
        </w:tc>
        <w:tc>
          <w:tcPr>
            <w:tcW w:w="811" w:type="dxa"/>
            <w:vAlign w:val="center"/>
            <w:hideMark/>
          </w:tcPr>
          <w:p w14:paraId="45BED3AE"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2001</w:t>
            </w:r>
          </w:p>
        </w:tc>
        <w:tc>
          <w:tcPr>
            <w:tcW w:w="2528" w:type="dxa"/>
            <w:vAlign w:val="center"/>
            <w:hideMark/>
          </w:tcPr>
          <w:p w14:paraId="44CB9ADE"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En concertación</w:t>
            </w:r>
          </w:p>
        </w:tc>
        <w:tc>
          <w:tcPr>
            <w:tcW w:w="811" w:type="dxa"/>
            <w:vAlign w:val="center"/>
            <w:hideMark/>
          </w:tcPr>
          <w:p w14:paraId="52011CA0" w14:textId="77777777" w:rsidR="00F421F8" w:rsidRPr="00131EED" w:rsidRDefault="00F421F8">
            <w:pPr>
              <w:jc w:val="center"/>
              <w:rPr>
                <w:rFonts w:cs="Arial"/>
                <w:sz w:val="20"/>
                <w:szCs w:val="20"/>
                <w:lang w:eastAsia="es-CO"/>
              </w:rPr>
            </w:pPr>
          </w:p>
        </w:tc>
      </w:tr>
      <w:tr w:rsidR="00F421F8" w:rsidRPr="00131EED" w14:paraId="2B888834" w14:textId="77777777">
        <w:trPr>
          <w:trHeight w:val="135"/>
          <w:jc w:val="center"/>
        </w:trPr>
        <w:tc>
          <w:tcPr>
            <w:tcW w:w="1714" w:type="dxa"/>
            <w:vAlign w:val="center"/>
            <w:hideMark/>
          </w:tcPr>
          <w:p w14:paraId="08A8CA4F" w14:textId="77777777" w:rsidR="00F421F8" w:rsidRPr="00131EED" w:rsidRDefault="00F421F8">
            <w:pPr>
              <w:jc w:val="center"/>
              <w:textAlignment w:val="center"/>
              <w:rPr>
                <w:rFonts w:cs="Arial"/>
                <w:sz w:val="20"/>
                <w:szCs w:val="20"/>
                <w:lang w:eastAsia="es-CO"/>
              </w:rPr>
            </w:pPr>
            <w:r w:rsidRPr="00131EED">
              <w:rPr>
                <w:rFonts w:eastAsia="Cambria" w:cs="Arial"/>
                <w:color w:val="000000"/>
                <w:kern w:val="24"/>
                <w:sz w:val="20"/>
                <w:szCs w:val="20"/>
                <w:lang w:eastAsia="es-CO"/>
              </w:rPr>
              <w:t>Guatavita</w:t>
            </w:r>
          </w:p>
        </w:tc>
        <w:tc>
          <w:tcPr>
            <w:tcW w:w="1906" w:type="dxa"/>
            <w:vAlign w:val="center"/>
            <w:hideMark/>
          </w:tcPr>
          <w:p w14:paraId="4E65F6E4"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Acuerdo 15</w:t>
            </w:r>
          </w:p>
        </w:tc>
        <w:tc>
          <w:tcPr>
            <w:tcW w:w="811" w:type="dxa"/>
            <w:vAlign w:val="center"/>
            <w:hideMark/>
          </w:tcPr>
          <w:p w14:paraId="38BD5987"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2001</w:t>
            </w:r>
          </w:p>
        </w:tc>
        <w:tc>
          <w:tcPr>
            <w:tcW w:w="2528" w:type="dxa"/>
            <w:vAlign w:val="center"/>
            <w:hideMark/>
          </w:tcPr>
          <w:p w14:paraId="53205B92"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Sin información</w:t>
            </w:r>
          </w:p>
        </w:tc>
        <w:tc>
          <w:tcPr>
            <w:tcW w:w="811" w:type="dxa"/>
            <w:vAlign w:val="center"/>
            <w:hideMark/>
          </w:tcPr>
          <w:p w14:paraId="1B65CD7A" w14:textId="77777777" w:rsidR="00F421F8" w:rsidRPr="00131EED" w:rsidRDefault="00F421F8">
            <w:pPr>
              <w:jc w:val="center"/>
              <w:rPr>
                <w:rFonts w:cs="Arial"/>
                <w:sz w:val="20"/>
                <w:szCs w:val="20"/>
                <w:lang w:eastAsia="es-CO"/>
              </w:rPr>
            </w:pPr>
          </w:p>
        </w:tc>
      </w:tr>
      <w:tr w:rsidR="00F421F8" w:rsidRPr="00131EED" w14:paraId="7D4FE1EE" w14:textId="77777777">
        <w:trPr>
          <w:trHeight w:val="135"/>
          <w:jc w:val="center"/>
        </w:trPr>
        <w:tc>
          <w:tcPr>
            <w:tcW w:w="1714" w:type="dxa"/>
            <w:vAlign w:val="center"/>
            <w:hideMark/>
          </w:tcPr>
          <w:p w14:paraId="2FDE064A" w14:textId="77777777" w:rsidR="00F421F8" w:rsidRPr="00131EED" w:rsidRDefault="00F421F8">
            <w:pPr>
              <w:jc w:val="center"/>
              <w:textAlignment w:val="center"/>
              <w:rPr>
                <w:rFonts w:cs="Arial"/>
                <w:sz w:val="20"/>
                <w:szCs w:val="20"/>
                <w:lang w:eastAsia="es-CO"/>
              </w:rPr>
            </w:pPr>
            <w:r w:rsidRPr="00131EED">
              <w:rPr>
                <w:rFonts w:eastAsia="Cambria" w:cs="Arial"/>
                <w:color w:val="000000"/>
                <w:kern w:val="24"/>
                <w:sz w:val="20"/>
                <w:szCs w:val="20"/>
                <w:lang w:eastAsia="es-CO"/>
              </w:rPr>
              <w:t>Tabio</w:t>
            </w:r>
          </w:p>
        </w:tc>
        <w:tc>
          <w:tcPr>
            <w:tcW w:w="1906" w:type="dxa"/>
            <w:vAlign w:val="center"/>
            <w:hideMark/>
          </w:tcPr>
          <w:p w14:paraId="73A3FEBA"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Acuerdo 01</w:t>
            </w:r>
          </w:p>
        </w:tc>
        <w:tc>
          <w:tcPr>
            <w:tcW w:w="811" w:type="dxa"/>
            <w:vAlign w:val="center"/>
            <w:hideMark/>
          </w:tcPr>
          <w:p w14:paraId="75700819"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2001</w:t>
            </w:r>
          </w:p>
        </w:tc>
        <w:tc>
          <w:tcPr>
            <w:tcW w:w="2528" w:type="dxa"/>
            <w:vAlign w:val="center"/>
            <w:hideMark/>
          </w:tcPr>
          <w:p w14:paraId="65F3A1E3"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Sin información</w:t>
            </w:r>
          </w:p>
        </w:tc>
        <w:tc>
          <w:tcPr>
            <w:tcW w:w="811" w:type="dxa"/>
            <w:vAlign w:val="center"/>
            <w:hideMark/>
          </w:tcPr>
          <w:p w14:paraId="4E967694" w14:textId="77777777" w:rsidR="00F421F8" w:rsidRPr="00131EED" w:rsidRDefault="00F421F8">
            <w:pPr>
              <w:jc w:val="center"/>
              <w:rPr>
                <w:rFonts w:cs="Arial"/>
                <w:sz w:val="20"/>
                <w:szCs w:val="20"/>
                <w:lang w:eastAsia="es-CO"/>
              </w:rPr>
            </w:pPr>
          </w:p>
        </w:tc>
      </w:tr>
      <w:tr w:rsidR="00F421F8" w:rsidRPr="00131EED" w14:paraId="09F02E48" w14:textId="77777777">
        <w:trPr>
          <w:trHeight w:val="135"/>
          <w:jc w:val="center"/>
        </w:trPr>
        <w:tc>
          <w:tcPr>
            <w:tcW w:w="1714" w:type="dxa"/>
            <w:vAlign w:val="center"/>
            <w:hideMark/>
          </w:tcPr>
          <w:p w14:paraId="7C9B6350"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Chía</w:t>
            </w:r>
          </w:p>
        </w:tc>
        <w:tc>
          <w:tcPr>
            <w:tcW w:w="1906" w:type="dxa"/>
            <w:vAlign w:val="center"/>
            <w:hideMark/>
          </w:tcPr>
          <w:p w14:paraId="703DFE01"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Acuerdo 17</w:t>
            </w:r>
          </w:p>
        </w:tc>
        <w:tc>
          <w:tcPr>
            <w:tcW w:w="811" w:type="dxa"/>
            <w:vAlign w:val="center"/>
            <w:hideMark/>
          </w:tcPr>
          <w:p w14:paraId="154655A4"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2000</w:t>
            </w:r>
          </w:p>
        </w:tc>
        <w:tc>
          <w:tcPr>
            <w:tcW w:w="2528" w:type="dxa"/>
            <w:vAlign w:val="center"/>
            <w:hideMark/>
          </w:tcPr>
          <w:p w14:paraId="46502FFF"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Concertado</w:t>
            </w:r>
          </w:p>
        </w:tc>
        <w:tc>
          <w:tcPr>
            <w:tcW w:w="811" w:type="dxa"/>
            <w:vAlign w:val="center"/>
            <w:hideMark/>
          </w:tcPr>
          <w:p w14:paraId="0D4E250D"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2015</w:t>
            </w:r>
          </w:p>
        </w:tc>
      </w:tr>
      <w:tr w:rsidR="00F421F8" w:rsidRPr="00131EED" w14:paraId="7D94EBCC" w14:textId="77777777">
        <w:trPr>
          <w:trHeight w:val="135"/>
          <w:jc w:val="center"/>
        </w:trPr>
        <w:tc>
          <w:tcPr>
            <w:tcW w:w="1714" w:type="dxa"/>
            <w:vAlign w:val="center"/>
          </w:tcPr>
          <w:p w14:paraId="5E2C295E"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Chipaque</w:t>
            </w:r>
          </w:p>
        </w:tc>
        <w:tc>
          <w:tcPr>
            <w:tcW w:w="1906" w:type="dxa"/>
            <w:vAlign w:val="center"/>
          </w:tcPr>
          <w:p w14:paraId="5F3BD13D"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Acuerdo 016</w:t>
            </w:r>
          </w:p>
        </w:tc>
        <w:tc>
          <w:tcPr>
            <w:tcW w:w="811" w:type="dxa"/>
            <w:vAlign w:val="center"/>
          </w:tcPr>
          <w:p w14:paraId="14D7060D"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2005</w:t>
            </w:r>
          </w:p>
        </w:tc>
        <w:tc>
          <w:tcPr>
            <w:tcW w:w="2528" w:type="dxa"/>
            <w:vAlign w:val="center"/>
          </w:tcPr>
          <w:p w14:paraId="180FE1FD"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Adoptado – Modificación Acuerdo 11 del 2000</w:t>
            </w:r>
          </w:p>
        </w:tc>
        <w:tc>
          <w:tcPr>
            <w:tcW w:w="811" w:type="dxa"/>
            <w:vAlign w:val="center"/>
          </w:tcPr>
          <w:p w14:paraId="345D6267"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2000</w:t>
            </w:r>
          </w:p>
        </w:tc>
      </w:tr>
      <w:tr w:rsidR="00F421F8" w:rsidRPr="00131EED" w14:paraId="608D4B2B" w14:textId="77777777">
        <w:trPr>
          <w:trHeight w:val="135"/>
          <w:jc w:val="center"/>
        </w:trPr>
        <w:tc>
          <w:tcPr>
            <w:tcW w:w="1714" w:type="dxa"/>
            <w:vAlign w:val="center"/>
            <w:hideMark/>
          </w:tcPr>
          <w:p w14:paraId="5526DDE7"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Cogua</w:t>
            </w:r>
          </w:p>
        </w:tc>
        <w:tc>
          <w:tcPr>
            <w:tcW w:w="1906" w:type="dxa"/>
            <w:vAlign w:val="center"/>
            <w:hideMark/>
          </w:tcPr>
          <w:p w14:paraId="4F1BDD3B"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Acuerdo 22</w:t>
            </w:r>
          </w:p>
        </w:tc>
        <w:tc>
          <w:tcPr>
            <w:tcW w:w="811" w:type="dxa"/>
            <w:vAlign w:val="center"/>
            <w:hideMark/>
          </w:tcPr>
          <w:p w14:paraId="7B02F300"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2000</w:t>
            </w:r>
          </w:p>
        </w:tc>
        <w:tc>
          <w:tcPr>
            <w:tcW w:w="2528" w:type="dxa"/>
            <w:vAlign w:val="center"/>
            <w:hideMark/>
          </w:tcPr>
          <w:p w14:paraId="3B314DA6"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En concertación</w:t>
            </w:r>
          </w:p>
        </w:tc>
        <w:tc>
          <w:tcPr>
            <w:tcW w:w="811" w:type="dxa"/>
            <w:vAlign w:val="center"/>
            <w:hideMark/>
          </w:tcPr>
          <w:p w14:paraId="6D7C9C83" w14:textId="77777777" w:rsidR="00F421F8" w:rsidRPr="00131EED" w:rsidRDefault="00F421F8">
            <w:pPr>
              <w:jc w:val="center"/>
              <w:textAlignment w:val="bottom"/>
              <w:rPr>
                <w:rFonts w:eastAsia="Cambria" w:cs="Arial"/>
                <w:color w:val="000000"/>
                <w:kern w:val="24"/>
                <w:sz w:val="20"/>
                <w:szCs w:val="20"/>
                <w:lang w:eastAsia="es-CO"/>
              </w:rPr>
            </w:pPr>
          </w:p>
        </w:tc>
      </w:tr>
      <w:tr w:rsidR="00F421F8" w:rsidRPr="00131EED" w14:paraId="43754BAA" w14:textId="77777777">
        <w:trPr>
          <w:trHeight w:val="135"/>
          <w:jc w:val="center"/>
        </w:trPr>
        <w:tc>
          <w:tcPr>
            <w:tcW w:w="1714" w:type="dxa"/>
            <w:vAlign w:val="center"/>
            <w:hideMark/>
          </w:tcPr>
          <w:p w14:paraId="27899AF2"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Cota</w:t>
            </w:r>
          </w:p>
        </w:tc>
        <w:tc>
          <w:tcPr>
            <w:tcW w:w="1906" w:type="dxa"/>
            <w:vAlign w:val="center"/>
            <w:hideMark/>
          </w:tcPr>
          <w:p w14:paraId="650A0616"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Acuerdo 12</w:t>
            </w:r>
          </w:p>
        </w:tc>
        <w:tc>
          <w:tcPr>
            <w:tcW w:w="811" w:type="dxa"/>
            <w:vAlign w:val="center"/>
            <w:hideMark/>
          </w:tcPr>
          <w:p w14:paraId="4C986178"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2000</w:t>
            </w:r>
          </w:p>
        </w:tc>
        <w:tc>
          <w:tcPr>
            <w:tcW w:w="2528" w:type="dxa"/>
            <w:vAlign w:val="center"/>
            <w:hideMark/>
          </w:tcPr>
          <w:p w14:paraId="0CE00C84"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Desistimiento</w:t>
            </w:r>
          </w:p>
        </w:tc>
        <w:tc>
          <w:tcPr>
            <w:tcW w:w="811" w:type="dxa"/>
            <w:vAlign w:val="center"/>
            <w:hideMark/>
          </w:tcPr>
          <w:p w14:paraId="0A4CE837" w14:textId="77777777" w:rsidR="00F421F8" w:rsidRPr="00131EED" w:rsidRDefault="00F421F8">
            <w:pPr>
              <w:jc w:val="center"/>
              <w:textAlignment w:val="bottom"/>
              <w:rPr>
                <w:rFonts w:eastAsia="Cambria" w:cs="Arial"/>
                <w:color w:val="000000"/>
                <w:kern w:val="24"/>
                <w:sz w:val="20"/>
                <w:szCs w:val="20"/>
                <w:lang w:eastAsia="es-CO"/>
              </w:rPr>
            </w:pPr>
            <w:r w:rsidRPr="00131EED">
              <w:rPr>
                <w:rFonts w:eastAsia="Cambria" w:cs="Arial"/>
                <w:color w:val="000000"/>
                <w:kern w:val="24"/>
                <w:sz w:val="20"/>
                <w:szCs w:val="20"/>
                <w:lang w:eastAsia="es-CO"/>
              </w:rPr>
              <w:t>2023</w:t>
            </w:r>
          </w:p>
        </w:tc>
      </w:tr>
      <w:tr w:rsidR="00F421F8" w:rsidRPr="00131EED" w14:paraId="6B701A34" w14:textId="77777777">
        <w:trPr>
          <w:trHeight w:val="135"/>
          <w:jc w:val="center"/>
        </w:trPr>
        <w:tc>
          <w:tcPr>
            <w:tcW w:w="1714" w:type="dxa"/>
            <w:vAlign w:val="center"/>
            <w:hideMark/>
          </w:tcPr>
          <w:p w14:paraId="05E48FC1" w14:textId="77777777" w:rsidR="00F421F8" w:rsidRPr="00131EED" w:rsidRDefault="00F421F8">
            <w:pPr>
              <w:jc w:val="center"/>
              <w:textAlignment w:val="center"/>
              <w:rPr>
                <w:rFonts w:cs="Arial"/>
                <w:sz w:val="20"/>
                <w:szCs w:val="20"/>
                <w:lang w:eastAsia="es-CO"/>
              </w:rPr>
            </w:pPr>
            <w:r w:rsidRPr="00131EED">
              <w:rPr>
                <w:rFonts w:eastAsia="Cambria" w:cs="Arial"/>
                <w:color w:val="000000"/>
                <w:kern w:val="24"/>
                <w:sz w:val="20"/>
                <w:szCs w:val="20"/>
                <w:lang w:eastAsia="es-CO"/>
              </w:rPr>
              <w:t>Cucunubá</w:t>
            </w:r>
          </w:p>
        </w:tc>
        <w:tc>
          <w:tcPr>
            <w:tcW w:w="1906" w:type="dxa"/>
            <w:vAlign w:val="center"/>
            <w:hideMark/>
          </w:tcPr>
          <w:p w14:paraId="2C6B8E2B"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Decreto 60</w:t>
            </w:r>
          </w:p>
        </w:tc>
        <w:tc>
          <w:tcPr>
            <w:tcW w:w="811" w:type="dxa"/>
            <w:vAlign w:val="center"/>
            <w:hideMark/>
          </w:tcPr>
          <w:p w14:paraId="3539E429"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2000</w:t>
            </w:r>
          </w:p>
        </w:tc>
        <w:tc>
          <w:tcPr>
            <w:tcW w:w="2528" w:type="dxa"/>
            <w:vAlign w:val="center"/>
            <w:hideMark/>
          </w:tcPr>
          <w:p w14:paraId="08F2B8E3"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En concertación</w:t>
            </w:r>
          </w:p>
        </w:tc>
        <w:tc>
          <w:tcPr>
            <w:tcW w:w="811" w:type="dxa"/>
            <w:vAlign w:val="center"/>
            <w:hideMark/>
          </w:tcPr>
          <w:p w14:paraId="62AB9496" w14:textId="77777777" w:rsidR="00F421F8" w:rsidRPr="00131EED" w:rsidRDefault="00F421F8">
            <w:pPr>
              <w:jc w:val="center"/>
              <w:rPr>
                <w:rFonts w:cs="Arial"/>
                <w:sz w:val="20"/>
                <w:szCs w:val="20"/>
                <w:lang w:eastAsia="es-CO"/>
              </w:rPr>
            </w:pPr>
          </w:p>
        </w:tc>
      </w:tr>
      <w:tr w:rsidR="00F421F8" w:rsidRPr="00131EED" w14:paraId="295B13C7" w14:textId="77777777">
        <w:trPr>
          <w:trHeight w:val="210"/>
          <w:jc w:val="center"/>
        </w:trPr>
        <w:tc>
          <w:tcPr>
            <w:tcW w:w="1714" w:type="dxa"/>
            <w:vAlign w:val="center"/>
            <w:hideMark/>
          </w:tcPr>
          <w:p w14:paraId="46AA2351" w14:textId="77777777" w:rsidR="00F421F8" w:rsidRPr="00131EED" w:rsidRDefault="00F421F8">
            <w:pPr>
              <w:jc w:val="center"/>
              <w:textAlignment w:val="center"/>
              <w:rPr>
                <w:rFonts w:cs="Arial"/>
                <w:sz w:val="20"/>
                <w:szCs w:val="20"/>
                <w:lang w:eastAsia="es-CO"/>
              </w:rPr>
            </w:pPr>
            <w:r w:rsidRPr="00131EED">
              <w:rPr>
                <w:rFonts w:eastAsia="Cambria" w:cs="Arial"/>
                <w:color w:val="000000"/>
                <w:kern w:val="24"/>
                <w:sz w:val="20"/>
                <w:szCs w:val="20"/>
                <w:lang w:eastAsia="es-CO"/>
              </w:rPr>
              <w:t>Soacha</w:t>
            </w:r>
          </w:p>
        </w:tc>
        <w:tc>
          <w:tcPr>
            <w:tcW w:w="1906" w:type="dxa"/>
            <w:vAlign w:val="center"/>
            <w:hideMark/>
          </w:tcPr>
          <w:p w14:paraId="0819BFF5"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Acuerdo 046</w:t>
            </w:r>
          </w:p>
        </w:tc>
        <w:tc>
          <w:tcPr>
            <w:tcW w:w="811" w:type="dxa"/>
            <w:vAlign w:val="center"/>
            <w:hideMark/>
          </w:tcPr>
          <w:p w14:paraId="5EE5D233"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2000</w:t>
            </w:r>
          </w:p>
        </w:tc>
        <w:tc>
          <w:tcPr>
            <w:tcW w:w="2528" w:type="dxa"/>
            <w:vAlign w:val="center"/>
            <w:hideMark/>
          </w:tcPr>
          <w:p w14:paraId="31BDD136"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Sin información</w:t>
            </w:r>
          </w:p>
        </w:tc>
        <w:tc>
          <w:tcPr>
            <w:tcW w:w="811" w:type="dxa"/>
            <w:vAlign w:val="center"/>
            <w:hideMark/>
          </w:tcPr>
          <w:p w14:paraId="5A0FC08F" w14:textId="77777777" w:rsidR="00F421F8" w:rsidRPr="00131EED" w:rsidRDefault="00F421F8">
            <w:pPr>
              <w:jc w:val="center"/>
              <w:rPr>
                <w:rFonts w:cs="Arial"/>
                <w:sz w:val="20"/>
                <w:szCs w:val="20"/>
                <w:lang w:eastAsia="es-CO"/>
              </w:rPr>
            </w:pPr>
          </w:p>
        </w:tc>
      </w:tr>
      <w:tr w:rsidR="00F421F8" w:rsidRPr="00131EED" w14:paraId="1CF503D6" w14:textId="77777777">
        <w:trPr>
          <w:trHeight w:val="135"/>
          <w:jc w:val="center"/>
        </w:trPr>
        <w:tc>
          <w:tcPr>
            <w:tcW w:w="1714" w:type="dxa"/>
            <w:vAlign w:val="center"/>
            <w:hideMark/>
          </w:tcPr>
          <w:p w14:paraId="26128D5D" w14:textId="77777777" w:rsidR="00F421F8" w:rsidRPr="00131EED" w:rsidRDefault="00F421F8">
            <w:pPr>
              <w:jc w:val="center"/>
              <w:textAlignment w:val="center"/>
              <w:rPr>
                <w:rFonts w:cs="Arial"/>
                <w:sz w:val="20"/>
                <w:szCs w:val="20"/>
                <w:lang w:eastAsia="es-CO"/>
              </w:rPr>
            </w:pPr>
            <w:r w:rsidRPr="00131EED">
              <w:rPr>
                <w:rFonts w:eastAsia="Cambria" w:cs="Arial"/>
                <w:color w:val="000000"/>
                <w:kern w:val="24"/>
                <w:sz w:val="20"/>
                <w:szCs w:val="20"/>
                <w:lang w:eastAsia="es-CO"/>
              </w:rPr>
              <w:t>Sopó</w:t>
            </w:r>
          </w:p>
        </w:tc>
        <w:tc>
          <w:tcPr>
            <w:tcW w:w="1906" w:type="dxa"/>
            <w:vAlign w:val="center"/>
            <w:hideMark/>
          </w:tcPr>
          <w:p w14:paraId="30C5FAFC"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Acuerdo 09</w:t>
            </w:r>
          </w:p>
        </w:tc>
        <w:tc>
          <w:tcPr>
            <w:tcW w:w="811" w:type="dxa"/>
            <w:vAlign w:val="center"/>
            <w:hideMark/>
          </w:tcPr>
          <w:p w14:paraId="363A52FD"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2000</w:t>
            </w:r>
          </w:p>
        </w:tc>
        <w:tc>
          <w:tcPr>
            <w:tcW w:w="2528" w:type="dxa"/>
            <w:vAlign w:val="center"/>
            <w:hideMark/>
          </w:tcPr>
          <w:p w14:paraId="768E8BA6"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Concertado</w:t>
            </w:r>
          </w:p>
        </w:tc>
        <w:tc>
          <w:tcPr>
            <w:tcW w:w="811" w:type="dxa"/>
            <w:vAlign w:val="center"/>
            <w:hideMark/>
          </w:tcPr>
          <w:p w14:paraId="5590540B"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2023</w:t>
            </w:r>
          </w:p>
        </w:tc>
      </w:tr>
      <w:tr w:rsidR="00F421F8" w:rsidRPr="00131EED" w14:paraId="1E11A687" w14:textId="77777777">
        <w:trPr>
          <w:trHeight w:val="135"/>
          <w:jc w:val="center"/>
        </w:trPr>
        <w:tc>
          <w:tcPr>
            <w:tcW w:w="1714" w:type="dxa"/>
            <w:vAlign w:val="center"/>
            <w:hideMark/>
          </w:tcPr>
          <w:p w14:paraId="7EA0FA69" w14:textId="77777777" w:rsidR="00F421F8" w:rsidRPr="00131EED" w:rsidRDefault="00F421F8">
            <w:pPr>
              <w:jc w:val="center"/>
              <w:textAlignment w:val="center"/>
              <w:rPr>
                <w:rFonts w:cs="Arial"/>
                <w:sz w:val="20"/>
                <w:szCs w:val="20"/>
                <w:lang w:eastAsia="es-CO"/>
              </w:rPr>
            </w:pPr>
            <w:r w:rsidRPr="00131EED">
              <w:rPr>
                <w:rFonts w:eastAsia="Cambria" w:cs="Arial"/>
                <w:color w:val="000000"/>
                <w:kern w:val="24"/>
                <w:sz w:val="20"/>
                <w:szCs w:val="20"/>
                <w:lang w:eastAsia="es-CO"/>
              </w:rPr>
              <w:t>Subachoque</w:t>
            </w:r>
          </w:p>
        </w:tc>
        <w:tc>
          <w:tcPr>
            <w:tcW w:w="1906" w:type="dxa"/>
            <w:vAlign w:val="center"/>
            <w:hideMark/>
          </w:tcPr>
          <w:p w14:paraId="00B38DE7"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Acuerdo 15</w:t>
            </w:r>
          </w:p>
        </w:tc>
        <w:tc>
          <w:tcPr>
            <w:tcW w:w="811" w:type="dxa"/>
            <w:vAlign w:val="center"/>
            <w:hideMark/>
          </w:tcPr>
          <w:p w14:paraId="03577EDC"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2000</w:t>
            </w:r>
          </w:p>
        </w:tc>
        <w:tc>
          <w:tcPr>
            <w:tcW w:w="2528" w:type="dxa"/>
            <w:vAlign w:val="center"/>
            <w:hideMark/>
          </w:tcPr>
          <w:p w14:paraId="4EAA6A48"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En concertación</w:t>
            </w:r>
          </w:p>
        </w:tc>
        <w:tc>
          <w:tcPr>
            <w:tcW w:w="811" w:type="dxa"/>
            <w:vAlign w:val="center"/>
            <w:hideMark/>
          </w:tcPr>
          <w:p w14:paraId="7ABC1F82" w14:textId="77777777" w:rsidR="00F421F8" w:rsidRPr="00131EED" w:rsidRDefault="00F421F8">
            <w:pPr>
              <w:jc w:val="center"/>
              <w:rPr>
                <w:rFonts w:cs="Arial"/>
                <w:sz w:val="20"/>
                <w:szCs w:val="20"/>
                <w:lang w:eastAsia="es-CO"/>
              </w:rPr>
            </w:pPr>
          </w:p>
        </w:tc>
      </w:tr>
      <w:tr w:rsidR="00F421F8" w:rsidRPr="00131EED" w14:paraId="3E928FB7" w14:textId="77777777">
        <w:trPr>
          <w:trHeight w:val="135"/>
          <w:jc w:val="center"/>
        </w:trPr>
        <w:tc>
          <w:tcPr>
            <w:tcW w:w="1714" w:type="dxa"/>
            <w:vAlign w:val="center"/>
            <w:hideMark/>
          </w:tcPr>
          <w:p w14:paraId="262E5CE4" w14:textId="77777777" w:rsidR="00F421F8" w:rsidRPr="00131EED" w:rsidRDefault="00F421F8">
            <w:pPr>
              <w:jc w:val="center"/>
              <w:textAlignment w:val="center"/>
              <w:rPr>
                <w:rFonts w:cs="Arial"/>
                <w:sz w:val="20"/>
                <w:szCs w:val="20"/>
                <w:lang w:eastAsia="es-CO"/>
              </w:rPr>
            </w:pPr>
            <w:r w:rsidRPr="00131EED">
              <w:rPr>
                <w:rFonts w:eastAsia="Cambria" w:cs="Arial"/>
                <w:color w:val="000000"/>
                <w:kern w:val="24"/>
                <w:sz w:val="20"/>
                <w:szCs w:val="20"/>
                <w:lang w:eastAsia="es-CO"/>
              </w:rPr>
              <w:t>Tausa</w:t>
            </w:r>
          </w:p>
        </w:tc>
        <w:tc>
          <w:tcPr>
            <w:tcW w:w="1906" w:type="dxa"/>
            <w:vAlign w:val="center"/>
            <w:hideMark/>
          </w:tcPr>
          <w:p w14:paraId="5BAE541E"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Acuerdo 28</w:t>
            </w:r>
          </w:p>
        </w:tc>
        <w:tc>
          <w:tcPr>
            <w:tcW w:w="811" w:type="dxa"/>
            <w:vAlign w:val="center"/>
            <w:hideMark/>
          </w:tcPr>
          <w:p w14:paraId="49DDF311"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2000</w:t>
            </w:r>
          </w:p>
        </w:tc>
        <w:tc>
          <w:tcPr>
            <w:tcW w:w="2528" w:type="dxa"/>
            <w:vAlign w:val="center"/>
            <w:hideMark/>
          </w:tcPr>
          <w:p w14:paraId="62C2A9CB"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En concertación</w:t>
            </w:r>
          </w:p>
        </w:tc>
        <w:tc>
          <w:tcPr>
            <w:tcW w:w="811" w:type="dxa"/>
            <w:vAlign w:val="center"/>
            <w:hideMark/>
          </w:tcPr>
          <w:p w14:paraId="60F8A9AF" w14:textId="77777777" w:rsidR="00F421F8" w:rsidRPr="00131EED" w:rsidRDefault="00F421F8">
            <w:pPr>
              <w:jc w:val="center"/>
              <w:rPr>
                <w:rFonts w:cs="Arial"/>
                <w:sz w:val="20"/>
                <w:szCs w:val="20"/>
                <w:lang w:eastAsia="es-CO"/>
              </w:rPr>
            </w:pPr>
          </w:p>
        </w:tc>
      </w:tr>
      <w:tr w:rsidR="00F421F8" w:rsidRPr="00131EED" w14:paraId="4584C486" w14:textId="77777777">
        <w:trPr>
          <w:trHeight w:val="135"/>
          <w:jc w:val="center"/>
        </w:trPr>
        <w:tc>
          <w:tcPr>
            <w:tcW w:w="1714" w:type="dxa"/>
            <w:vAlign w:val="center"/>
            <w:hideMark/>
          </w:tcPr>
          <w:p w14:paraId="17A043F6" w14:textId="77777777" w:rsidR="00F421F8" w:rsidRPr="00131EED" w:rsidRDefault="00F421F8">
            <w:pPr>
              <w:jc w:val="center"/>
              <w:textAlignment w:val="center"/>
              <w:rPr>
                <w:rFonts w:cs="Arial"/>
                <w:sz w:val="20"/>
                <w:szCs w:val="20"/>
                <w:lang w:eastAsia="es-CO"/>
              </w:rPr>
            </w:pPr>
            <w:r w:rsidRPr="00131EED">
              <w:rPr>
                <w:rFonts w:eastAsia="Cambria" w:cs="Arial"/>
                <w:color w:val="000000"/>
                <w:kern w:val="24"/>
                <w:sz w:val="20"/>
                <w:szCs w:val="20"/>
                <w:lang w:eastAsia="es-CO"/>
              </w:rPr>
              <w:t>Tocancipá</w:t>
            </w:r>
          </w:p>
        </w:tc>
        <w:tc>
          <w:tcPr>
            <w:tcW w:w="1906" w:type="dxa"/>
            <w:vAlign w:val="center"/>
            <w:hideMark/>
          </w:tcPr>
          <w:p w14:paraId="7A5BFE18"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Decreto 228</w:t>
            </w:r>
          </w:p>
        </w:tc>
        <w:tc>
          <w:tcPr>
            <w:tcW w:w="811" w:type="dxa"/>
            <w:vAlign w:val="center"/>
            <w:hideMark/>
          </w:tcPr>
          <w:p w14:paraId="362FD4BB"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2000</w:t>
            </w:r>
          </w:p>
        </w:tc>
        <w:tc>
          <w:tcPr>
            <w:tcW w:w="2528" w:type="dxa"/>
            <w:vAlign w:val="center"/>
            <w:hideMark/>
          </w:tcPr>
          <w:p w14:paraId="6400E711"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En concertación</w:t>
            </w:r>
          </w:p>
        </w:tc>
        <w:tc>
          <w:tcPr>
            <w:tcW w:w="811" w:type="dxa"/>
            <w:vAlign w:val="center"/>
            <w:hideMark/>
          </w:tcPr>
          <w:p w14:paraId="11AD6EEA" w14:textId="77777777" w:rsidR="00F421F8" w:rsidRPr="00131EED" w:rsidRDefault="00F421F8">
            <w:pPr>
              <w:jc w:val="center"/>
              <w:rPr>
                <w:rFonts w:cs="Arial"/>
                <w:sz w:val="20"/>
                <w:szCs w:val="20"/>
                <w:lang w:eastAsia="es-CO"/>
              </w:rPr>
            </w:pPr>
          </w:p>
        </w:tc>
      </w:tr>
      <w:tr w:rsidR="00F421F8" w:rsidRPr="00131EED" w14:paraId="6C96930D" w14:textId="77777777">
        <w:trPr>
          <w:trHeight w:val="135"/>
          <w:jc w:val="center"/>
        </w:trPr>
        <w:tc>
          <w:tcPr>
            <w:tcW w:w="1714" w:type="dxa"/>
            <w:vAlign w:val="center"/>
            <w:hideMark/>
          </w:tcPr>
          <w:p w14:paraId="11742764" w14:textId="77777777" w:rsidR="00F421F8" w:rsidRPr="00131EED" w:rsidRDefault="00F421F8">
            <w:pPr>
              <w:jc w:val="center"/>
              <w:textAlignment w:val="center"/>
              <w:rPr>
                <w:rFonts w:cs="Arial"/>
                <w:sz w:val="20"/>
                <w:szCs w:val="20"/>
                <w:lang w:eastAsia="es-CO"/>
              </w:rPr>
            </w:pPr>
            <w:r w:rsidRPr="00131EED">
              <w:rPr>
                <w:rFonts w:eastAsia="Cambria" w:cs="Arial"/>
                <w:color w:val="000000"/>
                <w:kern w:val="24"/>
                <w:sz w:val="20"/>
                <w:szCs w:val="20"/>
                <w:lang w:eastAsia="es-CO"/>
              </w:rPr>
              <w:t>Villapinzón</w:t>
            </w:r>
          </w:p>
        </w:tc>
        <w:tc>
          <w:tcPr>
            <w:tcW w:w="1906" w:type="dxa"/>
            <w:vAlign w:val="center"/>
            <w:hideMark/>
          </w:tcPr>
          <w:p w14:paraId="3017F195"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Acuerdo 95</w:t>
            </w:r>
          </w:p>
        </w:tc>
        <w:tc>
          <w:tcPr>
            <w:tcW w:w="811" w:type="dxa"/>
            <w:vAlign w:val="center"/>
            <w:hideMark/>
          </w:tcPr>
          <w:p w14:paraId="219BBB32"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2000</w:t>
            </w:r>
          </w:p>
        </w:tc>
        <w:tc>
          <w:tcPr>
            <w:tcW w:w="2528" w:type="dxa"/>
            <w:vAlign w:val="center"/>
            <w:hideMark/>
          </w:tcPr>
          <w:p w14:paraId="6E692D60"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Concertado</w:t>
            </w:r>
          </w:p>
        </w:tc>
        <w:tc>
          <w:tcPr>
            <w:tcW w:w="811" w:type="dxa"/>
            <w:vAlign w:val="center"/>
            <w:hideMark/>
          </w:tcPr>
          <w:p w14:paraId="53FEAF44" w14:textId="77777777" w:rsidR="00F421F8" w:rsidRPr="00131EED" w:rsidRDefault="00F421F8">
            <w:pPr>
              <w:jc w:val="center"/>
              <w:textAlignment w:val="bottom"/>
              <w:rPr>
                <w:rFonts w:cs="Arial"/>
                <w:sz w:val="20"/>
                <w:szCs w:val="20"/>
                <w:lang w:eastAsia="es-CO"/>
              </w:rPr>
            </w:pPr>
            <w:r w:rsidRPr="00131EED">
              <w:rPr>
                <w:rFonts w:eastAsia="Cambria" w:cs="Arial"/>
                <w:color w:val="000000"/>
                <w:kern w:val="24"/>
                <w:sz w:val="20"/>
                <w:szCs w:val="20"/>
                <w:lang w:eastAsia="es-CO"/>
              </w:rPr>
              <w:t>2023</w:t>
            </w:r>
          </w:p>
        </w:tc>
      </w:tr>
    </w:tbl>
    <w:p w14:paraId="3D98F578" w14:textId="77777777" w:rsidR="00F421F8" w:rsidRPr="00131EED" w:rsidRDefault="00F421F8" w:rsidP="00F421F8">
      <w:pPr>
        <w:jc w:val="center"/>
        <w:rPr>
          <w:rFonts w:cs="Arial"/>
          <w:sz w:val="20"/>
          <w:szCs w:val="20"/>
        </w:rPr>
      </w:pPr>
      <w:r w:rsidRPr="00131EED">
        <w:rPr>
          <w:rFonts w:cs="Arial"/>
          <w:sz w:val="20"/>
          <w:szCs w:val="20"/>
        </w:rPr>
        <w:t>Fuente: Elaboración propia a partir de información aportada por los municipios del ámbito Sabana de Bogotá.</w:t>
      </w:r>
    </w:p>
    <w:p w14:paraId="300DCAAC" w14:textId="77777777" w:rsidR="00F421F8" w:rsidRPr="00131EED" w:rsidRDefault="00F421F8" w:rsidP="00F421F8">
      <w:pPr>
        <w:rPr>
          <w:rFonts w:ascii="Baskerville" w:hAnsi="Baskerville"/>
        </w:rPr>
      </w:pPr>
    </w:p>
    <w:p w14:paraId="4EA3EC31" w14:textId="43C81903" w:rsidR="00F421F8" w:rsidRPr="00131EED" w:rsidRDefault="00F421F8" w:rsidP="00F421F8">
      <w:pPr>
        <w:rPr>
          <w:rFonts w:eastAsia="Century Gothic" w:cs="Arial"/>
        </w:rPr>
      </w:pPr>
      <w:r w:rsidRPr="00131EED">
        <w:rPr>
          <w:rFonts w:eastAsia="Century Gothic" w:cs="Arial"/>
        </w:rPr>
        <w:t xml:space="preserve">En términos de la concertación de asuntos ambientales, en el marco de la revisión general de los Planes de Ordenamiento Territorial, se pudo determinar a partir de información de las Corporaciones Autónomas que 5 municipios concluyeron su proceso de concertación en el año 2023, </w:t>
      </w:r>
      <w:r w:rsidR="00597257" w:rsidRPr="00131EED">
        <w:rPr>
          <w:rFonts w:eastAsia="Century Gothic" w:cs="Arial"/>
        </w:rPr>
        <w:t>1</w:t>
      </w:r>
      <w:r w:rsidRPr="00131EED">
        <w:rPr>
          <w:rFonts w:eastAsia="Century Gothic" w:cs="Arial"/>
        </w:rPr>
        <w:t xml:space="preserve"> desist</w:t>
      </w:r>
      <w:r w:rsidR="00597257" w:rsidRPr="00131EED">
        <w:rPr>
          <w:rFonts w:eastAsia="Century Gothic" w:cs="Arial"/>
        </w:rPr>
        <w:t>ió</w:t>
      </w:r>
      <w:r w:rsidRPr="00131EED">
        <w:rPr>
          <w:rFonts w:eastAsia="Century Gothic" w:cs="Arial"/>
        </w:rPr>
        <w:t xml:space="preserve"> del proceso y 1</w:t>
      </w:r>
      <w:r w:rsidR="00597257" w:rsidRPr="00131EED">
        <w:rPr>
          <w:rFonts w:eastAsia="Century Gothic" w:cs="Arial"/>
        </w:rPr>
        <w:t>1</w:t>
      </w:r>
      <w:r w:rsidRPr="00131EED">
        <w:rPr>
          <w:rFonts w:eastAsia="Century Gothic" w:cs="Arial"/>
        </w:rPr>
        <w:t xml:space="preserve"> municipios se encontraban en el trámite de concertación.</w:t>
      </w:r>
    </w:p>
    <w:p w14:paraId="01A8F3F0" w14:textId="77777777" w:rsidR="00F421F8" w:rsidRPr="00131EED" w:rsidRDefault="00F421F8" w:rsidP="00F421F8">
      <w:pPr>
        <w:rPr>
          <w:rFonts w:eastAsia="Century Gothic" w:cs="Arial"/>
        </w:rPr>
      </w:pPr>
    </w:p>
    <w:p w14:paraId="49A2F363" w14:textId="77777777" w:rsidR="00F421F8" w:rsidRPr="00131EED" w:rsidRDefault="00F421F8" w:rsidP="00F421F8">
      <w:pPr>
        <w:rPr>
          <w:rFonts w:eastAsia="Century Gothic" w:cs="Arial"/>
        </w:rPr>
      </w:pPr>
      <w:r w:rsidRPr="00131EED">
        <w:rPr>
          <w:rFonts w:eastAsia="Century Gothic" w:cs="Arial"/>
        </w:rPr>
        <w:t xml:space="preserve">Complementario a lo anterior, en el marco del principio de la coordinación con los municipios dentro del ámbito de la Sabana, el día 8 de julio se les remitió una invitación para el desarrollo de mesas técnicas, sobre las cuales se tuvo como insumo, información correspondiente a la clasificación del suelo vigente definida en los Planes de Ordenamiento Territorial (POT) así: </w:t>
      </w:r>
    </w:p>
    <w:p w14:paraId="0B5FF576" w14:textId="77777777" w:rsidR="00F421F8" w:rsidRPr="00131EED" w:rsidRDefault="00F421F8" w:rsidP="00F421F8">
      <w:pPr>
        <w:rPr>
          <w:rFonts w:eastAsia="Century Gothic" w:cs="Arial"/>
        </w:rPr>
      </w:pPr>
    </w:p>
    <w:p w14:paraId="7B585C4C" w14:textId="77777777" w:rsidR="00F421F8" w:rsidRPr="00131EED" w:rsidRDefault="00F421F8" w:rsidP="00410194">
      <w:pPr>
        <w:pStyle w:val="ListParagraph"/>
        <w:numPr>
          <w:ilvl w:val="0"/>
          <w:numId w:val="23"/>
        </w:numPr>
        <w:rPr>
          <w:rFonts w:eastAsia="Century Gothic" w:cs="Arial"/>
          <w:sz w:val="24"/>
          <w:szCs w:val="24"/>
        </w:rPr>
      </w:pPr>
      <w:r w:rsidRPr="00131EED">
        <w:rPr>
          <w:rFonts w:eastAsia="Century Gothic" w:cs="Arial"/>
          <w:sz w:val="24"/>
          <w:szCs w:val="24"/>
        </w:rPr>
        <w:t xml:space="preserve">Suelo Urbano </w:t>
      </w:r>
    </w:p>
    <w:p w14:paraId="07D9C4CD" w14:textId="77777777" w:rsidR="00F421F8" w:rsidRPr="00131EED" w:rsidRDefault="00F421F8" w:rsidP="00410194">
      <w:pPr>
        <w:pStyle w:val="ListParagraph"/>
        <w:numPr>
          <w:ilvl w:val="0"/>
          <w:numId w:val="23"/>
        </w:numPr>
        <w:rPr>
          <w:rFonts w:eastAsia="Century Gothic" w:cs="Arial"/>
          <w:sz w:val="24"/>
          <w:szCs w:val="24"/>
        </w:rPr>
      </w:pPr>
      <w:r w:rsidRPr="00131EED">
        <w:rPr>
          <w:rFonts w:eastAsia="Century Gothic" w:cs="Arial"/>
          <w:sz w:val="24"/>
          <w:szCs w:val="24"/>
        </w:rPr>
        <w:t xml:space="preserve">Suelo Rural </w:t>
      </w:r>
    </w:p>
    <w:p w14:paraId="485FA33F" w14:textId="77777777" w:rsidR="00F421F8" w:rsidRPr="00131EED" w:rsidRDefault="00F421F8" w:rsidP="00410194">
      <w:pPr>
        <w:pStyle w:val="ListParagraph"/>
        <w:numPr>
          <w:ilvl w:val="1"/>
          <w:numId w:val="23"/>
        </w:numPr>
        <w:rPr>
          <w:rFonts w:eastAsia="Century Gothic" w:cs="Arial"/>
          <w:sz w:val="24"/>
          <w:szCs w:val="24"/>
        </w:rPr>
      </w:pPr>
      <w:r w:rsidRPr="00131EED">
        <w:rPr>
          <w:rFonts w:eastAsia="Century Gothic" w:cs="Arial"/>
          <w:sz w:val="24"/>
          <w:szCs w:val="24"/>
        </w:rPr>
        <w:t xml:space="preserve">Suelo suburbano </w:t>
      </w:r>
    </w:p>
    <w:p w14:paraId="18067943" w14:textId="77777777" w:rsidR="00F421F8" w:rsidRPr="00131EED" w:rsidRDefault="00F421F8" w:rsidP="00410194">
      <w:pPr>
        <w:pStyle w:val="ListParagraph"/>
        <w:numPr>
          <w:ilvl w:val="1"/>
          <w:numId w:val="23"/>
        </w:numPr>
        <w:rPr>
          <w:rFonts w:eastAsia="Century Gothic" w:cs="Arial"/>
          <w:sz w:val="24"/>
          <w:szCs w:val="24"/>
        </w:rPr>
      </w:pPr>
      <w:r w:rsidRPr="00131EED">
        <w:rPr>
          <w:rFonts w:eastAsia="Century Gothic" w:cs="Arial"/>
          <w:sz w:val="24"/>
          <w:szCs w:val="24"/>
        </w:rPr>
        <w:t xml:space="preserve">Centros poblados rurales </w:t>
      </w:r>
    </w:p>
    <w:p w14:paraId="4B66BCDB" w14:textId="77777777" w:rsidR="00F421F8" w:rsidRPr="00131EED" w:rsidRDefault="00F421F8" w:rsidP="00410194">
      <w:pPr>
        <w:pStyle w:val="ListParagraph"/>
        <w:numPr>
          <w:ilvl w:val="1"/>
          <w:numId w:val="23"/>
        </w:numPr>
        <w:rPr>
          <w:rFonts w:eastAsia="Century Gothic" w:cs="Arial"/>
          <w:sz w:val="24"/>
          <w:szCs w:val="24"/>
        </w:rPr>
      </w:pPr>
      <w:r w:rsidRPr="00131EED">
        <w:rPr>
          <w:rFonts w:eastAsia="Century Gothic" w:cs="Arial"/>
          <w:sz w:val="24"/>
          <w:szCs w:val="24"/>
        </w:rPr>
        <w:t xml:space="preserve">Vivienda campestre </w:t>
      </w:r>
    </w:p>
    <w:p w14:paraId="3F67FC45" w14:textId="77777777" w:rsidR="00F421F8" w:rsidRPr="00131EED" w:rsidRDefault="00F421F8" w:rsidP="00410194">
      <w:pPr>
        <w:pStyle w:val="ListParagraph"/>
        <w:numPr>
          <w:ilvl w:val="1"/>
          <w:numId w:val="23"/>
        </w:numPr>
        <w:rPr>
          <w:rFonts w:eastAsia="Century Gothic" w:cs="Arial"/>
          <w:sz w:val="24"/>
          <w:szCs w:val="24"/>
        </w:rPr>
      </w:pPr>
      <w:r w:rsidRPr="00131EED">
        <w:rPr>
          <w:rFonts w:eastAsia="Century Gothic" w:cs="Arial"/>
          <w:sz w:val="24"/>
          <w:szCs w:val="24"/>
        </w:rPr>
        <w:t xml:space="preserve">Localización de equipamientos de salud, educación, bienestar social, cultural y deporte. </w:t>
      </w:r>
    </w:p>
    <w:p w14:paraId="1345AD53" w14:textId="77777777" w:rsidR="00F421F8" w:rsidRPr="00131EED" w:rsidRDefault="00F421F8" w:rsidP="00410194">
      <w:pPr>
        <w:pStyle w:val="ListParagraph"/>
        <w:numPr>
          <w:ilvl w:val="0"/>
          <w:numId w:val="23"/>
        </w:numPr>
        <w:rPr>
          <w:rFonts w:eastAsia="Century Gothic" w:cs="Arial"/>
          <w:sz w:val="24"/>
          <w:szCs w:val="24"/>
        </w:rPr>
      </w:pPr>
      <w:r w:rsidRPr="00131EED">
        <w:rPr>
          <w:rFonts w:eastAsia="Century Gothic" w:cs="Arial"/>
          <w:sz w:val="24"/>
          <w:szCs w:val="24"/>
        </w:rPr>
        <w:t xml:space="preserve">Suelo de Expansión Urbana </w:t>
      </w:r>
    </w:p>
    <w:p w14:paraId="7316FCDA" w14:textId="77777777" w:rsidR="00F421F8" w:rsidRPr="00131EED" w:rsidRDefault="00F421F8" w:rsidP="00410194">
      <w:pPr>
        <w:pStyle w:val="ListParagraph"/>
        <w:numPr>
          <w:ilvl w:val="0"/>
          <w:numId w:val="23"/>
        </w:numPr>
        <w:rPr>
          <w:rFonts w:eastAsia="Century Gothic" w:cs="Arial"/>
          <w:sz w:val="24"/>
          <w:szCs w:val="24"/>
        </w:rPr>
      </w:pPr>
      <w:r w:rsidRPr="00131EED">
        <w:rPr>
          <w:rFonts w:eastAsia="Century Gothic" w:cs="Arial"/>
          <w:sz w:val="24"/>
          <w:szCs w:val="24"/>
        </w:rPr>
        <w:t xml:space="preserve">Suelo de protección* Localizados dentro de cualquiera de las anteriores clases. </w:t>
      </w:r>
    </w:p>
    <w:p w14:paraId="53EF1DC5" w14:textId="77777777" w:rsidR="00F421F8" w:rsidRPr="00131EED" w:rsidRDefault="00F421F8" w:rsidP="00F421F8">
      <w:pPr>
        <w:rPr>
          <w:rFonts w:eastAsia="Century Gothic" w:cs="Arial"/>
        </w:rPr>
      </w:pPr>
      <w:r w:rsidRPr="00131EED">
        <w:rPr>
          <w:rFonts w:eastAsia="Century Gothic" w:cs="Arial"/>
        </w:rPr>
        <w:t>Así mismo, se realizó una solicitud de información con respecto a hectáreas de suelo urbano o de expansión urbanizables no urbanizadas, suelo urbano y de expansión, suelos rurales edificables no edificadas, hectáreas de suelos rurales edificadas en el marco de los POT vigentes. Producto de ese ejercicio, se obtuvo el siguiente cuadro de áreas totales (ha):</w:t>
      </w:r>
    </w:p>
    <w:p w14:paraId="5998C339" w14:textId="77777777" w:rsidR="00F421F8" w:rsidRPr="00131EED" w:rsidRDefault="00F421F8" w:rsidP="00F421F8">
      <w:pPr>
        <w:rPr>
          <w:rFonts w:eastAsia="Century Gothic" w:cs="Arial"/>
        </w:rPr>
      </w:pPr>
    </w:p>
    <w:p w14:paraId="69A559A3" w14:textId="312B38FC" w:rsidR="00F421F8" w:rsidRPr="00131EED" w:rsidRDefault="00F421F8" w:rsidP="00F421F8">
      <w:pPr>
        <w:pStyle w:val="Caption"/>
        <w:jc w:val="center"/>
        <w:rPr>
          <w:rFonts w:ascii="Baskerville" w:eastAsia="Century Gothic" w:hAnsi="Baskerville"/>
        </w:rPr>
      </w:pPr>
      <w:bookmarkStart w:id="259" w:name="_Toc216468949"/>
      <w:r w:rsidRPr="00131EED">
        <w:t xml:space="preserve">Tabla </w:t>
      </w:r>
      <w:r w:rsidRPr="00131EED">
        <w:fldChar w:fldCharType="begin"/>
      </w:r>
      <w:r w:rsidRPr="00131EED">
        <w:instrText>SEQ Tabla \* ARABIC</w:instrText>
      </w:r>
      <w:r w:rsidRPr="00131EED">
        <w:fldChar w:fldCharType="separate"/>
      </w:r>
      <w:r w:rsidR="00CE096F">
        <w:rPr>
          <w:noProof/>
        </w:rPr>
        <w:t>39</w:t>
      </w:r>
      <w:r w:rsidRPr="00131EED">
        <w:fldChar w:fldCharType="end"/>
      </w:r>
      <w:r w:rsidRPr="00131EED">
        <w:t xml:space="preserve">. Extensión de la clasificación del uso del suelo en 10 </w:t>
      </w:r>
      <w:r w:rsidR="004442B4" w:rsidRPr="00131EED">
        <w:t>municipios</w:t>
      </w:r>
      <w:r w:rsidRPr="00131EED">
        <w:t xml:space="preserve"> de la Sabana de Bogotá (Entes Territoriales, 2025)</w:t>
      </w:r>
      <w:bookmarkEnd w:id="259"/>
    </w:p>
    <w:tbl>
      <w:tblPr>
        <w:tblStyle w:val="TableGrid"/>
        <w:tblW w:w="5617" w:type="pct"/>
        <w:tblLayout w:type="fixed"/>
        <w:tblLook w:val="04A0" w:firstRow="1" w:lastRow="0" w:firstColumn="1" w:lastColumn="0" w:noHBand="0" w:noVBand="1"/>
      </w:tblPr>
      <w:tblGrid>
        <w:gridCol w:w="1294"/>
        <w:gridCol w:w="792"/>
        <w:gridCol w:w="791"/>
        <w:gridCol w:w="791"/>
        <w:gridCol w:w="970"/>
        <w:gridCol w:w="908"/>
        <w:gridCol w:w="910"/>
        <w:gridCol w:w="881"/>
        <w:gridCol w:w="881"/>
        <w:gridCol w:w="791"/>
        <w:gridCol w:w="908"/>
      </w:tblGrid>
      <w:tr w:rsidR="00F421F8" w:rsidRPr="00131EED" w14:paraId="4CCE38D2" w14:textId="77777777" w:rsidTr="00E53D3D">
        <w:trPr>
          <w:trHeight w:val="258"/>
        </w:trPr>
        <w:tc>
          <w:tcPr>
            <w:tcW w:w="652" w:type="pct"/>
            <w:hideMark/>
          </w:tcPr>
          <w:p w14:paraId="076CACB1" w14:textId="77777777" w:rsidR="00F421F8" w:rsidRPr="00131EED" w:rsidRDefault="00F421F8">
            <w:pPr>
              <w:jc w:val="center"/>
              <w:rPr>
                <w:b/>
                <w:sz w:val="18"/>
                <w:szCs w:val="18"/>
                <w:lang w:eastAsia="en-US"/>
              </w:rPr>
            </w:pPr>
            <w:r w:rsidRPr="00131EED">
              <w:rPr>
                <w:b/>
                <w:sz w:val="18"/>
                <w:szCs w:val="18"/>
                <w:lang w:eastAsia="en-US"/>
              </w:rPr>
              <w:t>Clase / categoría de suelo</w:t>
            </w:r>
          </w:p>
        </w:tc>
        <w:tc>
          <w:tcPr>
            <w:tcW w:w="399" w:type="pct"/>
            <w:noWrap/>
            <w:vAlign w:val="center"/>
            <w:hideMark/>
          </w:tcPr>
          <w:p w14:paraId="6F29BA0B" w14:textId="77777777" w:rsidR="00F421F8" w:rsidRPr="00131EED" w:rsidRDefault="00F421F8">
            <w:pPr>
              <w:jc w:val="center"/>
              <w:rPr>
                <w:b/>
                <w:sz w:val="18"/>
                <w:szCs w:val="18"/>
                <w:lang w:eastAsia="en-US"/>
              </w:rPr>
            </w:pPr>
            <w:r w:rsidRPr="00131EED">
              <w:rPr>
                <w:b/>
                <w:sz w:val="18"/>
                <w:szCs w:val="18"/>
                <w:lang w:eastAsia="en-US"/>
              </w:rPr>
              <w:t>Sibaté</w:t>
            </w:r>
          </w:p>
        </w:tc>
        <w:tc>
          <w:tcPr>
            <w:tcW w:w="399" w:type="pct"/>
            <w:noWrap/>
            <w:vAlign w:val="center"/>
            <w:hideMark/>
          </w:tcPr>
          <w:p w14:paraId="2ED33D98" w14:textId="77777777" w:rsidR="00F421F8" w:rsidRPr="00131EED" w:rsidRDefault="00F421F8">
            <w:pPr>
              <w:jc w:val="center"/>
              <w:rPr>
                <w:b/>
                <w:sz w:val="18"/>
                <w:szCs w:val="18"/>
                <w:lang w:eastAsia="en-US"/>
              </w:rPr>
            </w:pPr>
            <w:r w:rsidRPr="00131EED">
              <w:rPr>
                <w:b/>
                <w:sz w:val="18"/>
                <w:szCs w:val="18"/>
                <w:lang w:eastAsia="en-US"/>
              </w:rPr>
              <w:t>Chía</w:t>
            </w:r>
          </w:p>
        </w:tc>
        <w:tc>
          <w:tcPr>
            <w:tcW w:w="399" w:type="pct"/>
            <w:noWrap/>
            <w:vAlign w:val="center"/>
            <w:hideMark/>
          </w:tcPr>
          <w:p w14:paraId="78EEC4F6" w14:textId="77777777" w:rsidR="00F421F8" w:rsidRPr="00131EED" w:rsidRDefault="00F421F8">
            <w:pPr>
              <w:jc w:val="center"/>
              <w:rPr>
                <w:b/>
                <w:sz w:val="18"/>
                <w:szCs w:val="18"/>
                <w:lang w:eastAsia="en-US"/>
              </w:rPr>
            </w:pPr>
            <w:r w:rsidRPr="00131EED">
              <w:rPr>
                <w:b/>
                <w:sz w:val="18"/>
                <w:szCs w:val="18"/>
                <w:lang w:eastAsia="en-US"/>
              </w:rPr>
              <w:t>Funza</w:t>
            </w:r>
          </w:p>
        </w:tc>
        <w:tc>
          <w:tcPr>
            <w:tcW w:w="489" w:type="pct"/>
            <w:noWrap/>
            <w:vAlign w:val="center"/>
            <w:hideMark/>
          </w:tcPr>
          <w:p w14:paraId="7B06FBE9" w14:textId="77777777" w:rsidR="00F421F8" w:rsidRPr="00131EED" w:rsidRDefault="00F421F8">
            <w:pPr>
              <w:jc w:val="center"/>
              <w:rPr>
                <w:b/>
                <w:sz w:val="18"/>
                <w:szCs w:val="18"/>
                <w:lang w:eastAsia="en-US"/>
              </w:rPr>
            </w:pPr>
            <w:r w:rsidRPr="00131EED">
              <w:rPr>
                <w:b/>
                <w:sz w:val="18"/>
                <w:szCs w:val="18"/>
                <w:lang w:eastAsia="en-US"/>
              </w:rPr>
              <w:t>Tocancipá</w:t>
            </w:r>
          </w:p>
        </w:tc>
        <w:tc>
          <w:tcPr>
            <w:tcW w:w="458" w:type="pct"/>
            <w:noWrap/>
            <w:vAlign w:val="center"/>
            <w:hideMark/>
          </w:tcPr>
          <w:p w14:paraId="55FB253C" w14:textId="77777777" w:rsidR="00F421F8" w:rsidRPr="00131EED" w:rsidRDefault="00F421F8">
            <w:pPr>
              <w:jc w:val="center"/>
              <w:rPr>
                <w:rFonts w:cs="Calibri"/>
                <w:b/>
                <w:sz w:val="18"/>
                <w:szCs w:val="18"/>
                <w:lang w:eastAsia="en-US"/>
              </w:rPr>
            </w:pPr>
            <w:r w:rsidRPr="00131EED">
              <w:rPr>
                <w:rFonts w:cs="Calibri"/>
                <w:b/>
                <w:sz w:val="18"/>
                <w:szCs w:val="18"/>
                <w:lang w:eastAsia="en-US"/>
              </w:rPr>
              <w:t>Zipaquirá</w:t>
            </w:r>
          </w:p>
        </w:tc>
        <w:tc>
          <w:tcPr>
            <w:tcW w:w="459" w:type="pct"/>
            <w:noWrap/>
            <w:vAlign w:val="center"/>
            <w:hideMark/>
          </w:tcPr>
          <w:p w14:paraId="1ED057EC" w14:textId="77777777" w:rsidR="00F421F8" w:rsidRPr="00131EED" w:rsidRDefault="00F421F8">
            <w:pPr>
              <w:jc w:val="center"/>
              <w:rPr>
                <w:rFonts w:cs="Calibri"/>
                <w:b/>
                <w:sz w:val="18"/>
                <w:szCs w:val="18"/>
                <w:lang w:eastAsia="en-US"/>
              </w:rPr>
            </w:pPr>
            <w:r w:rsidRPr="00131EED">
              <w:rPr>
                <w:rFonts w:cs="Calibri"/>
                <w:b/>
                <w:sz w:val="18"/>
                <w:szCs w:val="18"/>
                <w:lang w:eastAsia="en-US"/>
              </w:rPr>
              <w:t>La Calera</w:t>
            </w:r>
          </w:p>
        </w:tc>
        <w:tc>
          <w:tcPr>
            <w:tcW w:w="444" w:type="pct"/>
            <w:noWrap/>
            <w:vAlign w:val="center"/>
            <w:hideMark/>
          </w:tcPr>
          <w:p w14:paraId="39C9CC81" w14:textId="77777777" w:rsidR="00F421F8" w:rsidRPr="00131EED" w:rsidRDefault="00F421F8">
            <w:pPr>
              <w:jc w:val="center"/>
              <w:rPr>
                <w:rFonts w:cs="Calibri"/>
                <w:b/>
                <w:sz w:val="18"/>
                <w:szCs w:val="18"/>
                <w:lang w:eastAsia="en-US"/>
              </w:rPr>
            </w:pPr>
            <w:r w:rsidRPr="00131EED">
              <w:rPr>
                <w:rFonts w:cs="Calibri"/>
                <w:b/>
                <w:sz w:val="18"/>
                <w:szCs w:val="18"/>
                <w:lang w:eastAsia="en-US"/>
              </w:rPr>
              <w:t>Madrid</w:t>
            </w:r>
          </w:p>
        </w:tc>
        <w:tc>
          <w:tcPr>
            <w:tcW w:w="444" w:type="pct"/>
            <w:noWrap/>
            <w:vAlign w:val="center"/>
            <w:hideMark/>
          </w:tcPr>
          <w:p w14:paraId="0DB74D8E" w14:textId="77777777" w:rsidR="00F421F8" w:rsidRPr="00131EED" w:rsidRDefault="00F421F8">
            <w:pPr>
              <w:jc w:val="center"/>
              <w:rPr>
                <w:rFonts w:cs="Calibri"/>
                <w:b/>
                <w:sz w:val="18"/>
                <w:szCs w:val="18"/>
                <w:lang w:eastAsia="en-US"/>
              </w:rPr>
            </w:pPr>
            <w:r w:rsidRPr="00131EED">
              <w:rPr>
                <w:rFonts w:cs="Calibri"/>
                <w:b/>
                <w:sz w:val="18"/>
                <w:szCs w:val="18"/>
                <w:lang w:eastAsia="en-US"/>
              </w:rPr>
              <w:t>Guasca</w:t>
            </w:r>
          </w:p>
        </w:tc>
        <w:tc>
          <w:tcPr>
            <w:tcW w:w="399" w:type="pct"/>
            <w:noWrap/>
            <w:vAlign w:val="center"/>
            <w:hideMark/>
          </w:tcPr>
          <w:p w14:paraId="4C26E826" w14:textId="77777777" w:rsidR="00F421F8" w:rsidRPr="00131EED" w:rsidRDefault="00F421F8">
            <w:pPr>
              <w:jc w:val="center"/>
              <w:rPr>
                <w:rFonts w:cs="Calibri"/>
                <w:b/>
                <w:sz w:val="18"/>
                <w:szCs w:val="18"/>
                <w:lang w:eastAsia="en-US"/>
              </w:rPr>
            </w:pPr>
            <w:r w:rsidRPr="00131EED">
              <w:rPr>
                <w:rFonts w:cs="Calibri"/>
                <w:b/>
                <w:sz w:val="18"/>
                <w:szCs w:val="18"/>
                <w:lang w:eastAsia="en-US"/>
              </w:rPr>
              <w:t>Cogua</w:t>
            </w:r>
          </w:p>
        </w:tc>
        <w:tc>
          <w:tcPr>
            <w:tcW w:w="460" w:type="pct"/>
            <w:noWrap/>
            <w:vAlign w:val="center"/>
            <w:hideMark/>
          </w:tcPr>
          <w:p w14:paraId="0BA4D00D" w14:textId="2172FE68" w:rsidR="00F421F8" w:rsidRPr="00131EED" w:rsidRDefault="00F421F8">
            <w:pPr>
              <w:jc w:val="center"/>
              <w:rPr>
                <w:rFonts w:cs="Calibri"/>
                <w:b/>
                <w:sz w:val="18"/>
                <w:szCs w:val="18"/>
                <w:lang w:eastAsia="en-US"/>
              </w:rPr>
            </w:pPr>
            <w:r w:rsidRPr="00131EED">
              <w:rPr>
                <w:rFonts w:cs="Calibri"/>
                <w:b/>
                <w:sz w:val="18"/>
                <w:szCs w:val="18"/>
                <w:lang w:eastAsia="en-US"/>
              </w:rPr>
              <w:t>Total ha</w:t>
            </w:r>
          </w:p>
        </w:tc>
      </w:tr>
      <w:tr w:rsidR="00F421F8" w:rsidRPr="00131EED" w14:paraId="776D2871" w14:textId="77777777" w:rsidTr="00E53D3D">
        <w:trPr>
          <w:trHeight w:val="366"/>
        </w:trPr>
        <w:tc>
          <w:tcPr>
            <w:tcW w:w="652" w:type="pct"/>
            <w:hideMark/>
          </w:tcPr>
          <w:p w14:paraId="1E66AFAD" w14:textId="77777777" w:rsidR="00F421F8" w:rsidRPr="00131EED" w:rsidRDefault="00F421F8">
            <w:pPr>
              <w:jc w:val="center"/>
              <w:rPr>
                <w:b/>
                <w:sz w:val="18"/>
                <w:szCs w:val="18"/>
                <w:lang w:eastAsia="en-US"/>
              </w:rPr>
            </w:pPr>
            <w:r w:rsidRPr="00131EED">
              <w:rPr>
                <w:b/>
                <w:sz w:val="18"/>
                <w:szCs w:val="18"/>
                <w:lang w:eastAsia="en-US"/>
              </w:rPr>
              <w:t>Suelo Urbano</w:t>
            </w:r>
          </w:p>
        </w:tc>
        <w:tc>
          <w:tcPr>
            <w:tcW w:w="399" w:type="pct"/>
            <w:noWrap/>
            <w:hideMark/>
          </w:tcPr>
          <w:p w14:paraId="646E3C17" w14:textId="77777777" w:rsidR="00F421F8" w:rsidRPr="00131EED" w:rsidRDefault="00F421F8">
            <w:pPr>
              <w:jc w:val="center"/>
              <w:rPr>
                <w:rFonts w:cs="Calibri"/>
                <w:sz w:val="18"/>
                <w:szCs w:val="18"/>
                <w:lang w:eastAsia="en-US"/>
              </w:rPr>
            </w:pPr>
            <w:r w:rsidRPr="00131EED">
              <w:rPr>
                <w:rFonts w:cs="Calibri"/>
                <w:sz w:val="18"/>
                <w:szCs w:val="18"/>
                <w:lang w:eastAsia="en-US"/>
              </w:rPr>
              <w:t>169.23</w:t>
            </w:r>
          </w:p>
        </w:tc>
        <w:tc>
          <w:tcPr>
            <w:tcW w:w="399" w:type="pct"/>
            <w:noWrap/>
            <w:hideMark/>
          </w:tcPr>
          <w:p w14:paraId="740419B1" w14:textId="77777777" w:rsidR="00F421F8" w:rsidRPr="00131EED" w:rsidRDefault="00F421F8">
            <w:pPr>
              <w:jc w:val="center"/>
              <w:rPr>
                <w:sz w:val="18"/>
                <w:szCs w:val="18"/>
                <w:lang w:eastAsia="en-US"/>
              </w:rPr>
            </w:pPr>
            <w:r w:rsidRPr="00131EED">
              <w:rPr>
                <w:sz w:val="18"/>
                <w:szCs w:val="18"/>
                <w:lang w:eastAsia="en-US"/>
              </w:rPr>
              <w:t>585.46</w:t>
            </w:r>
          </w:p>
        </w:tc>
        <w:tc>
          <w:tcPr>
            <w:tcW w:w="399" w:type="pct"/>
            <w:noWrap/>
            <w:hideMark/>
          </w:tcPr>
          <w:p w14:paraId="5C5A853F" w14:textId="77777777" w:rsidR="00F421F8" w:rsidRPr="00131EED" w:rsidRDefault="00F421F8">
            <w:pPr>
              <w:jc w:val="center"/>
              <w:rPr>
                <w:sz w:val="18"/>
                <w:szCs w:val="18"/>
                <w:lang w:eastAsia="en-US"/>
              </w:rPr>
            </w:pPr>
            <w:r w:rsidRPr="00131EED">
              <w:rPr>
                <w:sz w:val="18"/>
                <w:szCs w:val="18"/>
                <w:lang w:eastAsia="en-US"/>
              </w:rPr>
              <w:t>481.25</w:t>
            </w:r>
          </w:p>
        </w:tc>
        <w:tc>
          <w:tcPr>
            <w:tcW w:w="489" w:type="pct"/>
            <w:noWrap/>
            <w:hideMark/>
          </w:tcPr>
          <w:p w14:paraId="17B6BC19" w14:textId="77777777" w:rsidR="00F421F8" w:rsidRPr="00131EED" w:rsidRDefault="00F421F8">
            <w:pPr>
              <w:jc w:val="center"/>
              <w:rPr>
                <w:sz w:val="18"/>
                <w:szCs w:val="18"/>
                <w:lang w:eastAsia="en-US"/>
              </w:rPr>
            </w:pPr>
            <w:r w:rsidRPr="00131EED">
              <w:rPr>
                <w:sz w:val="18"/>
                <w:szCs w:val="18"/>
                <w:lang w:eastAsia="en-US"/>
              </w:rPr>
              <w:t>134.19</w:t>
            </w:r>
          </w:p>
        </w:tc>
        <w:tc>
          <w:tcPr>
            <w:tcW w:w="458" w:type="pct"/>
            <w:noWrap/>
            <w:hideMark/>
          </w:tcPr>
          <w:p w14:paraId="585AC85F" w14:textId="77777777" w:rsidR="00F421F8" w:rsidRPr="00131EED" w:rsidRDefault="00F421F8">
            <w:pPr>
              <w:jc w:val="center"/>
              <w:rPr>
                <w:sz w:val="18"/>
                <w:szCs w:val="18"/>
                <w:lang w:eastAsia="en-US"/>
              </w:rPr>
            </w:pPr>
            <w:r w:rsidRPr="00131EED">
              <w:rPr>
                <w:sz w:val="18"/>
                <w:szCs w:val="18"/>
                <w:lang w:eastAsia="en-US"/>
              </w:rPr>
              <w:t>585.91</w:t>
            </w:r>
          </w:p>
        </w:tc>
        <w:tc>
          <w:tcPr>
            <w:tcW w:w="459" w:type="pct"/>
            <w:noWrap/>
            <w:hideMark/>
          </w:tcPr>
          <w:p w14:paraId="2DC5D4AE" w14:textId="77777777" w:rsidR="00F421F8" w:rsidRPr="00131EED" w:rsidRDefault="00F421F8">
            <w:pPr>
              <w:jc w:val="center"/>
              <w:rPr>
                <w:sz w:val="18"/>
                <w:szCs w:val="18"/>
                <w:lang w:eastAsia="en-US"/>
              </w:rPr>
            </w:pPr>
            <w:r w:rsidRPr="00131EED">
              <w:rPr>
                <w:sz w:val="18"/>
                <w:szCs w:val="18"/>
                <w:lang w:eastAsia="en-US"/>
              </w:rPr>
              <w:t>145.31</w:t>
            </w:r>
          </w:p>
        </w:tc>
        <w:tc>
          <w:tcPr>
            <w:tcW w:w="444" w:type="pct"/>
            <w:hideMark/>
          </w:tcPr>
          <w:p w14:paraId="197CEDD5" w14:textId="77777777" w:rsidR="00F421F8" w:rsidRPr="00131EED" w:rsidRDefault="00F421F8">
            <w:pPr>
              <w:jc w:val="center"/>
              <w:rPr>
                <w:sz w:val="18"/>
                <w:szCs w:val="18"/>
                <w:lang w:eastAsia="en-US"/>
              </w:rPr>
            </w:pPr>
            <w:r w:rsidRPr="00131EED">
              <w:rPr>
                <w:sz w:val="18"/>
                <w:szCs w:val="18"/>
                <w:lang w:eastAsia="en-US"/>
              </w:rPr>
              <w:t>678.896</w:t>
            </w:r>
          </w:p>
        </w:tc>
        <w:tc>
          <w:tcPr>
            <w:tcW w:w="444" w:type="pct"/>
            <w:noWrap/>
            <w:hideMark/>
          </w:tcPr>
          <w:p w14:paraId="68BCB6F4" w14:textId="77777777" w:rsidR="00F421F8" w:rsidRPr="00131EED" w:rsidRDefault="00F421F8">
            <w:pPr>
              <w:jc w:val="center"/>
              <w:rPr>
                <w:sz w:val="18"/>
                <w:szCs w:val="18"/>
                <w:lang w:eastAsia="en-US"/>
              </w:rPr>
            </w:pPr>
            <w:r w:rsidRPr="00131EED">
              <w:rPr>
                <w:sz w:val="18"/>
                <w:szCs w:val="18"/>
                <w:lang w:eastAsia="en-US"/>
              </w:rPr>
              <w:t>115.68</w:t>
            </w:r>
          </w:p>
        </w:tc>
        <w:tc>
          <w:tcPr>
            <w:tcW w:w="399" w:type="pct"/>
            <w:noWrap/>
            <w:hideMark/>
          </w:tcPr>
          <w:p w14:paraId="2AC39FC9" w14:textId="77777777" w:rsidR="00F421F8" w:rsidRPr="00131EED" w:rsidRDefault="00F421F8">
            <w:pPr>
              <w:jc w:val="center"/>
              <w:rPr>
                <w:sz w:val="18"/>
                <w:szCs w:val="18"/>
                <w:lang w:eastAsia="en-US"/>
              </w:rPr>
            </w:pPr>
            <w:r w:rsidRPr="00131EED">
              <w:rPr>
                <w:sz w:val="18"/>
                <w:szCs w:val="18"/>
                <w:lang w:eastAsia="en-US"/>
              </w:rPr>
              <w:t>61.57</w:t>
            </w:r>
          </w:p>
        </w:tc>
        <w:tc>
          <w:tcPr>
            <w:tcW w:w="460" w:type="pct"/>
            <w:noWrap/>
            <w:hideMark/>
          </w:tcPr>
          <w:p w14:paraId="2DD5A023" w14:textId="77777777" w:rsidR="00F421F8" w:rsidRPr="00131EED" w:rsidRDefault="00F421F8">
            <w:pPr>
              <w:jc w:val="center"/>
              <w:rPr>
                <w:sz w:val="18"/>
                <w:szCs w:val="18"/>
                <w:lang w:eastAsia="en-US"/>
              </w:rPr>
            </w:pPr>
            <w:r w:rsidRPr="00131EED">
              <w:rPr>
                <w:sz w:val="18"/>
                <w:szCs w:val="18"/>
                <w:lang w:eastAsia="en-US"/>
              </w:rPr>
              <w:t>2957.496</w:t>
            </w:r>
          </w:p>
        </w:tc>
      </w:tr>
      <w:tr w:rsidR="00F421F8" w:rsidRPr="00131EED" w14:paraId="3CDABC88" w14:textId="77777777" w:rsidTr="00E53D3D">
        <w:trPr>
          <w:trHeight w:val="550"/>
        </w:trPr>
        <w:tc>
          <w:tcPr>
            <w:tcW w:w="652" w:type="pct"/>
            <w:hideMark/>
          </w:tcPr>
          <w:p w14:paraId="31B56D10" w14:textId="77777777" w:rsidR="00F421F8" w:rsidRPr="00131EED" w:rsidRDefault="00F421F8">
            <w:pPr>
              <w:jc w:val="center"/>
              <w:rPr>
                <w:b/>
                <w:sz w:val="18"/>
                <w:szCs w:val="18"/>
                <w:lang w:eastAsia="en-US"/>
              </w:rPr>
            </w:pPr>
            <w:r w:rsidRPr="00131EED">
              <w:rPr>
                <w:b/>
                <w:sz w:val="18"/>
                <w:szCs w:val="18"/>
                <w:lang w:eastAsia="en-US"/>
              </w:rPr>
              <w:t>Suelo de Expansión Urbana</w:t>
            </w:r>
          </w:p>
        </w:tc>
        <w:tc>
          <w:tcPr>
            <w:tcW w:w="399" w:type="pct"/>
            <w:noWrap/>
            <w:hideMark/>
          </w:tcPr>
          <w:p w14:paraId="1825DBF3" w14:textId="77777777" w:rsidR="00F421F8" w:rsidRPr="00131EED" w:rsidRDefault="00F421F8">
            <w:pPr>
              <w:jc w:val="center"/>
              <w:rPr>
                <w:rFonts w:cs="Calibri"/>
                <w:sz w:val="18"/>
                <w:szCs w:val="18"/>
                <w:lang w:eastAsia="en-US"/>
              </w:rPr>
            </w:pPr>
            <w:r w:rsidRPr="00131EED">
              <w:rPr>
                <w:rFonts w:cs="Calibri"/>
                <w:sz w:val="18"/>
                <w:szCs w:val="18"/>
                <w:lang w:eastAsia="en-US"/>
              </w:rPr>
              <w:t>16.04</w:t>
            </w:r>
          </w:p>
        </w:tc>
        <w:tc>
          <w:tcPr>
            <w:tcW w:w="399" w:type="pct"/>
            <w:noWrap/>
            <w:hideMark/>
          </w:tcPr>
          <w:p w14:paraId="7F73CAA5" w14:textId="77777777" w:rsidR="00F421F8" w:rsidRPr="00131EED" w:rsidRDefault="00F421F8">
            <w:pPr>
              <w:jc w:val="center"/>
              <w:rPr>
                <w:sz w:val="18"/>
                <w:szCs w:val="18"/>
                <w:lang w:eastAsia="en-US"/>
              </w:rPr>
            </w:pPr>
            <w:r w:rsidRPr="00131EED">
              <w:rPr>
                <w:sz w:val="18"/>
                <w:szCs w:val="18"/>
                <w:lang w:eastAsia="en-US"/>
              </w:rPr>
              <w:t>15.2</w:t>
            </w:r>
          </w:p>
        </w:tc>
        <w:tc>
          <w:tcPr>
            <w:tcW w:w="399" w:type="pct"/>
            <w:noWrap/>
            <w:hideMark/>
          </w:tcPr>
          <w:p w14:paraId="18322630" w14:textId="77777777" w:rsidR="00F421F8" w:rsidRPr="00131EED" w:rsidRDefault="00F421F8">
            <w:pPr>
              <w:jc w:val="center"/>
              <w:rPr>
                <w:sz w:val="18"/>
                <w:szCs w:val="18"/>
                <w:lang w:eastAsia="en-US"/>
              </w:rPr>
            </w:pPr>
            <w:r w:rsidRPr="00131EED">
              <w:rPr>
                <w:sz w:val="18"/>
                <w:szCs w:val="18"/>
                <w:lang w:eastAsia="en-US"/>
              </w:rPr>
              <w:t>184.37</w:t>
            </w:r>
          </w:p>
        </w:tc>
        <w:tc>
          <w:tcPr>
            <w:tcW w:w="489" w:type="pct"/>
            <w:noWrap/>
            <w:hideMark/>
          </w:tcPr>
          <w:p w14:paraId="56EFB7DC" w14:textId="77777777" w:rsidR="00F421F8" w:rsidRPr="00131EED" w:rsidRDefault="00F421F8">
            <w:pPr>
              <w:jc w:val="center"/>
              <w:rPr>
                <w:sz w:val="18"/>
                <w:szCs w:val="18"/>
                <w:lang w:eastAsia="en-US"/>
              </w:rPr>
            </w:pPr>
            <w:r w:rsidRPr="00131EED">
              <w:rPr>
                <w:sz w:val="18"/>
                <w:szCs w:val="18"/>
                <w:lang w:eastAsia="en-US"/>
              </w:rPr>
              <w:t>117.83</w:t>
            </w:r>
          </w:p>
        </w:tc>
        <w:tc>
          <w:tcPr>
            <w:tcW w:w="458" w:type="pct"/>
            <w:noWrap/>
            <w:hideMark/>
          </w:tcPr>
          <w:p w14:paraId="456D4425" w14:textId="77777777" w:rsidR="00F421F8" w:rsidRPr="00131EED" w:rsidRDefault="00F421F8">
            <w:pPr>
              <w:jc w:val="center"/>
              <w:rPr>
                <w:sz w:val="18"/>
                <w:szCs w:val="18"/>
                <w:lang w:eastAsia="en-US"/>
              </w:rPr>
            </w:pPr>
            <w:r w:rsidRPr="00131EED">
              <w:rPr>
                <w:sz w:val="18"/>
                <w:szCs w:val="18"/>
                <w:lang w:eastAsia="en-US"/>
              </w:rPr>
              <w:t>354,30</w:t>
            </w:r>
          </w:p>
        </w:tc>
        <w:tc>
          <w:tcPr>
            <w:tcW w:w="459" w:type="pct"/>
            <w:noWrap/>
            <w:hideMark/>
          </w:tcPr>
          <w:p w14:paraId="0BDC1563" w14:textId="77777777" w:rsidR="00F421F8" w:rsidRPr="00131EED" w:rsidRDefault="00F421F8">
            <w:pPr>
              <w:jc w:val="center"/>
              <w:rPr>
                <w:sz w:val="18"/>
                <w:szCs w:val="18"/>
                <w:lang w:eastAsia="en-US"/>
              </w:rPr>
            </w:pPr>
            <w:r w:rsidRPr="00131EED">
              <w:rPr>
                <w:sz w:val="18"/>
                <w:szCs w:val="18"/>
                <w:lang w:eastAsia="en-US"/>
              </w:rPr>
              <w:t>135.08</w:t>
            </w:r>
          </w:p>
        </w:tc>
        <w:tc>
          <w:tcPr>
            <w:tcW w:w="444" w:type="pct"/>
            <w:hideMark/>
          </w:tcPr>
          <w:p w14:paraId="152D378E" w14:textId="77777777" w:rsidR="00F421F8" w:rsidRPr="00131EED" w:rsidRDefault="00F421F8">
            <w:pPr>
              <w:jc w:val="center"/>
              <w:rPr>
                <w:sz w:val="18"/>
                <w:szCs w:val="18"/>
                <w:lang w:eastAsia="en-US"/>
              </w:rPr>
            </w:pPr>
            <w:r w:rsidRPr="00131EED">
              <w:rPr>
                <w:sz w:val="18"/>
                <w:szCs w:val="18"/>
                <w:lang w:eastAsia="en-US"/>
              </w:rPr>
              <w:t>231.541</w:t>
            </w:r>
          </w:p>
        </w:tc>
        <w:tc>
          <w:tcPr>
            <w:tcW w:w="444" w:type="pct"/>
            <w:noWrap/>
            <w:hideMark/>
          </w:tcPr>
          <w:p w14:paraId="02B90C18" w14:textId="77777777" w:rsidR="00F421F8" w:rsidRPr="00131EED" w:rsidRDefault="00F421F8">
            <w:pPr>
              <w:jc w:val="center"/>
              <w:rPr>
                <w:sz w:val="18"/>
                <w:szCs w:val="18"/>
                <w:lang w:eastAsia="en-US"/>
              </w:rPr>
            </w:pPr>
            <w:r w:rsidRPr="00131EED">
              <w:rPr>
                <w:sz w:val="18"/>
                <w:szCs w:val="18"/>
                <w:lang w:eastAsia="en-US"/>
              </w:rPr>
              <w:t>-</w:t>
            </w:r>
          </w:p>
        </w:tc>
        <w:tc>
          <w:tcPr>
            <w:tcW w:w="399" w:type="pct"/>
            <w:noWrap/>
            <w:hideMark/>
          </w:tcPr>
          <w:p w14:paraId="1011AF77" w14:textId="77777777" w:rsidR="00F421F8" w:rsidRPr="00131EED" w:rsidRDefault="00F421F8">
            <w:pPr>
              <w:jc w:val="center"/>
              <w:rPr>
                <w:sz w:val="18"/>
                <w:szCs w:val="18"/>
                <w:lang w:eastAsia="en-US"/>
              </w:rPr>
            </w:pPr>
            <w:r w:rsidRPr="00131EED">
              <w:rPr>
                <w:sz w:val="18"/>
                <w:szCs w:val="18"/>
                <w:lang w:eastAsia="en-US"/>
              </w:rPr>
              <w:t>0</w:t>
            </w:r>
          </w:p>
        </w:tc>
        <w:tc>
          <w:tcPr>
            <w:tcW w:w="460" w:type="pct"/>
            <w:noWrap/>
            <w:hideMark/>
          </w:tcPr>
          <w:p w14:paraId="11852B4C" w14:textId="77777777" w:rsidR="00F421F8" w:rsidRPr="00131EED" w:rsidRDefault="00F421F8">
            <w:pPr>
              <w:jc w:val="center"/>
              <w:rPr>
                <w:sz w:val="18"/>
                <w:szCs w:val="18"/>
                <w:lang w:eastAsia="en-US"/>
              </w:rPr>
            </w:pPr>
            <w:r w:rsidRPr="00131EED">
              <w:rPr>
                <w:sz w:val="18"/>
                <w:szCs w:val="18"/>
                <w:lang w:eastAsia="en-US"/>
              </w:rPr>
              <w:t>700.061</w:t>
            </w:r>
          </w:p>
        </w:tc>
      </w:tr>
      <w:tr w:rsidR="00F421F8" w:rsidRPr="00131EED" w14:paraId="3874604E" w14:textId="77777777" w:rsidTr="00E53D3D">
        <w:trPr>
          <w:trHeight w:val="550"/>
        </w:trPr>
        <w:tc>
          <w:tcPr>
            <w:tcW w:w="652" w:type="pct"/>
            <w:hideMark/>
          </w:tcPr>
          <w:p w14:paraId="2E7F708B" w14:textId="77777777" w:rsidR="00F421F8" w:rsidRPr="00131EED" w:rsidRDefault="00F421F8">
            <w:pPr>
              <w:jc w:val="center"/>
              <w:rPr>
                <w:b/>
                <w:sz w:val="18"/>
                <w:szCs w:val="18"/>
                <w:lang w:eastAsia="en-US"/>
              </w:rPr>
            </w:pPr>
            <w:r w:rsidRPr="00131EED">
              <w:rPr>
                <w:b/>
                <w:sz w:val="18"/>
                <w:szCs w:val="18"/>
                <w:lang w:eastAsia="en-US"/>
              </w:rPr>
              <w:t>Suelo Rural - Corredor Suburbano</w:t>
            </w:r>
          </w:p>
        </w:tc>
        <w:tc>
          <w:tcPr>
            <w:tcW w:w="399" w:type="pct"/>
            <w:noWrap/>
            <w:hideMark/>
          </w:tcPr>
          <w:p w14:paraId="6A0D54BE" w14:textId="77777777" w:rsidR="00F421F8" w:rsidRPr="00131EED" w:rsidRDefault="00F421F8">
            <w:pPr>
              <w:jc w:val="center"/>
              <w:rPr>
                <w:rFonts w:cs="Calibri"/>
                <w:sz w:val="18"/>
                <w:szCs w:val="18"/>
                <w:lang w:eastAsia="en-US"/>
              </w:rPr>
            </w:pPr>
            <w:r w:rsidRPr="00131EED">
              <w:rPr>
                <w:rFonts w:cs="Calibri"/>
                <w:sz w:val="18"/>
                <w:szCs w:val="18"/>
                <w:lang w:eastAsia="en-US"/>
              </w:rPr>
              <w:t>53.25</w:t>
            </w:r>
          </w:p>
        </w:tc>
        <w:tc>
          <w:tcPr>
            <w:tcW w:w="399" w:type="pct"/>
            <w:noWrap/>
            <w:hideMark/>
          </w:tcPr>
          <w:p w14:paraId="1C78EB78" w14:textId="77777777" w:rsidR="00F421F8" w:rsidRPr="00131EED" w:rsidRDefault="00F421F8">
            <w:pPr>
              <w:jc w:val="center"/>
              <w:rPr>
                <w:sz w:val="18"/>
                <w:szCs w:val="18"/>
                <w:lang w:eastAsia="en-US"/>
              </w:rPr>
            </w:pPr>
            <w:r w:rsidRPr="00131EED">
              <w:rPr>
                <w:sz w:val="18"/>
                <w:szCs w:val="18"/>
                <w:lang w:eastAsia="en-US"/>
              </w:rPr>
              <w:t>174.88</w:t>
            </w:r>
          </w:p>
        </w:tc>
        <w:tc>
          <w:tcPr>
            <w:tcW w:w="399" w:type="pct"/>
            <w:noWrap/>
            <w:hideMark/>
          </w:tcPr>
          <w:p w14:paraId="65EE2A64" w14:textId="77777777" w:rsidR="00F421F8" w:rsidRPr="00131EED" w:rsidRDefault="00F421F8">
            <w:pPr>
              <w:jc w:val="center"/>
              <w:rPr>
                <w:sz w:val="18"/>
                <w:szCs w:val="18"/>
                <w:lang w:eastAsia="en-US"/>
              </w:rPr>
            </w:pPr>
            <w:r w:rsidRPr="00131EED">
              <w:rPr>
                <w:sz w:val="18"/>
                <w:szCs w:val="18"/>
                <w:lang w:eastAsia="en-US"/>
              </w:rPr>
              <w:t>119.13</w:t>
            </w:r>
          </w:p>
        </w:tc>
        <w:tc>
          <w:tcPr>
            <w:tcW w:w="489" w:type="pct"/>
            <w:noWrap/>
            <w:hideMark/>
          </w:tcPr>
          <w:p w14:paraId="7CDD2953" w14:textId="77777777" w:rsidR="00F421F8" w:rsidRPr="00131EED" w:rsidRDefault="00F421F8">
            <w:pPr>
              <w:jc w:val="center"/>
              <w:rPr>
                <w:sz w:val="18"/>
                <w:szCs w:val="18"/>
                <w:lang w:eastAsia="en-US"/>
              </w:rPr>
            </w:pPr>
            <w:r w:rsidRPr="00131EED">
              <w:rPr>
                <w:sz w:val="18"/>
                <w:szCs w:val="18"/>
                <w:lang w:eastAsia="en-US"/>
              </w:rPr>
              <w:t>94.73</w:t>
            </w:r>
          </w:p>
        </w:tc>
        <w:tc>
          <w:tcPr>
            <w:tcW w:w="458" w:type="pct"/>
            <w:noWrap/>
            <w:hideMark/>
          </w:tcPr>
          <w:p w14:paraId="4B873DAD" w14:textId="77777777" w:rsidR="00F421F8" w:rsidRPr="00131EED" w:rsidRDefault="00F421F8">
            <w:pPr>
              <w:jc w:val="center"/>
              <w:rPr>
                <w:sz w:val="18"/>
                <w:szCs w:val="18"/>
                <w:lang w:eastAsia="en-US"/>
              </w:rPr>
            </w:pPr>
            <w:r w:rsidRPr="00131EED">
              <w:rPr>
                <w:sz w:val="18"/>
                <w:szCs w:val="18"/>
                <w:lang w:eastAsia="en-US"/>
              </w:rPr>
              <w:t>0</w:t>
            </w:r>
          </w:p>
        </w:tc>
        <w:tc>
          <w:tcPr>
            <w:tcW w:w="459" w:type="pct"/>
            <w:noWrap/>
            <w:hideMark/>
          </w:tcPr>
          <w:p w14:paraId="1E55FEAD" w14:textId="77777777" w:rsidR="00F421F8" w:rsidRPr="00131EED" w:rsidRDefault="00F421F8">
            <w:pPr>
              <w:jc w:val="center"/>
              <w:rPr>
                <w:sz w:val="18"/>
                <w:szCs w:val="18"/>
                <w:lang w:eastAsia="en-US"/>
              </w:rPr>
            </w:pPr>
            <w:r w:rsidRPr="00131EED">
              <w:rPr>
                <w:sz w:val="18"/>
                <w:szCs w:val="18"/>
                <w:lang w:eastAsia="en-US"/>
              </w:rPr>
              <w:t>374.66</w:t>
            </w:r>
          </w:p>
        </w:tc>
        <w:tc>
          <w:tcPr>
            <w:tcW w:w="444" w:type="pct"/>
            <w:hideMark/>
          </w:tcPr>
          <w:p w14:paraId="6417EABE" w14:textId="77777777" w:rsidR="00F421F8" w:rsidRPr="00131EED" w:rsidRDefault="00F421F8">
            <w:pPr>
              <w:jc w:val="center"/>
              <w:rPr>
                <w:sz w:val="18"/>
                <w:szCs w:val="18"/>
                <w:lang w:eastAsia="en-US"/>
              </w:rPr>
            </w:pPr>
            <w:r w:rsidRPr="00131EED">
              <w:rPr>
                <w:sz w:val="18"/>
                <w:szCs w:val="18"/>
                <w:lang w:eastAsia="en-US"/>
              </w:rPr>
              <w:t>123.333</w:t>
            </w:r>
          </w:p>
        </w:tc>
        <w:tc>
          <w:tcPr>
            <w:tcW w:w="444" w:type="pct"/>
            <w:noWrap/>
            <w:hideMark/>
          </w:tcPr>
          <w:p w14:paraId="04956833" w14:textId="77777777" w:rsidR="00F421F8" w:rsidRPr="00131EED" w:rsidRDefault="00F421F8">
            <w:pPr>
              <w:jc w:val="center"/>
              <w:rPr>
                <w:sz w:val="18"/>
                <w:szCs w:val="18"/>
                <w:lang w:eastAsia="en-US"/>
              </w:rPr>
            </w:pPr>
            <w:r w:rsidRPr="00131EED">
              <w:rPr>
                <w:sz w:val="18"/>
                <w:szCs w:val="18"/>
                <w:lang w:eastAsia="en-US"/>
              </w:rPr>
              <w:t>-</w:t>
            </w:r>
          </w:p>
        </w:tc>
        <w:tc>
          <w:tcPr>
            <w:tcW w:w="399" w:type="pct"/>
            <w:noWrap/>
            <w:hideMark/>
          </w:tcPr>
          <w:p w14:paraId="72CB1297" w14:textId="77777777" w:rsidR="00F421F8" w:rsidRPr="00131EED" w:rsidRDefault="00F421F8">
            <w:pPr>
              <w:jc w:val="center"/>
              <w:rPr>
                <w:sz w:val="18"/>
                <w:szCs w:val="18"/>
                <w:lang w:eastAsia="en-US"/>
              </w:rPr>
            </w:pPr>
            <w:r w:rsidRPr="00131EED">
              <w:rPr>
                <w:sz w:val="18"/>
                <w:szCs w:val="18"/>
                <w:lang w:eastAsia="en-US"/>
              </w:rPr>
              <w:t>70.03</w:t>
            </w:r>
          </w:p>
        </w:tc>
        <w:tc>
          <w:tcPr>
            <w:tcW w:w="460" w:type="pct"/>
            <w:noWrap/>
            <w:hideMark/>
          </w:tcPr>
          <w:p w14:paraId="73950F2E" w14:textId="77777777" w:rsidR="00F421F8" w:rsidRPr="00131EED" w:rsidRDefault="00F421F8">
            <w:pPr>
              <w:jc w:val="center"/>
              <w:rPr>
                <w:sz w:val="18"/>
                <w:szCs w:val="18"/>
                <w:lang w:eastAsia="en-US"/>
              </w:rPr>
            </w:pPr>
            <w:r w:rsidRPr="00131EED">
              <w:rPr>
                <w:sz w:val="18"/>
                <w:szCs w:val="18"/>
                <w:lang w:eastAsia="en-US"/>
              </w:rPr>
              <w:t>1010.013</w:t>
            </w:r>
          </w:p>
        </w:tc>
      </w:tr>
      <w:tr w:rsidR="00F421F8" w:rsidRPr="00131EED" w14:paraId="73D92048" w14:textId="77777777" w:rsidTr="00E53D3D">
        <w:trPr>
          <w:trHeight w:val="550"/>
        </w:trPr>
        <w:tc>
          <w:tcPr>
            <w:tcW w:w="652" w:type="pct"/>
            <w:hideMark/>
          </w:tcPr>
          <w:p w14:paraId="639F6F45" w14:textId="77777777" w:rsidR="00F421F8" w:rsidRPr="00131EED" w:rsidRDefault="00F421F8">
            <w:pPr>
              <w:jc w:val="center"/>
              <w:rPr>
                <w:b/>
                <w:sz w:val="18"/>
                <w:szCs w:val="18"/>
                <w:lang w:eastAsia="en-US"/>
              </w:rPr>
            </w:pPr>
            <w:r w:rsidRPr="00131EED">
              <w:rPr>
                <w:b/>
                <w:sz w:val="18"/>
                <w:szCs w:val="18"/>
                <w:lang w:eastAsia="en-US"/>
              </w:rPr>
              <w:t>Suelo Rural - Otros Suburbano</w:t>
            </w:r>
          </w:p>
        </w:tc>
        <w:tc>
          <w:tcPr>
            <w:tcW w:w="399" w:type="pct"/>
            <w:noWrap/>
            <w:hideMark/>
          </w:tcPr>
          <w:p w14:paraId="767C8939" w14:textId="77777777" w:rsidR="00F421F8" w:rsidRPr="00131EED" w:rsidRDefault="00F421F8">
            <w:pPr>
              <w:jc w:val="center"/>
              <w:rPr>
                <w:rFonts w:cs="Calibri"/>
                <w:sz w:val="18"/>
                <w:szCs w:val="18"/>
                <w:lang w:eastAsia="en-US"/>
              </w:rPr>
            </w:pPr>
            <w:r w:rsidRPr="00131EED">
              <w:rPr>
                <w:rFonts w:cs="Calibri"/>
                <w:sz w:val="18"/>
                <w:szCs w:val="18"/>
                <w:lang w:eastAsia="en-US"/>
              </w:rPr>
              <w:t>24.52</w:t>
            </w:r>
          </w:p>
        </w:tc>
        <w:tc>
          <w:tcPr>
            <w:tcW w:w="399" w:type="pct"/>
            <w:noWrap/>
            <w:hideMark/>
          </w:tcPr>
          <w:p w14:paraId="22A943C6" w14:textId="77777777" w:rsidR="00F421F8" w:rsidRPr="00131EED" w:rsidRDefault="00F421F8">
            <w:pPr>
              <w:jc w:val="center"/>
              <w:rPr>
                <w:sz w:val="18"/>
                <w:szCs w:val="18"/>
                <w:lang w:eastAsia="en-US"/>
              </w:rPr>
            </w:pPr>
            <w:r w:rsidRPr="00131EED">
              <w:rPr>
                <w:sz w:val="18"/>
                <w:szCs w:val="18"/>
                <w:lang w:eastAsia="en-US"/>
              </w:rPr>
              <w:t>115.85</w:t>
            </w:r>
          </w:p>
        </w:tc>
        <w:tc>
          <w:tcPr>
            <w:tcW w:w="399" w:type="pct"/>
            <w:noWrap/>
            <w:hideMark/>
          </w:tcPr>
          <w:p w14:paraId="5299C457" w14:textId="77777777" w:rsidR="00F421F8" w:rsidRPr="00131EED" w:rsidRDefault="00F421F8">
            <w:pPr>
              <w:jc w:val="center"/>
              <w:rPr>
                <w:sz w:val="18"/>
                <w:szCs w:val="18"/>
                <w:lang w:eastAsia="en-US"/>
              </w:rPr>
            </w:pPr>
            <w:r w:rsidRPr="00131EED">
              <w:rPr>
                <w:sz w:val="18"/>
                <w:szCs w:val="18"/>
                <w:lang w:eastAsia="en-US"/>
              </w:rPr>
              <w:t>1149.07</w:t>
            </w:r>
          </w:p>
        </w:tc>
        <w:tc>
          <w:tcPr>
            <w:tcW w:w="489" w:type="pct"/>
            <w:noWrap/>
            <w:hideMark/>
          </w:tcPr>
          <w:p w14:paraId="700E2D65" w14:textId="77777777" w:rsidR="00F421F8" w:rsidRPr="00131EED" w:rsidRDefault="00F421F8">
            <w:pPr>
              <w:jc w:val="center"/>
              <w:rPr>
                <w:sz w:val="18"/>
                <w:szCs w:val="18"/>
                <w:lang w:eastAsia="en-US"/>
              </w:rPr>
            </w:pPr>
            <w:r w:rsidRPr="00131EED">
              <w:rPr>
                <w:sz w:val="18"/>
                <w:szCs w:val="18"/>
                <w:lang w:eastAsia="en-US"/>
              </w:rPr>
              <w:t>0</w:t>
            </w:r>
          </w:p>
        </w:tc>
        <w:tc>
          <w:tcPr>
            <w:tcW w:w="458" w:type="pct"/>
            <w:noWrap/>
            <w:hideMark/>
          </w:tcPr>
          <w:p w14:paraId="6AF07C31" w14:textId="77777777" w:rsidR="00F421F8" w:rsidRPr="00131EED" w:rsidRDefault="00F421F8">
            <w:pPr>
              <w:jc w:val="center"/>
              <w:rPr>
                <w:sz w:val="18"/>
                <w:szCs w:val="18"/>
                <w:lang w:eastAsia="en-US"/>
              </w:rPr>
            </w:pPr>
            <w:r w:rsidRPr="00131EED">
              <w:rPr>
                <w:sz w:val="18"/>
                <w:szCs w:val="18"/>
                <w:lang w:eastAsia="en-US"/>
              </w:rPr>
              <w:t>502.11</w:t>
            </w:r>
          </w:p>
        </w:tc>
        <w:tc>
          <w:tcPr>
            <w:tcW w:w="459" w:type="pct"/>
            <w:noWrap/>
            <w:hideMark/>
          </w:tcPr>
          <w:p w14:paraId="26D9516C" w14:textId="77777777" w:rsidR="00F421F8" w:rsidRPr="00131EED" w:rsidRDefault="00F421F8">
            <w:pPr>
              <w:jc w:val="center"/>
              <w:rPr>
                <w:sz w:val="18"/>
                <w:szCs w:val="18"/>
                <w:lang w:eastAsia="en-US"/>
              </w:rPr>
            </w:pPr>
            <w:r w:rsidRPr="00131EED">
              <w:rPr>
                <w:sz w:val="18"/>
                <w:szCs w:val="18"/>
                <w:lang w:eastAsia="en-US"/>
              </w:rPr>
              <w:t>87.69</w:t>
            </w:r>
          </w:p>
        </w:tc>
        <w:tc>
          <w:tcPr>
            <w:tcW w:w="444" w:type="pct"/>
            <w:hideMark/>
          </w:tcPr>
          <w:p w14:paraId="7A156C2E" w14:textId="77777777" w:rsidR="00F421F8" w:rsidRPr="00131EED" w:rsidRDefault="00F421F8">
            <w:pPr>
              <w:jc w:val="center"/>
              <w:rPr>
                <w:sz w:val="18"/>
                <w:szCs w:val="18"/>
                <w:lang w:eastAsia="en-US"/>
              </w:rPr>
            </w:pPr>
            <w:r w:rsidRPr="00131EED">
              <w:rPr>
                <w:sz w:val="18"/>
                <w:szCs w:val="18"/>
                <w:lang w:eastAsia="en-US"/>
              </w:rPr>
              <w:t>722.123</w:t>
            </w:r>
          </w:p>
        </w:tc>
        <w:tc>
          <w:tcPr>
            <w:tcW w:w="444" w:type="pct"/>
            <w:noWrap/>
            <w:hideMark/>
          </w:tcPr>
          <w:p w14:paraId="22E419A6" w14:textId="77777777" w:rsidR="00F421F8" w:rsidRPr="00131EED" w:rsidRDefault="00F421F8">
            <w:pPr>
              <w:jc w:val="center"/>
              <w:rPr>
                <w:sz w:val="18"/>
                <w:szCs w:val="18"/>
                <w:lang w:eastAsia="en-US"/>
              </w:rPr>
            </w:pPr>
            <w:r w:rsidRPr="00131EED">
              <w:rPr>
                <w:sz w:val="18"/>
                <w:szCs w:val="18"/>
                <w:lang w:eastAsia="en-US"/>
              </w:rPr>
              <w:t>-</w:t>
            </w:r>
          </w:p>
        </w:tc>
        <w:tc>
          <w:tcPr>
            <w:tcW w:w="399" w:type="pct"/>
            <w:noWrap/>
            <w:hideMark/>
          </w:tcPr>
          <w:p w14:paraId="23B8AF60" w14:textId="77777777" w:rsidR="00F421F8" w:rsidRPr="00131EED" w:rsidRDefault="00F421F8">
            <w:pPr>
              <w:jc w:val="center"/>
              <w:rPr>
                <w:sz w:val="18"/>
                <w:szCs w:val="18"/>
                <w:lang w:eastAsia="en-US"/>
              </w:rPr>
            </w:pPr>
            <w:r w:rsidRPr="00131EED">
              <w:rPr>
                <w:sz w:val="18"/>
                <w:szCs w:val="18"/>
                <w:lang w:eastAsia="en-US"/>
              </w:rPr>
              <w:t>579.51</w:t>
            </w:r>
          </w:p>
        </w:tc>
        <w:tc>
          <w:tcPr>
            <w:tcW w:w="460" w:type="pct"/>
            <w:noWrap/>
            <w:hideMark/>
          </w:tcPr>
          <w:p w14:paraId="7F2CC6F2" w14:textId="77777777" w:rsidR="00F421F8" w:rsidRPr="00131EED" w:rsidRDefault="00F421F8">
            <w:pPr>
              <w:jc w:val="center"/>
              <w:rPr>
                <w:sz w:val="18"/>
                <w:szCs w:val="18"/>
                <w:lang w:eastAsia="en-US"/>
              </w:rPr>
            </w:pPr>
            <w:r w:rsidRPr="00131EED">
              <w:rPr>
                <w:sz w:val="18"/>
                <w:szCs w:val="18"/>
                <w:lang w:eastAsia="en-US"/>
              </w:rPr>
              <w:t>3180.873</w:t>
            </w:r>
          </w:p>
        </w:tc>
      </w:tr>
      <w:tr w:rsidR="00F421F8" w:rsidRPr="00131EED" w14:paraId="40D6A19C" w14:textId="77777777" w:rsidTr="00E53D3D">
        <w:trPr>
          <w:trHeight w:val="733"/>
        </w:trPr>
        <w:tc>
          <w:tcPr>
            <w:tcW w:w="652" w:type="pct"/>
            <w:hideMark/>
          </w:tcPr>
          <w:p w14:paraId="6BB8596C" w14:textId="77777777" w:rsidR="00F421F8" w:rsidRPr="00131EED" w:rsidRDefault="00F421F8">
            <w:pPr>
              <w:jc w:val="center"/>
              <w:rPr>
                <w:b/>
                <w:sz w:val="18"/>
                <w:szCs w:val="18"/>
                <w:lang w:eastAsia="en-US"/>
              </w:rPr>
            </w:pPr>
            <w:r w:rsidRPr="00131EED">
              <w:rPr>
                <w:b/>
                <w:sz w:val="18"/>
                <w:szCs w:val="18"/>
                <w:lang w:eastAsia="en-US"/>
              </w:rPr>
              <w:t>Suelo Rural- Centros poblados rurales</w:t>
            </w:r>
          </w:p>
        </w:tc>
        <w:tc>
          <w:tcPr>
            <w:tcW w:w="399" w:type="pct"/>
            <w:noWrap/>
            <w:hideMark/>
          </w:tcPr>
          <w:p w14:paraId="1A4B7A66" w14:textId="77777777" w:rsidR="00F421F8" w:rsidRPr="00131EED" w:rsidRDefault="00F421F8">
            <w:pPr>
              <w:jc w:val="center"/>
              <w:rPr>
                <w:rFonts w:cs="Calibri"/>
                <w:sz w:val="18"/>
                <w:szCs w:val="18"/>
                <w:lang w:eastAsia="en-US"/>
              </w:rPr>
            </w:pPr>
            <w:r w:rsidRPr="00131EED">
              <w:rPr>
                <w:rFonts w:cs="Calibri"/>
                <w:sz w:val="18"/>
                <w:szCs w:val="18"/>
                <w:lang w:eastAsia="en-US"/>
              </w:rPr>
              <w:t>72.61</w:t>
            </w:r>
          </w:p>
        </w:tc>
        <w:tc>
          <w:tcPr>
            <w:tcW w:w="399" w:type="pct"/>
            <w:noWrap/>
            <w:hideMark/>
          </w:tcPr>
          <w:p w14:paraId="5CA35FC3" w14:textId="77777777" w:rsidR="00F421F8" w:rsidRPr="00131EED" w:rsidRDefault="00F421F8">
            <w:pPr>
              <w:jc w:val="center"/>
              <w:rPr>
                <w:sz w:val="18"/>
                <w:szCs w:val="18"/>
                <w:lang w:eastAsia="en-US"/>
              </w:rPr>
            </w:pPr>
            <w:r w:rsidRPr="00131EED">
              <w:rPr>
                <w:sz w:val="18"/>
                <w:szCs w:val="18"/>
                <w:lang w:eastAsia="en-US"/>
              </w:rPr>
              <w:t>85.51</w:t>
            </w:r>
          </w:p>
        </w:tc>
        <w:tc>
          <w:tcPr>
            <w:tcW w:w="399" w:type="pct"/>
            <w:noWrap/>
            <w:hideMark/>
          </w:tcPr>
          <w:p w14:paraId="029DAB56" w14:textId="77777777" w:rsidR="00F421F8" w:rsidRPr="00131EED" w:rsidRDefault="00F421F8">
            <w:pPr>
              <w:jc w:val="center"/>
              <w:rPr>
                <w:sz w:val="18"/>
                <w:szCs w:val="18"/>
                <w:lang w:eastAsia="en-US"/>
              </w:rPr>
            </w:pPr>
            <w:r w:rsidRPr="00131EED">
              <w:rPr>
                <w:sz w:val="18"/>
                <w:szCs w:val="18"/>
                <w:lang w:eastAsia="en-US"/>
              </w:rPr>
              <w:t>2.3</w:t>
            </w:r>
          </w:p>
        </w:tc>
        <w:tc>
          <w:tcPr>
            <w:tcW w:w="489" w:type="pct"/>
            <w:noWrap/>
            <w:hideMark/>
          </w:tcPr>
          <w:p w14:paraId="75C2C081" w14:textId="77777777" w:rsidR="00F421F8" w:rsidRPr="00131EED" w:rsidRDefault="00F421F8">
            <w:pPr>
              <w:jc w:val="center"/>
              <w:rPr>
                <w:sz w:val="18"/>
                <w:szCs w:val="18"/>
                <w:lang w:eastAsia="en-US"/>
              </w:rPr>
            </w:pPr>
            <w:r w:rsidRPr="00131EED">
              <w:rPr>
                <w:sz w:val="18"/>
                <w:szCs w:val="18"/>
                <w:lang w:eastAsia="en-US"/>
              </w:rPr>
              <w:t>49.35</w:t>
            </w:r>
          </w:p>
        </w:tc>
        <w:tc>
          <w:tcPr>
            <w:tcW w:w="458" w:type="pct"/>
            <w:noWrap/>
            <w:hideMark/>
          </w:tcPr>
          <w:p w14:paraId="4B6012E5" w14:textId="77777777" w:rsidR="00F421F8" w:rsidRPr="00131EED" w:rsidRDefault="00F421F8">
            <w:pPr>
              <w:jc w:val="center"/>
              <w:rPr>
                <w:sz w:val="18"/>
                <w:szCs w:val="18"/>
                <w:lang w:eastAsia="en-US"/>
              </w:rPr>
            </w:pPr>
            <w:r w:rsidRPr="00131EED">
              <w:rPr>
                <w:sz w:val="18"/>
                <w:szCs w:val="18"/>
                <w:lang w:eastAsia="en-US"/>
              </w:rPr>
              <w:t>186.55</w:t>
            </w:r>
          </w:p>
        </w:tc>
        <w:tc>
          <w:tcPr>
            <w:tcW w:w="459" w:type="pct"/>
            <w:noWrap/>
            <w:hideMark/>
          </w:tcPr>
          <w:p w14:paraId="3FC1B9AD" w14:textId="77777777" w:rsidR="00F421F8" w:rsidRPr="00131EED" w:rsidRDefault="00F421F8">
            <w:pPr>
              <w:jc w:val="center"/>
              <w:rPr>
                <w:sz w:val="18"/>
                <w:szCs w:val="18"/>
                <w:lang w:eastAsia="en-US"/>
              </w:rPr>
            </w:pPr>
            <w:r w:rsidRPr="00131EED">
              <w:rPr>
                <w:sz w:val="18"/>
                <w:szCs w:val="18"/>
                <w:lang w:eastAsia="en-US"/>
              </w:rPr>
              <w:t>222.35</w:t>
            </w:r>
          </w:p>
        </w:tc>
        <w:tc>
          <w:tcPr>
            <w:tcW w:w="444" w:type="pct"/>
            <w:hideMark/>
          </w:tcPr>
          <w:p w14:paraId="05FCFD90" w14:textId="77777777" w:rsidR="00F421F8" w:rsidRPr="00131EED" w:rsidRDefault="00F421F8">
            <w:pPr>
              <w:jc w:val="center"/>
              <w:rPr>
                <w:sz w:val="18"/>
                <w:szCs w:val="18"/>
                <w:lang w:eastAsia="en-US"/>
              </w:rPr>
            </w:pPr>
            <w:r w:rsidRPr="00131EED">
              <w:rPr>
                <w:sz w:val="18"/>
                <w:szCs w:val="18"/>
                <w:lang w:eastAsia="en-US"/>
              </w:rPr>
              <w:t>298.806</w:t>
            </w:r>
          </w:p>
        </w:tc>
        <w:tc>
          <w:tcPr>
            <w:tcW w:w="444" w:type="pct"/>
            <w:noWrap/>
            <w:hideMark/>
          </w:tcPr>
          <w:p w14:paraId="55983D60" w14:textId="77777777" w:rsidR="00F421F8" w:rsidRPr="00131EED" w:rsidRDefault="00F421F8">
            <w:pPr>
              <w:jc w:val="center"/>
              <w:rPr>
                <w:sz w:val="18"/>
                <w:szCs w:val="18"/>
                <w:lang w:eastAsia="en-US"/>
              </w:rPr>
            </w:pPr>
            <w:r w:rsidRPr="00131EED">
              <w:rPr>
                <w:sz w:val="18"/>
                <w:szCs w:val="18"/>
                <w:lang w:eastAsia="en-US"/>
              </w:rPr>
              <w:t>10.88</w:t>
            </w:r>
          </w:p>
        </w:tc>
        <w:tc>
          <w:tcPr>
            <w:tcW w:w="399" w:type="pct"/>
            <w:noWrap/>
            <w:hideMark/>
          </w:tcPr>
          <w:p w14:paraId="4C777154" w14:textId="77777777" w:rsidR="00F421F8" w:rsidRPr="00131EED" w:rsidRDefault="00F421F8">
            <w:pPr>
              <w:jc w:val="center"/>
              <w:rPr>
                <w:sz w:val="18"/>
                <w:szCs w:val="18"/>
                <w:lang w:eastAsia="en-US"/>
              </w:rPr>
            </w:pPr>
            <w:r w:rsidRPr="00131EED">
              <w:rPr>
                <w:sz w:val="18"/>
                <w:szCs w:val="18"/>
                <w:lang w:eastAsia="en-US"/>
              </w:rPr>
              <w:t>157.29</w:t>
            </w:r>
          </w:p>
        </w:tc>
        <w:tc>
          <w:tcPr>
            <w:tcW w:w="460" w:type="pct"/>
            <w:noWrap/>
            <w:hideMark/>
          </w:tcPr>
          <w:p w14:paraId="1D437B1C" w14:textId="77777777" w:rsidR="00F421F8" w:rsidRPr="00131EED" w:rsidRDefault="00F421F8">
            <w:pPr>
              <w:jc w:val="center"/>
              <w:rPr>
                <w:sz w:val="18"/>
                <w:szCs w:val="18"/>
                <w:lang w:eastAsia="en-US"/>
              </w:rPr>
            </w:pPr>
            <w:r w:rsidRPr="00131EED">
              <w:rPr>
                <w:sz w:val="18"/>
                <w:szCs w:val="18"/>
                <w:lang w:eastAsia="en-US"/>
              </w:rPr>
              <w:t>1085.646</w:t>
            </w:r>
          </w:p>
        </w:tc>
      </w:tr>
      <w:tr w:rsidR="00F421F8" w:rsidRPr="00131EED" w14:paraId="3B4CFCC3" w14:textId="77777777" w:rsidTr="00E53D3D">
        <w:trPr>
          <w:trHeight w:val="550"/>
        </w:trPr>
        <w:tc>
          <w:tcPr>
            <w:tcW w:w="652" w:type="pct"/>
            <w:hideMark/>
          </w:tcPr>
          <w:p w14:paraId="0502BF9B" w14:textId="77777777" w:rsidR="00F421F8" w:rsidRPr="00131EED" w:rsidRDefault="00F421F8">
            <w:pPr>
              <w:jc w:val="center"/>
              <w:rPr>
                <w:b/>
                <w:sz w:val="18"/>
                <w:szCs w:val="18"/>
                <w:lang w:eastAsia="en-US"/>
              </w:rPr>
            </w:pPr>
            <w:r w:rsidRPr="00131EED">
              <w:rPr>
                <w:b/>
                <w:sz w:val="18"/>
                <w:szCs w:val="18"/>
                <w:lang w:eastAsia="en-US"/>
              </w:rPr>
              <w:t>Suelo Rural – Vivienda campestre</w:t>
            </w:r>
          </w:p>
        </w:tc>
        <w:tc>
          <w:tcPr>
            <w:tcW w:w="399" w:type="pct"/>
            <w:noWrap/>
            <w:hideMark/>
          </w:tcPr>
          <w:p w14:paraId="557D604B" w14:textId="77777777" w:rsidR="00F421F8" w:rsidRPr="00131EED" w:rsidRDefault="00F421F8">
            <w:pPr>
              <w:jc w:val="center"/>
              <w:rPr>
                <w:rFonts w:cs="Calibri"/>
                <w:sz w:val="18"/>
                <w:szCs w:val="18"/>
                <w:lang w:eastAsia="en-US"/>
              </w:rPr>
            </w:pPr>
            <w:r w:rsidRPr="00131EED">
              <w:rPr>
                <w:rFonts w:cs="Calibri"/>
                <w:sz w:val="18"/>
                <w:szCs w:val="18"/>
                <w:lang w:eastAsia="en-US"/>
              </w:rPr>
              <w:t>0</w:t>
            </w:r>
          </w:p>
        </w:tc>
        <w:tc>
          <w:tcPr>
            <w:tcW w:w="399" w:type="pct"/>
            <w:noWrap/>
            <w:hideMark/>
          </w:tcPr>
          <w:p w14:paraId="45E405EC" w14:textId="77777777" w:rsidR="00F421F8" w:rsidRPr="00131EED" w:rsidRDefault="00F421F8">
            <w:pPr>
              <w:jc w:val="center"/>
              <w:rPr>
                <w:sz w:val="18"/>
                <w:szCs w:val="18"/>
                <w:lang w:eastAsia="en-US"/>
              </w:rPr>
            </w:pPr>
            <w:r w:rsidRPr="00131EED">
              <w:rPr>
                <w:sz w:val="18"/>
                <w:szCs w:val="18"/>
                <w:lang w:eastAsia="en-US"/>
              </w:rPr>
              <w:t>371.4</w:t>
            </w:r>
          </w:p>
        </w:tc>
        <w:tc>
          <w:tcPr>
            <w:tcW w:w="399" w:type="pct"/>
            <w:noWrap/>
            <w:hideMark/>
          </w:tcPr>
          <w:p w14:paraId="57C3FF0E" w14:textId="77777777" w:rsidR="00F421F8" w:rsidRPr="00131EED" w:rsidRDefault="00F421F8">
            <w:pPr>
              <w:jc w:val="center"/>
              <w:rPr>
                <w:sz w:val="18"/>
                <w:szCs w:val="18"/>
                <w:lang w:eastAsia="en-US"/>
              </w:rPr>
            </w:pPr>
            <w:r w:rsidRPr="00131EED">
              <w:rPr>
                <w:sz w:val="18"/>
                <w:szCs w:val="18"/>
                <w:lang w:eastAsia="en-US"/>
              </w:rPr>
              <w:t>0</w:t>
            </w:r>
          </w:p>
        </w:tc>
        <w:tc>
          <w:tcPr>
            <w:tcW w:w="489" w:type="pct"/>
            <w:noWrap/>
            <w:hideMark/>
          </w:tcPr>
          <w:p w14:paraId="151CB180" w14:textId="77777777" w:rsidR="00F421F8" w:rsidRPr="00131EED" w:rsidRDefault="00F421F8">
            <w:pPr>
              <w:jc w:val="center"/>
              <w:rPr>
                <w:sz w:val="18"/>
                <w:szCs w:val="18"/>
                <w:lang w:eastAsia="en-US"/>
              </w:rPr>
            </w:pPr>
            <w:r w:rsidRPr="00131EED">
              <w:rPr>
                <w:sz w:val="18"/>
                <w:szCs w:val="18"/>
                <w:lang w:eastAsia="en-US"/>
              </w:rPr>
              <w:t>141.95</w:t>
            </w:r>
          </w:p>
        </w:tc>
        <w:tc>
          <w:tcPr>
            <w:tcW w:w="458" w:type="pct"/>
            <w:noWrap/>
            <w:hideMark/>
          </w:tcPr>
          <w:p w14:paraId="08D2472E" w14:textId="77777777" w:rsidR="00F421F8" w:rsidRPr="00131EED" w:rsidRDefault="00F421F8">
            <w:pPr>
              <w:jc w:val="center"/>
              <w:rPr>
                <w:sz w:val="18"/>
                <w:szCs w:val="18"/>
                <w:lang w:eastAsia="en-US"/>
              </w:rPr>
            </w:pPr>
            <w:r w:rsidRPr="00131EED">
              <w:rPr>
                <w:sz w:val="18"/>
                <w:szCs w:val="18"/>
                <w:lang w:eastAsia="en-US"/>
              </w:rPr>
              <w:t>31.51</w:t>
            </w:r>
          </w:p>
        </w:tc>
        <w:tc>
          <w:tcPr>
            <w:tcW w:w="459" w:type="pct"/>
            <w:noWrap/>
            <w:hideMark/>
          </w:tcPr>
          <w:p w14:paraId="060174B9" w14:textId="77777777" w:rsidR="00F421F8" w:rsidRPr="00131EED" w:rsidRDefault="00F421F8">
            <w:pPr>
              <w:jc w:val="center"/>
              <w:rPr>
                <w:sz w:val="18"/>
                <w:szCs w:val="18"/>
                <w:lang w:eastAsia="en-US"/>
              </w:rPr>
            </w:pPr>
            <w:r w:rsidRPr="00131EED">
              <w:rPr>
                <w:sz w:val="18"/>
                <w:szCs w:val="18"/>
                <w:lang w:eastAsia="en-US"/>
              </w:rPr>
              <w:t>4068.72</w:t>
            </w:r>
          </w:p>
        </w:tc>
        <w:tc>
          <w:tcPr>
            <w:tcW w:w="444" w:type="pct"/>
            <w:hideMark/>
          </w:tcPr>
          <w:p w14:paraId="00E79BDA" w14:textId="77777777" w:rsidR="00F421F8" w:rsidRPr="00131EED" w:rsidRDefault="00F421F8">
            <w:pPr>
              <w:jc w:val="center"/>
              <w:rPr>
                <w:sz w:val="18"/>
                <w:szCs w:val="18"/>
                <w:lang w:eastAsia="en-US"/>
              </w:rPr>
            </w:pPr>
            <w:r w:rsidRPr="00131EED">
              <w:rPr>
                <w:sz w:val="18"/>
                <w:szCs w:val="18"/>
                <w:lang w:eastAsia="en-US"/>
              </w:rPr>
              <w:t>315.291</w:t>
            </w:r>
          </w:p>
        </w:tc>
        <w:tc>
          <w:tcPr>
            <w:tcW w:w="444" w:type="pct"/>
            <w:noWrap/>
            <w:hideMark/>
          </w:tcPr>
          <w:p w14:paraId="5052A7FA" w14:textId="77777777" w:rsidR="00F421F8" w:rsidRPr="00131EED" w:rsidRDefault="00F421F8">
            <w:pPr>
              <w:jc w:val="center"/>
              <w:rPr>
                <w:sz w:val="18"/>
                <w:szCs w:val="18"/>
                <w:lang w:eastAsia="en-US"/>
              </w:rPr>
            </w:pPr>
            <w:r w:rsidRPr="00131EED">
              <w:rPr>
                <w:sz w:val="18"/>
                <w:szCs w:val="18"/>
                <w:lang w:eastAsia="en-US"/>
              </w:rPr>
              <w:t>1179.61</w:t>
            </w:r>
          </w:p>
        </w:tc>
        <w:tc>
          <w:tcPr>
            <w:tcW w:w="399" w:type="pct"/>
            <w:noWrap/>
            <w:hideMark/>
          </w:tcPr>
          <w:p w14:paraId="0E02FAFD" w14:textId="77777777" w:rsidR="00F421F8" w:rsidRPr="00131EED" w:rsidRDefault="00F421F8">
            <w:pPr>
              <w:jc w:val="center"/>
              <w:rPr>
                <w:sz w:val="18"/>
                <w:szCs w:val="18"/>
                <w:lang w:eastAsia="en-US"/>
              </w:rPr>
            </w:pPr>
            <w:r w:rsidRPr="00131EED">
              <w:rPr>
                <w:sz w:val="18"/>
                <w:szCs w:val="18"/>
                <w:lang w:eastAsia="en-US"/>
              </w:rPr>
              <w:t>0</w:t>
            </w:r>
          </w:p>
        </w:tc>
        <w:tc>
          <w:tcPr>
            <w:tcW w:w="460" w:type="pct"/>
            <w:noWrap/>
            <w:hideMark/>
          </w:tcPr>
          <w:p w14:paraId="236380B2" w14:textId="77777777" w:rsidR="00F421F8" w:rsidRPr="00131EED" w:rsidRDefault="00F421F8">
            <w:pPr>
              <w:jc w:val="center"/>
              <w:rPr>
                <w:sz w:val="18"/>
                <w:szCs w:val="18"/>
                <w:lang w:eastAsia="en-US"/>
              </w:rPr>
            </w:pPr>
            <w:r w:rsidRPr="00131EED">
              <w:rPr>
                <w:sz w:val="18"/>
                <w:szCs w:val="18"/>
                <w:lang w:eastAsia="en-US"/>
              </w:rPr>
              <w:t>6108.481</w:t>
            </w:r>
          </w:p>
        </w:tc>
      </w:tr>
      <w:tr w:rsidR="00F421F8" w:rsidRPr="00131EED" w14:paraId="613E51E2" w14:textId="77777777" w:rsidTr="00E53D3D">
        <w:trPr>
          <w:trHeight w:val="550"/>
        </w:trPr>
        <w:tc>
          <w:tcPr>
            <w:tcW w:w="652" w:type="pct"/>
            <w:hideMark/>
          </w:tcPr>
          <w:p w14:paraId="1389A55A" w14:textId="77777777" w:rsidR="00F421F8" w:rsidRPr="00131EED" w:rsidRDefault="00F421F8">
            <w:pPr>
              <w:jc w:val="center"/>
              <w:rPr>
                <w:b/>
                <w:sz w:val="18"/>
                <w:szCs w:val="18"/>
                <w:lang w:eastAsia="en-US"/>
              </w:rPr>
            </w:pPr>
            <w:r w:rsidRPr="00131EED">
              <w:rPr>
                <w:b/>
                <w:sz w:val="18"/>
                <w:szCs w:val="18"/>
                <w:lang w:eastAsia="en-US"/>
              </w:rPr>
              <w:t>Suelo Rural - Agropecuario</w:t>
            </w:r>
          </w:p>
        </w:tc>
        <w:tc>
          <w:tcPr>
            <w:tcW w:w="399" w:type="pct"/>
            <w:noWrap/>
            <w:hideMark/>
          </w:tcPr>
          <w:p w14:paraId="22991F60" w14:textId="77777777" w:rsidR="00F421F8" w:rsidRPr="00131EED" w:rsidRDefault="00F421F8">
            <w:pPr>
              <w:jc w:val="center"/>
              <w:rPr>
                <w:rFonts w:cs="Calibri"/>
                <w:sz w:val="18"/>
                <w:szCs w:val="18"/>
                <w:lang w:eastAsia="en-US"/>
              </w:rPr>
            </w:pPr>
            <w:r w:rsidRPr="00131EED">
              <w:rPr>
                <w:rFonts w:cs="Calibri"/>
                <w:sz w:val="18"/>
                <w:szCs w:val="18"/>
                <w:lang w:eastAsia="en-US"/>
              </w:rPr>
              <w:t>5159.81</w:t>
            </w:r>
          </w:p>
        </w:tc>
        <w:tc>
          <w:tcPr>
            <w:tcW w:w="399" w:type="pct"/>
            <w:noWrap/>
            <w:hideMark/>
          </w:tcPr>
          <w:p w14:paraId="675569C2" w14:textId="77777777" w:rsidR="00F421F8" w:rsidRPr="00131EED" w:rsidRDefault="00F421F8">
            <w:pPr>
              <w:jc w:val="center"/>
              <w:rPr>
                <w:sz w:val="18"/>
                <w:szCs w:val="18"/>
                <w:lang w:eastAsia="en-US"/>
              </w:rPr>
            </w:pPr>
            <w:r w:rsidRPr="00131EED">
              <w:rPr>
                <w:sz w:val="18"/>
                <w:szCs w:val="18"/>
                <w:lang w:eastAsia="en-US"/>
              </w:rPr>
              <w:t>1172.57</w:t>
            </w:r>
          </w:p>
        </w:tc>
        <w:tc>
          <w:tcPr>
            <w:tcW w:w="399" w:type="pct"/>
            <w:noWrap/>
            <w:hideMark/>
          </w:tcPr>
          <w:p w14:paraId="52C7270B" w14:textId="77777777" w:rsidR="00F421F8" w:rsidRPr="00131EED" w:rsidRDefault="00F421F8">
            <w:pPr>
              <w:jc w:val="center"/>
              <w:rPr>
                <w:sz w:val="18"/>
                <w:szCs w:val="18"/>
                <w:lang w:eastAsia="en-US"/>
              </w:rPr>
            </w:pPr>
            <w:r w:rsidRPr="00131EED">
              <w:rPr>
                <w:sz w:val="18"/>
                <w:szCs w:val="18"/>
                <w:lang w:eastAsia="en-US"/>
              </w:rPr>
              <w:t>3729.16</w:t>
            </w:r>
          </w:p>
        </w:tc>
        <w:tc>
          <w:tcPr>
            <w:tcW w:w="489" w:type="pct"/>
            <w:noWrap/>
            <w:hideMark/>
          </w:tcPr>
          <w:p w14:paraId="3D31BC98" w14:textId="77777777" w:rsidR="00F421F8" w:rsidRPr="00131EED" w:rsidRDefault="00F421F8">
            <w:pPr>
              <w:jc w:val="center"/>
              <w:rPr>
                <w:sz w:val="18"/>
                <w:szCs w:val="18"/>
                <w:lang w:eastAsia="en-US"/>
              </w:rPr>
            </w:pPr>
            <w:r w:rsidRPr="00131EED">
              <w:rPr>
                <w:sz w:val="18"/>
                <w:szCs w:val="18"/>
                <w:lang w:eastAsia="en-US"/>
              </w:rPr>
              <w:t>2371.02</w:t>
            </w:r>
          </w:p>
        </w:tc>
        <w:tc>
          <w:tcPr>
            <w:tcW w:w="458" w:type="pct"/>
            <w:noWrap/>
            <w:hideMark/>
          </w:tcPr>
          <w:p w14:paraId="381CE6C4" w14:textId="77777777" w:rsidR="00F421F8" w:rsidRPr="00131EED" w:rsidRDefault="00F421F8">
            <w:pPr>
              <w:jc w:val="center"/>
              <w:rPr>
                <w:sz w:val="18"/>
                <w:szCs w:val="18"/>
                <w:lang w:eastAsia="en-US"/>
              </w:rPr>
            </w:pPr>
            <w:r w:rsidRPr="00131EED">
              <w:rPr>
                <w:sz w:val="18"/>
                <w:szCs w:val="18"/>
                <w:lang w:eastAsia="en-US"/>
              </w:rPr>
              <w:t>6704.54</w:t>
            </w:r>
          </w:p>
        </w:tc>
        <w:tc>
          <w:tcPr>
            <w:tcW w:w="459" w:type="pct"/>
            <w:noWrap/>
            <w:hideMark/>
          </w:tcPr>
          <w:p w14:paraId="47CDB4FC" w14:textId="77777777" w:rsidR="00F421F8" w:rsidRPr="00131EED" w:rsidRDefault="00F421F8">
            <w:pPr>
              <w:jc w:val="center"/>
              <w:rPr>
                <w:sz w:val="18"/>
                <w:szCs w:val="18"/>
                <w:lang w:eastAsia="en-US"/>
              </w:rPr>
            </w:pPr>
            <w:r w:rsidRPr="00131EED">
              <w:rPr>
                <w:sz w:val="18"/>
                <w:szCs w:val="18"/>
                <w:lang w:eastAsia="en-US"/>
              </w:rPr>
              <w:t>16113.27</w:t>
            </w:r>
          </w:p>
        </w:tc>
        <w:tc>
          <w:tcPr>
            <w:tcW w:w="444" w:type="pct"/>
            <w:hideMark/>
          </w:tcPr>
          <w:p w14:paraId="39A501D6" w14:textId="77777777" w:rsidR="00F421F8" w:rsidRPr="00131EED" w:rsidRDefault="00F421F8">
            <w:pPr>
              <w:jc w:val="center"/>
              <w:rPr>
                <w:sz w:val="18"/>
                <w:szCs w:val="18"/>
                <w:lang w:eastAsia="en-US"/>
              </w:rPr>
            </w:pPr>
            <w:r w:rsidRPr="00131EED">
              <w:rPr>
                <w:sz w:val="18"/>
                <w:szCs w:val="18"/>
                <w:lang w:eastAsia="en-US"/>
              </w:rPr>
              <w:t>7641.524</w:t>
            </w:r>
          </w:p>
        </w:tc>
        <w:tc>
          <w:tcPr>
            <w:tcW w:w="444" w:type="pct"/>
            <w:noWrap/>
            <w:hideMark/>
          </w:tcPr>
          <w:p w14:paraId="0A4443DD" w14:textId="77777777" w:rsidR="00F421F8" w:rsidRPr="00131EED" w:rsidRDefault="00F421F8">
            <w:pPr>
              <w:jc w:val="center"/>
              <w:rPr>
                <w:sz w:val="18"/>
                <w:szCs w:val="18"/>
                <w:lang w:eastAsia="en-US"/>
              </w:rPr>
            </w:pPr>
            <w:r w:rsidRPr="00131EED">
              <w:rPr>
                <w:sz w:val="18"/>
                <w:szCs w:val="18"/>
                <w:lang w:eastAsia="en-US"/>
              </w:rPr>
              <w:t>-</w:t>
            </w:r>
          </w:p>
        </w:tc>
        <w:tc>
          <w:tcPr>
            <w:tcW w:w="399" w:type="pct"/>
            <w:noWrap/>
            <w:hideMark/>
          </w:tcPr>
          <w:p w14:paraId="77EC35F2" w14:textId="77777777" w:rsidR="00F421F8" w:rsidRPr="00131EED" w:rsidRDefault="00F421F8">
            <w:pPr>
              <w:jc w:val="center"/>
              <w:rPr>
                <w:sz w:val="18"/>
                <w:szCs w:val="18"/>
                <w:lang w:eastAsia="en-US"/>
              </w:rPr>
            </w:pPr>
            <w:r w:rsidRPr="00131EED">
              <w:rPr>
                <w:sz w:val="18"/>
                <w:szCs w:val="18"/>
                <w:lang w:eastAsia="en-US"/>
              </w:rPr>
              <w:t>6054.35</w:t>
            </w:r>
          </w:p>
        </w:tc>
        <w:tc>
          <w:tcPr>
            <w:tcW w:w="460" w:type="pct"/>
            <w:noWrap/>
            <w:hideMark/>
          </w:tcPr>
          <w:p w14:paraId="3BDE7BC0" w14:textId="77777777" w:rsidR="00F421F8" w:rsidRPr="00131EED" w:rsidRDefault="00F421F8">
            <w:pPr>
              <w:jc w:val="center"/>
              <w:rPr>
                <w:sz w:val="18"/>
                <w:szCs w:val="18"/>
                <w:lang w:eastAsia="en-US"/>
              </w:rPr>
            </w:pPr>
            <w:r w:rsidRPr="00131EED">
              <w:rPr>
                <w:sz w:val="18"/>
                <w:szCs w:val="18"/>
                <w:lang w:eastAsia="en-US"/>
              </w:rPr>
              <w:t>48946.24</w:t>
            </w:r>
          </w:p>
        </w:tc>
      </w:tr>
      <w:tr w:rsidR="00F421F8" w:rsidRPr="00131EED" w14:paraId="39844B49" w14:textId="77777777" w:rsidTr="00E53D3D">
        <w:trPr>
          <w:trHeight w:val="550"/>
        </w:trPr>
        <w:tc>
          <w:tcPr>
            <w:tcW w:w="652" w:type="pct"/>
            <w:hideMark/>
          </w:tcPr>
          <w:p w14:paraId="2ED842D7" w14:textId="77777777" w:rsidR="00F421F8" w:rsidRPr="00131EED" w:rsidRDefault="00F421F8">
            <w:pPr>
              <w:jc w:val="center"/>
              <w:rPr>
                <w:b/>
                <w:sz w:val="18"/>
                <w:szCs w:val="18"/>
                <w:lang w:eastAsia="en-US"/>
              </w:rPr>
            </w:pPr>
            <w:r w:rsidRPr="00131EED">
              <w:rPr>
                <w:b/>
                <w:sz w:val="18"/>
                <w:szCs w:val="18"/>
                <w:lang w:eastAsia="en-US"/>
              </w:rPr>
              <w:t>Suelo rural - Equipamientos</w:t>
            </w:r>
          </w:p>
        </w:tc>
        <w:tc>
          <w:tcPr>
            <w:tcW w:w="399" w:type="pct"/>
            <w:noWrap/>
            <w:hideMark/>
          </w:tcPr>
          <w:p w14:paraId="3988EF9F" w14:textId="77777777" w:rsidR="00F421F8" w:rsidRPr="00131EED" w:rsidRDefault="00F421F8">
            <w:pPr>
              <w:jc w:val="center"/>
              <w:rPr>
                <w:rFonts w:cs="Calibri"/>
                <w:sz w:val="18"/>
                <w:szCs w:val="18"/>
                <w:lang w:eastAsia="en-US"/>
              </w:rPr>
            </w:pPr>
            <w:r w:rsidRPr="00131EED">
              <w:rPr>
                <w:rFonts w:cs="Calibri"/>
                <w:sz w:val="18"/>
                <w:szCs w:val="18"/>
                <w:lang w:eastAsia="en-US"/>
              </w:rPr>
              <w:t>101.75</w:t>
            </w:r>
          </w:p>
        </w:tc>
        <w:tc>
          <w:tcPr>
            <w:tcW w:w="399" w:type="pct"/>
            <w:noWrap/>
            <w:hideMark/>
          </w:tcPr>
          <w:p w14:paraId="555D8578" w14:textId="77777777" w:rsidR="00F421F8" w:rsidRPr="00131EED" w:rsidRDefault="00F421F8">
            <w:pPr>
              <w:jc w:val="center"/>
              <w:rPr>
                <w:sz w:val="18"/>
                <w:szCs w:val="18"/>
                <w:lang w:eastAsia="en-US"/>
              </w:rPr>
            </w:pPr>
            <w:r w:rsidRPr="00131EED">
              <w:rPr>
                <w:sz w:val="18"/>
                <w:szCs w:val="18"/>
                <w:lang w:eastAsia="en-US"/>
              </w:rPr>
              <w:t>0</w:t>
            </w:r>
          </w:p>
        </w:tc>
        <w:tc>
          <w:tcPr>
            <w:tcW w:w="399" w:type="pct"/>
            <w:noWrap/>
            <w:hideMark/>
          </w:tcPr>
          <w:p w14:paraId="7FD63D35" w14:textId="77777777" w:rsidR="00F421F8" w:rsidRPr="00131EED" w:rsidRDefault="00F421F8">
            <w:pPr>
              <w:jc w:val="center"/>
              <w:rPr>
                <w:sz w:val="18"/>
                <w:szCs w:val="18"/>
                <w:lang w:eastAsia="en-US"/>
              </w:rPr>
            </w:pPr>
            <w:r w:rsidRPr="00131EED">
              <w:rPr>
                <w:sz w:val="18"/>
                <w:szCs w:val="18"/>
                <w:lang w:eastAsia="en-US"/>
              </w:rPr>
              <w:t>0</w:t>
            </w:r>
          </w:p>
        </w:tc>
        <w:tc>
          <w:tcPr>
            <w:tcW w:w="489" w:type="pct"/>
            <w:noWrap/>
            <w:hideMark/>
          </w:tcPr>
          <w:p w14:paraId="58F71AAE" w14:textId="77777777" w:rsidR="00F421F8" w:rsidRPr="00131EED" w:rsidRDefault="00F421F8">
            <w:pPr>
              <w:jc w:val="center"/>
              <w:rPr>
                <w:sz w:val="18"/>
                <w:szCs w:val="18"/>
                <w:lang w:eastAsia="en-US"/>
              </w:rPr>
            </w:pPr>
            <w:r w:rsidRPr="00131EED">
              <w:rPr>
                <w:sz w:val="18"/>
                <w:szCs w:val="18"/>
                <w:lang w:eastAsia="en-US"/>
              </w:rPr>
              <w:t>0</w:t>
            </w:r>
          </w:p>
        </w:tc>
        <w:tc>
          <w:tcPr>
            <w:tcW w:w="458" w:type="pct"/>
            <w:noWrap/>
            <w:hideMark/>
          </w:tcPr>
          <w:p w14:paraId="1AC76BF1" w14:textId="77777777" w:rsidR="00F421F8" w:rsidRPr="00131EED" w:rsidRDefault="00F421F8">
            <w:pPr>
              <w:jc w:val="center"/>
              <w:rPr>
                <w:sz w:val="18"/>
                <w:szCs w:val="18"/>
                <w:lang w:eastAsia="en-US"/>
              </w:rPr>
            </w:pPr>
            <w:r w:rsidRPr="00131EED">
              <w:rPr>
                <w:sz w:val="18"/>
                <w:szCs w:val="18"/>
                <w:lang w:eastAsia="en-US"/>
              </w:rPr>
              <w:t>0</w:t>
            </w:r>
          </w:p>
        </w:tc>
        <w:tc>
          <w:tcPr>
            <w:tcW w:w="459" w:type="pct"/>
            <w:noWrap/>
            <w:hideMark/>
          </w:tcPr>
          <w:p w14:paraId="6F84B126" w14:textId="77777777" w:rsidR="00F421F8" w:rsidRPr="00131EED" w:rsidRDefault="00F421F8">
            <w:pPr>
              <w:jc w:val="center"/>
              <w:rPr>
                <w:sz w:val="18"/>
                <w:szCs w:val="18"/>
                <w:lang w:eastAsia="en-US"/>
              </w:rPr>
            </w:pPr>
            <w:r w:rsidRPr="00131EED">
              <w:rPr>
                <w:sz w:val="18"/>
                <w:szCs w:val="18"/>
                <w:lang w:eastAsia="en-US"/>
              </w:rPr>
              <w:t>161.65</w:t>
            </w:r>
          </w:p>
        </w:tc>
        <w:tc>
          <w:tcPr>
            <w:tcW w:w="444" w:type="pct"/>
            <w:hideMark/>
          </w:tcPr>
          <w:p w14:paraId="508CEC46" w14:textId="77777777" w:rsidR="00F421F8" w:rsidRPr="00131EED" w:rsidRDefault="00F421F8">
            <w:pPr>
              <w:jc w:val="center"/>
              <w:rPr>
                <w:sz w:val="18"/>
                <w:szCs w:val="18"/>
                <w:lang w:eastAsia="en-US"/>
              </w:rPr>
            </w:pPr>
            <w:r w:rsidRPr="00131EED">
              <w:rPr>
                <w:sz w:val="18"/>
                <w:szCs w:val="18"/>
                <w:lang w:eastAsia="en-US"/>
              </w:rPr>
              <w:t>52.297</w:t>
            </w:r>
          </w:p>
        </w:tc>
        <w:tc>
          <w:tcPr>
            <w:tcW w:w="444" w:type="pct"/>
            <w:noWrap/>
            <w:hideMark/>
          </w:tcPr>
          <w:p w14:paraId="495121CE" w14:textId="77777777" w:rsidR="00F421F8" w:rsidRPr="00131EED" w:rsidRDefault="00F421F8">
            <w:pPr>
              <w:jc w:val="center"/>
              <w:rPr>
                <w:sz w:val="18"/>
                <w:szCs w:val="18"/>
                <w:lang w:eastAsia="en-US"/>
              </w:rPr>
            </w:pPr>
            <w:r w:rsidRPr="00131EED">
              <w:rPr>
                <w:sz w:val="18"/>
                <w:szCs w:val="18"/>
                <w:lang w:eastAsia="en-US"/>
              </w:rPr>
              <w:t>-</w:t>
            </w:r>
          </w:p>
        </w:tc>
        <w:tc>
          <w:tcPr>
            <w:tcW w:w="399" w:type="pct"/>
            <w:noWrap/>
            <w:hideMark/>
          </w:tcPr>
          <w:p w14:paraId="488AB6A6" w14:textId="77777777" w:rsidR="00F421F8" w:rsidRPr="00131EED" w:rsidRDefault="00F421F8">
            <w:pPr>
              <w:jc w:val="center"/>
              <w:rPr>
                <w:sz w:val="18"/>
                <w:szCs w:val="18"/>
                <w:lang w:eastAsia="en-US"/>
              </w:rPr>
            </w:pPr>
            <w:r w:rsidRPr="00131EED">
              <w:rPr>
                <w:sz w:val="18"/>
                <w:szCs w:val="18"/>
                <w:lang w:eastAsia="en-US"/>
              </w:rPr>
              <w:t>68.56</w:t>
            </w:r>
          </w:p>
        </w:tc>
        <w:tc>
          <w:tcPr>
            <w:tcW w:w="460" w:type="pct"/>
            <w:noWrap/>
            <w:hideMark/>
          </w:tcPr>
          <w:p w14:paraId="0C8DDDD7" w14:textId="77777777" w:rsidR="00F421F8" w:rsidRPr="00131EED" w:rsidRDefault="00F421F8">
            <w:pPr>
              <w:jc w:val="center"/>
              <w:rPr>
                <w:sz w:val="18"/>
                <w:szCs w:val="18"/>
                <w:lang w:eastAsia="en-US"/>
              </w:rPr>
            </w:pPr>
            <w:r w:rsidRPr="00131EED">
              <w:rPr>
                <w:sz w:val="18"/>
                <w:szCs w:val="18"/>
                <w:lang w:eastAsia="en-US"/>
              </w:rPr>
              <w:t>384.257</w:t>
            </w:r>
          </w:p>
        </w:tc>
      </w:tr>
      <w:tr w:rsidR="00F421F8" w:rsidRPr="00131EED" w14:paraId="58735F5E" w14:textId="77777777" w:rsidTr="00E53D3D">
        <w:trPr>
          <w:trHeight w:val="550"/>
        </w:trPr>
        <w:tc>
          <w:tcPr>
            <w:tcW w:w="652" w:type="pct"/>
            <w:hideMark/>
          </w:tcPr>
          <w:p w14:paraId="2349029E" w14:textId="77777777" w:rsidR="00F421F8" w:rsidRPr="00131EED" w:rsidRDefault="00F421F8">
            <w:pPr>
              <w:jc w:val="center"/>
              <w:rPr>
                <w:b/>
                <w:sz w:val="18"/>
                <w:szCs w:val="18"/>
                <w:lang w:eastAsia="en-US"/>
              </w:rPr>
            </w:pPr>
            <w:r w:rsidRPr="00131EED">
              <w:rPr>
                <w:b/>
                <w:sz w:val="18"/>
                <w:szCs w:val="18"/>
                <w:lang w:eastAsia="en-US"/>
              </w:rPr>
              <w:t>Suelo de Protección Ambiental</w:t>
            </w:r>
          </w:p>
        </w:tc>
        <w:tc>
          <w:tcPr>
            <w:tcW w:w="399" w:type="pct"/>
            <w:noWrap/>
            <w:hideMark/>
          </w:tcPr>
          <w:p w14:paraId="42F62BBC" w14:textId="77777777" w:rsidR="00F421F8" w:rsidRPr="00131EED" w:rsidRDefault="00F421F8">
            <w:pPr>
              <w:jc w:val="center"/>
              <w:rPr>
                <w:rFonts w:cs="Calibri"/>
                <w:sz w:val="18"/>
                <w:szCs w:val="18"/>
                <w:lang w:eastAsia="en-US"/>
              </w:rPr>
            </w:pPr>
            <w:r w:rsidRPr="00131EED">
              <w:rPr>
                <w:rFonts w:cs="Calibri"/>
                <w:sz w:val="18"/>
                <w:szCs w:val="18"/>
                <w:lang w:eastAsia="en-US"/>
              </w:rPr>
              <w:t>5775.58</w:t>
            </w:r>
          </w:p>
        </w:tc>
        <w:tc>
          <w:tcPr>
            <w:tcW w:w="399" w:type="pct"/>
            <w:noWrap/>
            <w:hideMark/>
          </w:tcPr>
          <w:p w14:paraId="78F897F2" w14:textId="77777777" w:rsidR="00F421F8" w:rsidRPr="00131EED" w:rsidRDefault="00F421F8">
            <w:pPr>
              <w:jc w:val="center"/>
              <w:rPr>
                <w:sz w:val="18"/>
                <w:szCs w:val="18"/>
                <w:lang w:eastAsia="en-US"/>
              </w:rPr>
            </w:pPr>
            <w:r w:rsidRPr="00131EED">
              <w:rPr>
                <w:sz w:val="18"/>
                <w:szCs w:val="18"/>
                <w:lang w:eastAsia="en-US"/>
              </w:rPr>
              <w:t>3617.37</w:t>
            </w:r>
          </w:p>
        </w:tc>
        <w:tc>
          <w:tcPr>
            <w:tcW w:w="399" w:type="pct"/>
            <w:noWrap/>
            <w:hideMark/>
          </w:tcPr>
          <w:p w14:paraId="73EA1825" w14:textId="77777777" w:rsidR="00F421F8" w:rsidRPr="00131EED" w:rsidRDefault="00F421F8">
            <w:pPr>
              <w:jc w:val="center"/>
              <w:rPr>
                <w:sz w:val="18"/>
                <w:szCs w:val="18"/>
                <w:lang w:eastAsia="en-US"/>
              </w:rPr>
            </w:pPr>
            <w:r w:rsidRPr="00131EED">
              <w:rPr>
                <w:sz w:val="18"/>
                <w:szCs w:val="18"/>
                <w:lang w:eastAsia="en-US"/>
              </w:rPr>
              <w:t>1352.39</w:t>
            </w:r>
          </w:p>
        </w:tc>
        <w:tc>
          <w:tcPr>
            <w:tcW w:w="489" w:type="pct"/>
            <w:noWrap/>
            <w:hideMark/>
          </w:tcPr>
          <w:p w14:paraId="76AD3FBF" w14:textId="77777777" w:rsidR="00F421F8" w:rsidRPr="00131EED" w:rsidRDefault="00F421F8">
            <w:pPr>
              <w:jc w:val="center"/>
              <w:rPr>
                <w:sz w:val="18"/>
                <w:szCs w:val="18"/>
                <w:lang w:eastAsia="en-US"/>
              </w:rPr>
            </w:pPr>
            <w:r w:rsidRPr="00131EED">
              <w:rPr>
                <w:sz w:val="18"/>
                <w:szCs w:val="18"/>
                <w:lang w:eastAsia="en-US"/>
              </w:rPr>
              <w:t>2570.57</w:t>
            </w:r>
          </w:p>
        </w:tc>
        <w:tc>
          <w:tcPr>
            <w:tcW w:w="458" w:type="pct"/>
            <w:noWrap/>
            <w:hideMark/>
          </w:tcPr>
          <w:p w14:paraId="6F736969" w14:textId="77777777" w:rsidR="00F421F8" w:rsidRPr="00131EED" w:rsidRDefault="00F421F8">
            <w:pPr>
              <w:jc w:val="center"/>
              <w:rPr>
                <w:sz w:val="18"/>
                <w:szCs w:val="18"/>
                <w:lang w:eastAsia="en-US"/>
              </w:rPr>
            </w:pPr>
            <w:r w:rsidRPr="00131EED">
              <w:rPr>
                <w:sz w:val="18"/>
                <w:szCs w:val="18"/>
                <w:lang w:eastAsia="en-US"/>
              </w:rPr>
              <w:t>10698.19</w:t>
            </w:r>
          </w:p>
        </w:tc>
        <w:tc>
          <w:tcPr>
            <w:tcW w:w="459" w:type="pct"/>
            <w:noWrap/>
            <w:hideMark/>
          </w:tcPr>
          <w:p w14:paraId="399FD80E" w14:textId="77777777" w:rsidR="00F421F8" w:rsidRPr="00131EED" w:rsidRDefault="00F421F8">
            <w:pPr>
              <w:jc w:val="center"/>
              <w:rPr>
                <w:sz w:val="18"/>
                <w:szCs w:val="18"/>
                <w:lang w:eastAsia="en-US"/>
              </w:rPr>
            </w:pPr>
            <w:r w:rsidRPr="00131EED">
              <w:rPr>
                <w:sz w:val="18"/>
                <w:szCs w:val="18"/>
                <w:lang w:eastAsia="en-US"/>
              </w:rPr>
              <w:t>11677.86</w:t>
            </w:r>
          </w:p>
        </w:tc>
        <w:tc>
          <w:tcPr>
            <w:tcW w:w="444" w:type="pct"/>
            <w:hideMark/>
          </w:tcPr>
          <w:p w14:paraId="4430751E" w14:textId="77777777" w:rsidR="00F421F8" w:rsidRPr="00131EED" w:rsidRDefault="00F421F8">
            <w:pPr>
              <w:jc w:val="center"/>
              <w:rPr>
                <w:sz w:val="18"/>
                <w:szCs w:val="18"/>
                <w:lang w:eastAsia="en-US"/>
              </w:rPr>
            </w:pPr>
            <w:r w:rsidRPr="00131EED">
              <w:rPr>
                <w:sz w:val="18"/>
                <w:szCs w:val="18"/>
                <w:lang w:eastAsia="en-US"/>
              </w:rPr>
              <w:t>1784.787</w:t>
            </w:r>
          </w:p>
        </w:tc>
        <w:tc>
          <w:tcPr>
            <w:tcW w:w="444" w:type="pct"/>
            <w:noWrap/>
            <w:hideMark/>
          </w:tcPr>
          <w:p w14:paraId="1209C62F" w14:textId="77777777" w:rsidR="00F421F8" w:rsidRPr="00131EED" w:rsidRDefault="00F421F8">
            <w:pPr>
              <w:jc w:val="center"/>
              <w:rPr>
                <w:sz w:val="18"/>
                <w:szCs w:val="18"/>
                <w:lang w:eastAsia="en-US"/>
              </w:rPr>
            </w:pPr>
            <w:r w:rsidRPr="00131EED">
              <w:rPr>
                <w:sz w:val="18"/>
                <w:szCs w:val="18"/>
                <w:lang w:eastAsia="en-US"/>
              </w:rPr>
              <w:t>29343.27</w:t>
            </w:r>
          </w:p>
        </w:tc>
        <w:tc>
          <w:tcPr>
            <w:tcW w:w="399" w:type="pct"/>
            <w:noWrap/>
            <w:hideMark/>
          </w:tcPr>
          <w:p w14:paraId="1C04BB17" w14:textId="77777777" w:rsidR="00F421F8" w:rsidRPr="00131EED" w:rsidRDefault="00F421F8">
            <w:pPr>
              <w:jc w:val="center"/>
              <w:rPr>
                <w:sz w:val="18"/>
                <w:szCs w:val="18"/>
                <w:lang w:eastAsia="en-US"/>
              </w:rPr>
            </w:pPr>
            <w:r w:rsidRPr="00131EED">
              <w:rPr>
                <w:sz w:val="18"/>
                <w:szCs w:val="18"/>
                <w:lang w:eastAsia="en-US"/>
              </w:rPr>
              <w:t>6121.67</w:t>
            </w:r>
          </w:p>
        </w:tc>
        <w:tc>
          <w:tcPr>
            <w:tcW w:w="460" w:type="pct"/>
            <w:noWrap/>
            <w:hideMark/>
          </w:tcPr>
          <w:p w14:paraId="7C8A15CD" w14:textId="77777777" w:rsidR="00F421F8" w:rsidRPr="00131EED" w:rsidRDefault="00F421F8">
            <w:pPr>
              <w:jc w:val="center"/>
              <w:rPr>
                <w:sz w:val="18"/>
                <w:szCs w:val="18"/>
                <w:lang w:eastAsia="en-US"/>
              </w:rPr>
            </w:pPr>
            <w:r w:rsidRPr="00131EED">
              <w:rPr>
                <w:sz w:val="18"/>
                <w:szCs w:val="18"/>
                <w:lang w:eastAsia="en-US"/>
              </w:rPr>
              <w:t>72941.69</w:t>
            </w:r>
          </w:p>
        </w:tc>
      </w:tr>
      <w:tr w:rsidR="00F421F8" w:rsidRPr="00131EED" w14:paraId="719DF62A" w14:textId="77777777" w:rsidTr="00E53D3D">
        <w:trPr>
          <w:trHeight w:val="550"/>
        </w:trPr>
        <w:tc>
          <w:tcPr>
            <w:tcW w:w="652" w:type="pct"/>
            <w:hideMark/>
          </w:tcPr>
          <w:p w14:paraId="5D1E89C4" w14:textId="77777777" w:rsidR="00F421F8" w:rsidRPr="00131EED" w:rsidRDefault="00F421F8">
            <w:pPr>
              <w:jc w:val="center"/>
              <w:rPr>
                <w:b/>
                <w:sz w:val="18"/>
                <w:szCs w:val="18"/>
                <w:lang w:eastAsia="en-US"/>
              </w:rPr>
            </w:pPr>
            <w:r w:rsidRPr="00131EED">
              <w:rPr>
                <w:b/>
                <w:sz w:val="18"/>
                <w:szCs w:val="18"/>
                <w:lang w:eastAsia="en-US"/>
              </w:rPr>
              <w:t>Suelo de Protección - otro</w:t>
            </w:r>
          </w:p>
        </w:tc>
        <w:tc>
          <w:tcPr>
            <w:tcW w:w="399" w:type="pct"/>
            <w:noWrap/>
            <w:hideMark/>
          </w:tcPr>
          <w:p w14:paraId="7797FE44" w14:textId="77777777" w:rsidR="00F421F8" w:rsidRPr="00131EED" w:rsidRDefault="00F421F8">
            <w:pPr>
              <w:jc w:val="center"/>
              <w:rPr>
                <w:rFonts w:cs="Calibri"/>
                <w:sz w:val="18"/>
                <w:szCs w:val="18"/>
                <w:lang w:eastAsia="en-US"/>
              </w:rPr>
            </w:pPr>
            <w:r w:rsidRPr="00131EED">
              <w:rPr>
                <w:rFonts w:cs="Calibri"/>
                <w:sz w:val="18"/>
                <w:szCs w:val="18"/>
                <w:lang w:eastAsia="en-US"/>
              </w:rPr>
              <w:t>0</w:t>
            </w:r>
          </w:p>
        </w:tc>
        <w:tc>
          <w:tcPr>
            <w:tcW w:w="399" w:type="pct"/>
            <w:noWrap/>
            <w:hideMark/>
          </w:tcPr>
          <w:p w14:paraId="1D025D48" w14:textId="77777777" w:rsidR="00F421F8" w:rsidRPr="00131EED" w:rsidRDefault="00F421F8">
            <w:pPr>
              <w:jc w:val="center"/>
              <w:rPr>
                <w:sz w:val="18"/>
                <w:szCs w:val="18"/>
                <w:lang w:eastAsia="en-US"/>
              </w:rPr>
            </w:pPr>
            <w:r w:rsidRPr="00131EED">
              <w:rPr>
                <w:sz w:val="18"/>
                <w:szCs w:val="18"/>
                <w:lang w:eastAsia="en-US"/>
              </w:rPr>
              <w:t>0</w:t>
            </w:r>
          </w:p>
        </w:tc>
        <w:tc>
          <w:tcPr>
            <w:tcW w:w="399" w:type="pct"/>
            <w:noWrap/>
            <w:hideMark/>
          </w:tcPr>
          <w:p w14:paraId="7EC16041" w14:textId="77777777" w:rsidR="00F421F8" w:rsidRPr="00131EED" w:rsidRDefault="00F421F8">
            <w:pPr>
              <w:jc w:val="center"/>
              <w:rPr>
                <w:sz w:val="18"/>
                <w:szCs w:val="18"/>
                <w:lang w:eastAsia="en-US"/>
              </w:rPr>
            </w:pPr>
            <w:r w:rsidRPr="00131EED">
              <w:rPr>
                <w:sz w:val="18"/>
                <w:szCs w:val="18"/>
                <w:lang w:eastAsia="en-US"/>
              </w:rPr>
              <w:t>0</w:t>
            </w:r>
          </w:p>
        </w:tc>
        <w:tc>
          <w:tcPr>
            <w:tcW w:w="489" w:type="pct"/>
            <w:noWrap/>
            <w:hideMark/>
          </w:tcPr>
          <w:p w14:paraId="5B969A4B" w14:textId="77777777" w:rsidR="00F421F8" w:rsidRPr="00131EED" w:rsidRDefault="00F421F8">
            <w:pPr>
              <w:jc w:val="center"/>
              <w:rPr>
                <w:sz w:val="18"/>
                <w:szCs w:val="18"/>
                <w:lang w:eastAsia="en-US"/>
              </w:rPr>
            </w:pPr>
            <w:r w:rsidRPr="00131EED">
              <w:rPr>
                <w:sz w:val="18"/>
                <w:szCs w:val="18"/>
                <w:lang w:eastAsia="en-US"/>
              </w:rPr>
              <w:t>0</w:t>
            </w:r>
          </w:p>
        </w:tc>
        <w:tc>
          <w:tcPr>
            <w:tcW w:w="458" w:type="pct"/>
            <w:noWrap/>
            <w:hideMark/>
          </w:tcPr>
          <w:p w14:paraId="3BAA12AD" w14:textId="77777777" w:rsidR="00F421F8" w:rsidRPr="00131EED" w:rsidRDefault="00F421F8">
            <w:pPr>
              <w:jc w:val="center"/>
              <w:rPr>
                <w:sz w:val="18"/>
                <w:szCs w:val="18"/>
                <w:lang w:eastAsia="en-US"/>
              </w:rPr>
            </w:pPr>
            <w:r w:rsidRPr="00131EED">
              <w:rPr>
                <w:sz w:val="18"/>
                <w:szCs w:val="18"/>
                <w:lang w:eastAsia="en-US"/>
              </w:rPr>
              <w:t>18.92</w:t>
            </w:r>
          </w:p>
        </w:tc>
        <w:tc>
          <w:tcPr>
            <w:tcW w:w="459" w:type="pct"/>
            <w:noWrap/>
            <w:hideMark/>
          </w:tcPr>
          <w:p w14:paraId="069B521D" w14:textId="77777777" w:rsidR="00F421F8" w:rsidRPr="00131EED" w:rsidRDefault="00F421F8">
            <w:pPr>
              <w:jc w:val="center"/>
              <w:rPr>
                <w:sz w:val="18"/>
                <w:szCs w:val="18"/>
                <w:lang w:eastAsia="en-US"/>
              </w:rPr>
            </w:pPr>
            <w:r w:rsidRPr="00131EED">
              <w:rPr>
                <w:sz w:val="18"/>
                <w:szCs w:val="18"/>
                <w:lang w:eastAsia="en-US"/>
              </w:rPr>
              <w:t>0</w:t>
            </w:r>
          </w:p>
        </w:tc>
        <w:tc>
          <w:tcPr>
            <w:tcW w:w="444" w:type="pct"/>
            <w:hideMark/>
          </w:tcPr>
          <w:p w14:paraId="0FA9DF28" w14:textId="77777777" w:rsidR="00F421F8" w:rsidRPr="00131EED" w:rsidRDefault="00F421F8">
            <w:pPr>
              <w:jc w:val="center"/>
              <w:rPr>
                <w:sz w:val="18"/>
                <w:szCs w:val="18"/>
                <w:lang w:eastAsia="en-US"/>
              </w:rPr>
            </w:pPr>
            <w:r w:rsidRPr="00131EED">
              <w:rPr>
                <w:sz w:val="18"/>
                <w:szCs w:val="18"/>
                <w:lang w:eastAsia="en-US"/>
              </w:rPr>
              <w:t>68.932</w:t>
            </w:r>
          </w:p>
        </w:tc>
        <w:tc>
          <w:tcPr>
            <w:tcW w:w="444" w:type="pct"/>
            <w:noWrap/>
            <w:hideMark/>
          </w:tcPr>
          <w:p w14:paraId="02E2B2FD" w14:textId="77777777" w:rsidR="00F421F8" w:rsidRPr="00131EED" w:rsidRDefault="00F421F8">
            <w:pPr>
              <w:jc w:val="center"/>
              <w:rPr>
                <w:sz w:val="18"/>
                <w:szCs w:val="18"/>
                <w:lang w:eastAsia="en-US"/>
              </w:rPr>
            </w:pPr>
            <w:r w:rsidRPr="00131EED">
              <w:rPr>
                <w:sz w:val="18"/>
                <w:szCs w:val="18"/>
                <w:lang w:eastAsia="en-US"/>
              </w:rPr>
              <w:t>-</w:t>
            </w:r>
          </w:p>
        </w:tc>
        <w:tc>
          <w:tcPr>
            <w:tcW w:w="399" w:type="pct"/>
            <w:noWrap/>
            <w:hideMark/>
          </w:tcPr>
          <w:p w14:paraId="4DF942E4" w14:textId="77777777" w:rsidR="00F421F8" w:rsidRPr="00131EED" w:rsidRDefault="00F421F8">
            <w:pPr>
              <w:jc w:val="center"/>
              <w:rPr>
                <w:sz w:val="18"/>
                <w:szCs w:val="18"/>
                <w:lang w:eastAsia="en-US"/>
              </w:rPr>
            </w:pPr>
            <w:r w:rsidRPr="00131EED">
              <w:rPr>
                <w:sz w:val="18"/>
                <w:szCs w:val="18"/>
                <w:lang w:eastAsia="en-US"/>
              </w:rPr>
              <w:t>0</w:t>
            </w:r>
          </w:p>
        </w:tc>
        <w:tc>
          <w:tcPr>
            <w:tcW w:w="460" w:type="pct"/>
            <w:noWrap/>
            <w:hideMark/>
          </w:tcPr>
          <w:p w14:paraId="6E87FA65" w14:textId="77777777" w:rsidR="00F421F8" w:rsidRPr="00131EED" w:rsidRDefault="00F421F8">
            <w:pPr>
              <w:jc w:val="center"/>
              <w:rPr>
                <w:sz w:val="18"/>
                <w:szCs w:val="18"/>
                <w:lang w:eastAsia="en-US"/>
              </w:rPr>
            </w:pPr>
            <w:r w:rsidRPr="00131EED">
              <w:rPr>
                <w:sz w:val="18"/>
                <w:szCs w:val="18"/>
                <w:lang w:eastAsia="en-US"/>
              </w:rPr>
              <w:t>87.852</w:t>
            </w:r>
          </w:p>
        </w:tc>
      </w:tr>
    </w:tbl>
    <w:p w14:paraId="2B2EEDE4" w14:textId="77777777" w:rsidR="00F421F8" w:rsidRPr="00131EED" w:rsidRDefault="00F421F8" w:rsidP="00F31456">
      <w:pPr>
        <w:jc w:val="center"/>
        <w:rPr>
          <w:rFonts w:ascii="Baskerville" w:eastAsia="Century Gothic" w:hAnsi="Baskerville" w:cs="Arial"/>
          <w:sz w:val="20"/>
          <w:szCs w:val="20"/>
        </w:rPr>
      </w:pPr>
      <w:r w:rsidRPr="00131EED">
        <w:rPr>
          <w:rFonts w:cs="Arial"/>
          <w:sz w:val="20"/>
          <w:szCs w:val="20"/>
        </w:rPr>
        <w:t>Fuente: Elaboración propia a partir de información aportada por los municipios del ámbito Sabana de Bogotá</w:t>
      </w:r>
    </w:p>
    <w:p w14:paraId="42691F64" w14:textId="77777777" w:rsidR="00F421F8" w:rsidRPr="00131EED" w:rsidRDefault="00F421F8" w:rsidP="00F421F8">
      <w:pPr>
        <w:rPr>
          <w:rFonts w:ascii="Baskerville" w:eastAsia="Century Gothic" w:hAnsi="Baskerville" w:cs="Arial"/>
        </w:rPr>
      </w:pPr>
    </w:p>
    <w:p w14:paraId="55E617D1" w14:textId="77777777" w:rsidR="00F421F8" w:rsidRPr="00131EED" w:rsidRDefault="00F421F8" w:rsidP="00F421F8">
      <w:pPr>
        <w:rPr>
          <w:rFonts w:eastAsia="Century Gothic" w:cs="Arial"/>
        </w:rPr>
      </w:pPr>
      <w:r w:rsidRPr="00131EED">
        <w:rPr>
          <w:rFonts w:eastAsia="Century Gothic" w:cs="Arial"/>
        </w:rPr>
        <w:t>De acuerdo con la información recolectada, resalta una estructura del territorio mayoritariamente con usos de protección y rurales, lo cual es clave para la regulación hídrica, conservación ambiental y provisión de servicios ecosistémicos en la Sabana, más sin embargo los municipios mantienen presiones de crecimiento urbano sobre suelos rurales y de protección.</w:t>
      </w:r>
    </w:p>
    <w:p w14:paraId="772C9A9E" w14:textId="77777777" w:rsidR="00F421F8" w:rsidRPr="00131EED" w:rsidRDefault="00F421F8" w:rsidP="00F421F8">
      <w:pPr>
        <w:rPr>
          <w:rFonts w:eastAsia="Century Gothic" w:cs="Arial"/>
        </w:rPr>
      </w:pPr>
    </w:p>
    <w:p w14:paraId="05349C9C" w14:textId="77777777" w:rsidR="00F421F8" w:rsidRPr="00131EED" w:rsidRDefault="00F421F8" w:rsidP="00F421F8">
      <w:pPr>
        <w:rPr>
          <w:rFonts w:eastAsia="Century Gothic" w:cs="Arial"/>
        </w:rPr>
      </w:pPr>
      <w:r w:rsidRPr="00131EED">
        <w:rPr>
          <w:rFonts w:eastAsia="Century Gothic" w:cs="Arial"/>
        </w:rPr>
        <w:t>Municipios como Guasca, La Calera y Zipaquirá cumplen un rol ecológico importante al concentrar grandes extensiones de suelos de protección ambiental, lo que contrasta con municipios que han demostrado un auge significativo de expansión urbana y suburbanización como (Chía, Funza, Madrid) que podrían afectar suelos rurales y de protección</w:t>
      </w:r>
      <w:r w:rsidRPr="00131EED">
        <w:t>, en caso de no ser gestionados adecuadamente.</w:t>
      </w:r>
    </w:p>
    <w:p w14:paraId="4E68ADDD" w14:textId="77777777" w:rsidR="00F421F8" w:rsidRPr="00131EED" w:rsidRDefault="00F421F8" w:rsidP="00F421F8">
      <w:pPr>
        <w:rPr>
          <w:rFonts w:eastAsia="Century Gothic" w:cs="Arial"/>
        </w:rPr>
      </w:pPr>
    </w:p>
    <w:p w14:paraId="20E2E309" w14:textId="77777777" w:rsidR="00F421F8" w:rsidRPr="00131EED" w:rsidRDefault="00F421F8" w:rsidP="00F421F8">
      <w:pPr>
        <w:rPr>
          <w:rFonts w:eastAsia="Century Gothic" w:cs="Arial"/>
        </w:rPr>
      </w:pPr>
      <w:r w:rsidRPr="00131EED">
        <w:rPr>
          <w:rFonts w:eastAsia="Century Gothic" w:cs="Arial"/>
        </w:rPr>
        <w:t>Si bien La Calera, Guasca, Zipaquirá y Cogua tienen la mayor cantidad de suelos rurales y de protección, también presentan presiones importantes en el suelo rural, provenientes de vivienda campestre.</w:t>
      </w:r>
    </w:p>
    <w:p w14:paraId="3B2C8B63" w14:textId="77777777" w:rsidR="00F421F8" w:rsidRPr="00131EED" w:rsidRDefault="00F421F8" w:rsidP="00F421F8">
      <w:pPr>
        <w:rPr>
          <w:rFonts w:eastAsia="Century Gothic" w:cs="Arial"/>
        </w:rPr>
      </w:pPr>
    </w:p>
    <w:p w14:paraId="36EC3ADE" w14:textId="77777777" w:rsidR="00F421F8" w:rsidRPr="00131EED" w:rsidRDefault="00F421F8" w:rsidP="00F421F8">
      <w:pPr>
        <w:rPr>
          <w:rFonts w:eastAsia="Century Gothic" w:cs="Arial"/>
        </w:rPr>
      </w:pPr>
      <w:r w:rsidRPr="00131EED">
        <w:rPr>
          <w:rFonts w:eastAsia="Century Gothic" w:cs="Arial"/>
        </w:rPr>
        <w:t>Madrid, Chía y Funza tienen mayores extensiones urbanas y suburbanas, así como cantidades relevantes de suelo agropecuario (Madrid 7.641 ha) o de protección (Chía 3.617 ha, Funza 1.352 ha), donde se podría estar dando ocupación dispersa.</w:t>
      </w:r>
    </w:p>
    <w:p w14:paraId="1F9B31B0" w14:textId="77777777" w:rsidR="00F421F8" w:rsidRPr="00131EED" w:rsidRDefault="00F421F8" w:rsidP="00F421F8">
      <w:pPr>
        <w:rPr>
          <w:rFonts w:eastAsia="Century Gothic" w:cs="Arial"/>
        </w:rPr>
      </w:pPr>
    </w:p>
    <w:p w14:paraId="1FCDFB04" w14:textId="4FB13830" w:rsidR="00F421F8" w:rsidRPr="00131EED" w:rsidRDefault="00F421F8" w:rsidP="00F421F8">
      <w:pPr>
        <w:rPr>
          <w:rFonts w:eastAsia="Century Gothic" w:cs="Arial"/>
        </w:rPr>
      </w:pPr>
      <w:r w:rsidRPr="00131EED">
        <w:rPr>
          <w:rFonts w:eastAsia="Century Gothic" w:cs="Arial"/>
        </w:rPr>
        <w:t xml:space="preserve">Es importante mencionar que esta recopilación como se puede evidenciar, solo se </w:t>
      </w:r>
      <w:r w:rsidR="00F0341B" w:rsidRPr="00131EED">
        <w:rPr>
          <w:rFonts w:eastAsia="Century Gothic" w:cs="Arial"/>
        </w:rPr>
        <w:t>desarrolló</w:t>
      </w:r>
      <w:r w:rsidRPr="00131EED">
        <w:rPr>
          <w:rFonts w:eastAsia="Century Gothic" w:cs="Arial"/>
        </w:rPr>
        <w:t xml:space="preserve"> para 9 de los 31 entes territoriales al interior del ámbito y teniendo en cuenta la información suministrada de los POT por las oficinas de planeación de dichos municipios.</w:t>
      </w:r>
    </w:p>
    <w:p w14:paraId="3C238645" w14:textId="77777777" w:rsidR="00F421F8" w:rsidRPr="00131EED" w:rsidRDefault="00F421F8" w:rsidP="00F421F8">
      <w:pPr>
        <w:rPr>
          <w:rFonts w:eastAsia="Century Gothic" w:cs="Arial"/>
        </w:rPr>
      </w:pPr>
    </w:p>
    <w:p w14:paraId="39E2D949" w14:textId="2464B2B2" w:rsidR="00F421F8" w:rsidRPr="00131EED" w:rsidRDefault="00F421F8" w:rsidP="00F421F8">
      <w:pPr>
        <w:rPr>
          <w:rFonts w:eastAsia="Century Gothic" w:cs="Arial"/>
        </w:rPr>
      </w:pPr>
      <w:r w:rsidRPr="00131EED">
        <w:rPr>
          <w:rFonts w:eastAsia="Century Gothic" w:cs="Arial"/>
        </w:rPr>
        <w:t>Por lo que</w:t>
      </w:r>
      <w:r w:rsidR="00F0341B" w:rsidRPr="00131EED">
        <w:rPr>
          <w:rFonts w:eastAsia="Century Gothic" w:cs="Arial"/>
        </w:rPr>
        <w:t>,</w:t>
      </w:r>
      <w:r w:rsidRPr="00131EED">
        <w:rPr>
          <w:rFonts w:eastAsia="Century Gothic" w:cs="Arial"/>
        </w:rPr>
        <w:t xml:space="preserve"> con el propósito de complementar dicha información, se consultó la información técnica correspondiente a la propuesta metodológica para la definición de umbrales máximos de suburbanización, como insumo para la construcción de los determinantes ambientales en la jurisdicción de la CAR – CAR-CONT-INT-2861-2024, de lo cual se tiene que:</w:t>
      </w:r>
    </w:p>
    <w:p w14:paraId="4EB6A5A7" w14:textId="77777777" w:rsidR="00F421F8" w:rsidRPr="00131EED" w:rsidRDefault="00F421F8" w:rsidP="00F421F8">
      <w:pPr>
        <w:rPr>
          <w:rFonts w:eastAsia="Century Gothic" w:cs="Arial"/>
        </w:rPr>
      </w:pPr>
    </w:p>
    <w:p w14:paraId="4FFDD33B" w14:textId="77777777" w:rsidR="00F421F8" w:rsidRPr="00131EED" w:rsidRDefault="00F421F8" w:rsidP="00F421F8">
      <w:pPr>
        <w:rPr>
          <w:rFonts w:eastAsia="Century Gothic" w:cs="Arial"/>
        </w:rPr>
      </w:pPr>
      <w:r w:rsidRPr="00131EED">
        <w:rPr>
          <w:rFonts w:eastAsia="Century Gothic" w:cs="Arial"/>
        </w:rPr>
        <w:t>Existen municipios con importantes crecimientos con características urbanas dentro del ámbito de la Sabana de Bogotá, entre ellos resaltan Fusagasugá (2.455ha), Chía (2.362ha), Mosquera (1.506ha) , Cajicá (1.008ha) y Soacha (3.200ha) como los que mayor número de hectáreas han pasado a ser urbanas en el periodo intercensal 2005-2018 analizado por los autores; mientras que, en proporción a su área urbana,  Cogua (3.06 veces), La Calera (2.35 veces) y Tocancipá (2.31 veces) sobresalen, han más que duplicado su área con características urbanas total para 2018.</w:t>
      </w:r>
    </w:p>
    <w:p w14:paraId="579D56EC" w14:textId="77777777" w:rsidR="00F421F8" w:rsidRPr="00131EED" w:rsidRDefault="00F421F8" w:rsidP="00F421F8">
      <w:pPr>
        <w:rPr>
          <w:rFonts w:eastAsia="Century Gothic" w:cs="Arial"/>
        </w:rPr>
      </w:pPr>
    </w:p>
    <w:p w14:paraId="4A1C896E" w14:textId="77777777" w:rsidR="00F421F8" w:rsidRPr="00131EED" w:rsidRDefault="00F421F8" w:rsidP="00F421F8">
      <w:pPr>
        <w:rPr>
          <w:rFonts w:eastAsia="Century Gothic" w:cs="Arial"/>
        </w:rPr>
      </w:pPr>
      <w:r w:rsidRPr="00131EED">
        <w:rPr>
          <w:rFonts w:eastAsia="Century Gothic" w:cs="Arial"/>
        </w:rPr>
        <w:t xml:space="preserve">Los autores también concluyen que, en cuanto a los centros poblados, Fusagasugá, Chía, Mosquera, Funza y Soacha son los municipios con mayores crecimientos por número de hectáreas, así mismo encontraron que Fusagasugá, Ricaurte y Cogua destacan en proporción, puesto que sus áreas urbanas en centros poblados han crecido más de 10 veces entre los periodos analizados por los autores. </w:t>
      </w:r>
    </w:p>
    <w:p w14:paraId="43D117CE" w14:textId="77777777" w:rsidR="00F421F8" w:rsidRPr="00131EED" w:rsidRDefault="00F421F8" w:rsidP="00F421F8">
      <w:pPr>
        <w:rPr>
          <w:rFonts w:eastAsia="Century Gothic" w:cs="Arial"/>
        </w:rPr>
      </w:pPr>
    </w:p>
    <w:p w14:paraId="478B0151" w14:textId="77777777" w:rsidR="00F421F8" w:rsidRPr="00131EED" w:rsidRDefault="00F421F8" w:rsidP="00F421F8">
      <w:pPr>
        <w:rPr>
          <w:rFonts w:eastAsia="Century Gothic" w:cs="Arial"/>
        </w:rPr>
      </w:pPr>
      <w:r w:rsidRPr="00131EED">
        <w:rPr>
          <w:rFonts w:eastAsia="Century Gothic" w:cs="Arial"/>
        </w:rPr>
        <w:t>Al mismo tiempo, en los centros poblados Fusagasugá (990ha), Cajicá (378ha), Chía (268ha) y La Calera (240ha) son los entes territoriales que más área urbana han incorporado entre 2005 y 2018, se destacan igualmente Suesca (85ha), Facatativá (87ha) y Sibaté (139ha) al igual que otros municipios que sobresalen como Tocancipá (187ha), Cogua (172ha) y Subachoque (50ha).</w:t>
      </w:r>
      <w:r w:rsidRPr="00131EED">
        <w:rPr>
          <w:rFonts w:eastAsia="Century Gothic" w:cs="Arial"/>
        </w:rPr>
        <w:cr/>
      </w:r>
    </w:p>
    <w:p w14:paraId="353D617F" w14:textId="77777777" w:rsidR="00F421F8" w:rsidRPr="00131EED" w:rsidRDefault="00F421F8" w:rsidP="00F421F8">
      <w:pPr>
        <w:rPr>
          <w:rFonts w:eastAsia="Century Gothic" w:cs="Arial"/>
        </w:rPr>
      </w:pPr>
      <w:r w:rsidRPr="00131EED">
        <w:rPr>
          <w:rFonts w:eastAsia="Century Gothic" w:cs="Arial"/>
        </w:rPr>
        <w:t>En cuanto a instrumentos de ordenamiento de tercer nivel, lo anterior se contrasta con información de CAMACOL (2025), los cuales informan que para la fecha existen 57 planes parciales en distintas etapas (Con decreto, en formulación, finalizado) distribuidos así:</w:t>
      </w:r>
    </w:p>
    <w:p w14:paraId="26739801" w14:textId="77777777" w:rsidR="0033670F" w:rsidRPr="00131EED" w:rsidRDefault="0033670F" w:rsidP="00F421F8">
      <w:pPr>
        <w:pStyle w:val="Caption"/>
        <w:jc w:val="center"/>
      </w:pPr>
    </w:p>
    <w:p w14:paraId="72699E4C" w14:textId="6967AA04" w:rsidR="00F421F8" w:rsidRPr="00131EED" w:rsidRDefault="00F421F8" w:rsidP="00F421F8">
      <w:pPr>
        <w:pStyle w:val="Caption"/>
        <w:jc w:val="center"/>
      </w:pPr>
      <w:bookmarkStart w:id="260" w:name="_Toc216468950"/>
      <w:r w:rsidRPr="00131EED">
        <w:t xml:space="preserve">Tabla </w:t>
      </w:r>
      <w:r w:rsidRPr="00131EED">
        <w:fldChar w:fldCharType="begin"/>
      </w:r>
      <w:r w:rsidRPr="00131EED">
        <w:instrText>SEQ Tabla \* ARABIC</w:instrText>
      </w:r>
      <w:r w:rsidRPr="00131EED">
        <w:fldChar w:fldCharType="separate"/>
      </w:r>
      <w:r w:rsidR="00CE096F">
        <w:rPr>
          <w:noProof/>
        </w:rPr>
        <w:t>40</w:t>
      </w:r>
      <w:r w:rsidRPr="00131EED">
        <w:fldChar w:fldCharType="end"/>
      </w:r>
      <w:r w:rsidRPr="00131EED">
        <w:t>. Estado de los Planes Parciales en Sabana de Bogotá.</w:t>
      </w:r>
      <w:bookmarkEnd w:id="260"/>
      <w:r w:rsidRPr="00131EED">
        <w:t xml:space="preserve"> </w:t>
      </w:r>
    </w:p>
    <w:tbl>
      <w:tblPr>
        <w:tblStyle w:val="TableGrid"/>
        <w:tblW w:w="0" w:type="auto"/>
        <w:jc w:val="center"/>
        <w:tblLook w:val="04A0" w:firstRow="1" w:lastRow="0" w:firstColumn="1" w:lastColumn="0" w:noHBand="0" w:noVBand="1"/>
      </w:tblPr>
      <w:tblGrid>
        <w:gridCol w:w="2207"/>
        <w:gridCol w:w="1190"/>
        <w:gridCol w:w="1418"/>
        <w:gridCol w:w="1276"/>
      </w:tblGrid>
      <w:tr w:rsidR="00F421F8" w:rsidRPr="00131EED" w14:paraId="3759EFE7" w14:textId="77777777" w:rsidTr="009E0C3C">
        <w:trPr>
          <w:tblHeader/>
          <w:jc w:val="center"/>
        </w:trPr>
        <w:tc>
          <w:tcPr>
            <w:tcW w:w="2207" w:type="dxa"/>
          </w:tcPr>
          <w:p w14:paraId="58EAAF70" w14:textId="77777777" w:rsidR="00F421F8" w:rsidRPr="00131EED" w:rsidRDefault="00F421F8">
            <w:pPr>
              <w:jc w:val="center"/>
              <w:rPr>
                <w:rFonts w:eastAsia="Century Gothic" w:cs="Arial"/>
                <w:b/>
                <w:sz w:val="20"/>
                <w:szCs w:val="20"/>
              </w:rPr>
            </w:pPr>
            <w:r w:rsidRPr="00131EED">
              <w:rPr>
                <w:rFonts w:eastAsia="Century Gothic" w:cs="Arial"/>
                <w:b/>
                <w:sz w:val="20"/>
                <w:szCs w:val="20"/>
              </w:rPr>
              <w:t>Etapa</w:t>
            </w:r>
          </w:p>
        </w:tc>
        <w:tc>
          <w:tcPr>
            <w:tcW w:w="1190" w:type="dxa"/>
          </w:tcPr>
          <w:p w14:paraId="3E592FD5" w14:textId="77777777" w:rsidR="00F421F8" w:rsidRPr="00131EED" w:rsidRDefault="00F421F8">
            <w:pPr>
              <w:jc w:val="center"/>
              <w:rPr>
                <w:rFonts w:eastAsia="Century Gothic" w:cs="Arial"/>
                <w:b/>
                <w:sz w:val="20"/>
                <w:szCs w:val="20"/>
              </w:rPr>
            </w:pPr>
            <w:r w:rsidRPr="00131EED">
              <w:rPr>
                <w:rFonts w:eastAsia="Century Gothic" w:cs="Arial"/>
                <w:b/>
                <w:sz w:val="20"/>
                <w:szCs w:val="20"/>
              </w:rPr>
              <w:t>Bogotá</w:t>
            </w:r>
          </w:p>
        </w:tc>
        <w:tc>
          <w:tcPr>
            <w:tcW w:w="1418" w:type="dxa"/>
          </w:tcPr>
          <w:p w14:paraId="7E8CD78A" w14:textId="77777777" w:rsidR="00F421F8" w:rsidRPr="00131EED" w:rsidRDefault="00F421F8">
            <w:pPr>
              <w:jc w:val="center"/>
              <w:rPr>
                <w:rFonts w:eastAsia="Century Gothic" w:cs="Arial"/>
                <w:b/>
                <w:sz w:val="20"/>
                <w:szCs w:val="20"/>
              </w:rPr>
            </w:pPr>
            <w:r w:rsidRPr="00131EED">
              <w:rPr>
                <w:rFonts w:eastAsia="Century Gothic" w:cs="Arial"/>
                <w:b/>
                <w:sz w:val="20"/>
                <w:szCs w:val="20"/>
              </w:rPr>
              <w:t>Cundinamarca</w:t>
            </w:r>
          </w:p>
        </w:tc>
        <w:tc>
          <w:tcPr>
            <w:tcW w:w="1276" w:type="dxa"/>
          </w:tcPr>
          <w:p w14:paraId="7C35CF2D" w14:textId="77777777" w:rsidR="00F421F8" w:rsidRPr="00131EED" w:rsidRDefault="00F421F8">
            <w:pPr>
              <w:jc w:val="center"/>
              <w:rPr>
                <w:rFonts w:eastAsia="Century Gothic" w:cs="Arial"/>
                <w:b/>
                <w:sz w:val="20"/>
                <w:szCs w:val="20"/>
              </w:rPr>
            </w:pPr>
            <w:r w:rsidRPr="00131EED">
              <w:rPr>
                <w:rFonts w:eastAsia="Century Gothic" w:cs="Arial"/>
                <w:b/>
                <w:sz w:val="20"/>
                <w:szCs w:val="20"/>
              </w:rPr>
              <w:t>Total</w:t>
            </w:r>
          </w:p>
        </w:tc>
      </w:tr>
      <w:tr w:rsidR="00F421F8" w:rsidRPr="00131EED" w14:paraId="71B137F7" w14:textId="77777777" w:rsidTr="009E0C3C">
        <w:trPr>
          <w:jc w:val="center"/>
        </w:trPr>
        <w:tc>
          <w:tcPr>
            <w:tcW w:w="2207" w:type="dxa"/>
          </w:tcPr>
          <w:p w14:paraId="105542D1" w14:textId="77777777" w:rsidR="00F421F8" w:rsidRPr="00131EED" w:rsidRDefault="00F421F8">
            <w:pPr>
              <w:jc w:val="center"/>
              <w:rPr>
                <w:rFonts w:eastAsia="Century Gothic" w:cs="Arial"/>
                <w:sz w:val="20"/>
                <w:szCs w:val="20"/>
              </w:rPr>
            </w:pPr>
            <w:r w:rsidRPr="00131EED">
              <w:rPr>
                <w:rFonts w:eastAsia="Century Gothic" w:cs="Arial"/>
                <w:sz w:val="20"/>
                <w:szCs w:val="20"/>
              </w:rPr>
              <w:t>Finalizado</w:t>
            </w:r>
          </w:p>
        </w:tc>
        <w:tc>
          <w:tcPr>
            <w:tcW w:w="1190" w:type="dxa"/>
          </w:tcPr>
          <w:p w14:paraId="31F113DC" w14:textId="77777777" w:rsidR="00F421F8" w:rsidRPr="00131EED" w:rsidRDefault="00F421F8">
            <w:pPr>
              <w:jc w:val="center"/>
              <w:rPr>
                <w:rFonts w:eastAsia="Century Gothic" w:cs="Arial"/>
                <w:sz w:val="20"/>
                <w:szCs w:val="20"/>
              </w:rPr>
            </w:pPr>
            <w:r w:rsidRPr="00131EED">
              <w:rPr>
                <w:rFonts w:eastAsia="Century Gothic" w:cs="Arial"/>
                <w:sz w:val="20"/>
                <w:szCs w:val="20"/>
              </w:rPr>
              <w:t>13</w:t>
            </w:r>
          </w:p>
        </w:tc>
        <w:tc>
          <w:tcPr>
            <w:tcW w:w="1418" w:type="dxa"/>
          </w:tcPr>
          <w:p w14:paraId="0893A0CA" w14:textId="77777777" w:rsidR="00F421F8" w:rsidRPr="00131EED" w:rsidRDefault="00F421F8">
            <w:pPr>
              <w:jc w:val="center"/>
              <w:rPr>
                <w:rFonts w:eastAsia="Century Gothic" w:cs="Arial"/>
                <w:sz w:val="20"/>
                <w:szCs w:val="20"/>
              </w:rPr>
            </w:pPr>
            <w:r w:rsidRPr="00131EED">
              <w:rPr>
                <w:rFonts w:eastAsia="Century Gothic" w:cs="Arial"/>
                <w:sz w:val="20"/>
                <w:szCs w:val="20"/>
              </w:rPr>
              <w:t>2</w:t>
            </w:r>
          </w:p>
        </w:tc>
        <w:tc>
          <w:tcPr>
            <w:tcW w:w="1276" w:type="dxa"/>
          </w:tcPr>
          <w:p w14:paraId="228C0BE6" w14:textId="77777777" w:rsidR="00F421F8" w:rsidRPr="00131EED" w:rsidRDefault="00F421F8">
            <w:pPr>
              <w:jc w:val="center"/>
              <w:rPr>
                <w:rFonts w:eastAsia="Century Gothic" w:cs="Arial"/>
                <w:sz w:val="20"/>
                <w:szCs w:val="20"/>
              </w:rPr>
            </w:pPr>
            <w:r w:rsidRPr="00131EED">
              <w:rPr>
                <w:rFonts w:eastAsia="Century Gothic" w:cs="Arial"/>
                <w:sz w:val="20"/>
                <w:szCs w:val="20"/>
              </w:rPr>
              <w:t>15</w:t>
            </w:r>
          </w:p>
        </w:tc>
      </w:tr>
      <w:tr w:rsidR="00F421F8" w:rsidRPr="00131EED" w14:paraId="6CFA5B02" w14:textId="77777777" w:rsidTr="009E0C3C">
        <w:trPr>
          <w:jc w:val="center"/>
        </w:trPr>
        <w:tc>
          <w:tcPr>
            <w:tcW w:w="2207" w:type="dxa"/>
          </w:tcPr>
          <w:p w14:paraId="36BCEE86" w14:textId="77777777" w:rsidR="00F421F8" w:rsidRPr="00131EED" w:rsidRDefault="00F421F8">
            <w:pPr>
              <w:jc w:val="center"/>
              <w:rPr>
                <w:rFonts w:eastAsia="Century Gothic" w:cs="Arial"/>
                <w:sz w:val="20"/>
                <w:szCs w:val="20"/>
              </w:rPr>
            </w:pPr>
            <w:r w:rsidRPr="00131EED">
              <w:rPr>
                <w:rFonts w:eastAsia="Century Gothic" w:cs="Arial"/>
                <w:sz w:val="20"/>
                <w:szCs w:val="20"/>
              </w:rPr>
              <w:t>Con decreto</w:t>
            </w:r>
          </w:p>
        </w:tc>
        <w:tc>
          <w:tcPr>
            <w:tcW w:w="1190" w:type="dxa"/>
          </w:tcPr>
          <w:p w14:paraId="091764D2" w14:textId="77777777" w:rsidR="00F421F8" w:rsidRPr="00131EED" w:rsidRDefault="00F421F8">
            <w:pPr>
              <w:jc w:val="center"/>
              <w:rPr>
                <w:rFonts w:eastAsia="Century Gothic" w:cs="Arial"/>
                <w:sz w:val="20"/>
                <w:szCs w:val="20"/>
              </w:rPr>
            </w:pPr>
            <w:r w:rsidRPr="00131EED">
              <w:rPr>
                <w:rFonts w:eastAsia="Century Gothic" w:cs="Arial"/>
                <w:sz w:val="20"/>
                <w:szCs w:val="20"/>
              </w:rPr>
              <w:t>22</w:t>
            </w:r>
          </w:p>
        </w:tc>
        <w:tc>
          <w:tcPr>
            <w:tcW w:w="1418" w:type="dxa"/>
          </w:tcPr>
          <w:p w14:paraId="61839378" w14:textId="77777777" w:rsidR="00F421F8" w:rsidRPr="00131EED" w:rsidRDefault="00F421F8">
            <w:pPr>
              <w:jc w:val="center"/>
              <w:rPr>
                <w:rFonts w:eastAsia="Century Gothic" w:cs="Arial"/>
                <w:sz w:val="20"/>
                <w:szCs w:val="20"/>
              </w:rPr>
            </w:pPr>
            <w:r w:rsidRPr="00131EED">
              <w:rPr>
                <w:rFonts w:eastAsia="Century Gothic" w:cs="Arial"/>
                <w:sz w:val="20"/>
                <w:szCs w:val="20"/>
              </w:rPr>
              <w:t>13</w:t>
            </w:r>
          </w:p>
        </w:tc>
        <w:tc>
          <w:tcPr>
            <w:tcW w:w="1276" w:type="dxa"/>
          </w:tcPr>
          <w:p w14:paraId="0FBD51DE" w14:textId="77777777" w:rsidR="00F421F8" w:rsidRPr="00131EED" w:rsidRDefault="00F421F8">
            <w:pPr>
              <w:jc w:val="center"/>
              <w:rPr>
                <w:rFonts w:eastAsia="Century Gothic" w:cs="Arial"/>
                <w:sz w:val="20"/>
                <w:szCs w:val="20"/>
              </w:rPr>
            </w:pPr>
            <w:r w:rsidRPr="00131EED">
              <w:rPr>
                <w:rFonts w:eastAsia="Century Gothic" w:cs="Arial"/>
                <w:sz w:val="20"/>
                <w:szCs w:val="20"/>
              </w:rPr>
              <w:t>35</w:t>
            </w:r>
          </w:p>
        </w:tc>
      </w:tr>
      <w:tr w:rsidR="00F421F8" w:rsidRPr="00131EED" w14:paraId="548E1B76" w14:textId="77777777" w:rsidTr="009E0C3C">
        <w:trPr>
          <w:jc w:val="center"/>
        </w:trPr>
        <w:tc>
          <w:tcPr>
            <w:tcW w:w="2207" w:type="dxa"/>
          </w:tcPr>
          <w:p w14:paraId="5B823FC1" w14:textId="77777777" w:rsidR="00F421F8" w:rsidRPr="00131EED" w:rsidRDefault="00F421F8">
            <w:pPr>
              <w:jc w:val="center"/>
              <w:rPr>
                <w:rFonts w:eastAsia="Century Gothic" w:cs="Arial"/>
                <w:sz w:val="20"/>
                <w:szCs w:val="20"/>
              </w:rPr>
            </w:pPr>
            <w:r w:rsidRPr="00131EED">
              <w:rPr>
                <w:rFonts w:eastAsia="Century Gothic" w:cs="Arial"/>
                <w:sz w:val="20"/>
                <w:szCs w:val="20"/>
              </w:rPr>
              <w:t>En formulación</w:t>
            </w:r>
          </w:p>
        </w:tc>
        <w:tc>
          <w:tcPr>
            <w:tcW w:w="1190" w:type="dxa"/>
          </w:tcPr>
          <w:p w14:paraId="2ED4BBD6" w14:textId="77777777" w:rsidR="00F421F8" w:rsidRPr="00131EED" w:rsidRDefault="00F421F8">
            <w:pPr>
              <w:jc w:val="center"/>
              <w:rPr>
                <w:rFonts w:eastAsia="Century Gothic" w:cs="Arial"/>
                <w:sz w:val="20"/>
                <w:szCs w:val="20"/>
              </w:rPr>
            </w:pPr>
            <w:r w:rsidRPr="00131EED">
              <w:rPr>
                <w:rFonts w:eastAsia="Century Gothic" w:cs="Arial"/>
                <w:sz w:val="20"/>
                <w:szCs w:val="20"/>
              </w:rPr>
              <w:t>6</w:t>
            </w:r>
          </w:p>
        </w:tc>
        <w:tc>
          <w:tcPr>
            <w:tcW w:w="1418" w:type="dxa"/>
          </w:tcPr>
          <w:p w14:paraId="3236C9B9" w14:textId="77777777" w:rsidR="00F421F8" w:rsidRPr="00131EED" w:rsidRDefault="00F421F8">
            <w:pPr>
              <w:jc w:val="center"/>
              <w:rPr>
                <w:rFonts w:eastAsia="Century Gothic" w:cs="Arial"/>
                <w:sz w:val="20"/>
                <w:szCs w:val="20"/>
              </w:rPr>
            </w:pPr>
            <w:r w:rsidRPr="00131EED">
              <w:rPr>
                <w:rFonts w:eastAsia="Century Gothic" w:cs="Arial"/>
                <w:sz w:val="20"/>
                <w:szCs w:val="20"/>
              </w:rPr>
              <w:t>1</w:t>
            </w:r>
          </w:p>
        </w:tc>
        <w:tc>
          <w:tcPr>
            <w:tcW w:w="1276" w:type="dxa"/>
          </w:tcPr>
          <w:p w14:paraId="7AE594E5" w14:textId="77777777" w:rsidR="00F421F8" w:rsidRPr="00131EED" w:rsidRDefault="00F421F8">
            <w:pPr>
              <w:jc w:val="center"/>
              <w:rPr>
                <w:rFonts w:eastAsia="Century Gothic" w:cs="Arial"/>
                <w:sz w:val="20"/>
                <w:szCs w:val="20"/>
              </w:rPr>
            </w:pPr>
            <w:r w:rsidRPr="00131EED">
              <w:rPr>
                <w:rFonts w:eastAsia="Century Gothic" w:cs="Arial"/>
                <w:sz w:val="20"/>
                <w:szCs w:val="20"/>
              </w:rPr>
              <w:t>7</w:t>
            </w:r>
          </w:p>
        </w:tc>
      </w:tr>
      <w:tr w:rsidR="00F421F8" w:rsidRPr="00131EED" w14:paraId="149FFACE" w14:textId="77777777" w:rsidTr="009E0C3C">
        <w:trPr>
          <w:jc w:val="center"/>
        </w:trPr>
        <w:tc>
          <w:tcPr>
            <w:tcW w:w="2207" w:type="dxa"/>
          </w:tcPr>
          <w:p w14:paraId="6AC06AE3" w14:textId="77777777" w:rsidR="00F421F8" w:rsidRPr="00131EED" w:rsidRDefault="00F421F8">
            <w:pPr>
              <w:jc w:val="center"/>
              <w:rPr>
                <w:rFonts w:eastAsia="Century Gothic" w:cs="Arial"/>
                <w:b/>
                <w:sz w:val="20"/>
                <w:szCs w:val="20"/>
              </w:rPr>
            </w:pPr>
            <w:r w:rsidRPr="00131EED">
              <w:rPr>
                <w:rFonts w:eastAsia="Century Gothic" w:cs="Arial"/>
                <w:b/>
                <w:sz w:val="20"/>
                <w:szCs w:val="20"/>
              </w:rPr>
              <w:t>Total general</w:t>
            </w:r>
          </w:p>
        </w:tc>
        <w:tc>
          <w:tcPr>
            <w:tcW w:w="1190" w:type="dxa"/>
          </w:tcPr>
          <w:p w14:paraId="72D16B51" w14:textId="77777777" w:rsidR="00F421F8" w:rsidRPr="00131EED" w:rsidRDefault="00F421F8">
            <w:pPr>
              <w:jc w:val="center"/>
              <w:rPr>
                <w:rFonts w:eastAsia="Century Gothic" w:cs="Arial"/>
                <w:b/>
                <w:sz w:val="20"/>
                <w:szCs w:val="20"/>
              </w:rPr>
            </w:pPr>
            <w:r w:rsidRPr="00131EED">
              <w:rPr>
                <w:rFonts w:eastAsia="Century Gothic" w:cs="Arial"/>
                <w:b/>
                <w:sz w:val="20"/>
                <w:szCs w:val="20"/>
              </w:rPr>
              <w:t>41</w:t>
            </w:r>
          </w:p>
        </w:tc>
        <w:tc>
          <w:tcPr>
            <w:tcW w:w="1418" w:type="dxa"/>
          </w:tcPr>
          <w:p w14:paraId="670EEEFF" w14:textId="77777777" w:rsidR="00F421F8" w:rsidRPr="00131EED" w:rsidRDefault="00F421F8">
            <w:pPr>
              <w:jc w:val="center"/>
              <w:rPr>
                <w:rFonts w:eastAsia="Century Gothic" w:cs="Arial"/>
                <w:b/>
                <w:sz w:val="20"/>
                <w:szCs w:val="20"/>
              </w:rPr>
            </w:pPr>
            <w:r w:rsidRPr="00131EED">
              <w:rPr>
                <w:rFonts w:eastAsia="Century Gothic" w:cs="Arial"/>
                <w:b/>
                <w:sz w:val="20"/>
                <w:szCs w:val="20"/>
              </w:rPr>
              <w:t>16</w:t>
            </w:r>
          </w:p>
        </w:tc>
        <w:tc>
          <w:tcPr>
            <w:tcW w:w="1276" w:type="dxa"/>
          </w:tcPr>
          <w:p w14:paraId="42F38E1E" w14:textId="77777777" w:rsidR="00F421F8" w:rsidRPr="00131EED" w:rsidRDefault="00F421F8">
            <w:pPr>
              <w:jc w:val="center"/>
              <w:rPr>
                <w:rFonts w:eastAsia="Century Gothic" w:cs="Arial"/>
                <w:b/>
                <w:sz w:val="20"/>
                <w:szCs w:val="20"/>
              </w:rPr>
            </w:pPr>
            <w:r w:rsidRPr="00131EED">
              <w:rPr>
                <w:rFonts w:eastAsia="Century Gothic" w:cs="Arial"/>
                <w:b/>
                <w:sz w:val="20"/>
                <w:szCs w:val="20"/>
              </w:rPr>
              <w:t>57</w:t>
            </w:r>
          </w:p>
        </w:tc>
      </w:tr>
    </w:tbl>
    <w:p w14:paraId="58656582" w14:textId="77777777" w:rsidR="00F421F8" w:rsidRPr="00131EED" w:rsidRDefault="00F421F8" w:rsidP="00F421F8">
      <w:pPr>
        <w:jc w:val="center"/>
        <w:rPr>
          <w:rFonts w:ascii="Baskerville" w:eastAsia="Century Gothic" w:hAnsi="Baskerville" w:cs="Arial"/>
          <w:sz w:val="20"/>
          <w:szCs w:val="20"/>
        </w:rPr>
      </w:pPr>
      <w:r w:rsidRPr="00131EED">
        <w:rPr>
          <w:sz w:val="20"/>
          <w:szCs w:val="20"/>
        </w:rPr>
        <w:t>Fuente: CAMACOL (2025)</w:t>
      </w:r>
    </w:p>
    <w:p w14:paraId="44F420AA" w14:textId="77777777" w:rsidR="00F421F8" w:rsidRPr="00131EED" w:rsidRDefault="00F421F8" w:rsidP="00F421F8">
      <w:pPr>
        <w:rPr>
          <w:rFonts w:eastAsia="Century Gothic" w:cs="Arial"/>
        </w:rPr>
      </w:pPr>
    </w:p>
    <w:p w14:paraId="6495FDEF" w14:textId="77777777" w:rsidR="00F421F8" w:rsidRPr="00131EED" w:rsidRDefault="00F421F8" w:rsidP="00F421F8">
      <w:pPr>
        <w:rPr>
          <w:rFonts w:eastAsia="Century Gothic" w:cs="Arial"/>
        </w:rPr>
      </w:pPr>
      <w:r w:rsidRPr="00131EED">
        <w:rPr>
          <w:rFonts w:eastAsia="Century Gothic" w:cs="Arial"/>
        </w:rPr>
        <w:t>De acuerdo con la información de CAMACOL (2025), se tiene que:</w:t>
      </w:r>
    </w:p>
    <w:p w14:paraId="693BB468" w14:textId="77777777" w:rsidR="00F421F8" w:rsidRPr="00131EED" w:rsidRDefault="00F421F8" w:rsidP="00F421F8">
      <w:pPr>
        <w:rPr>
          <w:rFonts w:eastAsia="Century Gothic" w:cs="Arial"/>
        </w:rPr>
      </w:pPr>
    </w:p>
    <w:p w14:paraId="3284D9EA" w14:textId="77777777" w:rsidR="00F421F8" w:rsidRPr="00131EED" w:rsidRDefault="00F421F8" w:rsidP="00410194">
      <w:pPr>
        <w:pStyle w:val="ListParagraph"/>
        <w:numPr>
          <w:ilvl w:val="0"/>
          <w:numId w:val="32"/>
        </w:numPr>
        <w:rPr>
          <w:rFonts w:eastAsia="Century Gothic" w:cs="Arial"/>
          <w:sz w:val="24"/>
          <w:szCs w:val="24"/>
        </w:rPr>
      </w:pPr>
      <w:r w:rsidRPr="00131EED">
        <w:rPr>
          <w:rFonts w:eastAsia="Century Gothic" w:cs="Arial"/>
          <w:sz w:val="24"/>
          <w:szCs w:val="24"/>
        </w:rPr>
        <w:t xml:space="preserve">Planes parciales finalizados: Indican procesos ya culminados, con todas las etapas técnicas y normativas aprobadas. Hay 15 en total, de los cuales 13 están en Bogotá y 2 en Cundinamarca. </w:t>
      </w:r>
    </w:p>
    <w:p w14:paraId="2DA8C192" w14:textId="77777777" w:rsidR="00F421F8" w:rsidRPr="00131EED" w:rsidRDefault="00F421F8" w:rsidP="00410194">
      <w:pPr>
        <w:pStyle w:val="ListParagraph"/>
        <w:numPr>
          <w:ilvl w:val="0"/>
          <w:numId w:val="32"/>
        </w:numPr>
        <w:rPr>
          <w:rFonts w:eastAsia="Century Gothic" w:cs="Arial"/>
          <w:sz w:val="24"/>
          <w:szCs w:val="24"/>
        </w:rPr>
      </w:pPr>
      <w:r w:rsidRPr="00131EED">
        <w:rPr>
          <w:rFonts w:eastAsia="Century Gothic" w:cs="Arial"/>
          <w:sz w:val="24"/>
          <w:szCs w:val="24"/>
        </w:rPr>
        <w:t>Planes parciales con decreto: Corresponden a aquellos que ya cuentan con la expedición del decreto de adopción, es decir, están formalmente aprobados, pero en proceso de implementación. Se registran 35 planes en esta etapa, con 22 en Bogotá y 13 en Cundinamarca. Este grupo representa la mayor proporción del total (más del 60%), lo cual evidencia una dinámica activa de desarrollo urbano en curso.</w:t>
      </w:r>
    </w:p>
    <w:p w14:paraId="3E16D688" w14:textId="77777777" w:rsidR="00F421F8" w:rsidRPr="00131EED" w:rsidRDefault="00F421F8" w:rsidP="00410194">
      <w:pPr>
        <w:pStyle w:val="ListParagraph"/>
        <w:numPr>
          <w:ilvl w:val="0"/>
          <w:numId w:val="32"/>
        </w:numPr>
        <w:rPr>
          <w:rFonts w:eastAsia="Century Gothic" w:cs="Arial"/>
          <w:sz w:val="24"/>
          <w:szCs w:val="24"/>
        </w:rPr>
      </w:pPr>
      <w:r w:rsidRPr="00131EED">
        <w:rPr>
          <w:rFonts w:eastAsia="Century Gothic" w:cs="Arial"/>
          <w:sz w:val="24"/>
          <w:szCs w:val="24"/>
        </w:rPr>
        <w:t>Planes parciales en formulación: Son aquellos que se encuentran aún en fase de diseño o concertación, sin aprobación definitiva. Se reportan 7 en total, de los cuales 6 pertenecen a Bogotá y 1 a Cundinamarca.</w:t>
      </w:r>
    </w:p>
    <w:p w14:paraId="0D30E6BE" w14:textId="77777777" w:rsidR="00F421F8" w:rsidRPr="00131EED" w:rsidRDefault="00F421F8" w:rsidP="00410194">
      <w:pPr>
        <w:pStyle w:val="ListParagraph"/>
        <w:numPr>
          <w:ilvl w:val="0"/>
          <w:numId w:val="32"/>
        </w:numPr>
        <w:rPr>
          <w:rFonts w:eastAsia="Century Gothic" w:cs="Arial"/>
          <w:sz w:val="24"/>
          <w:szCs w:val="24"/>
        </w:rPr>
      </w:pPr>
      <w:r w:rsidRPr="00131EED">
        <w:rPr>
          <w:rFonts w:eastAsia="Century Gothic" w:cs="Arial"/>
          <w:sz w:val="24"/>
          <w:szCs w:val="24"/>
        </w:rPr>
        <w:t>Total general: En conjunto, existen 57 planes parciales en la Sabana de Bogotá: 41 en Bogotá (72%) y 16 en Cundinamarca (28%).</w:t>
      </w:r>
    </w:p>
    <w:p w14:paraId="2810B781" w14:textId="77777777" w:rsidR="00F421F8" w:rsidRPr="00131EED" w:rsidRDefault="00F421F8" w:rsidP="00F421F8">
      <w:pPr>
        <w:rPr>
          <w:rFonts w:eastAsia="Century Gothic" w:cs="Arial"/>
        </w:rPr>
      </w:pPr>
      <w:r w:rsidRPr="00131EED">
        <w:rPr>
          <w:rFonts w:eastAsia="Century Gothic" w:cs="Arial"/>
        </w:rPr>
        <w:t>De lo anterior, resalta que Bogotá concentra la mayor parte de los planes parciales activos (41 de 57) en comparación con los municipios de Cundinamarca (16 planes). Esto sugiere que el desarrollo urbano de la Sabana sigue concentrado en la capital, que actúa como el núcleo funcional de la región. Sin embargo, la presencia de planes en Cundinamarca, especialmente en municipios como Mosquera, Chía o Tocancipá, revela que el proceso de expansión metropolitana se está consolidado, generando una interdependencia entre territorios urbanos y rurales.</w:t>
      </w:r>
    </w:p>
    <w:p w14:paraId="245C9759" w14:textId="77777777" w:rsidR="00F421F8" w:rsidRPr="00131EED" w:rsidRDefault="00F421F8" w:rsidP="00410194">
      <w:pPr>
        <w:pStyle w:val="Heading4"/>
        <w:numPr>
          <w:ilvl w:val="3"/>
          <w:numId w:val="31"/>
        </w:numPr>
      </w:pPr>
      <w:bookmarkStart w:id="261" w:name="_Toc216468729"/>
      <w:r w:rsidRPr="00131EED">
        <w:t>Proyección de la huella de ocupación de la Sabana de Bogotá</w:t>
      </w:r>
      <w:bookmarkEnd w:id="261"/>
    </w:p>
    <w:p w14:paraId="0F26EFC0" w14:textId="77777777" w:rsidR="00F421F8" w:rsidRPr="00131EED" w:rsidRDefault="00F421F8" w:rsidP="00F421F8">
      <w:pPr>
        <w:rPr>
          <w:rFonts w:ascii="Baskerville" w:eastAsia="Century Gothic" w:hAnsi="Baskerville" w:cs="Arial"/>
        </w:rPr>
      </w:pPr>
    </w:p>
    <w:p w14:paraId="63C857FD" w14:textId="77777777" w:rsidR="00F421F8" w:rsidRPr="00131EED" w:rsidRDefault="00F421F8" w:rsidP="00F421F8">
      <w:pPr>
        <w:rPr>
          <w:rFonts w:eastAsia="Century Gothic" w:cs="Arial"/>
        </w:rPr>
      </w:pPr>
      <w:r w:rsidRPr="00131EED">
        <w:rPr>
          <w:rFonts w:eastAsia="Century Gothic" w:cs="Arial"/>
        </w:rPr>
        <w:t>Con el ánimo de establecer la evolución del proceso de ocupación en los municipios del ámbito Sabana, y con base en la información de la capa global de asentamientos humanos (GSHL) producida por el programa de observación de la tierra de la Unión Europea – Copernicus, fue posible determinar la evolución de la ocupación para el municipio de Mosquera, elegido piloto para la aplicación de la metodología de análisis espacial</w:t>
      </w:r>
      <w:r w:rsidRPr="00131EED">
        <w:rPr>
          <w:rStyle w:val="FootnoteReference"/>
          <w:rFonts w:eastAsia="Century Gothic" w:cs="Arial"/>
        </w:rPr>
        <w:footnoteReference w:id="11"/>
      </w:r>
      <w:r w:rsidRPr="00131EED">
        <w:rPr>
          <w:rFonts w:eastAsia="Century Gothic" w:cs="Arial"/>
        </w:rPr>
        <w:t>.</w:t>
      </w:r>
    </w:p>
    <w:p w14:paraId="17E46A71" w14:textId="77777777" w:rsidR="00F421F8" w:rsidRPr="00131EED" w:rsidRDefault="00F421F8" w:rsidP="00F421F8">
      <w:pPr>
        <w:rPr>
          <w:rFonts w:eastAsia="Century Gothic" w:cs="Arial"/>
        </w:rPr>
      </w:pPr>
    </w:p>
    <w:p w14:paraId="30D42940" w14:textId="7BD69D17" w:rsidR="00F421F8" w:rsidRPr="00131EED" w:rsidRDefault="00F421F8" w:rsidP="00F421F8">
      <w:pPr>
        <w:rPr>
          <w:rFonts w:eastAsia="Century Gothic" w:cs="Arial"/>
        </w:rPr>
      </w:pPr>
      <w:r w:rsidRPr="00131EED">
        <w:rPr>
          <w:rFonts w:eastAsia="Century Gothic" w:cs="Arial"/>
        </w:rPr>
        <w:t xml:space="preserve">Es importante tener en cuenta que la capa global de asentamientos humanos, identifica como construcción “cualquier tipo de infraestructura techada erigida sobre el suelo para cualquier uso” </w:t>
      </w:r>
      <w:sdt>
        <w:sdtPr>
          <w:rPr>
            <w:rFonts w:eastAsia="Century Gothic" w:cs="Arial"/>
          </w:rPr>
          <w:id w:val="1872501967"/>
          <w:citation/>
        </w:sdtPr>
        <w:sdtEndPr/>
        <w:sdtContent>
          <w:r w:rsidRPr="00131EED">
            <w:rPr>
              <w:rFonts w:eastAsia="Century Gothic" w:cs="Arial"/>
            </w:rPr>
            <w:fldChar w:fldCharType="begin"/>
          </w:r>
          <w:r w:rsidRPr="00131EED">
            <w:rPr>
              <w:rFonts w:eastAsia="Century Gothic" w:cs="Arial"/>
            </w:rPr>
            <w:instrText xml:space="preserve"> CITATION Uni24 \l 9226 </w:instrText>
          </w:r>
          <w:r w:rsidRPr="00131EED">
            <w:rPr>
              <w:rFonts w:eastAsia="Century Gothic" w:cs="Arial"/>
            </w:rPr>
            <w:fldChar w:fldCharType="separate"/>
          </w:r>
          <w:r w:rsidRPr="00131EED">
            <w:rPr>
              <w:rFonts w:eastAsia="Century Gothic" w:cs="Arial"/>
            </w:rPr>
            <w:t>(Unión Europea, 2024)</w:t>
          </w:r>
          <w:r w:rsidRPr="00131EED">
            <w:rPr>
              <w:rFonts w:eastAsia="Century Gothic" w:cs="Arial"/>
            </w:rPr>
            <w:fldChar w:fldCharType="end"/>
          </w:r>
        </w:sdtContent>
      </w:sdt>
      <w:r w:rsidRPr="00131EED">
        <w:rPr>
          <w:rFonts w:eastAsia="Century Gothic" w:cs="Arial"/>
        </w:rPr>
        <w:t>, identificación que se realiza a partir del nivel de reflectancia de las coberturas de la tierra identificadas por los satélites Sentinel I y Sentinel II.</w:t>
      </w:r>
    </w:p>
    <w:p w14:paraId="14616B59" w14:textId="77777777" w:rsidR="009E0C3C" w:rsidRPr="00131EED" w:rsidRDefault="009E0C3C" w:rsidP="00F421F8">
      <w:pPr>
        <w:rPr>
          <w:rFonts w:eastAsia="Century Gothic" w:cs="Arial"/>
          <w:b/>
        </w:rPr>
      </w:pPr>
    </w:p>
    <w:p w14:paraId="563F3891" w14:textId="77777777" w:rsidR="00F421F8" w:rsidRPr="00131EED" w:rsidRDefault="00F421F8" w:rsidP="00F421F8">
      <w:pPr>
        <w:rPr>
          <w:rFonts w:eastAsia="Century Gothic" w:cs="Arial"/>
          <w:b/>
        </w:rPr>
      </w:pPr>
      <w:r w:rsidRPr="00131EED">
        <w:rPr>
          <w:rFonts w:eastAsia="Century Gothic" w:cs="Arial"/>
          <w:b/>
        </w:rPr>
        <w:t>Reconstrucción de trayectoria de ocupación</w:t>
      </w:r>
    </w:p>
    <w:p w14:paraId="5269F4FB" w14:textId="77777777" w:rsidR="00F421F8" w:rsidRPr="00131EED" w:rsidRDefault="00F421F8" w:rsidP="00F421F8">
      <w:pPr>
        <w:rPr>
          <w:rFonts w:ascii="Baskerville" w:eastAsia="Century Gothic" w:hAnsi="Baskerville" w:cs="Arial"/>
          <w:b/>
          <w:bCs/>
        </w:rPr>
      </w:pPr>
    </w:p>
    <w:p w14:paraId="45E82703" w14:textId="77777777" w:rsidR="00F421F8" w:rsidRPr="00131EED" w:rsidRDefault="00F421F8" w:rsidP="00F421F8">
      <w:pPr>
        <w:rPr>
          <w:rFonts w:eastAsia="Century Gothic" w:cs="Arial"/>
        </w:rPr>
      </w:pPr>
      <w:r w:rsidRPr="00131EED">
        <w:rPr>
          <w:rFonts w:eastAsia="Century Gothic" w:cs="Arial"/>
        </w:rPr>
        <w:t>A partir de la información histórica suministrada por el programa Copernicus, es posible establecer la evolución del proceso de ocupación municipal correspondiente al periodo 1975 – 2020. Esta información, con cortes temporales cada 5 años, permite una serie de tiempo consistente con la información fuente, permitiendo una aproximación a la evolución de la huella de ocupación del municipio.</w:t>
      </w:r>
    </w:p>
    <w:p w14:paraId="762D7228" w14:textId="77777777" w:rsidR="00F421F8" w:rsidRPr="00131EED" w:rsidRDefault="00F421F8" w:rsidP="00F421F8">
      <w:pPr>
        <w:rPr>
          <w:rFonts w:eastAsia="Century Gothic" w:cs="Arial"/>
        </w:rPr>
      </w:pPr>
    </w:p>
    <w:p w14:paraId="48816117" w14:textId="77777777" w:rsidR="00F421F8" w:rsidRPr="00131EED" w:rsidRDefault="00F421F8" w:rsidP="00F421F8">
      <w:pPr>
        <w:rPr>
          <w:rFonts w:ascii="Baskerville" w:eastAsia="Century Gothic" w:hAnsi="Baskerville" w:cs="Arial"/>
        </w:rPr>
      </w:pPr>
      <w:r w:rsidRPr="00131EED">
        <w:rPr>
          <w:rFonts w:eastAsia="Century Gothic" w:cs="Arial"/>
        </w:rPr>
        <w:t>Teniendo en cuenta el nivel digital de cada píxel, correspondiente a un área de 100mt x 100mts, es decir 1hectárea, se pudo determinar la suma total del área ocupada con construcciones para cada uno de los años. El resultado para el municipio de Mosquera es el siguiente</w:t>
      </w:r>
      <w:r w:rsidRPr="00131EED">
        <w:rPr>
          <w:rFonts w:ascii="Baskerville" w:eastAsia="Century Gothic" w:hAnsi="Baskerville" w:cs="Arial"/>
        </w:rPr>
        <w:t>:</w:t>
      </w:r>
    </w:p>
    <w:p w14:paraId="2676933D" w14:textId="77777777" w:rsidR="00F421F8" w:rsidRPr="00131EED" w:rsidRDefault="00F421F8" w:rsidP="00F421F8">
      <w:pPr>
        <w:rPr>
          <w:rFonts w:ascii="Baskerville" w:eastAsia="Century Gothic" w:hAnsi="Baskerville" w:cs="Arial"/>
        </w:rPr>
      </w:pPr>
    </w:p>
    <w:p w14:paraId="2DFB4382" w14:textId="406E0427" w:rsidR="00F421F8" w:rsidRPr="00131EED" w:rsidRDefault="00F421F8" w:rsidP="00F421F8">
      <w:pPr>
        <w:pStyle w:val="Caption"/>
        <w:jc w:val="center"/>
      </w:pPr>
      <w:bookmarkStart w:id="262" w:name="_Toc216468828"/>
      <w:r w:rsidRPr="00131EED">
        <w:t xml:space="preserve">Ilustración </w:t>
      </w:r>
      <w:r w:rsidRPr="00131EED">
        <w:fldChar w:fldCharType="begin"/>
      </w:r>
      <w:r w:rsidRPr="00131EED">
        <w:instrText>SEQ Ilustración \* ARABIC</w:instrText>
      </w:r>
      <w:r w:rsidRPr="00131EED">
        <w:fldChar w:fldCharType="separate"/>
      </w:r>
      <w:r w:rsidR="00CE096F">
        <w:rPr>
          <w:noProof/>
        </w:rPr>
        <w:t>63</w:t>
      </w:r>
      <w:r w:rsidRPr="00131EED">
        <w:fldChar w:fldCharType="end"/>
      </w:r>
      <w:r w:rsidRPr="00131EED">
        <w:t xml:space="preserve"> Evolución huella de ocupación - Municipio de Mosquera</w:t>
      </w:r>
      <w:bookmarkEnd w:id="262"/>
    </w:p>
    <w:p w14:paraId="1B599C7C" w14:textId="77777777" w:rsidR="00F421F8" w:rsidRPr="00131EED" w:rsidRDefault="00F421F8" w:rsidP="00F421F8">
      <w:pPr>
        <w:jc w:val="center"/>
        <w:rPr>
          <w:rFonts w:ascii="Baskerville" w:eastAsia="Century Gothic" w:hAnsi="Baskerville" w:cs="Arial"/>
          <w:highlight w:val="yellow"/>
        </w:rPr>
      </w:pPr>
      <w:r w:rsidRPr="00131EED">
        <w:rPr>
          <w:rFonts w:ascii="Baskerville" w:eastAsia="Century Gothic" w:hAnsi="Baskerville" w:cs="Arial"/>
          <w:noProof/>
          <w:lang w:eastAsia="en-US"/>
        </w:rPr>
        <w:drawing>
          <wp:inline distT="0" distB="0" distL="0" distR="0" wp14:anchorId="04D26A9C" wp14:editId="3503CF07">
            <wp:extent cx="4766374" cy="2286801"/>
            <wp:effectExtent l="0" t="0" r="0" b="0"/>
            <wp:docPr id="820802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802819" name=""/>
                    <pic:cNvPicPr/>
                  </pic:nvPicPr>
                  <pic:blipFill rotWithShape="1">
                    <a:blip r:embed="rId115"/>
                    <a:srcRect t="9163"/>
                    <a:stretch/>
                  </pic:blipFill>
                  <pic:spPr bwMode="auto">
                    <a:xfrm>
                      <a:off x="0" y="0"/>
                      <a:ext cx="4781828" cy="2294216"/>
                    </a:xfrm>
                    <a:prstGeom prst="rect">
                      <a:avLst/>
                    </a:prstGeom>
                    <a:ln>
                      <a:noFill/>
                    </a:ln>
                    <a:extLst>
                      <a:ext uri="{53640926-AAD7-44D8-BBD7-CCE9431645EC}">
                        <a14:shadowObscured xmlns:a14="http://schemas.microsoft.com/office/drawing/2010/main"/>
                      </a:ext>
                    </a:extLst>
                  </pic:spPr>
                </pic:pic>
              </a:graphicData>
            </a:graphic>
          </wp:inline>
        </w:drawing>
      </w:r>
    </w:p>
    <w:p w14:paraId="57D4F4BF" w14:textId="43793B88" w:rsidR="00F421F8" w:rsidRPr="00131EED" w:rsidRDefault="00F421F8" w:rsidP="00F421F8">
      <w:pPr>
        <w:jc w:val="center"/>
        <w:rPr>
          <w:rFonts w:eastAsia="Century Gothic" w:cs="Arial"/>
          <w:sz w:val="20"/>
          <w:szCs w:val="20"/>
        </w:rPr>
      </w:pPr>
      <w:r w:rsidRPr="00131EED">
        <w:rPr>
          <w:rFonts w:eastAsia="Century Gothic" w:cs="Arial"/>
          <w:sz w:val="20"/>
          <w:szCs w:val="20"/>
        </w:rPr>
        <w:t xml:space="preserve">Fuente: Elaboración propia con base en </w:t>
      </w:r>
      <w:sdt>
        <w:sdtPr>
          <w:rPr>
            <w:rFonts w:eastAsia="Century Gothic" w:cs="Arial"/>
            <w:sz w:val="20"/>
            <w:szCs w:val="20"/>
          </w:rPr>
          <w:id w:val="1847973326"/>
          <w:citation/>
        </w:sdtPr>
        <w:sdtEndPr/>
        <w:sdtContent>
          <w:r w:rsidRPr="00131EED">
            <w:rPr>
              <w:rFonts w:eastAsia="Century Gothic" w:cs="Arial"/>
              <w:sz w:val="20"/>
              <w:szCs w:val="20"/>
            </w:rPr>
            <w:fldChar w:fldCharType="begin"/>
          </w:r>
          <w:r w:rsidRPr="00131EED">
            <w:rPr>
              <w:rFonts w:eastAsia="Century Gothic" w:cs="Arial"/>
              <w:sz w:val="20"/>
              <w:szCs w:val="20"/>
            </w:rPr>
            <w:instrText xml:space="preserve"> CITATION Uni24 \l 9226 </w:instrText>
          </w:r>
          <w:r w:rsidRPr="00131EED">
            <w:rPr>
              <w:rFonts w:eastAsia="Century Gothic" w:cs="Arial"/>
              <w:sz w:val="20"/>
              <w:szCs w:val="20"/>
            </w:rPr>
            <w:fldChar w:fldCharType="separate"/>
          </w:r>
          <w:r w:rsidRPr="00131EED">
            <w:rPr>
              <w:rFonts w:eastAsia="Century Gothic" w:cs="Arial"/>
              <w:sz w:val="20"/>
              <w:szCs w:val="20"/>
            </w:rPr>
            <w:t>(Unión Europea, 2024)</w:t>
          </w:r>
          <w:r w:rsidRPr="00131EED">
            <w:rPr>
              <w:rFonts w:eastAsia="Century Gothic" w:cs="Arial"/>
              <w:sz w:val="20"/>
              <w:szCs w:val="20"/>
            </w:rPr>
            <w:fldChar w:fldCharType="end"/>
          </w:r>
        </w:sdtContent>
      </w:sdt>
    </w:p>
    <w:p w14:paraId="1FBE29F7" w14:textId="77777777" w:rsidR="00F421F8" w:rsidRPr="00131EED" w:rsidRDefault="00F421F8" w:rsidP="00F421F8">
      <w:pPr>
        <w:rPr>
          <w:rFonts w:eastAsia="Century Gothic" w:cs="Arial"/>
        </w:rPr>
      </w:pPr>
    </w:p>
    <w:p w14:paraId="5D5CB5C1" w14:textId="77777777" w:rsidR="00F421F8" w:rsidRPr="00131EED" w:rsidRDefault="00F421F8" w:rsidP="00F421F8">
      <w:pPr>
        <w:rPr>
          <w:rFonts w:eastAsia="Century Gothic" w:cs="Arial"/>
        </w:rPr>
      </w:pPr>
      <w:r w:rsidRPr="00131EED">
        <w:rPr>
          <w:rFonts w:eastAsia="Century Gothic" w:cs="Arial"/>
        </w:rPr>
        <w:t>La evolución de la huella de ocupación, que establece el crecimiento del área construida para cada uno de los píxeles de 1 hectárea, permite el cálculo del índice de ocupación que corresponde al área reportada por el valor digital del pixel como área construida sobre el total del área (1 ha). A partir del índice de ocupación es posible la siguiente visualización de la huella de ocupación municipal.</w:t>
      </w:r>
    </w:p>
    <w:p w14:paraId="48B5A2D3" w14:textId="77777777" w:rsidR="00F421F8" w:rsidRPr="00131EED" w:rsidRDefault="00F421F8" w:rsidP="00F421F8">
      <w:pPr>
        <w:rPr>
          <w:rFonts w:ascii="Baskerville" w:eastAsia="Century Gothic" w:hAnsi="Baskerville" w:cs="Arial"/>
        </w:rPr>
      </w:pPr>
    </w:p>
    <w:p w14:paraId="60B20F8C" w14:textId="77777777" w:rsidR="009E0C3C" w:rsidRPr="00131EED" w:rsidRDefault="009E0C3C" w:rsidP="00F421F8">
      <w:pPr>
        <w:rPr>
          <w:rFonts w:ascii="Baskerville" w:eastAsia="Century Gothic" w:hAnsi="Baskerville" w:cs="Arial"/>
        </w:rPr>
      </w:pPr>
    </w:p>
    <w:p w14:paraId="47BA6EC2" w14:textId="77777777" w:rsidR="0033670F" w:rsidRPr="00131EED" w:rsidRDefault="0033670F" w:rsidP="00F421F8">
      <w:pPr>
        <w:rPr>
          <w:rFonts w:ascii="Baskerville" w:eastAsia="Century Gothic" w:hAnsi="Baskerville" w:cs="Arial"/>
        </w:rPr>
      </w:pPr>
    </w:p>
    <w:p w14:paraId="0F263823" w14:textId="77777777" w:rsidR="0033670F" w:rsidRPr="00131EED" w:rsidRDefault="0033670F" w:rsidP="00F421F8">
      <w:pPr>
        <w:rPr>
          <w:rFonts w:ascii="Baskerville" w:eastAsia="Century Gothic" w:hAnsi="Baskerville" w:cs="Arial"/>
        </w:rPr>
      </w:pPr>
    </w:p>
    <w:p w14:paraId="19BEF505" w14:textId="77777777" w:rsidR="0033670F" w:rsidRPr="00131EED" w:rsidRDefault="0033670F" w:rsidP="00F421F8">
      <w:pPr>
        <w:rPr>
          <w:rFonts w:ascii="Baskerville" w:eastAsia="Century Gothic" w:hAnsi="Baskerville" w:cs="Arial"/>
        </w:rPr>
      </w:pPr>
    </w:p>
    <w:p w14:paraId="40967E69" w14:textId="77777777" w:rsidR="0033670F" w:rsidRPr="00131EED" w:rsidRDefault="0033670F" w:rsidP="00F421F8">
      <w:pPr>
        <w:rPr>
          <w:rFonts w:ascii="Baskerville" w:eastAsia="Century Gothic" w:hAnsi="Baskerville" w:cs="Arial"/>
        </w:rPr>
      </w:pPr>
    </w:p>
    <w:p w14:paraId="33F4378A" w14:textId="77777777" w:rsidR="0033670F" w:rsidRPr="00131EED" w:rsidRDefault="0033670F" w:rsidP="00F421F8">
      <w:pPr>
        <w:rPr>
          <w:rFonts w:ascii="Baskerville" w:eastAsia="Century Gothic" w:hAnsi="Baskerville" w:cs="Arial"/>
        </w:rPr>
      </w:pPr>
    </w:p>
    <w:p w14:paraId="48925600" w14:textId="77777777" w:rsidR="0033670F" w:rsidRPr="00131EED" w:rsidRDefault="0033670F" w:rsidP="00F421F8">
      <w:pPr>
        <w:rPr>
          <w:rFonts w:ascii="Baskerville" w:eastAsia="Century Gothic" w:hAnsi="Baskerville" w:cs="Arial"/>
        </w:rPr>
      </w:pPr>
    </w:p>
    <w:p w14:paraId="4ADF6479" w14:textId="77777777" w:rsidR="0033670F" w:rsidRPr="00131EED" w:rsidRDefault="0033670F" w:rsidP="00F421F8">
      <w:pPr>
        <w:rPr>
          <w:rFonts w:ascii="Baskerville" w:eastAsia="Century Gothic" w:hAnsi="Baskerville" w:cs="Arial"/>
        </w:rPr>
      </w:pPr>
    </w:p>
    <w:p w14:paraId="23CDC6FC" w14:textId="77777777" w:rsidR="0033670F" w:rsidRPr="00131EED" w:rsidRDefault="0033670F" w:rsidP="00F421F8">
      <w:pPr>
        <w:rPr>
          <w:rFonts w:ascii="Baskerville" w:eastAsia="Century Gothic" w:hAnsi="Baskerville" w:cs="Arial"/>
        </w:rPr>
      </w:pPr>
    </w:p>
    <w:p w14:paraId="29E0AAC2" w14:textId="77777777" w:rsidR="0033670F" w:rsidRPr="00131EED" w:rsidRDefault="0033670F" w:rsidP="00F421F8">
      <w:pPr>
        <w:rPr>
          <w:rFonts w:ascii="Baskerville" w:eastAsia="Century Gothic" w:hAnsi="Baskerville" w:cs="Arial"/>
        </w:rPr>
      </w:pPr>
    </w:p>
    <w:p w14:paraId="5E977559" w14:textId="77777777" w:rsidR="0033670F" w:rsidRPr="00131EED" w:rsidRDefault="0033670F" w:rsidP="00F421F8">
      <w:pPr>
        <w:rPr>
          <w:rFonts w:ascii="Baskerville" w:eastAsia="Century Gothic" w:hAnsi="Baskerville" w:cs="Arial"/>
        </w:rPr>
      </w:pPr>
    </w:p>
    <w:p w14:paraId="7B346033" w14:textId="14BE829F" w:rsidR="00F421F8" w:rsidRPr="00131EED" w:rsidRDefault="00F421F8" w:rsidP="00F421F8">
      <w:pPr>
        <w:pStyle w:val="Caption"/>
        <w:jc w:val="center"/>
      </w:pPr>
      <w:bookmarkStart w:id="263" w:name="_Toc216468829"/>
      <w:r w:rsidRPr="00131EED">
        <w:t xml:space="preserve">Ilustración </w:t>
      </w:r>
      <w:r w:rsidRPr="00131EED">
        <w:fldChar w:fldCharType="begin"/>
      </w:r>
      <w:r w:rsidRPr="00131EED">
        <w:instrText>SEQ Ilustración \* ARABIC</w:instrText>
      </w:r>
      <w:r w:rsidRPr="00131EED">
        <w:fldChar w:fldCharType="separate"/>
      </w:r>
      <w:r w:rsidR="00CE096F">
        <w:rPr>
          <w:noProof/>
        </w:rPr>
        <w:t>64</w:t>
      </w:r>
      <w:r w:rsidRPr="00131EED">
        <w:fldChar w:fldCharType="end"/>
      </w:r>
      <w:r w:rsidRPr="00131EED">
        <w:t>. Huella de ocupación en el municipio de Mosquera para el año de 1975</w:t>
      </w:r>
      <w:bookmarkEnd w:id="263"/>
    </w:p>
    <w:p w14:paraId="235B85C8" w14:textId="77777777" w:rsidR="00F421F8" w:rsidRPr="00131EED" w:rsidRDefault="00F421F8" w:rsidP="00F421F8">
      <w:pPr>
        <w:jc w:val="center"/>
        <w:rPr>
          <w:lang w:eastAsia="en-US"/>
        </w:rPr>
      </w:pPr>
      <w:r w:rsidRPr="00131EED">
        <w:rPr>
          <w:noProof/>
          <w:lang w:eastAsia="en-US"/>
        </w:rPr>
        <w:drawing>
          <wp:inline distT="0" distB="0" distL="0" distR="0" wp14:anchorId="0B017172" wp14:editId="5169C927">
            <wp:extent cx="3572209" cy="2176090"/>
            <wp:effectExtent l="0" t="0" r="0" b="0"/>
            <wp:docPr id="790180973" name="Imagen 1" descr="A map of a city with a black out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096646" name="Imagen 1" descr="A map of a city with a black outline&#10;&#10;AI-generated content may be incorrect."/>
                    <pic:cNvPicPr/>
                  </pic:nvPicPr>
                  <pic:blipFill rotWithShape="1">
                    <a:blip r:embed="rId116"/>
                    <a:srcRect t="9103" b="5060"/>
                    <a:stretch/>
                  </pic:blipFill>
                  <pic:spPr bwMode="auto">
                    <a:xfrm>
                      <a:off x="0" y="0"/>
                      <a:ext cx="3584823" cy="2183774"/>
                    </a:xfrm>
                    <a:prstGeom prst="rect">
                      <a:avLst/>
                    </a:prstGeom>
                    <a:ln>
                      <a:noFill/>
                    </a:ln>
                    <a:extLst>
                      <a:ext uri="{53640926-AAD7-44D8-BBD7-CCE9431645EC}">
                        <a14:shadowObscured xmlns:a14="http://schemas.microsoft.com/office/drawing/2010/main"/>
                      </a:ext>
                    </a:extLst>
                  </pic:spPr>
                </pic:pic>
              </a:graphicData>
            </a:graphic>
          </wp:inline>
        </w:drawing>
      </w:r>
    </w:p>
    <w:p w14:paraId="092809E0" w14:textId="2653E389" w:rsidR="00F421F8" w:rsidRPr="00131EED" w:rsidRDefault="00F421F8" w:rsidP="00F421F8">
      <w:pPr>
        <w:jc w:val="center"/>
        <w:rPr>
          <w:rFonts w:eastAsia="Century Gothic" w:cs="Arial"/>
          <w:sz w:val="16"/>
          <w:szCs w:val="16"/>
        </w:rPr>
      </w:pPr>
      <w:r w:rsidRPr="00131EED">
        <w:rPr>
          <w:rFonts w:eastAsia="Century Gothic" w:cs="Arial"/>
          <w:sz w:val="20"/>
          <w:szCs w:val="16"/>
        </w:rPr>
        <w:t xml:space="preserve">Fuente: Elaboración propia con base en </w:t>
      </w:r>
      <w:sdt>
        <w:sdtPr>
          <w:rPr>
            <w:rFonts w:eastAsia="Century Gothic" w:cs="Arial"/>
            <w:sz w:val="20"/>
            <w:szCs w:val="16"/>
          </w:rPr>
          <w:id w:val="-1563161703"/>
          <w:citation/>
        </w:sdtPr>
        <w:sdtEndPr/>
        <w:sdtContent>
          <w:r w:rsidRPr="00131EED">
            <w:rPr>
              <w:rFonts w:eastAsia="Century Gothic" w:cs="Arial"/>
              <w:sz w:val="20"/>
              <w:szCs w:val="16"/>
            </w:rPr>
            <w:fldChar w:fldCharType="begin"/>
          </w:r>
          <w:r w:rsidRPr="00131EED">
            <w:rPr>
              <w:rFonts w:eastAsia="Century Gothic" w:cs="Arial"/>
              <w:sz w:val="20"/>
              <w:szCs w:val="16"/>
            </w:rPr>
            <w:instrText xml:space="preserve"> CITATION Uni24 \l 9226 </w:instrText>
          </w:r>
          <w:r w:rsidRPr="00131EED">
            <w:rPr>
              <w:rFonts w:eastAsia="Century Gothic" w:cs="Arial"/>
              <w:sz w:val="20"/>
              <w:szCs w:val="16"/>
            </w:rPr>
            <w:fldChar w:fldCharType="separate"/>
          </w:r>
          <w:r w:rsidRPr="00131EED">
            <w:rPr>
              <w:rFonts w:eastAsia="Century Gothic" w:cs="Arial"/>
              <w:sz w:val="20"/>
              <w:szCs w:val="16"/>
            </w:rPr>
            <w:t>(Unión Europea, 2024)</w:t>
          </w:r>
          <w:r w:rsidRPr="00131EED">
            <w:rPr>
              <w:rFonts w:eastAsia="Century Gothic" w:cs="Arial"/>
              <w:sz w:val="20"/>
              <w:szCs w:val="16"/>
            </w:rPr>
            <w:fldChar w:fldCharType="end"/>
          </w:r>
        </w:sdtContent>
      </w:sdt>
    </w:p>
    <w:p w14:paraId="6FD28653" w14:textId="77777777" w:rsidR="0033670F" w:rsidRPr="00131EED" w:rsidRDefault="0033670F" w:rsidP="00F421F8">
      <w:pPr>
        <w:pStyle w:val="Caption"/>
        <w:jc w:val="center"/>
      </w:pPr>
    </w:p>
    <w:p w14:paraId="2D6AFFBC" w14:textId="1C4F2F40" w:rsidR="00F421F8" w:rsidRPr="00131EED" w:rsidRDefault="00F421F8" w:rsidP="00F421F8">
      <w:pPr>
        <w:pStyle w:val="Caption"/>
        <w:jc w:val="center"/>
        <w:rPr>
          <w:rFonts w:ascii="Baskerville" w:eastAsia="Century Gothic" w:hAnsi="Baskerville"/>
        </w:rPr>
      </w:pPr>
      <w:bookmarkStart w:id="264" w:name="_Toc216468830"/>
      <w:r w:rsidRPr="00131EED">
        <w:t xml:space="preserve">Ilustración </w:t>
      </w:r>
      <w:r w:rsidRPr="00131EED">
        <w:fldChar w:fldCharType="begin"/>
      </w:r>
      <w:r w:rsidRPr="00131EED">
        <w:instrText>SEQ Ilustración \* ARABIC</w:instrText>
      </w:r>
      <w:r w:rsidRPr="00131EED">
        <w:fldChar w:fldCharType="separate"/>
      </w:r>
      <w:r w:rsidR="00CE096F">
        <w:rPr>
          <w:noProof/>
        </w:rPr>
        <w:t>65</w:t>
      </w:r>
      <w:r w:rsidRPr="00131EED">
        <w:fldChar w:fldCharType="end"/>
      </w:r>
      <w:r w:rsidRPr="00131EED">
        <w:t xml:space="preserve"> Huella de ocupación del municipio de Mosquera para el año 2020</w:t>
      </w:r>
      <w:r w:rsidRPr="00131EED">
        <w:rPr>
          <w:rFonts w:ascii="Baskerville" w:eastAsia="Century Gothic" w:hAnsi="Baskerville"/>
        </w:rPr>
        <w:t>.</w:t>
      </w:r>
      <w:bookmarkEnd w:id="264"/>
    </w:p>
    <w:p w14:paraId="7CE1AA2E" w14:textId="77777777" w:rsidR="00F421F8" w:rsidRPr="00131EED" w:rsidRDefault="00F421F8" w:rsidP="00F421F8">
      <w:pPr>
        <w:jc w:val="center"/>
        <w:rPr>
          <w:rFonts w:eastAsia="Century Gothic"/>
          <w:lang w:eastAsia="en-US"/>
        </w:rPr>
      </w:pPr>
      <w:r w:rsidRPr="00131EED">
        <w:rPr>
          <w:rFonts w:eastAsia="Century Gothic"/>
          <w:noProof/>
          <w:lang w:eastAsia="en-US"/>
        </w:rPr>
        <w:drawing>
          <wp:inline distT="0" distB="0" distL="0" distR="0" wp14:anchorId="6256B37C" wp14:editId="33307F7A">
            <wp:extent cx="3474833" cy="2455757"/>
            <wp:effectExtent l="0" t="0" r="0" b="190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486856" cy="2464254"/>
                    </a:xfrm>
                    <a:prstGeom prst="rect">
                      <a:avLst/>
                    </a:prstGeom>
                    <a:noFill/>
                  </pic:spPr>
                </pic:pic>
              </a:graphicData>
            </a:graphic>
          </wp:inline>
        </w:drawing>
      </w:r>
    </w:p>
    <w:p w14:paraId="784AB393" w14:textId="590409B9" w:rsidR="00F421F8" w:rsidRPr="00131EED" w:rsidRDefault="00F421F8" w:rsidP="00F421F8">
      <w:pPr>
        <w:jc w:val="center"/>
        <w:rPr>
          <w:rFonts w:eastAsia="Century Gothic" w:cs="Arial"/>
          <w:sz w:val="20"/>
          <w:szCs w:val="20"/>
        </w:rPr>
      </w:pPr>
      <w:r w:rsidRPr="00131EED">
        <w:rPr>
          <w:rFonts w:eastAsia="Century Gothic" w:cs="Arial"/>
          <w:sz w:val="20"/>
          <w:szCs w:val="20"/>
        </w:rPr>
        <w:t xml:space="preserve">Fuente: Elaboración propia con base en </w:t>
      </w:r>
      <w:sdt>
        <w:sdtPr>
          <w:rPr>
            <w:rFonts w:eastAsia="Century Gothic" w:cs="Arial"/>
            <w:sz w:val="20"/>
            <w:szCs w:val="20"/>
          </w:rPr>
          <w:id w:val="830571070"/>
          <w:citation/>
        </w:sdtPr>
        <w:sdtEndPr/>
        <w:sdtContent>
          <w:r w:rsidRPr="00131EED">
            <w:rPr>
              <w:rFonts w:eastAsia="Century Gothic" w:cs="Arial"/>
              <w:sz w:val="20"/>
              <w:szCs w:val="20"/>
            </w:rPr>
            <w:fldChar w:fldCharType="begin"/>
          </w:r>
          <w:r w:rsidRPr="00131EED">
            <w:rPr>
              <w:rFonts w:eastAsia="Century Gothic" w:cs="Arial"/>
              <w:sz w:val="20"/>
              <w:szCs w:val="20"/>
            </w:rPr>
            <w:instrText xml:space="preserve"> CITATION Uni24 \l 9226 </w:instrText>
          </w:r>
          <w:r w:rsidRPr="00131EED">
            <w:rPr>
              <w:rFonts w:eastAsia="Century Gothic" w:cs="Arial"/>
              <w:sz w:val="20"/>
              <w:szCs w:val="20"/>
            </w:rPr>
            <w:fldChar w:fldCharType="separate"/>
          </w:r>
          <w:r w:rsidRPr="00131EED">
            <w:rPr>
              <w:rFonts w:eastAsia="Century Gothic" w:cs="Arial"/>
              <w:sz w:val="20"/>
              <w:szCs w:val="20"/>
            </w:rPr>
            <w:t>(Unión Europea, 2024)</w:t>
          </w:r>
          <w:r w:rsidRPr="00131EED">
            <w:rPr>
              <w:rFonts w:eastAsia="Century Gothic" w:cs="Arial"/>
              <w:sz w:val="20"/>
              <w:szCs w:val="20"/>
            </w:rPr>
            <w:fldChar w:fldCharType="end"/>
          </w:r>
        </w:sdtContent>
      </w:sdt>
    </w:p>
    <w:p w14:paraId="64D7FAD2" w14:textId="77777777" w:rsidR="00F421F8" w:rsidRPr="00131EED" w:rsidRDefault="00F421F8" w:rsidP="00F421F8">
      <w:pPr>
        <w:rPr>
          <w:rFonts w:ascii="Baskerville" w:eastAsia="Century Gothic" w:hAnsi="Baskerville" w:cs="Arial"/>
          <w:b/>
          <w:bCs/>
        </w:rPr>
      </w:pPr>
    </w:p>
    <w:p w14:paraId="4CBE4432" w14:textId="77777777" w:rsidR="00F421F8" w:rsidRPr="00131EED" w:rsidRDefault="00F421F8" w:rsidP="00F421F8">
      <w:pPr>
        <w:rPr>
          <w:rFonts w:eastAsia="Century Gothic" w:cs="Arial"/>
          <w:b/>
          <w:bCs/>
        </w:rPr>
      </w:pPr>
    </w:p>
    <w:p w14:paraId="3A4B204F" w14:textId="77777777" w:rsidR="00F421F8" w:rsidRPr="00131EED" w:rsidRDefault="00F421F8" w:rsidP="00F421F8">
      <w:pPr>
        <w:rPr>
          <w:rFonts w:eastAsia="Century Gothic" w:cs="Arial"/>
          <w:b/>
        </w:rPr>
      </w:pPr>
      <w:r w:rsidRPr="00131EED">
        <w:rPr>
          <w:rFonts w:eastAsia="Century Gothic" w:cs="Arial"/>
          <w:b/>
        </w:rPr>
        <w:t>Proyección de huella de ocupación</w:t>
      </w:r>
    </w:p>
    <w:p w14:paraId="6F2350FC" w14:textId="77777777" w:rsidR="00F421F8" w:rsidRPr="00131EED" w:rsidRDefault="00F421F8" w:rsidP="00F421F8">
      <w:pPr>
        <w:rPr>
          <w:rFonts w:eastAsia="Century Gothic" w:cs="Arial"/>
          <w:b/>
        </w:rPr>
      </w:pPr>
    </w:p>
    <w:p w14:paraId="38E6CF08" w14:textId="77777777" w:rsidR="00F421F8" w:rsidRPr="00131EED" w:rsidRDefault="00F421F8" w:rsidP="00F421F8">
      <w:pPr>
        <w:rPr>
          <w:rFonts w:eastAsia="Century Gothic" w:cs="Arial"/>
        </w:rPr>
      </w:pPr>
      <w:r w:rsidRPr="00131EED">
        <w:rPr>
          <w:rFonts w:eastAsia="Century Gothic" w:cs="Arial"/>
        </w:rPr>
        <w:t>Teniendo en cuenta la serie de tiempo construida, es posible proyectar el comportamiento de la huella de ocupación a partir de la estructuración de cubos espacio-temporales.  A partir de esta técnica de análisis espacial es posible visualizar y analizar datos espaciotemporales en forma de análisis de serie temporal y análisis de patrones espaciales.</w:t>
      </w:r>
    </w:p>
    <w:p w14:paraId="09A12693" w14:textId="77777777" w:rsidR="00F421F8" w:rsidRPr="00131EED" w:rsidRDefault="00F421F8" w:rsidP="00F421F8">
      <w:pPr>
        <w:rPr>
          <w:rFonts w:eastAsia="Century Gothic" w:cs="Arial"/>
        </w:rPr>
      </w:pPr>
    </w:p>
    <w:p w14:paraId="06517F84" w14:textId="77777777" w:rsidR="00F421F8" w:rsidRPr="00131EED" w:rsidRDefault="00F421F8" w:rsidP="00F421F8">
      <w:pPr>
        <w:rPr>
          <w:rFonts w:eastAsia="Century Gothic" w:cs="Arial"/>
        </w:rPr>
      </w:pPr>
      <w:r w:rsidRPr="00131EED">
        <w:rPr>
          <w:rFonts w:eastAsia="Century Gothic" w:cs="Arial"/>
        </w:rPr>
        <w:t>Para la construcción de la serie espacio-temporal, se definió una rejilla conformada por áreas cuadradas de 1ha, las cuales reciben la información de la serie temporal reconstruida, de al menos 10 periodos de tiempo teniendo en cuenta la información disponible en la misión Copernicus correspondiente al periodo 1975 a 2020, con intervalos de 5 años.</w:t>
      </w:r>
    </w:p>
    <w:p w14:paraId="7F95A193" w14:textId="77777777" w:rsidR="00F421F8" w:rsidRPr="00131EED" w:rsidRDefault="00F421F8" w:rsidP="00F421F8">
      <w:pPr>
        <w:rPr>
          <w:rFonts w:eastAsia="Century Gothic" w:cs="Arial"/>
        </w:rPr>
      </w:pPr>
    </w:p>
    <w:p w14:paraId="2A646E34" w14:textId="25455237" w:rsidR="00F421F8" w:rsidRPr="00131EED" w:rsidRDefault="00F421F8" w:rsidP="00F421F8">
      <w:pPr>
        <w:rPr>
          <w:rFonts w:eastAsia="Century Gothic" w:cs="Arial"/>
        </w:rPr>
      </w:pPr>
      <w:r w:rsidRPr="00131EED">
        <w:rPr>
          <w:rFonts w:eastAsia="Century Gothic" w:cs="Arial"/>
        </w:rPr>
        <w:t xml:space="preserve">Con esta información, es posible realizar la proyección de la huella de ocupación a partir del método de ajuste de curva, es decir: “La herramienta ajusta una curva en cada ubicación del cubo de espacio-tiempo de entrada y predice la serie temporal extrapolando esta curva a periodos de tiempo futuros. Las curvas pueden ser lineales, parabólicas, en forma de S (Gompertz) o exponenciales. Puede utilizar el mismo tipo de curva en cada ubicación del cubo de espacio-tiempo o permitir que la herramienta configure el tipo de curva que mejor se ajuste a cada ubicación” </w:t>
      </w:r>
      <w:sdt>
        <w:sdtPr>
          <w:rPr>
            <w:rFonts w:eastAsia="Century Gothic" w:cs="Arial"/>
          </w:rPr>
          <w:id w:val="-425575230"/>
          <w:citation/>
        </w:sdtPr>
        <w:sdtEndPr/>
        <w:sdtContent>
          <w:r w:rsidRPr="00131EED">
            <w:rPr>
              <w:rFonts w:eastAsia="Century Gothic" w:cs="Arial"/>
            </w:rPr>
            <w:fldChar w:fldCharType="begin"/>
          </w:r>
          <w:r w:rsidRPr="00131EED">
            <w:rPr>
              <w:rFonts w:eastAsia="Century Gothic" w:cs="Arial"/>
            </w:rPr>
            <w:instrText xml:space="preserve"> CITATION Arc24 \l 9226 </w:instrText>
          </w:r>
          <w:r w:rsidRPr="00131EED">
            <w:rPr>
              <w:rFonts w:eastAsia="Century Gothic" w:cs="Arial"/>
            </w:rPr>
            <w:fldChar w:fldCharType="separate"/>
          </w:r>
          <w:r w:rsidRPr="00131EED">
            <w:rPr>
              <w:rFonts w:eastAsia="Century Gothic" w:cs="Arial"/>
            </w:rPr>
            <w:t>(ArcGis Pro, 2024)</w:t>
          </w:r>
          <w:r w:rsidRPr="00131EED">
            <w:rPr>
              <w:rFonts w:eastAsia="Century Gothic" w:cs="Arial"/>
            </w:rPr>
            <w:fldChar w:fldCharType="end"/>
          </w:r>
        </w:sdtContent>
      </w:sdt>
      <w:r w:rsidRPr="00131EED">
        <w:rPr>
          <w:rFonts w:eastAsia="Century Gothic" w:cs="Arial"/>
        </w:rPr>
        <w:t>. A partir de esta información y la aplicación del método mencionado, fue posible establecer la proyección del área ocupada del municipio de Mosquera para el año 2035, con el siguiente resultado.</w:t>
      </w:r>
    </w:p>
    <w:p w14:paraId="69E486A6" w14:textId="77777777" w:rsidR="00F421F8" w:rsidRPr="00131EED" w:rsidRDefault="00F421F8" w:rsidP="00F421F8">
      <w:pPr>
        <w:rPr>
          <w:rFonts w:ascii="Baskerville" w:eastAsia="Century Gothic" w:hAnsi="Baskerville" w:cs="Arial"/>
        </w:rPr>
      </w:pPr>
    </w:p>
    <w:p w14:paraId="7F0E6C43" w14:textId="1D630B78" w:rsidR="00F421F8" w:rsidRPr="00131EED" w:rsidRDefault="00F421F8" w:rsidP="00F421F8">
      <w:pPr>
        <w:pStyle w:val="Caption"/>
        <w:jc w:val="center"/>
      </w:pPr>
      <w:bookmarkStart w:id="265" w:name="_Toc216468831"/>
      <w:r w:rsidRPr="00131EED">
        <w:t xml:space="preserve">Ilustración </w:t>
      </w:r>
      <w:r w:rsidRPr="00131EED">
        <w:fldChar w:fldCharType="begin"/>
      </w:r>
      <w:r w:rsidRPr="00131EED">
        <w:rPr>
          <w:rFonts w:ascii="Baskerville" w:hAnsi="Baskerville"/>
        </w:rPr>
        <w:instrText>SEQ Ilustración \* ARABIC</w:instrText>
      </w:r>
      <w:r w:rsidRPr="00131EED">
        <w:fldChar w:fldCharType="separate"/>
      </w:r>
      <w:r w:rsidR="00CE096F">
        <w:rPr>
          <w:rFonts w:ascii="Baskerville" w:hAnsi="Baskerville"/>
          <w:noProof/>
        </w:rPr>
        <w:t>66</w:t>
      </w:r>
      <w:r w:rsidRPr="00131EED">
        <w:fldChar w:fldCharType="end"/>
      </w:r>
      <w:r w:rsidRPr="00131EED">
        <w:t>. Proyección huella de ocupación - Mosquera 2025-2035</w:t>
      </w:r>
      <w:bookmarkEnd w:id="265"/>
    </w:p>
    <w:p w14:paraId="675C3E00" w14:textId="77777777" w:rsidR="00F421F8" w:rsidRPr="00131EED" w:rsidRDefault="00F421F8" w:rsidP="00F421F8">
      <w:pPr>
        <w:jc w:val="center"/>
        <w:rPr>
          <w:lang w:eastAsia="en-US"/>
        </w:rPr>
      </w:pPr>
      <w:r w:rsidRPr="00131EED">
        <w:rPr>
          <w:noProof/>
          <w:lang w:eastAsia="en-US"/>
        </w:rPr>
        <w:drawing>
          <wp:inline distT="0" distB="0" distL="0" distR="0" wp14:anchorId="66974695" wp14:editId="547BA51C">
            <wp:extent cx="4288297" cy="2438187"/>
            <wp:effectExtent l="0" t="0" r="0" b="635"/>
            <wp:docPr id="1394038152" name="Picture 1" descr="A graph with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038152" name="Picture 1" descr="A graph with numbers and a line&#10;&#10;AI-generated content may be incorrect."/>
                    <pic:cNvPicPr/>
                  </pic:nvPicPr>
                  <pic:blipFill>
                    <a:blip r:embed="rId118"/>
                    <a:stretch>
                      <a:fillRect/>
                    </a:stretch>
                  </pic:blipFill>
                  <pic:spPr>
                    <a:xfrm>
                      <a:off x="0" y="0"/>
                      <a:ext cx="4296382" cy="2442784"/>
                    </a:xfrm>
                    <a:prstGeom prst="rect">
                      <a:avLst/>
                    </a:prstGeom>
                  </pic:spPr>
                </pic:pic>
              </a:graphicData>
            </a:graphic>
          </wp:inline>
        </w:drawing>
      </w:r>
    </w:p>
    <w:p w14:paraId="58C362FC" w14:textId="14AA37A5" w:rsidR="00F421F8" w:rsidRPr="00131EED" w:rsidRDefault="00F421F8" w:rsidP="00F421F8">
      <w:pPr>
        <w:jc w:val="center"/>
        <w:rPr>
          <w:rFonts w:eastAsia="Century Gothic" w:cs="Arial"/>
          <w:sz w:val="20"/>
          <w:szCs w:val="20"/>
        </w:rPr>
      </w:pPr>
      <w:r w:rsidRPr="00131EED">
        <w:rPr>
          <w:rFonts w:eastAsia="Century Gothic" w:cs="Arial"/>
          <w:sz w:val="20"/>
          <w:szCs w:val="20"/>
        </w:rPr>
        <w:t xml:space="preserve">Fuente: Elaboración propia con base en </w:t>
      </w:r>
      <w:sdt>
        <w:sdtPr>
          <w:rPr>
            <w:rFonts w:eastAsia="Century Gothic" w:cs="Arial"/>
            <w:sz w:val="20"/>
            <w:szCs w:val="20"/>
          </w:rPr>
          <w:id w:val="777532445"/>
          <w:citation/>
        </w:sdtPr>
        <w:sdtEndPr/>
        <w:sdtContent>
          <w:r w:rsidRPr="00131EED">
            <w:rPr>
              <w:rFonts w:eastAsia="Century Gothic" w:cs="Arial"/>
              <w:sz w:val="20"/>
              <w:szCs w:val="20"/>
            </w:rPr>
            <w:fldChar w:fldCharType="begin"/>
          </w:r>
          <w:r w:rsidRPr="00131EED">
            <w:rPr>
              <w:rFonts w:eastAsia="Century Gothic" w:cs="Arial"/>
              <w:sz w:val="20"/>
              <w:szCs w:val="20"/>
            </w:rPr>
            <w:instrText xml:space="preserve"> CITATION Uni24 \l 9226 </w:instrText>
          </w:r>
          <w:r w:rsidRPr="00131EED">
            <w:rPr>
              <w:rFonts w:eastAsia="Century Gothic" w:cs="Arial"/>
              <w:sz w:val="20"/>
              <w:szCs w:val="20"/>
            </w:rPr>
            <w:fldChar w:fldCharType="separate"/>
          </w:r>
          <w:r w:rsidRPr="00131EED">
            <w:rPr>
              <w:rFonts w:eastAsia="Century Gothic" w:cs="Arial"/>
              <w:sz w:val="20"/>
              <w:szCs w:val="20"/>
            </w:rPr>
            <w:t>(Unión Europea, 2024)</w:t>
          </w:r>
          <w:r w:rsidRPr="00131EED">
            <w:rPr>
              <w:rFonts w:eastAsia="Century Gothic" w:cs="Arial"/>
              <w:sz w:val="20"/>
              <w:szCs w:val="20"/>
            </w:rPr>
            <w:fldChar w:fldCharType="end"/>
          </w:r>
        </w:sdtContent>
      </w:sdt>
    </w:p>
    <w:p w14:paraId="5AB94758" w14:textId="77777777" w:rsidR="00F421F8" w:rsidRPr="00131EED" w:rsidRDefault="00F421F8" w:rsidP="00F421F8">
      <w:pPr>
        <w:rPr>
          <w:rFonts w:eastAsia="Century Gothic" w:cs="Arial"/>
        </w:rPr>
      </w:pPr>
    </w:p>
    <w:p w14:paraId="493F8BD6" w14:textId="77777777" w:rsidR="009E0C3C" w:rsidRPr="00131EED" w:rsidRDefault="009E0C3C" w:rsidP="00F421F8">
      <w:pPr>
        <w:rPr>
          <w:rFonts w:eastAsia="Century Gothic" w:cs="Arial"/>
        </w:rPr>
      </w:pPr>
    </w:p>
    <w:p w14:paraId="10F2E718" w14:textId="77777777" w:rsidR="00F421F8" w:rsidRPr="00131EED" w:rsidRDefault="00F421F8" w:rsidP="00F421F8">
      <w:pPr>
        <w:rPr>
          <w:rFonts w:eastAsia="Century Gothic" w:cs="Arial"/>
        </w:rPr>
      </w:pPr>
      <w:r w:rsidRPr="00131EED">
        <w:rPr>
          <w:rFonts w:eastAsia="Century Gothic" w:cs="Arial"/>
        </w:rPr>
        <w:t>Teniendo en cuenta la información obtenida, es posible establecer el área total ocupada en cada uno de los píxeles de 1ha para el año 2035. El valor obtenido para cada píxel se dividió por el área total de la celda de 1ha, obteniendo el índice de ocupación correspondiente. A partir de esta información se obtuvo la siguiente salida gráfica.</w:t>
      </w:r>
    </w:p>
    <w:p w14:paraId="51983B51" w14:textId="77777777" w:rsidR="00F421F8" w:rsidRPr="00131EED" w:rsidRDefault="00F421F8" w:rsidP="00F421F8">
      <w:pPr>
        <w:rPr>
          <w:rFonts w:eastAsia="Century Gothic" w:cs="Arial"/>
        </w:rPr>
      </w:pPr>
    </w:p>
    <w:p w14:paraId="72630B34" w14:textId="6C9D4974" w:rsidR="009E0C3C" w:rsidRPr="00131EED" w:rsidRDefault="009E0C3C" w:rsidP="00F421F8">
      <w:pPr>
        <w:rPr>
          <w:rFonts w:eastAsia="Century Gothic" w:cs="Arial"/>
        </w:rPr>
      </w:pPr>
    </w:p>
    <w:p w14:paraId="6917E4B8" w14:textId="77777777" w:rsidR="00AB4A09" w:rsidRPr="00131EED" w:rsidRDefault="00AB4A09" w:rsidP="00F421F8">
      <w:pPr>
        <w:rPr>
          <w:rFonts w:eastAsia="Century Gothic" w:cs="Arial"/>
        </w:rPr>
      </w:pPr>
    </w:p>
    <w:p w14:paraId="2CB3E042" w14:textId="77777777" w:rsidR="009E0C3C" w:rsidRPr="00131EED" w:rsidRDefault="009E0C3C" w:rsidP="00F421F8">
      <w:pPr>
        <w:rPr>
          <w:rFonts w:eastAsia="Century Gothic" w:cs="Arial"/>
        </w:rPr>
      </w:pPr>
    </w:p>
    <w:p w14:paraId="582863B9" w14:textId="1B557254" w:rsidR="00F421F8" w:rsidRPr="00131EED" w:rsidRDefault="00F421F8" w:rsidP="00F421F8">
      <w:pPr>
        <w:pStyle w:val="Caption"/>
        <w:jc w:val="center"/>
      </w:pPr>
      <w:bookmarkStart w:id="266" w:name="_Toc216468832"/>
      <w:r w:rsidRPr="00131EED">
        <w:t xml:space="preserve">Ilustración </w:t>
      </w:r>
      <w:r w:rsidRPr="00131EED">
        <w:fldChar w:fldCharType="begin"/>
      </w:r>
      <w:r w:rsidRPr="00131EED">
        <w:instrText>SEQ Ilustración \* ARABIC</w:instrText>
      </w:r>
      <w:r w:rsidRPr="00131EED">
        <w:fldChar w:fldCharType="separate"/>
      </w:r>
      <w:r w:rsidR="00CE096F">
        <w:rPr>
          <w:noProof/>
        </w:rPr>
        <w:t>67</w:t>
      </w:r>
      <w:r w:rsidRPr="00131EED">
        <w:fldChar w:fldCharType="end"/>
      </w:r>
      <w:r w:rsidR="00AB4A09" w:rsidRPr="00131EED">
        <w:t xml:space="preserve"> </w:t>
      </w:r>
      <w:r w:rsidRPr="00131EED">
        <w:t>Proyección huella de ocupación - Mosquera 2035</w:t>
      </w:r>
      <w:bookmarkEnd w:id="266"/>
    </w:p>
    <w:p w14:paraId="20868D1F" w14:textId="77777777" w:rsidR="00F421F8" w:rsidRPr="00131EED" w:rsidRDefault="00F421F8" w:rsidP="00F421F8">
      <w:pPr>
        <w:jc w:val="center"/>
        <w:rPr>
          <w:lang w:eastAsia="en-US"/>
        </w:rPr>
      </w:pPr>
      <w:r w:rsidRPr="00131EED">
        <w:rPr>
          <w:noProof/>
          <w:lang w:eastAsia="en-US"/>
        </w:rPr>
        <w:drawing>
          <wp:inline distT="0" distB="0" distL="0" distR="0" wp14:anchorId="2679FAFD" wp14:editId="263804BE">
            <wp:extent cx="3682424" cy="2603637"/>
            <wp:effectExtent l="0" t="0" r="0" b="6350"/>
            <wp:docPr id="473145446" name="Imagen 2" descr="Mapa&#10;&#10;Descripción generada automáticamente">
              <a:extLst xmlns:a="http://schemas.openxmlformats.org/drawingml/2006/main">
                <a:ext uri="{FF2B5EF4-FFF2-40B4-BE49-F238E27FC236}">
                  <a16:creationId xmlns:a16="http://schemas.microsoft.com/office/drawing/2014/main" id="{0982A651-EEC5-C607-3D79-CC21839E3E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descr="Mapa&#10;&#10;Descripción generada automáticamente">
                      <a:extLst>
                        <a:ext uri="{FF2B5EF4-FFF2-40B4-BE49-F238E27FC236}">
                          <a16:creationId xmlns:a16="http://schemas.microsoft.com/office/drawing/2014/main" id="{0982A651-EEC5-C607-3D79-CC21839E3E2E}"/>
                        </a:ext>
                      </a:extLst>
                    </pic:cNvPr>
                    <pic:cNvPicPr>
                      <a:picLocks noChangeAspect="1"/>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3694984" cy="2612517"/>
                    </a:xfrm>
                    <a:prstGeom prst="rect">
                      <a:avLst/>
                    </a:prstGeom>
                  </pic:spPr>
                </pic:pic>
              </a:graphicData>
            </a:graphic>
          </wp:inline>
        </w:drawing>
      </w:r>
    </w:p>
    <w:p w14:paraId="64E09ABA" w14:textId="0F8E8450" w:rsidR="00F421F8" w:rsidRPr="00131EED" w:rsidRDefault="00F421F8" w:rsidP="00F421F8">
      <w:pPr>
        <w:jc w:val="center"/>
        <w:rPr>
          <w:sz w:val="20"/>
          <w:szCs w:val="20"/>
        </w:rPr>
      </w:pPr>
      <w:r w:rsidRPr="00131EED">
        <w:rPr>
          <w:sz w:val="20"/>
          <w:szCs w:val="20"/>
        </w:rPr>
        <w:t xml:space="preserve">Fuente: Elaboración propia con base en </w:t>
      </w:r>
      <w:sdt>
        <w:sdtPr>
          <w:rPr>
            <w:sz w:val="20"/>
            <w:szCs w:val="20"/>
          </w:rPr>
          <w:id w:val="-2063476351"/>
          <w:citation/>
        </w:sdtPr>
        <w:sdtEndPr/>
        <w:sdtContent>
          <w:r w:rsidRPr="00131EED">
            <w:rPr>
              <w:sz w:val="20"/>
              <w:szCs w:val="20"/>
            </w:rPr>
            <w:fldChar w:fldCharType="begin"/>
          </w:r>
          <w:r w:rsidRPr="00131EED">
            <w:rPr>
              <w:sz w:val="20"/>
              <w:szCs w:val="20"/>
            </w:rPr>
            <w:instrText xml:space="preserve"> CITATION Uni24 \l 9226 </w:instrText>
          </w:r>
          <w:r w:rsidRPr="00131EED">
            <w:rPr>
              <w:sz w:val="20"/>
              <w:szCs w:val="20"/>
            </w:rPr>
            <w:fldChar w:fldCharType="separate"/>
          </w:r>
          <w:r w:rsidRPr="00131EED">
            <w:rPr>
              <w:sz w:val="20"/>
              <w:szCs w:val="20"/>
            </w:rPr>
            <w:t>(Unión Europea, 2024)</w:t>
          </w:r>
          <w:r w:rsidRPr="00131EED">
            <w:rPr>
              <w:sz w:val="20"/>
              <w:szCs w:val="20"/>
            </w:rPr>
            <w:fldChar w:fldCharType="end"/>
          </w:r>
        </w:sdtContent>
      </w:sdt>
    </w:p>
    <w:p w14:paraId="179CC1D1" w14:textId="77777777" w:rsidR="00F421F8" w:rsidRPr="00131EED" w:rsidRDefault="00F421F8" w:rsidP="00F421F8"/>
    <w:p w14:paraId="73C42625" w14:textId="77777777" w:rsidR="00F421F8" w:rsidRPr="00131EED" w:rsidRDefault="00F421F8" w:rsidP="00F421F8">
      <w:r w:rsidRPr="00131EED">
        <w:t xml:space="preserve">La proyección del crecimiento de la huella urbana en el municipio de Mosquera entre 2025 y 2035 de concretarse, evidenciaría una aceleración en la ocupación del suelo. Mientras que entre 1975 y 2020 la expansión urbana fue progresiva, pasando de 157,9 a 459,9 hectáreas en 45 años, el crecimiento proyectado para los siguientes 15 años sería mucho más abrupto, alcanzando las 1044,1 hectáreas en 2035, más del doble de lo registrado en 2020. Esta tendencia revela una transformación intensa del territorio, donde los suelos rurales y ecosistemas estratégicos están siendo rápidamente reemplazados por usos urbanos. En el contexto de la Sabana de Bogotá y bajo el supuesto preliminar de que algunos municipios continúen las tendencias actuales, se evidencian tasas de transformación que contraria la destinación agropecuaria y forestal de la sabana cuando sucede por fuera de los perímetros urbanos y de expansión previstos en los actuales Planes de Ordenamiento Territorial.  </w:t>
      </w:r>
    </w:p>
    <w:p w14:paraId="46F854A0" w14:textId="77777777" w:rsidR="00F421F8" w:rsidRPr="00131EED" w:rsidRDefault="00F421F8" w:rsidP="00F421F8">
      <w:pPr>
        <w:rPr>
          <w:rFonts w:ascii="Baskerville" w:hAnsi="Baskerville" w:cs="Arial"/>
        </w:rPr>
      </w:pPr>
    </w:p>
    <w:p w14:paraId="3FD34947" w14:textId="77777777" w:rsidR="00F421F8" w:rsidRPr="00131EED" w:rsidRDefault="00F421F8" w:rsidP="00F421F8">
      <w:pPr>
        <w:pStyle w:val="Heading4"/>
      </w:pPr>
      <w:bookmarkStart w:id="267" w:name="_Toc216468730"/>
      <w:r w:rsidRPr="00131EED">
        <w:t>5.3.1.5 Estimación del crecimiento de área construida Sabana de Bogotá (1975 – 2030)</w:t>
      </w:r>
      <w:bookmarkEnd w:id="267"/>
    </w:p>
    <w:p w14:paraId="27AF09C1" w14:textId="77777777" w:rsidR="00F421F8" w:rsidRPr="00131EED" w:rsidRDefault="00F421F8" w:rsidP="00F421F8">
      <w:pPr>
        <w:pStyle w:val="Titulo6"/>
        <w:rPr>
          <w:rFonts w:ascii="Baskerville Old Face" w:hAnsi="Baskerville Old Face"/>
        </w:rPr>
      </w:pPr>
      <w:r w:rsidRPr="00131EED">
        <w:rPr>
          <w:rFonts w:ascii="Baskerville Old Face" w:hAnsi="Baskerville Old Face"/>
        </w:rPr>
        <w:t>Contexto</w:t>
      </w:r>
    </w:p>
    <w:p w14:paraId="415519BE" w14:textId="77777777" w:rsidR="009E0C3C" w:rsidRPr="00131EED" w:rsidRDefault="009E0C3C" w:rsidP="00F421F8"/>
    <w:p w14:paraId="0115E63E" w14:textId="77777777" w:rsidR="00F421F8" w:rsidRPr="00131EED" w:rsidRDefault="00F421F8" w:rsidP="00F421F8">
      <w:r w:rsidRPr="00131EED">
        <w:t>En el marco de priorización de la Sabana como área de interés ecológica para la nación y ámbito de aplicación del ordenamiento territorial alrededor del agua, entender la transformación de la sabana a lo largo del tiempo, más específicamente las dinámicas de ocupación y ampliación de la superficie construida del suelo, cobran cada vez una mayor importancia.</w:t>
      </w:r>
    </w:p>
    <w:p w14:paraId="402E83AF" w14:textId="77777777" w:rsidR="00F421F8" w:rsidRPr="00131EED" w:rsidRDefault="00F421F8" w:rsidP="00F421F8">
      <w:r w:rsidRPr="00131EED">
        <w:t>De acuerdo con lo anterior, en el presente documento, se relaciona un análisis de crecimiento de la superficie construida en la Sabana de Bogotá, con el propósito de analizar algunas dinámicas de crecimiento de los entes territoriales contenidos en el ámbito de aplicación de la Sabana y estimar para el 2023, el crecimiento esperado de los mismos.</w:t>
      </w:r>
    </w:p>
    <w:bookmarkStart w:id="268" w:name="_Toc194355577"/>
    <w:p w14:paraId="537E9C07" w14:textId="77777777" w:rsidR="00F421F8" w:rsidRPr="00131EED" w:rsidRDefault="00A848D3" w:rsidP="00F421F8">
      <w:pPr>
        <w:pStyle w:val="Titulo6"/>
        <w:rPr>
          <w:rStyle w:val="Heading7Char"/>
          <w:rFonts w:ascii="Baskerville Old Face" w:eastAsiaTheme="majorEastAsia" w:hAnsi="Baskerville Old Face"/>
          <w:sz w:val="24"/>
          <w:szCs w:val="24"/>
        </w:rPr>
      </w:pPr>
      <w:sdt>
        <w:sdtPr>
          <w:rPr>
            <w:rFonts w:ascii="Baskerville Old Face" w:eastAsia="Times New Roman" w:hAnsi="Baskerville Old Face"/>
            <w:i w:val="0"/>
            <w:iCs w:val="0"/>
            <w:sz w:val="24"/>
            <w:szCs w:val="24"/>
          </w:rPr>
          <w:id w:val="-654603137"/>
          <w:placeholder>
            <w:docPart w:val="B183208E844A4E2E8FEDB0C1711AE2BB"/>
          </w:placeholder>
          <w15:appearance w15:val="hidden"/>
        </w:sdtPr>
        <w:sdtEndPr>
          <w:rPr>
            <w:rStyle w:val="Heading7Char"/>
            <w:rFonts w:eastAsiaTheme="majorEastAsia"/>
          </w:rPr>
        </w:sdtEndPr>
        <w:sdtContent>
          <w:sdt>
            <w:sdtPr>
              <w:rPr>
                <w:rStyle w:val="Heading7Char"/>
                <w:rFonts w:ascii="Baskerville Old Face" w:eastAsiaTheme="majorEastAsia" w:hAnsi="Baskerville Old Face"/>
                <w:sz w:val="24"/>
                <w:szCs w:val="24"/>
              </w:rPr>
              <w:id w:val="863639311"/>
              <w:placeholder>
                <w:docPart w:val="F6C486E3E7C94FFFB4C85AAA4050FC3A"/>
              </w:placeholder>
              <w15:appearance w15:val="hidden"/>
            </w:sdtPr>
            <w:sdtEndPr>
              <w:rPr>
                <w:rStyle w:val="Heading7Char"/>
              </w:rPr>
            </w:sdtEndPr>
            <w:sdtContent>
              <w:r w:rsidR="00F421F8" w:rsidRPr="00131EED">
                <w:rPr>
                  <w:rFonts w:ascii="Baskerville Old Face" w:hAnsi="Baskerville Old Face"/>
                </w:rPr>
                <w:t>Métodos</w:t>
              </w:r>
              <w:r w:rsidR="00F421F8" w:rsidRPr="00131EED">
                <w:rPr>
                  <w:rFonts w:ascii="Baskerville Old Face" w:hAnsi="Baskerville Old Face"/>
                  <w:sz w:val="24"/>
                  <w:szCs w:val="24"/>
                </w:rPr>
                <w:t xml:space="preserve"> </w:t>
              </w:r>
            </w:sdtContent>
          </w:sdt>
        </w:sdtContent>
      </w:sdt>
      <w:bookmarkEnd w:id="268"/>
      <w:r w:rsidR="00F421F8" w:rsidRPr="00131EED">
        <w:rPr>
          <w:rStyle w:val="Heading7Char"/>
          <w:rFonts w:ascii="Baskerville Old Face" w:eastAsiaTheme="majorEastAsia" w:hAnsi="Baskerville Old Face"/>
          <w:sz w:val="24"/>
          <w:szCs w:val="24"/>
        </w:rPr>
        <w:t xml:space="preserve"> </w:t>
      </w:r>
    </w:p>
    <w:p w14:paraId="64121EE4" w14:textId="77777777" w:rsidR="009E0C3C" w:rsidRPr="00131EED" w:rsidRDefault="009E0C3C" w:rsidP="00F421F8"/>
    <w:p w14:paraId="3B349A7A" w14:textId="77777777" w:rsidR="00F421F8" w:rsidRPr="00131EED" w:rsidRDefault="00F421F8" w:rsidP="00F421F8">
      <w:r w:rsidRPr="00131EED">
        <w:t>Para facilitar el análisis de datos, se aplicó uno de los productos multi-resolución pertenecientes al paquete GHSL Data 2023 llamado Global Build Up Surface. Con este paquete se accedió a datasets ráster de densidad con los cuales se generó una proyección de áreas de huella construida para la sabana de Bogotá con una resolución espacial de 100 metros a intervalos de tiempo iguales de 5 años, desde 1975 hasta 2030.</w:t>
      </w:r>
    </w:p>
    <w:p w14:paraId="6C16FD4E" w14:textId="77777777" w:rsidR="00F421F8" w:rsidRPr="00131EED" w:rsidRDefault="00F421F8" w:rsidP="00F421F8">
      <w:r w:rsidRPr="00131EED">
        <w:t xml:space="preserve">Los datos fueron generados mediante interpolación espacio-temporal de cinco colecciones de imágenes satelitales de múltiples sensores y plataformas integradas así: </w:t>
      </w:r>
    </w:p>
    <w:p w14:paraId="49008203" w14:textId="77777777" w:rsidR="00F421F8" w:rsidRPr="00131EED" w:rsidRDefault="00F421F8" w:rsidP="00410194">
      <w:pPr>
        <w:pStyle w:val="ListParagraph"/>
        <w:numPr>
          <w:ilvl w:val="0"/>
          <w:numId w:val="24"/>
        </w:numPr>
        <w:spacing w:after="160" w:line="278" w:lineRule="auto"/>
        <w:rPr>
          <w:sz w:val="24"/>
          <w:szCs w:val="24"/>
        </w:rPr>
      </w:pPr>
      <w:r w:rsidRPr="00131EED">
        <w:rPr>
          <w:sz w:val="24"/>
          <w:szCs w:val="24"/>
        </w:rPr>
        <w:t>Datos Landsat (sensor MSS, TM, ETM) correspondientes a los periodos de 1975, 1990, 2000 y 2014</w:t>
      </w:r>
    </w:p>
    <w:p w14:paraId="33887D7D" w14:textId="77777777" w:rsidR="00F421F8" w:rsidRPr="00131EED" w:rsidRDefault="00F421F8" w:rsidP="00410194">
      <w:pPr>
        <w:pStyle w:val="ListParagraph"/>
        <w:numPr>
          <w:ilvl w:val="0"/>
          <w:numId w:val="24"/>
        </w:numPr>
        <w:spacing w:after="160" w:line="278" w:lineRule="auto"/>
        <w:rPr>
          <w:sz w:val="24"/>
          <w:szCs w:val="24"/>
        </w:rPr>
      </w:pPr>
      <w:r w:rsidRPr="00131EED">
        <w:rPr>
          <w:sz w:val="24"/>
          <w:szCs w:val="24"/>
        </w:rPr>
        <w:t>Composición de imágenes Sentinel-2 (S2) (GHS-composite-S2 R2020A) correspondientes al periodo de 2018.</w:t>
      </w:r>
    </w:p>
    <w:p w14:paraId="1642FA6E" w14:textId="77777777" w:rsidR="00F421F8" w:rsidRPr="00131EED" w:rsidRDefault="00F421F8" w:rsidP="00F421F8">
      <w:pPr>
        <w:rPr>
          <w:i/>
          <w:iCs/>
        </w:rPr>
      </w:pPr>
      <w:r w:rsidRPr="00131EED">
        <w:t>Para el geoprocesamiento de la información, GHSL cuenta con un</w:t>
      </w:r>
      <w:r w:rsidRPr="00131EED">
        <w:rPr>
          <w:i/>
          <w:iCs/>
        </w:rPr>
        <w:t xml:space="preserve"> “(…) motor inferencial como una generalización de cuantificación múltiple con soporte mínimo (MQMS) del enfoque de aprendizaje automático simbólico (SML) (Pesaresi, Syrris, et al., 2016). El SML para la clasificación de los datos Sentinel-2 utiliza como entrada descriptores de imagen radiométricos y morfológicos multiescala (Pesaresi, Corbane, et al., 2016), incluyendo la delimitación funcional (es decir, RES, NRES) de las áreas edificadas”(…). </w:t>
      </w:r>
    </w:p>
    <w:p w14:paraId="228E1585" w14:textId="77777777" w:rsidR="00F421F8" w:rsidRPr="00131EED" w:rsidRDefault="00F421F8" w:rsidP="00F421F8">
      <w:pPr>
        <w:rPr>
          <w:i/>
          <w:iCs/>
        </w:rPr>
      </w:pPr>
    </w:p>
    <w:p w14:paraId="3FDC54B3" w14:textId="77777777" w:rsidR="00F421F8" w:rsidRPr="00131EED" w:rsidRDefault="00F421F8" w:rsidP="00F421F8">
      <w:r w:rsidRPr="00131EED">
        <w:t>Según GHSL Data Package (2023)., la descomposición multiescala de la información de la imagen se sustenta en el modelo de nivelación de características-salencia (CSL) (Pesaresi et al., 2012) a partir de la generalización de la segmentación de imágenes basada en la derivada del perfil morfológico (DMP) (Pesaresi y Benediktsson, 2001). El CSL multiescala se resuelve mediante un enfoque computacionalmente eficiente (Ouzounis et al., 2012). La inferencia se calcula en mosaicos de datos de 100 × 100 km.</w:t>
      </w:r>
    </w:p>
    <w:p w14:paraId="02AA3883" w14:textId="77777777" w:rsidR="00F421F8" w:rsidRPr="00131EED" w:rsidRDefault="00F421F8" w:rsidP="00F421F8"/>
    <w:p w14:paraId="5746B921" w14:textId="77777777" w:rsidR="00F421F8" w:rsidRPr="00131EED" w:rsidRDefault="00F421F8" w:rsidP="00F421F8">
      <w:r w:rsidRPr="00131EED">
        <w:t xml:space="preserve">Para cada época evaluada y escena Landsat disponible, GHSL Data Package (2013) evalúa la probabilidad </w:t>
      </w:r>
      <w:r w:rsidRPr="00131EED">
        <w:rPr>
          <w:rFonts w:ascii="Cambria" w:hAnsi="Cambria" w:cs="Cambria" w:hint="eastAsia"/>
        </w:rPr>
        <w:t>Φ</w:t>
      </w:r>
      <w:r w:rsidRPr="00131EED">
        <w:t xml:space="preserve"> de que cualquier muestra de sensor específica (píxel o celda de la cuadrícula) pueda asociarse con la semántica de información de primer plano "construida" (BU) frente a la de fondo "no construida" (NBU), observando la asociación estadística entre las combinaciones de los valores de reflectancia cuantificados y los datos de entrenamiento. Este proceso inferencial se resuelve mediante la generalización de la cuantificación múltiple con soporte mínimo (MQMS) del enfoque de aprendizaje automático simbólico (SML) (Pesaresi, Syrris et al., 2016). </w:t>
      </w:r>
    </w:p>
    <w:p w14:paraId="4F390207" w14:textId="77777777" w:rsidR="00F421F8" w:rsidRPr="00131EED" w:rsidRDefault="00F421F8" w:rsidP="00F421F8"/>
    <w:p w14:paraId="590FAB9F" w14:textId="77777777" w:rsidR="00F421F8" w:rsidRPr="00131EED" w:rsidRDefault="00F421F8" w:rsidP="00F421F8">
      <w:r w:rsidRPr="00131EED">
        <w:t xml:space="preserve">En el marco del modelo de decisión implementado por GHSL Data Package (2013), mencionan como la semántica </w:t>
      </w:r>
      <w:r w:rsidRPr="00131EED">
        <w:rPr>
          <w:rFonts w:ascii="Cambria" w:hAnsi="Cambria" w:cs="Cambria" w:hint="eastAsia"/>
        </w:rPr>
        <w:t>Φ</w:t>
      </w:r>
      <w:r w:rsidRPr="00131EED">
        <w:t xml:space="preserve"> extraída a nivel de píxel de las diferentes escenas Landsat en geometrías arbitrarias se agrega a los segmentos de datos mediante un promedio ponderado por superficie. Según los autores, la predicción final sobre la magnitud del cambio en la superficie edificada para cada segmento se resuelve mediante un enfoque de soporte de decisiones múltiples que evalúa las predicciones del modelo de regresión lineal de conjunto a partir de la asociación semántica de </w:t>
      </w:r>
      <w:r w:rsidRPr="00131EED">
        <w:rPr>
          <w:rFonts w:ascii="Cambria" w:hAnsi="Cambria" w:cs="Cambria" w:hint="eastAsia"/>
        </w:rPr>
        <w:t>Φ</w:t>
      </w:r>
      <w:r w:rsidRPr="00131EED">
        <w:t xml:space="preserve"> con la hipótesis de abstracción de clase BU vs. NBU, estratificada en diferentes dominios de datos caracterizados por diferentes sesgos esperados del sensor en la discriminación de clases BU vs. NBU, que se acumulan y maximizan a partir de todas las escenas satelitales de entrada disponibles en las distintas épocas. Finalmente, las predicciones sobre el cambio en la superficie edificada se agregan promediando un tamaño de muestra uniforme de celdas de cuadrícula de 100 m y se utilizan para generar los datos ráster finales. (GHSL Data Package, 2023)</w:t>
      </w:r>
    </w:p>
    <w:p w14:paraId="4937CDE0" w14:textId="77777777" w:rsidR="00F421F8" w:rsidRPr="00131EED" w:rsidRDefault="00F421F8" w:rsidP="00F421F8">
      <w:pPr>
        <w:pStyle w:val="Heading7"/>
        <w:rPr>
          <w:rFonts w:ascii="Baskerville Old Face" w:eastAsiaTheme="majorEastAsia" w:hAnsi="Baskerville Old Face"/>
          <w:b/>
          <w:i w:val="0"/>
          <w:color w:val="000000"/>
          <w:sz w:val="24"/>
          <w:szCs w:val="24"/>
        </w:rPr>
      </w:pPr>
      <w:r w:rsidRPr="00131EED">
        <w:rPr>
          <w:rFonts w:ascii="Baskerville Old Face" w:eastAsiaTheme="majorEastAsia" w:hAnsi="Baskerville Old Face"/>
          <w:b/>
          <w:i w:val="0"/>
          <w:color w:val="000000"/>
          <w:sz w:val="24"/>
          <w:szCs w:val="24"/>
        </w:rPr>
        <w:t>Desarrollo</w:t>
      </w:r>
    </w:p>
    <w:p w14:paraId="7CE1DF6A" w14:textId="77777777" w:rsidR="00F421F8" w:rsidRPr="00131EED" w:rsidRDefault="00F421F8" w:rsidP="00F421F8">
      <w:pPr>
        <w:pStyle w:val="Titulo6"/>
        <w:rPr>
          <w:rFonts w:ascii="Baskerville Old Face" w:hAnsi="Baskerville Old Face"/>
        </w:rPr>
      </w:pPr>
      <w:r w:rsidRPr="00131EED">
        <w:rPr>
          <w:rFonts w:ascii="Baskerville Old Face" w:hAnsi="Baskerville Old Face"/>
        </w:rPr>
        <w:t>Área de Estudio</w:t>
      </w:r>
    </w:p>
    <w:p w14:paraId="092E7DF9" w14:textId="77777777" w:rsidR="00E72538" w:rsidRPr="00131EED" w:rsidRDefault="00E72538" w:rsidP="00F421F8"/>
    <w:p w14:paraId="0044EBEF" w14:textId="77777777" w:rsidR="00F421F8" w:rsidRPr="00131EED" w:rsidRDefault="00F421F8" w:rsidP="00F421F8">
      <w:r w:rsidRPr="00131EED">
        <w:t>El área de trabajo corresponde al ámbito de aplicación del proyecto de resolución “Por medio de la cual se establecen las directrices para el ordenamiento ambiental de la Sabana de Bogotá” como área de interés ecológico nacional, con el fin de garantizar su integridad ecológica, guiar su transición y adaptación territorial y al cambio climático y procurar el ordenamiento alrededor del agua.</w:t>
      </w:r>
    </w:p>
    <w:p w14:paraId="6F1BDE34" w14:textId="77777777" w:rsidR="00F421F8" w:rsidRPr="00131EED" w:rsidRDefault="00F421F8" w:rsidP="00F421F8"/>
    <w:p w14:paraId="1B285B71" w14:textId="77777777" w:rsidR="00F421F8" w:rsidRPr="00131EED" w:rsidRDefault="00F421F8" w:rsidP="00F421F8">
      <w:r w:rsidRPr="00131EED">
        <w:t>Si bien el área en de estudio (en rojo) se compone de 40 entes territoriales, los análisis estadísticos que a continuación se presentan, se enfocan en únicamente 31 municipios listados a continuación:</w:t>
      </w:r>
    </w:p>
    <w:p w14:paraId="61A66D7C" w14:textId="77777777" w:rsidR="00F421F8" w:rsidRPr="00131EED" w:rsidRDefault="00F421F8" w:rsidP="00F421F8"/>
    <w:p w14:paraId="48C3117A" w14:textId="29F6C7E4" w:rsidR="00F421F8" w:rsidRPr="00131EED" w:rsidRDefault="00F421F8" w:rsidP="00E72538">
      <w:pPr>
        <w:pStyle w:val="Caption"/>
        <w:jc w:val="center"/>
      </w:pPr>
      <w:bookmarkStart w:id="269" w:name="_Toc216468951"/>
      <w:r w:rsidRPr="00131EED">
        <w:t xml:space="preserve">Tabla </w:t>
      </w:r>
      <w:r w:rsidRPr="00131EED">
        <w:fldChar w:fldCharType="begin"/>
      </w:r>
      <w:r w:rsidRPr="00131EED">
        <w:instrText>SEQ Tabla \* ARABIC</w:instrText>
      </w:r>
      <w:r w:rsidRPr="00131EED">
        <w:fldChar w:fldCharType="separate"/>
      </w:r>
      <w:r w:rsidR="00CE096F">
        <w:rPr>
          <w:noProof/>
        </w:rPr>
        <w:t>41</w:t>
      </w:r>
      <w:r w:rsidRPr="00131EED">
        <w:fldChar w:fldCharType="end"/>
      </w:r>
      <w:r w:rsidRPr="00131EED">
        <w:t>. Relación de los municipios en los cuales se realizó el análisis estadístico en el ámbito Sabana de Bogotá.</w:t>
      </w:r>
      <w:bookmarkEnd w:id="269"/>
    </w:p>
    <w:tbl>
      <w:tblPr>
        <w:tblStyle w:val="TableGrid"/>
        <w:tblW w:w="5000" w:type="pct"/>
        <w:tblLook w:val="04A0" w:firstRow="1" w:lastRow="0" w:firstColumn="1" w:lastColumn="0" w:noHBand="0" w:noVBand="1"/>
      </w:tblPr>
      <w:tblGrid>
        <w:gridCol w:w="2296"/>
        <w:gridCol w:w="2031"/>
        <w:gridCol w:w="2123"/>
        <w:gridCol w:w="2378"/>
      </w:tblGrid>
      <w:tr w:rsidR="00F421F8" w:rsidRPr="00131EED" w14:paraId="1466D413" w14:textId="77777777">
        <w:trPr>
          <w:trHeight w:val="288"/>
        </w:trPr>
        <w:tc>
          <w:tcPr>
            <w:tcW w:w="1300" w:type="pct"/>
            <w:noWrap/>
            <w:hideMark/>
          </w:tcPr>
          <w:p w14:paraId="7E825094" w14:textId="77777777" w:rsidR="00F421F8" w:rsidRPr="00131EED" w:rsidRDefault="00F421F8">
            <w:pPr>
              <w:jc w:val="center"/>
              <w:rPr>
                <w:color w:val="000000"/>
                <w:sz w:val="20"/>
                <w:szCs w:val="20"/>
                <w:lang w:eastAsia="en-US"/>
              </w:rPr>
            </w:pPr>
            <w:r w:rsidRPr="00131EED">
              <w:rPr>
                <w:color w:val="000000"/>
                <w:sz w:val="20"/>
                <w:szCs w:val="20"/>
                <w:lang w:eastAsia="en-US"/>
              </w:rPr>
              <w:t>Bogotá</w:t>
            </w:r>
          </w:p>
        </w:tc>
        <w:tc>
          <w:tcPr>
            <w:tcW w:w="1150" w:type="pct"/>
            <w:noWrap/>
            <w:hideMark/>
          </w:tcPr>
          <w:p w14:paraId="685A471B" w14:textId="77777777" w:rsidR="00F421F8" w:rsidRPr="00131EED" w:rsidRDefault="00F421F8">
            <w:pPr>
              <w:jc w:val="center"/>
              <w:rPr>
                <w:color w:val="000000"/>
                <w:sz w:val="20"/>
                <w:szCs w:val="20"/>
                <w:lang w:eastAsia="en-US"/>
              </w:rPr>
            </w:pPr>
            <w:r w:rsidRPr="00131EED">
              <w:rPr>
                <w:color w:val="000000"/>
                <w:sz w:val="20"/>
                <w:szCs w:val="20"/>
                <w:lang w:eastAsia="en-US"/>
              </w:rPr>
              <w:t>Bojacá</w:t>
            </w:r>
          </w:p>
        </w:tc>
        <w:tc>
          <w:tcPr>
            <w:tcW w:w="1202" w:type="pct"/>
            <w:noWrap/>
            <w:hideMark/>
          </w:tcPr>
          <w:p w14:paraId="6A66D50F" w14:textId="77777777" w:rsidR="00F421F8" w:rsidRPr="00131EED" w:rsidRDefault="00F421F8">
            <w:pPr>
              <w:jc w:val="center"/>
              <w:rPr>
                <w:color w:val="000000"/>
                <w:sz w:val="20"/>
                <w:szCs w:val="20"/>
                <w:lang w:eastAsia="en-US"/>
              </w:rPr>
            </w:pPr>
            <w:r w:rsidRPr="00131EED">
              <w:rPr>
                <w:color w:val="000000"/>
                <w:sz w:val="20"/>
                <w:szCs w:val="20"/>
                <w:lang w:eastAsia="en-US"/>
              </w:rPr>
              <w:t>Nemocón</w:t>
            </w:r>
          </w:p>
        </w:tc>
        <w:tc>
          <w:tcPr>
            <w:tcW w:w="1347" w:type="pct"/>
            <w:noWrap/>
            <w:hideMark/>
          </w:tcPr>
          <w:p w14:paraId="0608A321" w14:textId="77777777" w:rsidR="00F421F8" w:rsidRPr="00131EED" w:rsidRDefault="00F421F8">
            <w:pPr>
              <w:jc w:val="center"/>
              <w:rPr>
                <w:color w:val="000000"/>
                <w:sz w:val="20"/>
                <w:szCs w:val="20"/>
                <w:lang w:eastAsia="en-US"/>
              </w:rPr>
            </w:pPr>
            <w:r w:rsidRPr="00131EED">
              <w:rPr>
                <w:color w:val="000000"/>
                <w:sz w:val="20"/>
                <w:szCs w:val="20"/>
                <w:lang w:eastAsia="en-US"/>
              </w:rPr>
              <w:t>Guatavita</w:t>
            </w:r>
          </w:p>
        </w:tc>
      </w:tr>
      <w:tr w:rsidR="00F421F8" w:rsidRPr="00131EED" w14:paraId="2DA22DBA" w14:textId="77777777">
        <w:trPr>
          <w:trHeight w:val="288"/>
        </w:trPr>
        <w:tc>
          <w:tcPr>
            <w:tcW w:w="1300" w:type="pct"/>
            <w:noWrap/>
            <w:hideMark/>
          </w:tcPr>
          <w:p w14:paraId="47E2A163" w14:textId="77777777" w:rsidR="00F421F8" w:rsidRPr="00131EED" w:rsidRDefault="00F421F8">
            <w:pPr>
              <w:jc w:val="center"/>
              <w:rPr>
                <w:color w:val="000000"/>
                <w:sz w:val="20"/>
                <w:szCs w:val="20"/>
                <w:lang w:eastAsia="en-US"/>
              </w:rPr>
            </w:pPr>
            <w:r w:rsidRPr="00131EED">
              <w:rPr>
                <w:color w:val="000000"/>
                <w:sz w:val="20"/>
                <w:szCs w:val="20"/>
                <w:lang w:eastAsia="en-US"/>
              </w:rPr>
              <w:t>Cajicá</w:t>
            </w:r>
          </w:p>
        </w:tc>
        <w:tc>
          <w:tcPr>
            <w:tcW w:w="1150" w:type="pct"/>
            <w:noWrap/>
            <w:hideMark/>
          </w:tcPr>
          <w:p w14:paraId="5C562D8D" w14:textId="77777777" w:rsidR="00F421F8" w:rsidRPr="00131EED" w:rsidRDefault="00F421F8">
            <w:pPr>
              <w:jc w:val="center"/>
              <w:rPr>
                <w:color w:val="000000"/>
                <w:sz w:val="20"/>
                <w:szCs w:val="20"/>
                <w:lang w:eastAsia="en-US"/>
              </w:rPr>
            </w:pPr>
            <w:r w:rsidRPr="00131EED">
              <w:rPr>
                <w:color w:val="000000"/>
                <w:sz w:val="20"/>
                <w:szCs w:val="20"/>
                <w:lang w:eastAsia="en-US"/>
              </w:rPr>
              <w:t>Chipaque</w:t>
            </w:r>
          </w:p>
        </w:tc>
        <w:tc>
          <w:tcPr>
            <w:tcW w:w="1202" w:type="pct"/>
            <w:noWrap/>
            <w:hideMark/>
          </w:tcPr>
          <w:p w14:paraId="711E6B36" w14:textId="77777777" w:rsidR="00F421F8" w:rsidRPr="00131EED" w:rsidRDefault="00F421F8">
            <w:pPr>
              <w:jc w:val="center"/>
              <w:rPr>
                <w:color w:val="000000"/>
                <w:sz w:val="20"/>
                <w:szCs w:val="20"/>
                <w:lang w:eastAsia="en-US"/>
              </w:rPr>
            </w:pPr>
            <w:r w:rsidRPr="00131EED">
              <w:rPr>
                <w:color w:val="000000"/>
                <w:sz w:val="20"/>
                <w:szCs w:val="20"/>
                <w:lang w:eastAsia="en-US"/>
              </w:rPr>
              <w:t>Sopó</w:t>
            </w:r>
          </w:p>
        </w:tc>
        <w:tc>
          <w:tcPr>
            <w:tcW w:w="1347" w:type="pct"/>
            <w:noWrap/>
            <w:hideMark/>
          </w:tcPr>
          <w:p w14:paraId="3703F386" w14:textId="77777777" w:rsidR="00F421F8" w:rsidRPr="00131EED" w:rsidRDefault="00F421F8">
            <w:pPr>
              <w:jc w:val="center"/>
              <w:rPr>
                <w:color w:val="000000"/>
                <w:sz w:val="20"/>
                <w:szCs w:val="20"/>
                <w:lang w:eastAsia="en-US"/>
              </w:rPr>
            </w:pPr>
            <w:r w:rsidRPr="00131EED">
              <w:rPr>
                <w:color w:val="000000"/>
                <w:sz w:val="20"/>
                <w:szCs w:val="20"/>
                <w:lang w:eastAsia="en-US"/>
              </w:rPr>
              <w:t>La Calera</w:t>
            </w:r>
          </w:p>
        </w:tc>
      </w:tr>
      <w:tr w:rsidR="00F421F8" w:rsidRPr="00131EED" w14:paraId="77AFFEF0" w14:textId="77777777">
        <w:trPr>
          <w:trHeight w:val="288"/>
        </w:trPr>
        <w:tc>
          <w:tcPr>
            <w:tcW w:w="1300" w:type="pct"/>
            <w:noWrap/>
            <w:hideMark/>
          </w:tcPr>
          <w:p w14:paraId="41C10E70" w14:textId="77777777" w:rsidR="00F421F8" w:rsidRPr="00131EED" w:rsidRDefault="00F421F8">
            <w:pPr>
              <w:jc w:val="center"/>
              <w:rPr>
                <w:color w:val="000000"/>
                <w:sz w:val="20"/>
                <w:szCs w:val="20"/>
                <w:lang w:eastAsia="en-US"/>
              </w:rPr>
            </w:pPr>
            <w:r w:rsidRPr="00131EED">
              <w:rPr>
                <w:color w:val="000000"/>
                <w:sz w:val="20"/>
                <w:szCs w:val="20"/>
                <w:lang w:eastAsia="en-US"/>
              </w:rPr>
              <w:t>Chía</w:t>
            </w:r>
          </w:p>
        </w:tc>
        <w:tc>
          <w:tcPr>
            <w:tcW w:w="1150" w:type="pct"/>
            <w:noWrap/>
            <w:hideMark/>
          </w:tcPr>
          <w:p w14:paraId="2653BEAC" w14:textId="77777777" w:rsidR="00F421F8" w:rsidRPr="00131EED" w:rsidRDefault="00F421F8">
            <w:pPr>
              <w:jc w:val="center"/>
              <w:rPr>
                <w:color w:val="000000"/>
                <w:sz w:val="20"/>
                <w:szCs w:val="20"/>
                <w:lang w:eastAsia="en-US"/>
              </w:rPr>
            </w:pPr>
            <w:r w:rsidRPr="00131EED">
              <w:rPr>
                <w:color w:val="000000"/>
                <w:sz w:val="20"/>
                <w:szCs w:val="20"/>
                <w:lang w:eastAsia="en-US"/>
              </w:rPr>
              <w:t>Chocontá</w:t>
            </w:r>
          </w:p>
        </w:tc>
        <w:tc>
          <w:tcPr>
            <w:tcW w:w="1202" w:type="pct"/>
            <w:noWrap/>
            <w:hideMark/>
          </w:tcPr>
          <w:p w14:paraId="75C69A1B" w14:textId="77777777" w:rsidR="00F421F8" w:rsidRPr="00131EED" w:rsidRDefault="00F421F8">
            <w:pPr>
              <w:jc w:val="center"/>
              <w:rPr>
                <w:color w:val="000000"/>
                <w:sz w:val="20"/>
                <w:szCs w:val="20"/>
                <w:lang w:eastAsia="en-US"/>
              </w:rPr>
            </w:pPr>
            <w:r w:rsidRPr="00131EED">
              <w:rPr>
                <w:color w:val="000000"/>
                <w:sz w:val="20"/>
                <w:szCs w:val="20"/>
                <w:lang w:eastAsia="en-US"/>
              </w:rPr>
              <w:t>Tabio</w:t>
            </w:r>
          </w:p>
        </w:tc>
        <w:tc>
          <w:tcPr>
            <w:tcW w:w="1347" w:type="pct"/>
            <w:noWrap/>
            <w:hideMark/>
          </w:tcPr>
          <w:p w14:paraId="5F1304E7" w14:textId="77777777" w:rsidR="00F421F8" w:rsidRPr="00131EED" w:rsidRDefault="00F421F8">
            <w:pPr>
              <w:jc w:val="center"/>
              <w:rPr>
                <w:color w:val="000000"/>
                <w:sz w:val="20"/>
                <w:szCs w:val="20"/>
                <w:lang w:eastAsia="en-US"/>
              </w:rPr>
            </w:pPr>
            <w:r w:rsidRPr="00131EED">
              <w:rPr>
                <w:color w:val="000000"/>
                <w:sz w:val="20"/>
                <w:szCs w:val="20"/>
                <w:lang w:eastAsia="en-US"/>
              </w:rPr>
              <w:t>Sesquilé</w:t>
            </w:r>
          </w:p>
        </w:tc>
      </w:tr>
      <w:tr w:rsidR="00F421F8" w:rsidRPr="00131EED" w14:paraId="4913380F" w14:textId="77777777">
        <w:trPr>
          <w:trHeight w:val="288"/>
        </w:trPr>
        <w:tc>
          <w:tcPr>
            <w:tcW w:w="1300" w:type="pct"/>
            <w:noWrap/>
            <w:hideMark/>
          </w:tcPr>
          <w:p w14:paraId="35D4220B" w14:textId="77777777" w:rsidR="00F421F8" w:rsidRPr="00131EED" w:rsidRDefault="00F421F8">
            <w:pPr>
              <w:jc w:val="center"/>
              <w:rPr>
                <w:color w:val="000000"/>
                <w:sz w:val="20"/>
                <w:szCs w:val="20"/>
                <w:lang w:eastAsia="en-US"/>
              </w:rPr>
            </w:pPr>
            <w:r w:rsidRPr="00131EED">
              <w:rPr>
                <w:color w:val="000000"/>
                <w:sz w:val="20"/>
                <w:szCs w:val="20"/>
                <w:lang w:eastAsia="en-US"/>
              </w:rPr>
              <w:t>Cota</w:t>
            </w:r>
          </w:p>
        </w:tc>
        <w:tc>
          <w:tcPr>
            <w:tcW w:w="1150" w:type="pct"/>
            <w:noWrap/>
            <w:hideMark/>
          </w:tcPr>
          <w:p w14:paraId="262AC65B" w14:textId="77777777" w:rsidR="00F421F8" w:rsidRPr="00131EED" w:rsidRDefault="00F421F8">
            <w:pPr>
              <w:jc w:val="center"/>
              <w:rPr>
                <w:color w:val="000000"/>
                <w:sz w:val="20"/>
                <w:szCs w:val="20"/>
                <w:lang w:eastAsia="en-US"/>
              </w:rPr>
            </w:pPr>
            <w:r w:rsidRPr="00131EED">
              <w:rPr>
                <w:color w:val="000000"/>
                <w:sz w:val="20"/>
                <w:szCs w:val="20"/>
                <w:lang w:eastAsia="en-US"/>
              </w:rPr>
              <w:t>Cogua</w:t>
            </w:r>
          </w:p>
        </w:tc>
        <w:tc>
          <w:tcPr>
            <w:tcW w:w="1202" w:type="pct"/>
            <w:noWrap/>
            <w:hideMark/>
          </w:tcPr>
          <w:p w14:paraId="52085A0A" w14:textId="77777777" w:rsidR="00F421F8" w:rsidRPr="00131EED" w:rsidRDefault="00F421F8">
            <w:pPr>
              <w:jc w:val="center"/>
              <w:rPr>
                <w:color w:val="000000"/>
                <w:sz w:val="20"/>
                <w:szCs w:val="20"/>
                <w:lang w:eastAsia="en-US"/>
              </w:rPr>
            </w:pPr>
            <w:r w:rsidRPr="00131EED">
              <w:rPr>
                <w:color w:val="000000"/>
                <w:sz w:val="20"/>
                <w:szCs w:val="20"/>
                <w:lang w:eastAsia="en-US"/>
              </w:rPr>
              <w:t>Tenjo</w:t>
            </w:r>
          </w:p>
        </w:tc>
        <w:tc>
          <w:tcPr>
            <w:tcW w:w="1347" w:type="pct"/>
            <w:noWrap/>
            <w:hideMark/>
          </w:tcPr>
          <w:p w14:paraId="25730854" w14:textId="77777777" w:rsidR="00F421F8" w:rsidRPr="00131EED" w:rsidRDefault="00F421F8">
            <w:pPr>
              <w:jc w:val="center"/>
              <w:rPr>
                <w:color w:val="000000"/>
                <w:sz w:val="20"/>
                <w:szCs w:val="20"/>
                <w:lang w:eastAsia="en-US"/>
              </w:rPr>
            </w:pPr>
            <w:r w:rsidRPr="00131EED">
              <w:rPr>
                <w:color w:val="000000"/>
                <w:sz w:val="20"/>
                <w:szCs w:val="20"/>
                <w:lang w:eastAsia="en-US"/>
              </w:rPr>
              <w:t>Sibaté</w:t>
            </w:r>
          </w:p>
        </w:tc>
      </w:tr>
      <w:tr w:rsidR="00F421F8" w:rsidRPr="00131EED" w14:paraId="7F902CAF" w14:textId="77777777">
        <w:trPr>
          <w:trHeight w:val="288"/>
        </w:trPr>
        <w:tc>
          <w:tcPr>
            <w:tcW w:w="1300" w:type="pct"/>
            <w:noWrap/>
            <w:hideMark/>
          </w:tcPr>
          <w:p w14:paraId="015A8479" w14:textId="77777777" w:rsidR="00F421F8" w:rsidRPr="00131EED" w:rsidRDefault="00F421F8">
            <w:pPr>
              <w:jc w:val="center"/>
              <w:rPr>
                <w:color w:val="000000"/>
                <w:sz w:val="20"/>
                <w:szCs w:val="20"/>
                <w:lang w:eastAsia="en-US"/>
              </w:rPr>
            </w:pPr>
            <w:r w:rsidRPr="00131EED">
              <w:rPr>
                <w:color w:val="000000"/>
                <w:sz w:val="20"/>
                <w:szCs w:val="20"/>
                <w:lang w:eastAsia="en-US"/>
              </w:rPr>
              <w:t>Funza</w:t>
            </w:r>
          </w:p>
        </w:tc>
        <w:tc>
          <w:tcPr>
            <w:tcW w:w="1150" w:type="pct"/>
            <w:noWrap/>
            <w:hideMark/>
          </w:tcPr>
          <w:p w14:paraId="0898D473" w14:textId="77777777" w:rsidR="00F421F8" w:rsidRPr="00131EED" w:rsidRDefault="00F421F8">
            <w:pPr>
              <w:jc w:val="center"/>
              <w:rPr>
                <w:color w:val="000000"/>
                <w:sz w:val="20"/>
                <w:szCs w:val="20"/>
                <w:lang w:eastAsia="en-US"/>
              </w:rPr>
            </w:pPr>
            <w:r w:rsidRPr="00131EED">
              <w:rPr>
                <w:color w:val="000000"/>
                <w:sz w:val="20"/>
                <w:szCs w:val="20"/>
                <w:lang w:eastAsia="en-US"/>
              </w:rPr>
              <w:t>El Rosal</w:t>
            </w:r>
          </w:p>
        </w:tc>
        <w:tc>
          <w:tcPr>
            <w:tcW w:w="1202" w:type="pct"/>
            <w:noWrap/>
            <w:hideMark/>
          </w:tcPr>
          <w:p w14:paraId="6A1B05FC" w14:textId="77777777" w:rsidR="00F421F8" w:rsidRPr="00131EED" w:rsidRDefault="00F421F8">
            <w:pPr>
              <w:jc w:val="center"/>
              <w:rPr>
                <w:color w:val="000000"/>
                <w:sz w:val="20"/>
                <w:szCs w:val="20"/>
                <w:lang w:eastAsia="en-US"/>
              </w:rPr>
            </w:pPr>
            <w:r w:rsidRPr="00131EED">
              <w:rPr>
                <w:color w:val="000000"/>
                <w:sz w:val="20"/>
                <w:szCs w:val="20"/>
                <w:lang w:eastAsia="en-US"/>
              </w:rPr>
              <w:t>Tocancipá</w:t>
            </w:r>
          </w:p>
        </w:tc>
        <w:tc>
          <w:tcPr>
            <w:tcW w:w="1347" w:type="pct"/>
            <w:noWrap/>
            <w:hideMark/>
          </w:tcPr>
          <w:p w14:paraId="29C18175" w14:textId="77777777" w:rsidR="00F421F8" w:rsidRPr="00131EED" w:rsidRDefault="00F421F8">
            <w:pPr>
              <w:jc w:val="center"/>
              <w:rPr>
                <w:color w:val="000000"/>
                <w:sz w:val="20"/>
                <w:szCs w:val="20"/>
                <w:lang w:eastAsia="en-US"/>
              </w:rPr>
            </w:pPr>
            <w:r w:rsidRPr="00131EED">
              <w:rPr>
                <w:color w:val="000000"/>
                <w:sz w:val="20"/>
                <w:szCs w:val="20"/>
                <w:lang w:eastAsia="en-US"/>
              </w:rPr>
              <w:t>Soacha</w:t>
            </w:r>
          </w:p>
        </w:tc>
      </w:tr>
      <w:tr w:rsidR="00F421F8" w:rsidRPr="00131EED" w14:paraId="621075F8" w14:textId="77777777">
        <w:trPr>
          <w:trHeight w:val="288"/>
        </w:trPr>
        <w:tc>
          <w:tcPr>
            <w:tcW w:w="1300" w:type="pct"/>
            <w:noWrap/>
            <w:hideMark/>
          </w:tcPr>
          <w:p w14:paraId="590F24D7" w14:textId="77777777" w:rsidR="00F421F8" w:rsidRPr="00131EED" w:rsidRDefault="00F421F8">
            <w:pPr>
              <w:jc w:val="center"/>
              <w:rPr>
                <w:color w:val="000000"/>
                <w:sz w:val="20"/>
                <w:szCs w:val="20"/>
                <w:lang w:eastAsia="en-US"/>
              </w:rPr>
            </w:pPr>
            <w:r w:rsidRPr="00131EED">
              <w:rPr>
                <w:color w:val="000000"/>
                <w:sz w:val="20"/>
                <w:szCs w:val="20"/>
                <w:lang w:eastAsia="en-US"/>
              </w:rPr>
              <w:t>Gachancipá</w:t>
            </w:r>
          </w:p>
        </w:tc>
        <w:tc>
          <w:tcPr>
            <w:tcW w:w="1150" w:type="pct"/>
            <w:noWrap/>
            <w:hideMark/>
          </w:tcPr>
          <w:p w14:paraId="35054245" w14:textId="77777777" w:rsidR="00F421F8" w:rsidRPr="00131EED" w:rsidRDefault="00F421F8">
            <w:pPr>
              <w:jc w:val="center"/>
              <w:rPr>
                <w:color w:val="000000"/>
                <w:sz w:val="20"/>
                <w:szCs w:val="20"/>
                <w:lang w:eastAsia="en-US"/>
              </w:rPr>
            </w:pPr>
            <w:r w:rsidRPr="00131EED">
              <w:rPr>
                <w:color w:val="000000"/>
                <w:sz w:val="20"/>
                <w:szCs w:val="20"/>
                <w:lang w:eastAsia="en-US"/>
              </w:rPr>
              <w:t>Cucunubá</w:t>
            </w:r>
          </w:p>
        </w:tc>
        <w:tc>
          <w:tcPr>
            <w:tcW w:w="1202" w:type="pct"/>
            <w:noWrap/>
            <w:hideMark/>
          </w:tcPr>
          <w:p w14:paraId="25CC15B4" w14:textId="77777777" w:rsidR="00F421F8" w:rsidRPr="00131EED" w:rsidRDefault="00F421F8">
            <w:pPr>
              <w:jc w:val="center"/>
              <w:rPr>
                <w:color w:val="000000"/>
                <w:sz w:val="20"/>
                <w:szCs w:val="20"/>
                <w:lang w:eastAsia="en-US"/>
              </w:rPr>
            </w:pPr>
            <w:r w:rsidRPr="00131EED">
              <w:rPr>
                <w:color w:val="000000"/>
                <w:sz w:val="20"/>
                <w:szCs w:val="20"/>
                <w:lang w:eastAsia="en-US"/>
              </w:rPr>
              <w:t>Tausa</w:t>
            </w:r>
          </w:p>
        </w:tc>
        <w:tc>
          <w:tcPr>
            <w:tcW w:w="1347" w:type="pct"/>
            <w:noWrap/>
            <w:hideMark/>
          </w:tcPr>
          <w:p w14:paraId="21695C8E" w14:textId="77777777" w:rsidR="00F421F8" w:rsidRPr="00131EED" w:rsidRDefault="00F421F8">
            <w:pPr>
              <w:jc w:val="center"/>
              <w:rPr>
                <w:color w:val="000000"/>
                <w:sz w:val="20"/>
                <w:szCs w:val="20"/>
                <w:lang w:eastAsia="en-US"/>
              </w:rPr>
            </w:pPr>
            <w:r w:rsidRPr="00131EED">
              <w:rPr>
                <w:color w:val="000000"/>
                <w:sz w:val="20"/>
                <w:szCs w:val="20"/>
                <w:lang w:eastAsia="en-US"/>
              </w:rPr>
              <w:t>Subachoque</w:t>
            </w:r>
          </w:p>
        </w:tc>
      </w:tr>
      <w:tr w:rsidR="00F421F8" w:rsidRPr="00131EED" w14:paraId="16992134" w14:textId="77777777">
        <w:trPr>
          <w:trHeight w:val="288"/>
        </w:trPr>
        <w:tc>
          <w:tcPr>
            <w:tcW w:w="1300" w:type="pct"/>
            <w:noWrap/>
            <w:hideMark/>
          </w:tcPr>
          <w:p w14:paraId="2C8AA8C0" w14:textId="77777777" w:rsidR="00F421F8" w:rsidRPr="00131EED" w:rsidRDefault="00F421F8">
            <w:pPr>
              <w:jc w:val="center"/>
              <w:rPr>
                <w:color w:val="000000"/>
                <w:sz w:val="20"/>
                <w:szCs w:val="20"/>
                <w:lang w:eastAsia="en-US"/>
              </w:rPr>
            </w:pPr>
            <w:r w:rsidRPr="00131EED">
              <w:rPr>
                <w:color w:val="000000"/>
                <w:sz w:val="20"/>
                <w:szCs w:val="20"/>
                <w:lang w:eastAsia="en-US"/>
              </w:rPr>
              <w:t>Madrid</w:t>
            </w:r>
          </w:p>
        </w:tc>
        <w:tc>
          <w:tcPr>
            <w:tcW w:w="1150" w:type="pct"/>
            <w:noWrap/>
            <w:hideMark/>
          </w:tcPr>
          <w:p w14:paraId="5E7898AD" w14:textId="77777777" w:rsidR="00F421F8" w:rsidRPr="00131EED" w:rsidRDefault="00F421F8">
            <w:pPr>
              <w:jc w:val="center"/>
              <w:rPr>
                <w:color w:val="000000"/>
                <w:sz w:val="20"/>
                <w:szCs w:val="20"/>
                <w:lang w:eastAsia="en-US"/>
              </w:rPr>
            </w:pPr>
            <w:r w:rsidRPr="00131EED">
              <w:rPr>
                <w:color w:val="000000"/>
                <w:sz w:val="20"/>
                <w:szCs w:val="20"/>
                <w:lang w:eastAsia="en-US"/>
              </w:rPr>
              <w:t>Facatativá</w:t>
            </w:r>
          </w:p>
        </w:tc>
        <w:tc>
          <w:tcPr>
            <w:tcW w:w="1202" w:type="pct"/>
            <w:noWrap/>
            <w:hideMark/>
          </w:tcPr>
          <w:p w14:paraId="53861743" w14:textId="77777777" w:rsidR="00F421F8" w:rsidRPr="00131EED" w:rsidRDefault="00F421F8">
            <w:pPr>
              <w:jc w:val="center"/>
              <w:rPr>
                <w:color w:val="000000"/>
                <w:sz w:val="20"/>
                <w:szCs w:val="20"/>
                <w:lang w:eastAsia="en-US"/>
              </w:rPr>
            </w:pPr>
            <w:r w:rsidRPr="00131EED">
              <w:rPr>
                <w:color w:val="000000"/>
                <w:sz w:val="20"/>
                <w:szCs w:val="20"/>
                <w:lang w:eastAsia="en-US"/>
              </w:rPr>
              <w:t>Villapinzón</w:t>
            </w:r>
          </w:p>
        </w:tc>
        <w:tc>
          <w:tcPr>
            <w:tcW w:w="1347" w:type="pct"/>
            <w:noWrap/>
            <w:hideMark/>
          </w:tcPr>
          <w:p w14:paraId="5A374D30" w14:textId="77777777" w:rsidR="00F421F8" w:rsidRPr="00131EED" w:rsidRDefault="00F421F8">
            <w:pPr>
              <w:jc w:val="center"/>
              <w:rPr>
                <w:color w:val="000000"/>
                <w:sz w:val="20"/>
                <w:szCs w:val="20"/>
                <w:lang w:eastAsia="en-US"/>
              </w:rPr>
            </w:pPr>
            <w:r w:rsidRPr="00131EED">
              <w:rPr>
                <w:color w:val="000000"/>
                <w:sz w:val="20"/>
                <w:szCs w:val="20"/>
                <w:lang w:eastAsia="en-US"/>
              </w:rPr>
              <w:t>Suesca</w:t>
            </w:r>
          </w:p>
        </w:tc>
      </w:tr>
      <w:tr w:rsidR="00F421F8" w:rsidRPr="00131EED" w14:paraId="419BF09F" w14:textId="77777777">
        <w:trPr>
          <w:trHeight w:val="288"/>
        </w:trPr>
        <w:tc>
          <w:tcPr>
            <w:tcW w:w="1300" w:type="pct"/>
            <w:noWrap/>
            <w:hideMark/>
          </w:tcPr>
          <w:p w14:paraId="0B9B778C" w14:textId="77777777" w:rsidR="00F421F8" w:rsidRPr="00131EED" w:rsidRDefault="00F421F8">
            <w:pPr>
              <w:jc w:val="center"/>
              <w:rPr>
                <w:color w:val="000000"/>
                <w:sz w:val="20"/>
                <w:szCs w:val="20"/>
                <w:lang w:eastAsia="en-US"/>
              </w:rPr>
            </w:pPr>
            <w:r w:rsidRPr="00131EED">
              <w:rPr>
                <w:color w:val="000000"/>
                <w:sz w:val="20"/>
                <w:szCs w:val="20"/>
                <w:lang w:eastAsia="en-US"/>
              </w:rPr>
              <w:t>Mosquera</w:t>
            </w:r>
          </w:p>
        </w:tc>
        <w:tc>
          <w:tcPr>
            <w:tcW w:w="1150" w:type="pct"/>
            <w:noWrap/>
            <w:hideMark/>
          </w:tcPr>
          <w:p w14:paraId="6645FD6A" w14:textId="77777777" w:rsidR="00F421F8" w:rsidRPr="00131EED" w:rsidRDefault="00F421F8">
            <w:pPr>
              <w:jc w:val="center"/>
              <w:rPr>
                <w:color w:val="000000"/>
                <w:sz w:val="20"/>
                <w:szCs w:val="20"/>
                <w:lang w:eastAsia="en-US"/>
              </w:rPr>
            </w:pPr>
            <w:r w:rsidRPr="00131EED">
              <w:rPr>
                <w:color w:val="000000"/>
                <w:sz w:val="20"/>
                <w:szCs w:val="20"/>
                <w:lang w:eastAsia="en-US"/>
              </w:rPr>
              <w:t>Guasca</w:t>
            </w:r>
          </w:p>
        </w:tc>
        <w:tc>
          <w:tcPr>
            <w:tcW w:w="1202" w:type="pct"/>
            <w:noWrap/>
            <w:hideMark/>
          </w:tcPr>
          <w:p w14:paraId="2617B742" w14:textId="77777777" w:rsidR="00F421F8" w:rsidRPr="00131EED" w:rsidRDefault="00F421F8">
            <w:pPr>
              <w:jc w:val="center"/>
              <w:rPr>
                <w:color w:val="000000"/>
                <w:sz w:val="20"/>
                <w:szCs w:val="20"/>
                <w:lang w:eastAsia="en-US"/>
              </w:rPr>
            </w:pPr>
            <w:r w:rsidRPr="00131EED">
              <w:rPr>
                <w:color w:val="000000"/>
                <w:sz w:val="20"/>
                <w:szCs w:val="20"/>
                <w:lang w:eastAsia="en-US"/>
              </w:rPr>
              <w:t>Zipaquirá</w:t>
            </w:r>
          </w:p>
        </w:tc>
        <w:tc>
          <w:tcPr>
            <w:tcW w:w="1347" w:type="pct"/>
            <w:noWrap/>
            <w:hideMark/>
          </w:tcPr>
          <w:p w14:paraId="76DE1A18" w14:textId="77777777" w:rsidR="00F421F8" w:rsidRPr="00131EED" w:rsidRDefault="00F421F8">
            <w:pPr>
              <w:jc w:val="left"/>
              <w:rPr>
                <w:color w:val="000000"/>
                <w:sz w:val="20"/>
                <w:szCs w:val="20"/>
                <w:lang w:eastAsia="en-US"/>
              </w:rPr>
            </w:pPr>
            <w:r w:rsidRPr="00131EED">
              <w:rPr>
                <w:color w:val="000000"/>
                <w:sz w:val="20"/>
                <w:szCs w:val="20"/>
                <w:lang w:eastAsia="en-US"/>
              </w:rPr>
              <w:t> </w:t>
            </w:r>
          </w:p>
        </w:tc>
      </w:tr>
    </w:tbl>
    <w:p w14:paraId="166ADECD" w14:textId="77777777" w:rsidR="00F421F8" w:rsidRPr="00131EED" w:rsidRDefault="00F421F8" w:rsidP="00F421F8">
      <w:pPr>
        <w:jc w:val="center"/>
        <w:rPr>
          <w:sz w:val="20"/>
          <w:szCs w:val="20"/>
        </w:rPr>
      </w:pPr>
      <w:bookmarkStart w:id="270" w:name="_Toc194355894"/>
      <w:r w:rsidRPr="00131EED">
        <w:rPr>
          <w:sz w:val="20"/>
          <w:szCs w:val="20"/>
        </w:rPr>
        <w:t>Fuente: MinAmbiente, 2025.</w:t>
      </w:r>
    </w:p>
    <w:p w14:paraId="1CF22C8D" w14:textId="77777777" w:rsidR="00F421F8" w:rsidRPr="00131EED" w:rsidRDefault="00F421F8" w:rsidP="00F421F8"/>
    <w:p w14:paraId="11A3DB0B" w14:textId="77777777" w:rsidR="00F421F8" w:rsidRPr="00131EED" w:rsidRDefault="00F421F8" w:rsidP="00F421F8">
      <w:pPr>
        <w:pStyle w:val="Titulo6"/>
        <w:rPr>
          <w:rFonts w:ascii="Baskerville Old Face" w:hAnsi="Baskerville Old Face"/>
        </w:rPr>
      </w:pPr>
      <w:bookmarkStart w:id="271" w:name="_Toc194355580"/>
      <w:bookmarkEnd w:id="270"/>
      <w:r w:rsidRPr="00131EED">
        <w:rPr>
          <w:rFonts w:ascii="Baskerville Old Face" w:hAnsi="Baskerville Old Face"/>
        </w:rPr>
        <w:t>Procesamiento</w:t>
      </w:r>
      <w:bookmarkEnd w:id="271"/>
    </w:p>
    <w:p w14:paraId="334C21DC" w14:textId="77777777" w:rsidR="00E72538" w:rsidRPr="00131EED" w:rsidRDefault="00E72538" w:rsidP="00F421F8"/>
    <w:p w14:paraId="5616E2DA" w14:textId="77777777" w:rsidR="00F421F8" w:rsidRPr="00131EED" w:rsidRDefault="00F421F8" w:rsidP="00F421F8">
      <w:r w:rsidRPr="00131EED">
        <w:t xml:space="preserve">Para el procesamiento de la información se implementó una secuencia de geoprocesamiento en la nube sobre la infraestructura tecnológica de Google Earth Engine y se construyó el flujo de gestión de datos en JavaScript. </w:t>
      </w:r>
    </w:p>
    <w:p w14:paraId="4709A554" w14:textId="77777777" w:rsidR="00F421F8" w:rsidRPr="00131EED" w:rsidRDefault="00F421F8" w:rsidP="00F421F8"/>
    <w:p w14:paraId="58186314" w14:textId="77B3ED26" w:rsidR="00F421F8" w:rsidRPr="00131EED" w:rsidRDefault="00F421F8" w:rsidP="00F421F8">
      <w:pPr>
        <w:pStyle w:val="Caption"/>
        <w:jc w:val="center"/>
      </w:pPr>
      <w:bookmarkStart w:id="272" w:name="_Toc216468833"/>
      <w:r w:rsidRPr="00131EED">
        <w:t xml:space="preserve">Ilustración </w:t>
      </w:r>
      <w:fldSimple w:instr=" SEQ Ilustración \* ARABIC ">
        <w:r w:rsidR="00CE096F">
          <w:rPr>
            <w:noProof/>
          </w:rPr>
          <w:t>68</w:t>
        </w:r>
      </w:fldSimple>
      <w:r w:rsidRPr="00131EED">
        <w:t xml:space="preserve"> Procesamiento Google Earth Engine para modelación en la Sabana de Bogotá.</w:t>
      </w:r>
      <w:bookmarkEnd w:id="272"/>
    </w:p>
    <w:p w14:paraId="3A9DCEC2" w14:textId="77777777" w:rsidR="00F421F8" w:rsidRPr="00131EED" w:rsidRDefault="00F421F8" w:rsidP="00F421F8">
      <w:pPr>
        <w:keepNext/>
        <w:jc w:val="center"/>
      </w:pPr>
      <w:r w:rsidRPr="00131EED">
        <w:rPr>
          <w:noProof/>
          <w:lang w:eastAsia="en-US"/>
        </w:rPr>
        <w:drawing>
          <wp:inline distT="0" distB="0" distL="0" distR="0" wp14:anchorId="4E37402E" wp14:editId="38A60F2F">
            <wp:extent cx="5157287" cy="2548890"/>
            <wp:effectExtent l="19050" t="19050" r="24765" b="22860"/>
            <wp:docPr id="170852153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21532" name="Picture 1" descr="A screenshot of a computer&#10;&#10;AI-generated content may be incorrect."/>
                    <pic:cNvPicPr/>
                  </pic:nvPicPr>
                  <pic:blipFill>
                    <a:blip r:embed="rId120"/>
                    <a:stretch>
                      <a:fillRect/>
                    </a:stretch>
                  </pic:blipFill>
                  <pic:spPr>
                    <a:xfrm>
                      <a:off x="0" y="0"/>
                      <a:ext cx="5161745" cy="2551093"/>
                    </a:xfrm>
                    <a:prstGeom prst="rect">
                      <a:avLst/>
                    </a:prstGeom>
                    <a:ln>
                      <a:solidFill>
                        <a:schemeClr val="tx1"/>
                      </a:solidFill>
                    </a:ln>
                  </pic:spPr>
                </pic:pic>
              </a:graphicData>
            </a:graphic>
          </wp:inline>
        </w:drawing>
      </w:r>
    </w:p>
    <w:p w14:paraId="68926F0A" w14:textId="77777777" w:rsidR="00F421F8" w:rsidRPr="00131EED" w:rsidRDefault="00F421F8" w:rsidP="00F421F8">
      <w:pPr>
        <w:jc w:val="center"/>
        <w:rPr>
          <w:sz w:val="20"/>
          <w:szCs w:val="20"/>
        </w:rPr>
      </w:pPr>
      <w:r w:rsidRPr="00131EED">
        <w:rPr>
          <w:sz w:val="20"/>
          <w:szCs w:val="20"/>
        </w:rPr>
        <w:t>Fuente: MinAmbiente, 2025.</w:t>
      </w:r>
    </w:p>
    <w:p w14:paraId="54BAC07A" w14:textId="77777777" w:rsidR="00F421F8" w:rsidRPr="00131EED" w:rsidRDefault="00F421F8" w:rsidP="00F421F8">
      <w:pPr>
        <w:jc w:val="center"/>
        <w:rPr>
          <w:sz w:val="20"/>
          <w:szCs w:val="20"/>
        </w:rPr>
      </w:pPr>
    </w:p>
    <w:p w14:paraId="1B76ED1A" w14:textId="77777777" w:rsidR="00F421F8" w:rsidRPr="00131EED" w:rsidRDefault="00F421F8" w:rsidP="00F421F8">
      <w:pPr>
        <w:pStyle w:val="Titulo6"/>
        <w:rPr>
          <w:rFonts w:ascii="Baskerville Old Face" w:hAnsi="Baskerville Old Face"/>
        </w:rPr>
      </w:pPr>
      <w:r w:rsidRPr="00131EED">
        <w:rPr>
          <w:rFonts w:ascii="Baskerville Old Face" w:hAnsi="Baskerville Old Face"/>
        </w:rPr>
        <w:t>Análisis y Resultados</w:t>
      </w:r>
    </w:p>
    <w:p w14:paraId="3C72BDAF" w14:textId="77777777" w:rsidR="00F421F8" w:rsidRPr="00131EED" w:rsidRDefault="00F421F8" w:rsidP="00F421F8"/>
    <w:p w14:paraId="18E3C81B" w14:textId="77777777" w:rsidR="00F421F8" w:rsidRPr="00131EED" w:rsidRDefault="00F421F8" w:rsidP="00F421F8">
      <w:bookmarkStart w:id="273" w:name="_Ref210853456"/>
      <w:r w:rsidRPr="00131EED">
        <w:t xml:space="preserve">Producto del procesamiento anterior, se obtuvieron estimaciones de área construida con un intervalo de 5 años desde 1975 hasta el 2030. </w:t>
      </w:r>
    </w:p>
    <w:bookmarkEnd w:id="273"/>
    <w:p w14:paraId="75806C00" w14:textId="04217F4B" w:rsidR="00F421F8" w:rsidRPr="00131EED" w:rsidRDefault="00F421F8" w:rsidP="00F421F8">
      <w:pPr>
        <w:pStyle w:val="Caption"/>
        <w:jc w:val="center"/>
        <w:rPr>
          <w:rFonts w:ascii="Baskerville Old Face" w:hAnsi="Baskerville Old Face"/>
          <w:i w:val="0"/>
          <w:color w:val="auto"/>
          <w:sz w:val="20"/>
          <w:szCs w:val="20"/>
        </w:rPr>
      </w:pPr>
    </w:p>
    <w:p w14:paraId="5ABC450B" w14:textId="36829865" w:rsidR="00F421F8" w:rsidRPr="00131EED" w:rsidRDefault="00F421F8" w:rsidP="00E72538">
      <w:pPr>
        <w:pStyle w:val="Caption"/>
        <w:jc w:val="center"/>
      </w:pPr>
      <w:bookmarkStart w:id="274" w:name="_Toc216468952"/>
      <w:r w:rsidRPr="00131EED">
        <w:t xml:space="preserve">Tabla </w:t>
      </w:r>
      <w:r w:rsidRPr="00131EED">
        <w:fldChar w:fldCharType="begin"/>
      </w:r>
      <w:r w:rsidRPr="00131EED">
        <w:instrText>SEQ Tabla \* ARABIC</w:instrText>
      </w:r>
      <w:r w:rsidRPr="00131EED">
        <w:fldChar w:fldCharType="separate"/>
      </w:r>
      <w:r w:rsidR="00CE096F">
        <w:rPr>
          <w:noProof/>
        </w:rPr>
        <w:t>42</w:t>
      </w:r>
      <w:r w:rsidRPr="00131EED">
        <w:fldChar w:fldCharType="end"/>
      </w:r>
      <w:r w:rsidRPr="00131EED">
        <w:t>. Detalle de la extensión de la huella construida y tasa de incremento anual en el periodo 1975 - 2030 para los municipios de la Sabana de Bogotá.</w:t>
      </w:r>
      <w:bookmarkEnd w:id="274"/>
    </w:p>
    <w:tbl>
      <w:tblPr>
        <w:tblW w:w="5114" w:type="pct"/>
        <w:jc w:val="center"/>
        <w:tblLook w:val="04A0" w:firstRow="1" w:lastRow="0" w:firstColumn="1" w:lastColumn="0" w:noHBand="0" w:noVBand="1"/>
      </w:tblPr>
      <w:tblGrid>
        <w:gridCol w:w="1632"/>
        <w:gridCol w:w="2290"/>
        <w:gridCol w:w="2523"/>
        <w:gridCol w:w="2584"/>
      </w:tblGrid>
      <w:tr w:rsidR="00F421F8" w:rsidRPr="00131EED" w14:paraId="1EF18F7A" w14:textId="77777777">
        <w:trPr>
          <w:trHeight w:val="248"/>
          <w:tblHeader/>
          <w:jc w:val="center"/>
        </w:trPr>
        <w:tc>
          <w:tcPr>
            <w:tcW w:w="904" w:type="pct"/>
            <w:tcBorders>
              <w:top w:val="single" w:sz="4" w:space="0" w:color="auto"/>
              <w:left w:val="single" w:sz="4" w:space="0" w:color="auto"/>
              <w:bottom w:val="single" w:sz="4" w:space="0" w:color="auto"/>
              <w:right w:val="single" w:sz="4" w:space="0" w:color="auto"/>
            </w:tcBorders>
            <w:hideMark/>
          </w:tcPr>
          <w:p w14:paraId="03B19962" w14:textId="77777777" w:rsidR="00F421F8" w:rsidRPr="00131EED" w:rsidRDefault="00F421F8">
            <w:pPr>
              <w:jc w:val="center"/>
              <w:rPr>
                <w:b/>
                <w:color w:val="000000"/>
                <w:sz w:val="20"/>
                <w:szCs w:val="20"/>
              </w:rPr>
            </w:pPr>
            <w:r w:rsidRPr="00131EED">
              <w:rPr>
                <w:b/>
                <w:sz w:val="20"/>
                <w:szCs w:val="20"/>
              </w:rPr>
              <w:t>Año</w:t>
            </w:r>
          </w:p>
        </w:tc>
        <w:tc>
          <w:tcPr>
            <w:tcW w:w="1268" w:type="pct"/>
            <w:tcBorders>
              <w:top w:val="single" w:sz="4" w:space="0" w:color="auto"/>
              <w:left w:val="nil"/>
              <w:bottom w:val="single" w:sz="4" w:space="0" w:color="auto"/>
              <w:right w:val="single" w:sz="4" w:space="0" w:color="auto"/>
            </w:tcBorders>
            <w:hideMark/>
          </w:tcPr>
          <w:p w14:paraId="4F55E4AC" w14:textId="77777777" w:rsidR="00F421F8" w:rsidRPr="00131EED" w:rsidRDefault="00F421F8">
            <w:pPr>
              <w:jc w:val="center"/>
              <w:rPr>
                <w:b/>
                <w:color w:val="000000"/>
                <w:sz w:val="20"/>
                <w:szCs w:val="20"/>
              </w:rPr>
            </w:pPr>
            <w:r w:rsidRPr="00131EED">
              <w:rPr>
                <w:b/>
                <w:sz w:val="20"/>
                <w:szCs w:val="20"/>
              </w:rPr>
              <w:t>Huella Construida (ha)</w:t>
            </w:r>
          </w:p>
        </w:tc>
        <w:tc>
          <w:tcPr>
            <w:tcW w:w="1397" w:type="pct"/>
            <w:tcBorders>
              <w:top w:val="single" w:sz="4" w:space="0" w:color="auto"/>
              <w:left w:val="nil"/>
              <w:bottom w:val="single" w:sz="4" w:space="0" w:color="auto"/>
              <w:right w:val="single" w:sz="4" w:space="0" w:color="auto"/>
            </w:tcBorders>
            <w:hideMark/>
          </w:tcPr>
          <w:p w14:paraId="2D326A6F" w14:textId="77777777" w:rsidR="00F421F8" w:rsidRPr="00131EED" w:rsidRDefault="00F421F8">
            <w:pPr>
              <w:jc w:val="center"/>
              <w:rPr>
                <w:b/>
                <w:color w:val="000000"/>
                <w:sz w:val="20"/>
                <w:szCs w:val="20"/>
              </w:rPr>
            </w:pPr>
            <w:r w:rsidRPr="00131EED">
              <w:rPr>
                <w:b/>
                <w:sz w:val="20"/>
                <w:szCs w:val="20"/>
              </w:rPr>
              <w:t>Huella Construida (km2)</w:t>
            </w:r>
          </w:p>
        </w:tc>
        <w:tc>
          <w:tcPr>
            <w:tcW w:w="1431" w:type="pct"/>
            <w:tcBorders>
              <w:top w:val="single" w:sz="4" w:space="0" w:color="auto"/>
              <w:left w:val="nil"/>
              <w:bottom w:val="single" w:sz="4" w:space="0" w:color="auto"/>
              <w:right w:val="single" w:sz="4" w:space="0" w:color="auto"/>
            </w:tcBorders>
            <w:hideMark/>
          </w:tcPr>
          <w:p w14:paraId="0229F6E6" w14:textId="77777777" w:rsidR="00F421F8" w:rsidRPr="00131EED" w:rsidRDefault="00F421F8">
            <w:pPr>
              <w:jc w:val="center"/>
              <w:rPr>
                <w:b/>
                <w:color w:val="000000"/>
                <w:sz w:val="20"/>
                <w:szCs w:val="20"/>
              </w:rPr>
            </w:pPr>
            <w:r w:rsidRPr="00131EED">
              <w:rPr>
                <w:b/>
                <w:sz w:val="20"/>
                <w:szCs w:val="20"/>
              </w:rPr>
              <w:t>Tasa de Incremento Anual (%)</w:t>
            </w:r>
          </w:p>
        </w:tc>
      </w:tr>
      <w:tr w:rsidR="00F421F8" w:rsidRPr="00131EED" w14:paraId="55E8599D"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3419FE76" w14:textId="77777777" w:rsidR="00F421F8" w:rsidRPr="00131EED" w:rsidRDefault="00F421F8">
            <w:pPr>
              <w:jc w:val="center"/>
              <w:rPr>
                <w:color w:val="000000"/>
                <w:sz w:val="20"/>
                <w:szCs w:val="20"/>
              </w:rPr>
            </w:pPr>
            <w:r w:rsidRPr="00131EED">
              <w:rPr>
                <w:sz w:val="20"/>
                <w:szCs w:val="20"/>
              </w:rPr>
              <w:t>1975</w:t>
            </w:r>
          </w:p>
        </w:tc>
        <w:tc>
          <w:tcPr>
            <w:tcW w:w="1268" w:type="pct"/>
            <w:tcBorders>
              <w:top w:val="nil"/>
              <w:left w:val="nil"/>
              <w:bottom w:val="single" w:sz="4" w:space="0" w:color="auto"/>
              <w:right w:val="single" w:sz="4" w:space="0" w:color="auto"/>
            </w:tcBorders>
            <w:hideMark/>
          </w:tcPr>
          <w:p w14:paraId="6443B5C1" w14:textId="77777777" w:rsidR="00F421F8" w:rsidRPr="00131EED" w:rsidRDefault="00F421F8">
            <w:pPr>
              <w:jc w:val="center"/>
              <w:rPr>
                <w:color w:val="000000"/>
                <w:sz w:val="20"/>
                <w:szCs w:val="20"/>
              </w:rPr>
            </w:pPr>
            <w:r w:rsidRPr="00131EED">
              <w:rPr>
                <w:sz w:val="20"/>
                <w:szCs w:val="20"/>
              </w:rPr>
              <w:t>13859.81</w:t>
            </w:r>
          </w:p>
        </w:tc>
        <w:tc>
          <w:tcPr>
            <w:tcW w:w="1397" w:type="pct"/>
            <w:tcBorders>
              <w:top w:val="nil"/>
              <w:left w:val="nil"/>
              <w:bottom w:val="single" w:sz="4" w:space="0" w:color="auto"/>
              <w:right w:val="single" w:sz="4" w:space="0" w:color="auto"/>
            </w:tcBorders>
            <w:hideMark/>
          </w:tcPr>
          <w:p w14:paraId="14A0927F" w14:textId="77777777" w:rsidR="00F421F8" w:rsidRPr="00131EED" w:rsidRDefault="00F421F8">
            <w:pPr>
              <w:jc w:val="center"/>
              <w:rPr>
                <w:color w:val="000000"/>
                <w:sz w:val="20"/>
                <w:szCs w:val="20"/>
              </w:rPr>
            </w:pPr>
            <w:r w:rsidRPr="00131EED">
              <w:rPr>
                <w:sz w:val="20"/>
                <w:szCs w:val="20"/>
              </w:rPr>
              <w:t>138.60</w:t>
            </w:r>
          </w:p>
        </w:tc>
        <w:tc>
          <w:tcPr>
            <w:tcW w:w="1431" w:type="pct"/>
            <w:tcBorders>
              <w:top w:val="nil"/>
              <w:left w:val="nil"/>
              <w:bottom w:val="single" w:sz="4" w:space="0" w:color="auto"/>
              <w:right w:val="single" w:sz="4" w:space="0" w:color="auto"/>
            </w:tcBorders>
            <w:hideMark/>
          </w:tcPr>
          <w:p w14:paraId="6F20BC65" w14:textId="77777777" w:rsidR="00F421F8" w:rsidRPr="00131EED" w:rsidRDefault="00F421F8">
            <w:pPr>
              <w:jc w:val="center"/>
              <w:rPr>
                <w:color w:val="000000"/>
                <w:sz w:val="20"/>
                <w:szCs w:val="20"/>
              </w:rPr>
            </w:pPr>
          </w:p>
        </w:tc>
      </w:tr>
      <w:tr w:rsidR="00F421F8" w:rsidRPr="00131EED" w14:paraId="50CF68F3"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4DC2BDAB" w14:textId="77777777" w:rsidR="00F421F8" w:rsidRPr="00131EED" w:rsidRDefault="00F421F8">
            <w:pPr>
              <w:jc w:val="center"/>
              <w:rPr>
                <w:color w:val="000000"/>
                <w:sz w:val="20"/>
                <w:szCs w:val="20"/>
              </w:rPr>
            </w:pPr>
            <w:r w:rsidRPr="00131EED">
              <w:rPr>
                <w:sz w:val="20"/>
                <w:szCs w:val="20"/>
              </w:rPr>
              <w:t>1980</w:t>
            </w:r>
          </w:p>
        </w:tc>
        <w:tc>
          <w:tcPr>
            <w:tcW w:w="1268" w:type="pct"/>
            <w:tcBorders>
              <w:top w:val="nil"/>
              <w:left w:val="nil"/>
              <w:bottom w:val="single" w:sz="4" w:space="0" w:color="auto"/>
              <w:right w:val="single" w:sz="4" w:space="0" w:color="auto"/>
            </w:tcBorders>
            <w:hideMark/>
          </w:tcPr>
          <w:p w14:paraId="42F31699" w14:textId="77777777" w:rsidR="00F421F8" w:rsidRPr="00131EED" w:rsidRDefault="00F421F8">
            <w:pPr>
              <w:jc w:val="center"/>
              <w:rPr>
                <w:color w:val="000000"/>
                <w:sz w:val="20"/>
                <w:szCs w:val="20"/>
              </w:rPr>
            </w:pPr>
            <w:r w:rsidRPr="00131EED">
              <w:rPr>
                <w:sz w:val="20"/>
                <w:szCs w:val="20"/>
              </w:rPr>
              <w:t>14513.44</w:t>
            </w:r>
          </w:p>
        </w:tc>
        <w:tc>
          <w:tcPr>
            <w:tcW w:w="1397" w:type="pct"/>
            <w:tcBorders>
              <w:top w:val="nil"/>
              <w:left w:val="nil"/>
              <w:bottom w:val="single" w:sz="4" w:space="0" w:color="auto"/>
              <w:right w:val="single" w:sz="4" w:space="0" w:color="auto"/>
            </w:tcBorders>
            <w:hideMark/>
          </w:tcPr>
          <w:p w14:paraId="02B6BE62" w14:textId="77777777" w:rsidR="00F421F8" w:rsidRPr="00131EED" w:rsidRDefault="00F421F8">
            <w:pPr>
              <w:jc w:val="center"/>
              <w:rPr>
                <w:color w:val="000000"/>
                <w:sz w:val="20"/>
                <w:szCs w:val="20"/>
              </w:rPr>
            </w:pPr>
            <w:r w:rsidRPr="00131EED">
              <w:rPr>
                <w:sz w:val="20"/>
                <w:szCs w:val="20"/>
              </w:rPr>
              <w:t>145.13</w:t>
            </w:r>
          </w:p>
        </w:tc>
        <w:tc>
          <w:tcPr>
            <w:tcW w:w="1431" w:type="pct"/>
            <w:tcBorders>
              <w:top w:val="nil"/>
              <w:left w:val="nil"/>
              <w:bottom w:val="single" w:sz="4" w:space="0" w:color="auto"/>
              <w:right w:val="single" w:sz="4" w:space="0" w:color="auto"/>
            </w:tcBorders>
            <w:hideMark/>
          </w:tcPr>
          <w:p w14:paraId="37B25E10" w14:textId="77777777" w:rsidR="00F421F8" w:rsidRPr="00131EED" w:rsidRDefault="00F421F8">
            <w:pPr>
              <w:jc w:val="center"/>
              <w:rPr>
                <w:color w:val="000000"/>
                <w:sz w:val="20"/>
                <w:szCs w:val="20"/>
              </w:rPr>
            </w:pPr>
            <w:r w:rsidRPr="00131EED">
              <w:rPr>
                <w:sz w:val="20"/>
                <w:szCs w:val="20"/>
              </w:rPr>
              <w:t>4.50%</w:t>
            </w:r>
          </w:p>
        </w:tc>
      </w:tr>
      <w:tr w:rsidR="00F421F8" w:rsidRPr="00131EED" w14:paraId="5EFE5AA5"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3FFA1AA7" w14:textId="77777777" w:rsidR="00F421F8" w:rsidRPr="00131EED" w:rsidRDefault="00F421F8">
            <w:pPr>
              <w:jc w:val="center"/>
              <w:rPr>
                <w:color w:val="000000"/>
                <w:sz w:val="20"/>
                <w:szCs w:val="20"/>
              </w:rPr>
            </w:pPr>
            <w:r w:rsidRPr="00131EED">
              <w:rPr>
                <w:sz w:val="20"/>
                <w:szCs w:val="20"/>
              </w:rPr>
              <w:t>1985</w:t>
            </w:r>
          </w:p>
        </w:tc>
        <w:tc>
          <w:tcPr>
            <w:tcW w:w="1268" w:type="pct"/>
            <w:tcBorders>
              <w:top w:val="nil"/>
              <w:left w:val="nil"/>
              <w:bottom w:val="single" w:sz="4" w:space="0" w:color="auto"/>
              <w:right w:val="single" w:sz="4" w:space="0" w:color="auto"/>
            </w:tcBorders>
            <w:hideMark/>
          </w:tcPr>
          <w:p w14:paraId="78DD537A" w14:textId="77777777" w:rsidR="00F421F8" w:rsidRPr="00131EED" w:rsidRDefault="00F421F8">
            <w:pPr>
              <w:jc w:val="center"/>
              <w:rPr>
                <w:color w:val="000000"/>
                <w:sz w:val="20"/>
                <w:szCs w:val="20"/>
              </w:rPr>
            </w:pPr>
            <w:r w:rsidRPr="00131EED">
              <w:rPr>
                <w:sz w:val="20"/>
                <w:szCs w:val="20"/>
              </w:rPr>
              <w:t>15207.13</w:t>
            </w:r>
          </w:p>
        </w:tc>
        <w:tc>
          <w:tcPr>
            <w:tcW w:w="1397" w:type="pct"/>
            <w:tcBorders>
              <w:top w:val="nil"/>
              <w:left w:val="nil"/>
              <w:bottom w:val="single" w:sz="4" w:space="0" w:color="auto"/>
              <w:right w:val="single" w:sz="4" w:space="0" w:color="auto"/>
            </w:tcBorders>
            <w:hideMark/>
          </w:tcPr>
          <w:p w14:paraId="5DD87537" w14:textId="77777777" w:rsidR="00F421F8" w:rsidRPr="00131EED" w:rsidRDefault="00F421F8">
            <w:pPr>
              <w:jc w:val="center"/>
              <w:rPr>
                <w:color w:val="000000"/>
                <w:sz w:val="20"/>
                <w:szCs w:val="20"/>
              </w:rPr>
            </w:pPr>
            <w:r w:rsidRPr="00131EED">
              <w:rPr>
                <w:sz w:val="20"/>
                <w:szCs w:val="20"/>
              </w:rPr>
              <w:t>152.07</w:t>
            </w:r>
          </w:p>
        </w:tc>
        <w:tc>
          <w:tcPr>
            <w:tcW w:w="1431" w:type="pct"/>
            <w:tcBorders>
              <w:top w:val="nil"/>
              <w:left w:val="nil"/>
              <w:bottom w:val="single" w:sz="4" w:space="0" w:color="auto"/>
              <w:right w:val="single" w:sz="4" w:space="0" w:color="auto"/>
            </w:tcBorders>
            <w:hideMark/>
          </w:tcPr>
          <w:p w14:paraId="5415AF99" w14:textId="77777777" w:rsidR="00F421F8" w:rsidRPr="00131EED" w:rsidRDefault="00F421F8">
            <w:pPr>
              <w:jc w:val="center"/>
              <w:rPr>
                <w:color w:val="000000"/>
                <w:sz w:val="20"/>
                <w:szCs w:val="20"/>
              </w:rPr>
            </w:pPr>
            <w:r w:rsidRPr="00131EED">
              <w:rPr>
                <w:sz w:val="20"/>
                <w:szCs w:val="20"/>
              </w:rPr>
              <w:t>4.56%</w:t>
            </w:r>
          </w:p>
        </w:tc>
      </w:tr>
      <w:tr w:rsidR="00F421F8" w:rsidRPr="00131EED" w14:paraId="53D7C3B5"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5EE85284" w14:textId="77777777" w:rsidR="00F421F8" w:rsidRPr="00131EED" w:rsidRDefault="00F421F8">
            <w:pPr>
              <w:jc w:val="center"/>
              <w:rPr>
                <w:color w:val="000000"/>
                <w:sz w:val="20"/>
                <w:szCs w:val="20"/>
              </w:rPr>
            </w:pPr>
            <w:r w:rsidRPr="00131EED">
              <w:rPr>
                <w:sz w:val="20"/>
                <w:szCs w:val="20"/>
              </w:rPr>
              <w:t>1990</w:t>
            </w:r>
          </w:p>
        </w:tc>
        <w:tc>
          <w:tcPr>
            <w:tcW w:w="1268" w:type="pct"/>
            <w:tcBorders>
              <w:top w:val="nil"/>
              <w:left w:val="nil"/>
              <w:bottom w:val="single" w:sz="4" w:space="0" w:color="auto"/>
              <w:right w:val="single" w:sz="4" w:space="0" w:color="auto"/>
            </w:tcBorders>
            <w:hideMark/>
          </w:tcPr>
          <w:p w14:paraId="11B28559" w14:textId="77777777" w:rsidR="00F421F8" w:rsidRPr="00131EED" w:rsidRDefault="00F421F8">
            <w:pPr>
              <w:jc w:val="center"/>
              <w:rPr>
                <w:color w:val="000000"/>
                <w:sz w:val="20"/>
                <w:szCs w:val="20"/>
              </w:rPr>
            </w:pPr>
            <w:r w:rsidRPr="00131EED">
              <w:rPr>
                <w:sz w:val="20"/>
                <w:szCs w:val="20"/>
              </w:rPr>
              <w:t>15930.94</w:t>
            </w:r>
          </w:p>
        </w:tc>
        <w:tc>
          <w:tcPr>
            <w:tcW w:w="1397" w:type="pct"/>
            <w:tcBorders>
              <w:top w:val="nil"/>
              <w:left w:val="nil"/>
              <w:bottom w:val="single" w:sz="4" w:space="0" w:color="auto"/>
              <w:right w:val="single" w:sz="4" w:space="0" w:color="auto"/>
            </w:tcBorders>
            <w:hideMark/>
          </w:tcPr>
          <w:p w14:paraId="08B25052" w14:textId="77777777" w:rsidR="00F421F8" w:rsidRPr="00131EED" w:rsidRDefault="00F421F8">
            <w:pPr>
              <w:jc w:val="center"/>
              <w:rPr>
                <w:color w:val="000000"/>
                <w:sz w:val="20"/>
                <w:szCs w:val="20"/>
              </w:rPr>
            </w:pPr>
            <w:r w:rsidRPr="00131EED">
              <w:rPr>
                <w:sz w:val="20"/>
                <w:szCs w:val="20"/>
              </w:rPr>
              <w:t>159.31</w:t>
            </w:r>
          </w:p>
        </w:tc>
        <w:tc>
          <w:tcPr>
            <w:tcW w:w="1431" w:type="pct"/>
            <w:tcBorders>
              <w:top w:val="nil"/>
              <w:left w:val="nil"/>
              <w:bottom w:val="single" w:sz="4" w:space="0" w:color="auto"/>
              <w:right w:val="single" w:sz="4" w:space="0" w:color="auto"/>
            </w:tcBorders>
            <w:hideMark/>
          </w:tcPr>
          <w:p w14:paraId="3BC01AFA" w14:textId="77777777" w:rsidR="00F421F8" w:rsidRPr="00131EED" w:rsidRDefault="00F421F8">
            <w:pPr>
              <w:jc w:val="center"/>
              <w:rPr>
                <w:color w:val="000000"/>
                <w:sz w:val="20"/>
                <w:szCs w:val="20"/>
              </w:rPr>
            </w:pPr>
            <w:r w:rsidRPr="00131EED">
              <w:rPr>
                <w:sz w:val="20"/>
                <w:szCs w:val="20"/>
              </w:rPr>
              <w:t>4.54%</w:t>
            </w:r>
          </w:p>
        </w:tc>
      </w:tr>
      <w:tr w:rsidR="00F421F8" w:rsidRPr="00131EED" w14:paraId="1C84F028"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177BDD42" w14:textId="77777777" w:rsidR="00F421F8" w:rsidRPr="00131EED" w:rsidRDefault="00F421F8">
            <w:pPr>
              <w:jc w:val="center"/>
              <w:rPr>
                <w:color w:val="000000"/>
                <w:sz w:val="20"/>
                <w:szCs w:val="20"/>
              </w:rPr>
            </w:pPr>
            <w:r w:rsidRPr="00131EED">
              <w:rPr>
                <w:sz w:val="20"/>
                <w:szCs w:val="20"/>
              </w:rPr>
              <w:t>1995</w:t>
            </w:r>
          </w:p>
        </w:tc>
        <w:tc>
          <w:tcPr>
            <w:tcW w:w="1268" w:type="pct"/>
            <w:tcBorders>
              <w:top w:val="nil"/>
              <w:left w:val="nil"/>
              <w:bottom w:val="single" w:sz="4" w:space="0" w:color="auto"/>
              <w:right w:val="single" w:sz="4" w:space="0" w:color="auto"/>
            </w:tcBorders>
            <w:hideMark/>
          </w:tcPr>
          <w:p w14:paraId="05E3F30A" w14:textId="77777777" w:rsidR="00F421F8" w:rsidRPr="00131EED" w:rsidRDefault="00F421F8">
            <w:pPr>
              <w:jc w:val="center"/>
              <w:rPr>
                <w:color w:val="000000"/>
                <w:sz w:val="20"/>
                <w:szCs w:val="20"/>
              </w:rPr>
            </w:pPr>
            <w:r w:rsidRPr="00131EED">
              <w:rPr>
                <w:sz w:val="20"/>
                <w:szCs w:val="20"/>
              </w:rPr>
              <w:t>16840.23</w:t>
            </w:r>
          </w:p>
        </w:tc>
        <w:tc>
          <w:tcPr>
            <w:tcW w:w="1397" w:type="pct"/>
            <w:tcBorders>
              <w:top w:val="nil"/>
              <w:left w:val="nil"/>
              <w:bottom w:val="single" w:sz="4" w:space="0" w:color="auto"/>
              <w:right w:val="single" w:sz="4" w:space="0" w:color="auto"/>
            </w:tcBorders>
            <w:hideMark/>
          </w:tcPr>
          <w:p w14:paraId="14EF73BE" w14:textId="77777777" w:rsidR="00F421F8" w:rsidRPr="00131EED" w:rsidRDefault="00F421F8">
            <w:pPr>
              <w:jc w:val="center"/>
              <w:rPr>
                <w:color w:val="000000"/>
                <w:sz w:val="20"/>
                <w:szCs w:val="20"/>
              </w:rPr>
            </w:pPr>
            <w:r w:rsidRPr="00131EED">
              <w:rPr>
                <w:sz w:val="20"/>
                <w:szCs w:val="20"/>
              </w:rPr>
              <w:t>168.40</w:t>
            </w:r>
          </w:p>
        </w:tc>
        <w:tc>
          <w:tcPr>
            <w:tcW w:w="1431" w:type="pct"/>
            <w:tcBorders>
              <w:top w:val="nil"/>
              <w:left w:val="nil"/>
              <w:bottom w:val="single" w:sz="4" w:space="0" w:color="auto"/>
              <w:right w:val="single" w:sz="4" w:space="0" w:color="auto"/>
            </w:tcBorders>
            <w:hideMark/>
          </w:tcPr>
          <w:p w14:paraId="413800D6" w14:textId="77777777" w:rsidR="00F421F8" w:rsidRPr="00131EED" w:rsidRDefault="00F421F8">
            <w:pPr>
              <w:jc w:val="center"/>
              <w:rPr>
                <w:color w:val="000000"/>
                <w:sz w:val="20"/>
                <w:szCs w:val="20"/>
              </w:rPr>
            </w:pPr>
            <w:r w:rsidRPr="00131EED">
              <w:rPr>
                <w:sz w:val="20"/>
                <w:szCs w:val="20"/>
              </w:rPr>
              <w:t>5.40%</w:t>
            </w:r>
          </w:p>
        </w:tc>
      </w:tr>
      <w:tr w:rsidR="00F421F8" w:rsidRPr="00131EED" w14:paraId="160F6B3E"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32FDDCEA" w14:textId="77777777" w:rsidR="00F421F8" w:rsidRPr="00131EED" w:rsidRDefault="00F421F8">
            <w:pPr>
              <w:jc w:val="center"/>
              <w:rPr>
                <w:color w:val="000000"/>
                <w:sz w:val="20"/>
                <w:szCs w:val="20"/>
              </w:rPr>
            </w:pPr>
            <w:r w:rsidRPr="00131EED">
              <w:rPr>
                <w:sz w:val="20"/>
                <w:szCs w:val="20"/>
              </w:rPr>
              <w:t>2000</w:t>
            </w:r>
          </w:p>
        </w:tc>
        <w:tc>
          <w:tcPr>
            <w:tcW w:w="1268" w:type="pct"/>
            <w:tcBorders>
              <w:top w:val="nil"/>
              <w:left w:val="nil"/>
              <w:bottom w:val="single" w:sz="4" w:space="0" w:color="auto"/>
              <w:right w:val="single" w:sz="4" w:space="0" w:color="auto"/>
            </w:tcBorders>
            <w:hideMark/>
          </w:tcPr>
          <w:p w14:paraId="5010C131" w14:textId="77777777" w:rsidR="00F421F8" w:rsidRPr="00131EED" w:rsidRDefault="00F421F8">
            <w:pPr>
              <w:jc w:val="center"/>
              <w:rPr>
                <w:color w:val="000000"/>
                <w:sz w:val="20"/>
                <w:szCs w:val="20"/>
              </w:rPr>
            </w:pPr>
            <w:r w:rsidRPr="00131EED">
              <w:rPr>
                <w:sz w:val="20"/>
                <w:szCs w:val="20"/>
              </w:rPr>
              <w:t>17811.44</w:t>
            </w:r>
          </w:p>
        </w:tc>
        <w:tc>
          <w:tcPr>
            <w:tcW w:w="1397" w:type="pct"/>
            <w:tcBorders>
              <w:top w:val="nil"/>
              <w:left w:val="nil"/>
              <w:bottom w:val="single" w:sz="4" w:space="0" w:color="auto"/>
              <w:right w:val="single" w:sz="4" w:space="0" w:color="auto"/>
            </w:tcBorders>
            <w:hideMark/>
          </w:tcPr>
          <w:p w14:paraId="2DD059E1" w14:textId="77777777" w:rsidR="00F421F8" w:rsidRPr="00131EED" w:rsidRDefault="00F421F8">
            <w:pPr>
              <w:jc w:val="center"/>
              <w:rPr>
                <w:color w:val="000000"/>
                <w:sz w:val="20"/>
                <w:szCs w:val="20"/>
              </w:rPr>
            </w:pPr>
            <w:r w:rsidRPr="00131EED">
              <w:rPr>
                <w:sz w:val="20"/>
                <w:szCs w:val="20"/>
              </w:rPr>
              <w:t>178.11</w:t>
            </w:r>
          </w:p>
        </w:tc>
        <w:tc>
          <w:tcPr>
            <w:tcW w:w="1431" w:type="pct"/>
            <w:tcBorders>
              <w:top w:val="nil"/>
              <w:left w:val="nil"/>
              <w:bottom w:val="single" w:sz="4" w:space="0" w:color="auto"/>
              <w:right w:val="single" w:sz="4" w:space="0" w:color="auto"/>
            </w:tcBorders>
            <w:hideMark/>
          </w:tcPr>
          <w:p w14:paraId="2D14E7DA" w14:textId="77777777" w:rsidR="00F421F8" w:rsidRPr="00131EED" w:rsidRDefault="00F421F8">
            <w:pPr>
              <w:jc w:val="center"/>
              <w:rPr>
                <w:color w:val="000000"/>
                <w:sz w:val="20"/>
                <w:szCs w:val="20"/>
              </w:rPr>
            </w:pPr>
            <w:r w:rsidRPr="00131EED">
              <w:rPr>
                <w:sz w:val="20"/>
                <w:szCs w:val="20"/>
              </w:rPr>
              <w:t>5.45%</w:t>
            </w:r>
          </w:p>
        </w:tc>
      </w:tr>
      <w:tr w:rsidR="00F421F8" w:rsidRPr="00131EED" w14:paraId="757A8F52"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6891E337" w14:textId="77777777" w:rsidR="00F421F8" w:rsidRPr="00131EED" w:rsidRDefault="00F421F8">
            <w:pPr>
              <w:jc w:val="center"/>
              <w:rPr>
                <w:color w:val="000000"/>
                <w:sz w:val="20"/>
                <w:szCs w:val="20"/>
              </w:rPr>
            </w:pPr>
            <w:r w:rsidRPr="00131EED">
              <w:rPr>
                <w:sz w:val="20"/>
                <w:szCs w:val="20"/>
              </w:rPr>
              <w:t>2005</w:t>
            </w:r>
          </w:p>
        </w:tc>
        <w:tc>
          <w:tcPr>
            <w:tcW w:w="1268" w:type="pct"/>
            <w:tcBorders>
              <w:top w:val="nil"/>
              <w:left w:val="nil"/>
              <w:bottom w:val="single" w:sz="4" w:space="0" w:color="auto"/>
              <w:right w:val="single" w:sz="4" w:space="0" w:color="auto"/>
            </w:tcBorders>
            <w:hideMark/>
          </w:tcPr>
          <w:p w14:paraId="3FC6AFF0" w14:textId="77777777" w:rsidR="00F421F8" w:rsidRPr="00131EED" w:rsidRDefault="00F421F8">
            <w:pPr>
              <w:jc w:val="center"/>
              <w:rPr>
                <w:color w:val="000000"/>
                <w:sz w:val="20"/>
                <w:szCs w:val="20"/>
              </w:rPr>
            </w:pPr>
            <w:r w:rsidRPr="00131EED">
              <w:rPr>
                <w:sz w:val="20"/>
                <w:szCs w:val="20"/>
              </w:rPr>
              <w:t>18615.49</w:t>
            </w:r>
          </w:p>
        </w:tc>
        <w:tc>
          <w:tcPr>
            <w:tcW w:w="1397" w:type="pct"/>
            <w:tcBorders>
              <w:top w:val="nil"/>
              <w:left w:val="nil"/>
              <w:bottom w:val="single" w:sz="4" w:space="0" w:color="auto"/>
              <w:right w:val="single" w:sz="4" w:space="0" w:color="auto"/>
            </w:tcBorders>
            <w:hideMark/>
          </w:tcPr>
          <w:p w14:paraId="445866CD" w14:textId="77777777" w:rsidR="00F421F8" w:rsidRPr="00131EED" w:rsidRDefault="00F421F8">
            <w:pPr>
              <w:jc w:val="center"/>
              <w:rPr>
                <w:color w:val="000000"/>
                <w:sz w:val="20"/>
                <w:szCs w:val="20"/>
              </w:rPr>
            </w:pPr>
            <w:r w:rsidRPr="00131EED">
              <w:rPr>
                <w:sz w:val="20"/>
                <w:szCs w:val="20"/>
              </w:rPr>
              <w:t>186.15</w:t>
            </w:r>
          </w:p>
        </w:tc>
        <w:tc>
          <w:tcPr>
            <w:tcW w:w="1431" w:type="pct"/>
            <w:tcBorders>
              <w:top w:val="nil"/>
              <w:left w:val="nil"/>
              <w:bottom w:val="single" w:sz="4" w:space="0" w:color="auto"/>
              <w:right w:val="single" w:sz="4" w:space="0" w:color="auto"/>
            </w:tcBorders>
            <w:hideMark/>
          </w:tcPr>
          <w:p w14:paraId="0E6C8D6F" w14:textId="77777777" w:rsidR="00F421F8" w:rsidRPr="00131EED" w:rsidRDefault="00F421F8">
            <w:pPr>
              <w:jc w:val="center"/>
              <w:rPr>
                <w:color w:val="000000"/>
                <w:sz w:val="20"/>
                <w:szCs w:val="20"/>
              </w:rPr>
            </w:pPr>
            <w:r w:rsidRPr="00131EED">
              <w:rPr>
                <w:sz w:val="20"/>
                <w:szCs w:val="20"/>
              </w:rPr>
              <w:t>4.32%</w:t>
            </w:r>
          </w:p>
        </w:tc>
      </w:tr>
      <w:tr w:rsidR="00F421F8" w:rsidRPr="00131EED" w14:paraId="2965433B"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79D93F3C" w14:textId="77777777" w:rsidR="00F421F8" w:rsidRPr="00131EED" w:rsidRDefault="00F421F8">
            <w:pPr>
              <w:jc w:val="center"/>
              <w:rPr>
                <w:color w:val="000000"/>
                <w:sz w:val="20"/>
                <w:szCs w:val="20"/>
              </w:rPr>
            </w:pPr>
            <w:r w:rsidRPr="00131EED">
              <w:rPr>
                <w:sz w:val="20"/>
                <w:szCs w:val="20"/>
              </w:rPr>
              <w:t>2010</w:t>
            </w:r>
          </w:p>
        </w:tc>
        <w:tc>
          <w:tcPr>
            <w:tcW w:w="1268" w:type="pct"/>
            <w:tcBorders>
              <w:top w:val="nil"/>
              <w:left w:val="nil"/>
              <w:bottom w:val="single" w:sz="4" w:space="0" w:color="auto"/>
              <w:right w:val="single" w:sz="4" w:space="0" w:color="auto"/>
            </w:tcBorders>
            <w:hideMark/>
          </w:tcPr>
          <w:p w14:paraId="1E5BEA25" w14:textId="77777777" w:rsidR="00F421F8" w:rsidRPr="00131EED" w:rsidRDefault="00F421F8">
            <w:pPr>
              <w:jc w:val="center"/>
              <w:rPr>
                <w:color w:val="000000"/>
                <w:sz w:val="20"/>
                <w:szCs w:val="20"/>
              </w:rPr>
            </w:pPr>
            <w:r w:rsidRPr="00131EED">
              <w:rPr>
                <w:sz w:val="20"/>
                <w:szCs w:val="20"/>
              </w:rPr>
              <w:t>19476.47</w:t>
            </w:r>
          </w:p>
        </w:tc>
        <w:tc>
          <w:tcPr>
            <w:tcW w:w="1397" w:type="pct"/>
            <w:tcBorders>
              <w:top w:val="nil"/>
              <w:left w:val="nil"/>
              <w:bottom w:val="single" w:sz="4" w:space="0" w:color="auto"/>
              <w:right w:val="single" w:sz="4" w:space="0" w:color="auto"/>
            </w:tcBorders>
            <w:hideMark/>
          </w:tcPr>
          <w:p w14:paraId="47323EF8" w14:textId="77777777" w:rsidR="00F421F8" w:rsidRPr="00131EED" w:rsidRDefault="00F421F8">
            <w:pPr>
              <w:jc w:val="center"/>
              <w:rPr>
                <w:color w:val="000000"/>
                <w:sz w:val="20"/>
                <w:szCs w:val="20"/>
              </w:rPr>
            </w:pPr>
            <w:r w:rsidRPr="00131EED">
              <w:rPr>
                <w:sz w:val="20"/>
                <w:szCs w:val="20"/>
              </w:rPr>
              <w:t>194.76</w:t>
            </w:r>
          </w:p>
        </w:tc>
        <w:tc>
          <w:tcPr>
            <w:tcW w:w="1431" w:type="pct"/>
            <w:tcBorders>
              <w:top w:val="nil"/>
              <w:left w:val="nil"/>
              <w:bottom w:val="single" w:sz="4" w:space="0" w:color="auto"/>
              <w:right w:val="single" w:sz="4" w:space="0" w:color="auto"/>
            </w:tcBorders>
            <w:hideMark/>
          </w:tcPr>
          <w:p w14:paraId="6DA68C67" w14:textId="77777777" w:rsidR="00F421F8" w:rsidRPr="00131EED" w:rsidRDefault="00F421F8">
            <w:pPr>
              <w:jc w:val="center"/>
              <w:rPr>
                <w:color w:val="000000"/>
                <w:sz w:val="20"/>
                <w:szCs w:val="20"/>
              </w:rPr>
            </w:pPr>
            <w:r w:rsidRPr="00131EED">
              <w:rPr>
                <w:sz w:val="20"/>
                <w:szCs w:val="20"/>
              </w:rPr>
              <w:t>4.42%</w:t>
            </w:r>
          </w:p>
        </w:tc>
      </w:tr>
      <w:tr w:rsidR="00F421F8" w:rsidRPr="00131EED" w14:paraId="32A14D0D"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2CD0F2FF" w14:textId="77777777" w:rsidR="00F421F8" w:rsidRPr="00131EED" w:rsidRDefault="00F421F8">
            <w:pPr>
              <w:jc w:val="center"/>
              <w:rPr>
                <w:color w:val="000000"/>
                <w:sz w:val="20"/>
                <w:szCs w:val="20"/>
              </w:rPr>
            </w:pPr>
            <w:r w:rsidRPr="00131EED">
              <w:rPr>
                <w:sz w:val="20"/>
                <w:szCs w:val="20"/>
              </w:rPr>
              <w:t>2015</w:t>
            </w:r>
          </w:p>
        </w:tc>
        <w:tc>
          <w:tcPr>
            <w:tcW w:w="1268" w:type="pct"/>
            <w:tcBorders>
              <w:top w:val="nil"/>
              <w:left w:val="nil"/>
              <w:bottom w:val="single" w:sz="4" w:space="0" w:color="auto"/>
              <w:right w:val="single" w:sz="4" w:space="0" w:color="auto"/>
            </w:tcBorders>
            <w:hideMark/>
          </w:tcPr>
          <w:p w14:paraId="6706DBD4" w14:textId="77777777" w:rsidR="00F421F8" w:rsidRPr="00131EED" w:rsidRDefault="00F421F8">
            <w:pPr>
              <w:jc w:val="center"/>
              <w:rPr>
                <w:color w:val="000000"/>
                <w:sz w:val="20"/>
                <w:szCs w:val="20"/>
              </w:rPr>
            </w:pPr>
            <w:r w:rsidRPr="00131EED">
              <w:rPr>
                <w:sz w:val="20"/>
                <w:szCs w:val="20"/>
              </w:rPr>
              <w:t>20378.14</w:t>
            </w:r>
          </w:p>
        </w:tc>
        <w:tc>
          <w:tcPr>
            <w:tcW w:w="1397" w:type="pct"/>
            <w:tcBorders>
              <w:top w:val="nil"/>
              <w:left w:val="nil"/>
              <w:bottom w:val="single" w:sz="4" w:space="0" w:color="auto"/>
              <w:right w:val="single" w:sz="4" w:space="0" w:color="auto"/>
            </w:tcBorders>
            <w:hideMark/>
          </w:tcPr>
          <w:p w14:paraId="0D2C40E4" w14:textId="77777777" w:rsidR="00F421F8" w:rsidRPr="00131EED" w:rsidRDefault="00F421F8">
            <w:pPr>
              <w:jc w:val="center"/>
              <w:rPr>
                <w:color w:val="000000"/>
                <w:sz w:val="20"/>
                <w:szCs w:val="20"/>
              </w:rPr>
            </w:pPr>
            <w:r w:rsidRPr="00131EED">
              <w:rPr>
                <w:sz w:val="20"/>
                <w:szCs w:val="20"/>
              </w:rPr>
              <w:t>203.78</w:t>
            </w:r>
          </w:p>
        </w:tc>
        <w:tc>
          <w:tcPr>
            <w:tcW w:w="1431" w:type="pct"/>
            <w:tcBorders>
              <w:top w:val="nil"/>
              <w:left w:val="nil"/>
              <w:bottom w:val="single" w:sz="4" w:space="0" w:color="auto"/>
              <w:right w:val="single" w:sz="4" w:space="0" w:color="auto"/>
            </w:tcBorders>
            <w:hideMark/>
          </w:tcPr>
          <w:p w14:paraId="75C21B61" w14:textId="77777777" w:rsidR="00F421F8" w:rsidRPr="00131EED" w:rsidRDefault="00F421F8">
            <w:pPr>
              <w:jc w:val="center"/>
              <w:rPr>
                <w:color w:val="000000"/>
                <w:sz w:val="20"/>
                <w:szCs w:val="20"/>
              </w:rPr>
            </w:pPr>
            <w:r w:rsidRPr="00131EED">
              <w:rPr>
                <w:sz w:val="20"/>
                <w:szCs w:val="20"/>
              </w:rPr>
              <w:t>4.42%</w:t>
            </w:r>
          </w:p>
        </w:tc>
      </w:tr>
      <w:tr w:rsidR="00F421F8" w:rsidRPr="00131EED" w14:paraId="6DF4A2DC"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7115CC74" w14:textId="77777777" w:rsidR="00F421F8" w:rsidRPr="00131EED" w:rsidRDefault="00F421F8">
            <w:pPr>
              <w:jc w:val="center"/>
              <w:rPr>
                <w:color w:val="000000"/>
                <w:sz w:val="20"/>
                <w:szCs w:val="20"/>
              </w:rPr>
            </w:pPr>
            <w:r w:rsidRPr="00131EED">
              <w:rPr>
                <w:sz w:val="20"/>
                <w:szCs w:val="20"/>
              </w:rPr>
              <w:t>2020</w:t>
            </w:r>
          </w:p>
        </w:tc>
        <w:tc>
          <w:tcPr>
            <w:tcW w:w="1268" w:type="pct"/>
            <w:tcBorders>
              <w:top w:val="nil"/>
              <w:left w:val="nil"/>
              <w:bottom w:val="single" w:sz="4" w:space="0" w:color="auto"/>
              <w:right w:val="single" w:sz="4" w:space="0" w:color="auto"/>
            </w:tcBorders>
            <w:hideMark/>
          </w:tcPr>
          <w:p w14:paraId="6C516B16" w14:textId="77777777" w:rsidR="00F421F8" w:rsidRPr="00131EED" w:rsidRDefault="00F421F8">
            <w:pPr>
              <w:jc w:val="center"/>
              <w:rPr>
                <w:color w:val="000000"/>
                <w:sz w:val="20"/>
                <w:szCs w:val="20"/>
              </w:rPr>
            </w:pPr>
            <w:r w:rsidRPr="00131EED">
              <w:rPr>
                <w:sz w:val="20"/>
                <w:szCs w:val="20"/>
              </w:rPr>
              <w:t>21385.27</w:t>
            </w:r>
          </w:p>
        </w:tc>
        <w:tc>
          <w:tcPr>
            <w:tcW w:w="1397" w:type="pct"/>
            <w:tcBorders>
              <w:top w:val="nil"/>
              <w:left w:val="nil"/>
              <w:bottom w:val="single" w:sz="4" w:space="0" w:color="auto"/>
              <w:right w:val="single" w:sz="4" w:space="0" w:color="auto"/>
            </w:tcBorders>
            <w:hideMark/>
          </w:tcPr>
          <w:p w14:paraId="0A860908" w14:textId="77777777" w:rsidR="00F421F8" w:rsidRPr="00131EED" w:rsidRDefault="00F421F8">
            <w:pPr>
              <w:jc w:val="center"/>
              <w:rPr>
                <w:color w:val="000000"/>
                <w:sz w:val="20"/>
                <w:szCs w:val="20"/>
              </w:rPr>
            </w:pPr>
            <w:r w:rsidRPr="00131EED">
              <w:rPr>
                <w:sz w:val="20"/>
                <w:szCs w:val="20"/>
              </w:rPr>
              <w:t>213.85</w:t>
            </w:r>
          </w:p>
        </w:tc>
        <w:tc>
          <w:tcPr>
            <w:tcW w:w="1431" w:type="pct"/>
            <w:tcBorders>
              <w:top w:val="nil"/>
              <w:left w:val="nil"/>
              <w:bottom w:val="single" w:sz="4" w:space="0" w:color="auto"/>
              <w:right w:val="single" w:sz="4" w:space="0" w:color="auto"/>
            </w:tcBorders>
            <w:hideMark/>
          </w:tcPr>
          <w:p w14:paraId="531529E2" w14:textId="77777777" w:rsidR="00F421F8" w:rsidRPr="00131EED" w:rsidRDefault="00F421F8">
            <w:pPr>
              <w:jc w:val="center"/>
              <w:rPr>
                <w:color w:val="000000"/>
                <w:sz w:val="20"/>
                <w:szCs w:val="20"/>
              </w:rPr>
            </w:pPr>
            <w:r w:rsidRPr="00131EED">
              <w:rPr>
                <w:sz w:val="20"/>
                <w:szCs w:val="20"/>
              </w:rPr>
              <w:t>4.71%</w:t>
            </w:r>
          </w:p>
        </w:tc>
      </w:tr>
      <w:tr w:rsidR="00F421F8" w:rsidRPr="00131EED" w14:paraId="03BB31EF"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5D18B101" w14:textId="77777777" w:rsidR="00F421F8" w:rsidRPr="00131EED" w:rsidRDefault="00F421F8">
            <w:pPr>
              <w:jc w:val="center"/>
              <w:rPr>
                <w:color w:val="000000"/>
                <w:sz w:val="20"/>
                <w:szCs w:val="20"/>
              </w:rPr>
            </w:pPr>
            <w:r w:rsidRPr="00131EED">
              <w:rPr>
                <w:sz w:val="20"/>
                <w:szCs w:val="20"/>
              </w:rPr>
              <w:t>2025</w:t>
            </w:r>
          </w:p>
        </w:tc>
        <w:tc>
          <w:tcPr>
            <w:tcW w:w="1268" w:type="pct"/>
            <w:tcBorders>
              <w:top w:val="nil"/>
              <w:left w:val="nil"/>
              <w:bottom w:val="single" w:sz="4" w:space="0" w:color="auto"/>
              <w:right w:val="single" w:sz="4" w:space="0" w:color="auto"/>
            </w:tcBorders>
            <w:hideMark/>
          </w:tcPr>
          <w:p w14:paraId="174B6089" w14:textId="77777777" w:rsidR="00F421F8" w:rsidRPr="00131EED" w:rsidRDefault="00F421F8">
            <w:pPr>
              <w:jc w:val="center"/>
              <w:rPr>
                <w:color w:val="000000"/>
                <w:sz w:val="20"/>
                <w:szCs w:val="20"/>
              </w:rPr>
            </w:pPr>
            <w:r w:rsidRPr="00131EED">
              <w:rPr>
                <w:sz w:val="20"/>
                <w:szCs w:val="20"/>
              </w:rPr>
              <w:t>21599.65</w:t>
            </w:r>
          </w:p>
        </w:tc>
        <w:tc>
          <w:tcPr>
            <w:tcW w:w="1397" w:type="pct"/>
            <w:tcBorders>
              <w:top w:val="nil"/>
              <w:left w:val="nil"/>
              <w:bottom w:val="single" w:sz="4" w:space="0" w:color="auto"/>
              <w:right w:val="single" w:sz="4" w:space="0" w:color="auto"/>
            </w:tcBorders>
            <w:hideMark/>
          </w:tcPr>
          <w:p w14:paraId="41C33432" w14:textId="77777777" w:rsidR="00F421F8" w:rsidRPr="00131EED" w:rsidRDefault="00F421F8">
            <w:pPr>
              <w:jc w:val="center"/>
              <w:rPr>
                <w:color w:val="000000"/>
                <w:sz w:val="20"/>
                <w:szCs w:val="20"/>
              </w:rPr>
            </w:pPr>
            <w:r w:rsidRPr="00131EED">
              <w:rPr>
                <w:sz w:val="20"/>
                <w:szCs w:val="20"/>
              </w:rPr>
              <w:t>216.00</w:t>
            </w:r>
          </w:p>
        </w:tc>
        <w:tc>
          <w:tcPr>
            <w:tcW w:w="1431" w:type="pct"/>
            <w:tcBorders>
              <w:top w:val="nil"/>
              <w:left w:val="nil"/>
              <w:bottom w:val="single" w:sz="4" w:space="0" w:color="auto"/>
              <w:right w:val="single" w:sz="4" w:space="0" w:color="auto"/>
            </w:tcBorders>
            <w:hideMark/>
          </w:tcPr>
          <w:p w14:paraId="78B6467D" w14:textId="77777777" w:rsidR="00F421F8" w:rsidRPr="00131EED" w:rsidRDefault="00F421F8">
            <w:pPr>
              <w:jc w:val="center"/>
              <w:rPr>
                <w:color w:val="000000"/>
                <w:sz w:val="20"/>
                <w:szCs w:val="20"/>
              </w:rPr>
            </w:pPr>
            <w:r w:rsidRPr="00131EED">
              <w:rPr>
                <w:sz w:val="20"/>
                <w:szCs w:val="20"/>
              </w:rPr>
              <w:t>0.99%</w:t>
            </w:r>
          </w:p>
        </w:tc>
      </w:tr>
      <w:tr w:rsidR="00F421F8" w:rsidRPr="00131EED" w14:paraId="5B7F78B4" w14:textId="77777777">
        <w:trPr>
          <w:trHeight w:val="248"/>
          <w:jc w:val="center"/>
        </w:trPr>
        <w:tc>
          <w:tcPr>
            <w:tcW w:w="904" w:type="pct"/>
            <w:tcBorders>
              <w:top w:val="nil"/>
              <w:left w:val="single" w:sz="4" w:space="0" w:color="auto"/>
              <w:bottom w:val="single" w:sz="4" w:space="0" w:color="auto"/>
              <w:right w:val="single" w:sz="4" w:space="0" w:color="auto"/>
            </w:tcBorders>
            <w:hideMark/>
          </w:tcPr>
          <w:p w14:paraId="3F774F81" w14:textId="77777777" w:rsidR="00F421F8" w:rsidRPr="00131EED" w:rsidRDefault="00F421F8">
            <w:pPr>
              <w:jc w:val="center"/>
              <w:rPr>
                <w:color w:val="000000"/>
                <w:sz w:val="20"/>
                <w:szCs w:val="20"/>
              </w:rPr>
            </w:pPr>
            <w:r w:rsidRPr="00131EED">
              <w:rPr>
                <w:sz w:val="20"/>
                <w:szCs w:val="20"/>
              </w:rPr>
              <w:t>2030</w:t>
            </w:r>
          </w:p>
        </w:tc>
        <w:tc>
          <w:tcPr>
            <w:tcW w:w="1268" w:type="pct"/>
            <w:tcBorders>
              <w:top w:val="nil"/>
              <w:left w:val="nil"/>
              <w:bottom w:val="single" w:sz="4" w:space="0" w:color="auto"/>
              <w:right w:val="single" w:sz="4" w:space="0" w:color="auto"/>
            </w:tcBorders>
            <w:hideMark/>
          </w:tcPr>
          <w:p w14:paraId="5F31CBBF" w14:textId="77777777" w:rsidR="00F421F8" w:rsidRPr="00131EED" w:rsidRDefault="00F421F8">
            <w:pPr>
              <w:jc w:val="center"/>
              <w:rPr>
                <w:color w:val="000000"/>
                <w:sz w:val="20"/>
                <w:szCs w:val="20"/>
              </w:rPr>
            </w:pPr>
            <w:r w:rsidRPr="00131EED">
              <w:rPr>
                <w:sz w:val="20"/>
                <w:szCs w:val="20"/>
              </w:rPr>
              <w:t>21831.17</w:t>
            </w:r>
          </w:p>
        </w:tc>
        <w:tc>
          <w:tcPr>
            <w:tcW w:w="1397" w:type="pct"/>
            <w:tcBorders>
              <w:top w:val="nil"/>
              <w:left w:val="nil"/>
              <w:bottom w:val="single" w:sz="4" w:space="0" w:color="auto"/>
              <w:right w:val="single" w:sz="4" w:space="0" w:color="auto"/>
            </w:tcBorders>
            <w:hideMark/>
          </w:tcPr>
          <w:p w14:paraId="14624DF5" w14:textId="77777777" w:rsidR="00F421F8" w:rsidRPr="00131EED" w:rsidRDefault="00F421F8">
            <w:pPr>
              <w:jc w:val="center"/>
              <w:rPr>
                <w:color w:val="000000"/>
                <w:sz w:val="20"/>
                <w:szCs w:val="20"/>
              </w:rPr>
            </w:pPr>
            <w:r w:rsidRPr="00131EED">
              <w:rPr>
                <w:sz w:val="20"/>
                <w:szCs w:val="20"/>
              </w:rPr>
              <w:t>218.31</w:t>
            </w:r>
          </w:p>
        </w:tc>
        <w:tc>
          <w:tcPr>
            <w:tcW w:w="1431" w:type="pct"/>
            <w:tcBorders>
              <w:top w:val="nil"/>
              <w:left w:val="nil"/>
              <w:bottom w:val="single" w:sz="4" w:space="0" w:color="auto"/>
              <w:right w:val="single" w:sz="4" w:space="0" w:color="auto"/>
            </w:tcBorders>
            <w:hideMark/>
          </w:tcPr>
          <w:p w14:paraId="1A55753E" w14:textId="77777777" w:rsidR="00F421F8" w:rsidRPr="00131EED" w:rsidRDefault="00F421F8">
            <w:pPr>
              <w:jc w:val="center"/>
              <w:rPr>
                <w:color w:val="000000"/>
                <w:sz w:val="20"/>
                <w:szCs w:val="20"/>
              </w:rPr>
            </w:pPr>
            <w:r w:rsidRPr="00131EED">
              <w:rPr>
                <w:sz w:val="20"/>
                <w:szCs w:val="20"/>
              </w:rPr>
              <w:t>1.06%</w:t>
            </w:r>
          </w:p>
        </w:tc>
      </w:tr>
    </w:tbl>
    <w:p w14:paraId="5F97850E" w14:textId="77777777" w:rsidR="00F421F8" w:rsidRPr="00131EED" w:rsidRDefault="00F421F8" w:rsidP="00F421F8">
      <w:pPr>
        <w:pStyle w:val="Caption"/>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Fuente: MinAmbiente con información de GHSL de Google (2013).</w:t>
      </w:r>
    </w:p>
    <w:p w14:paraId="52D86591" w14:textId="77777777" w:rsidR="00F421F8" w:rsidRPr="00131EED" w:rsidRDefault="00F421F8" w:rsidP="00F421F8">
      <w:r w:rsidRPr="00131EED">
        <w:t>Como se evidencia en el cuadro anterior, en los últimos 50 años se estima que la sabana de Bogotá ha venido incrementando su área en un 64%, pasando de 138.60 km2 en 1975 a 218.31 km2 al 2025.</w:t>
      </w:r>
    </w:p>
    <w:p w14:paraId="52BD52B4" w14:textId="77777777" w:rsidR="00F421F8" w:rsidRPr="00131EED" w:rsidRDefault="00F421F8" w:rsidP="00F421F8">
      <w:pPr>
        <w:keepNext/>
        <w:jc w:val="center"/>
      </w:pPr>
      <w:r w:rsidRPr="00131EED">
        <w:t xml:space="preserve"> </w:t>
      </w:r>
    </w:p>
    <w:p w14:paraId="441A93DD" w14:textId="77777777" w:rsidR="00F421F8" w:rsidRPr="00131EED" w:rsidRDefault="00F421F8" w:rsidP="00F421F8">
      <w:r w:rsidRPr="00131EED">
        <w:t>Si bien el valor nominal del área construida ha tenido un incremento sobre la sabana, su tasa de crecimiento presenta una tendencia a la baja en los últimos 25 años, tal como se relaciona en la siguiente figura:</w:t>
      </w:r>
    </w:p>
    <w:p w14:paraId="4AA76245" w14:textId="77777777" w:rsidR="00F421F8" w:rsidRPr="00131EED" w:rsidRDefault="00F421F8" w:rsidP="00F421F8"/>
    <w:p w14:paraId="1271DADE" w14:textId="3F2548E5" w:rsidR="00F421F8" w:rsidRPr="00131EED" w:rsidRDefault="00F421F8" w:rsidP="00BD7CDB">
      <w:pPr>
        <w:pStyle w:val="Caption"/>
        <w:jc w:val="center"/>
      </w:pPr>
      <w:bookmarkStart w:id="275" w:name="_Toc216468834"/>
      <w:r w:rsidRPr="00131EED">
        <w:t xml:space="preserve">Ilustración </w:t>
      </w:r>
      <w:r w:rsidRPr="00131EED">
        <w:fldChar w:fldCharType="begin"/>
      </w:r>
      <w:r w:rsidRPr="00131EED">
        <w:instrText>SEQ Ilustración \* ARABIC</w:instrText>
      </w:r>
      <w:r w:rsidRPr="00131EED">
        <w:fldChar w:fldCharType="separate"/>
      </w:r>
      <w:r w:rsidR="00CE096F">
        <w:rPr>
          <w:noProof/>
        </w:rPr>
        <w:t>69</w:t>
      </w:r>
      <w:r w:rsidRPr="00131EED">
        <w:fldChar w:fldCharType="end"/>
      </w:r>
      <w:r w:rsidRPr="00131EED">
        <w:t xml:space="preserve"> Tasa de incremento anual del área construida en los municipios de la Sabana de Bogotá en el periodo 1975 - 2030</w:t>
      </w:r>
      <w:bookmarkEnd w:id="275"/>
    </w:p>
    <w:p w14:paraId="34E63C68" w14:textId="77777777" w:rsidR="00F421F8" w:rsidRPr="00131EED" w:rsidRDefault="00F421F8" w:rsidP="00F421F8">
      <w:pPr>
        <w:keepNext/>
        <w:jc w:val="center"/>
      </w:pPr>
      <w:r w:rsidRPr="00131EED">
        <w:rPr>
          <w:noProof/>
          <w:lang w:eastAsia="en-US"/>
        </w:rPr>
        <w:drawing>
          <wp:inline distT="0" distB="0" distL="0" distR="0" wp14:anchorId="55A15C2F" wp14:editId="54B69668">
            <wp:extent cx="4171879" cy="2553418"/>
            <wp:effectExtent l="0" t="0" r="635" b="18415"/>
            <wp:docPr id="717056238" name="Chart 1">
              <a:extLst xmlns:a="http://schemas.openxmlformats.org/drawingml/2006/main">
                <a:ext uri="{FF2B5EF4-FFF2-40B4-BE49-F238E27FC236}">
                  <a16:creationId xmlns:a16="http://schemas.microsoft.com/office/drawing/2014/main" id="{5C139510-5207-6C5A-A51D-1385B589B8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7FA83FBD" w14:textId="77777777" w:rsidR="00F421F8" w:rsidRPr="00131EED" w:rsidRDefault="00F421F8" w:rsidP="00F421F8">
      <w:pPr>
        <w:pStyle w:val="Caption"/>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Fuente: MinAmbiente con información de GHSL de Google (2013).</w:t>
      </w:r>
    </w:p>
    <w:p w14:paraId="3B5688B3" w14:textId="77777777" w:rsidR="00BD7CDB" w:rsidRPr="00131EED" w:rsidRDefault="00BD7CDB" w:rsidP="00F421F8"/>
    <w:p w14:paraId="74A22D51" w14:textId="77777777" w:rsidR="00F421F8" w:rsidRPr="00131EED" w:rsidRDefault="00F421F8" w:rsidP="00F421F8">
      <w:r w:rsidRPr="00131EED">
        <w:t>Esta baja se puede evidenciar en los datos de crecimiento estimado por municipio de la Sabana de Bogotá así:</w:t>
      </w:r>
    </w:p>
    <w:p w14:paraId="0CB17FC7" w14:textId="77777777" w:rsidR="00F421F8" w:rsidRPr="00131EED" w:rsidRDefault="00F421F8" w:rsidP="00F421F8"/>
    <w:p w14:paraId="64169720" w14:textId="77B60E7B" w:rsidR="00CF1442" w:rsidRPr="00131EED" w:rsidRDefault="00CF1442" w:rsidP="00CF1442"/>
    <w:p w14:paraId="1E568DF4" w14:textId="0C33BEA1" w:rsidR="00CF1442" w:rsidRPr="00131EED" w:rsidRDefault="00CF1442" w:rsidP="00CF1442"/>
    <w:p w14:paraId="6C6823DB" w14:textId="77777777" w:rsidR="0033670F" w:rsidRPr="00131EED" w:rsidRDefault="0033670F" w:rsidP="00CF1442"/>
    <w:p w14:paraId="3824E3DB" w14:textId="77777777" w:rsidR="00CF1442" w:rsidRPr="00131EED" w:rsidRDefault="00CF1442" w:rsidP="00CF1442"/>
    <w:p w14:paraId="107FB8CE" w14:textId="1137D523" w:rsidR="00F421F8" w:rsidRPr="00131EED" w:rsidRDefault="00F421F8" w:rsidP="00F421F8">
      <w:pPr>
        <w:pStyle w:val="Caption"/>
        <w:jc w:val="center"/>
      </w:pPr>
      <w:bookmarkStart w:id="276" w:name="_Ref210853570"/>
      <w:bookmarkStart w:id="277" w:name="_Toc216468835"/>
      <w:r w:rsidRPr="00131EED">
        <w:t xml:space="preserve">Ilustración </w:t>
      </w:r>
      <w:bookmarkEnd w:id="276"/>
      <w:r w:rsidRPr="00131EED">
        <w:fldChar w:fldCharType="begin"/>
      </w:r>
      <w:r w:rsidRPr="00131EED">
        <w:instrText>SEQ Ilustración \* ARABIC</w:instrText>
      </w:r>
      <w:r w:rsidRPr="00131EED">
        <w:fldChar w:fldCharType="separate"/>
      </w:r>
      <w:r w:rsidR="00CE096F">
        <w:rPr>
          <w:noProof/>
        </w:rPr>
        <w:t>70</w:t>
      </w:r>
      <w:r w:rsidRPr="00131EED">
        <w:fldChar w:fldCharType="end"/>
      </w:r>
      <w:r w:rsidRPr="00131EED">
        <w:t>. Hectáreas de Huella Urbana para la Sabana de Bogotá proyectadas para el periodo 1975 – 2030.</w:t>
      </w:r>
      <w:bookmarkEnd w:id="277"/>
      <w:r w:rsidRPr="00131EED">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4"/>
        <w:gridCol w:w="4414"/>
      </w:tblGrid>
      <w:tr w:rsidR="00F421F8" w:rsidRPr="00131EED" w14:paraId="23E38D2E" w14:textId="77777777">
        <w:tc>
          <w:tcPr>
            <w:tcW w:w="4414" w:type="dxa"/>
          </w:tcPr>
          <w:p w14:paraId="0EE18391" w14:textId="77777777" w:rsidR="00F421F8" w:rsidRPr="00131EED" w:rsidRDefault="00F421F8">
            <w:pPr>
              <w:rPr>
                <w:lang w:eastAsia="en-US"/>
              </w:rPr>
            </w:pPr>
            <w:r w:rsidRPr="00131EED">
              <w:rPr>
                <w:noProof/>
                <w:lang w:eastAsia="en-US"/>
              </w:rPr>
              <w:drawing>
                <wp:inline distT="0" distB="0" distL="0" distR="0" wp14:anchorId="66ADE95E" wp14:editId="38DE9EBB">
                  <wp:extent cx="2649314" cy="3429000"/>
                  <wp:effectExtent l="0" t="0" r="0" b="0"/>
                  <wp:docPr id="701995523" name="Picture 48" descr="A map of a reg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995523" name="Picture 48" descr="A map of a region&#10;&#10;AI-generated content may be incorrect."/>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659616" cy="3442334"/>
                          </a:xfrm>
                          <a:prstGeom prst="rect">
                            <a:avLst/>
                          </a:prstGeom>
                          <a:noFill/>
                          <a:ln>
                            <a:noFill/>
                          </a:ln>
                        </pic:spPr>
                      </pic:pic>
                    </a:graphicData>
                  </a:graphic>
                </wp:inline>
              </w:drawing>
            </w:r>
          </w:p>
          <w:p w14:paraId="7C810526" w14:textId="77777777" w:rsidR="00F421F8" w:rsidRPr="00131EED" w:rsidRDefault="00F421F8">
            <w:pPr>
              <w:rPr>
                <w:lang w:eastAsia="en-US"/>
              </w:rPr>
            </w:pPr>
          </w:p>
        </w:tc>
        <w:tc>
          <w:tcPr>
            <w:tcW w:w="4414" w:type="dxa"/>
          </w:tcPr>
          <w:p w14:paraId="7CAF7AD6" w14:textId="77777777" w:rsidR="00F421F8" w:rsidRPr="00131EED" w:rsidRDefault="00F421F8">
            <w:pPr>
              <w:rPr>
                <w:lang w:eastAsia="en-US"/>
              </w:rPr>
            </w:pPr>
            <w:r w:rsidRPr="00131EED">
              <w:rPr>
                <w:noProof/>
                <w:lang w:eastAsia="en-US"/>
              </w:rPr>
              <w:drawing>
                <wp:inline distT="0" distB="0" distL="0" distR="0" wp14:anchorId="4F7C2EC5" wp14:editId="6A1B164D">
                  <wp:extent cx="2622550" cy="3394358"/>
                  <wp:effectExtent l="0" t="0" r="6350" b="0"/>
                  <wp:docPr id="1165442092" name="Picture 50" descr="A map of a reg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442092" name="Picture 50" descr="A map of a region&#10;&#10;AI-generated content may be incorrect."/>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631410" cy="3405825"/>
                          </a:xfrm>
                          <a:prstGeom prst="rect">
                            <a:avLst/>
                          </a:prstGeom>
                          <a:noFill/>
                          <a:ln>
                            <a:noFill/>
                          </a:ln>
                        </pic:spPr>
                      </pic:pic>
                    </a:graphicData>
                  </a:graphic>
                </wp:inline>
              </w:drawing>
            </w:r>
          </w:p>
          <w:p w14:paraId="730863A4" w14:textId="77777777" w:rsidR="00F31456" w:rsidRPr="00131EED" w:rsidRDefault="00F31456">
            <w:pPr>
              <w:keepNext/>
              <w:rPr>
                <w:lang w:eastAsia="en-US"/>
              </w:rPr>
            </w:pPr>
          </w:p>
        </w:tc>
      </w:tr>
    </w:tbl>
    <w:p w14:paraId="1050757F" w14:textId="77777777" w:rsidR="00F31456" w:rsidRPr="00131EED" w:rsidRDefault="00F31456" w:rsidP="00F31456">
      <w:pPr>
        <w:jc w:val="center"/>
        <w:rPr>
          <w:sz w:val="20"/>
          <w:szCs w:val="20"/>
        </w:rPr>
      </w:pPr>
      <w:r w:rsidRPr="00131EED">
        <w:rPr>
          <w:sz w:val="20"/>
          <w:szCs w:val="20"/>
        </w:rPr>
        <w:t>Fuente: MinAmbiente</w:t>
      </w:r>
    </w:p>
    <w:p w14:paraId="58500158" w14:textId="77777777" w:rsidR="00F31456" w:rsidRPr="00131EED" w:rsidRDefault="00F31456" w:rsidP="00F421F8">
      <w:pPr>
        <w:pStyle w:val="Caption"/>
        <w:keepNext/>
        <w:jc w:val="center"/>
      </w:pPr>
    </w:p>
    <w:p w14:paraId="6BABE843" w14:textId="4BDFF14E" w:rsidR="00F421F8" w:rsidRPr="00131EED" w:rsidRDefault="00F421F8" w:rsidP="00F421F8">
      <w:pPr>
        <w:pStyle w:val="Caption"/>
        <w:keepNext/>
        <w:jc w:val="center"/>
      </w:pPr>
      <w:bookmarkStart w:id="278" w:name="_Toc216468953"/>
      <w:r w:rsidRPr="00131EED">
        <w:t xml:space="preserve">Tabla </w:t>
      </w:r>
      <w:r w:rsidRPr="00131EED">
        <w:fldChar w:fldCharType="begin"/>
      </w:r>
      <w:r w:rsidRPr="00131EED">
        <w:instrText>SEQ Tabla \* ARABIC</w:instrText>
      </w:r>
      <w:r w:rsidRPr="00131EED">
        <w:fldChar w:fldCharType="separate"/>
      </w:r>
      <w:r w:rsidR="00CE096F">
        <w:rPr>
          <w:noProof/>
        </w:rPr>
        <w:t>43</w:t>
      </w:r>
      <w:r w:rsidRPr="00131EED">
        <w:fldChar w:fldCharType="end"/>
      </w:r>
      <w:r w:rsidRPr="00131EED">
        <w:t>. Total de Área de Huella Construida por Municipio de la Sabana.</w:t>
      </w:r>
      <w:bookmarkEnd w:id="278"/>
    </w:p>
    <w:tbl>
      <w:tblPr>
        <w:tblW w:w="5000" w:type="pct"/>
        <w:jc w:val="center"/>
        <w:tblLook w:val="04A0" w:firstRow="1" w:lastRow="0" w:firstColumn="1" w:lastColumn="0" w:noHBand="0" w:noVBand="1"/>
      </w:tblPr>
      <w:tblGrid>
        <w:gridCol w:w="1053"/>
        <w:gridCol w:w="647"/>
        <w:gridCol w:w="648"/>
        <w:gridCol w:w="648"/>
        <w:gridCol w:w="648"/>
        <w:gridCol w:w="648"/>
        <w:gridCol w:w="648"/>
        <w:gridCol w:w="648"/>
        <w:gridCol w:w="648"/>
        <w:gridCol w:w="648"/>
        <w:gridCol w:w="648"/>
        <w:gridCol w:w="648"/>
        <w:gridCol w:w="648"/>
      </w:tblGrid>
      <w:tr w:rsidR="00F421F8" w:rsidRPr="00131EED" w14:paraId="3B3FBE49" w14:textId="77777777">
        <w:trPr>
          <w:trHeight w:val="288"/>
          <w:tblHeader/>
          <w:jc w:val="center"/>
        </w:trPr>
        <w:tc>
          <w:tcPr>
            <w:tcW w:w="460" w:type="pct"/>
            <w:tcBorders>
              <w:top w:val="single" w:sz="4" w:space="0" w:color="auto"/>
              <w:left w:val="single" w:sz="4" w:space="0" w:color="auto"/>
              <w:bottom w:val="single" w:sz="4" w:space="0" w:color="auto"/>
              <w:right w:val="single" w:sz="4" w:space="0" w:color="auto"/>
            </w:tcBorders>
            <w:noWrap/>
            <w:vAlign w:val="center"/>
            <w:hideMark/>
          </w:tcPr>
          <w:p w14:paraId="3CFA4847" w14:textId="77777777" w:rsidR="00F421F8" w:rsidRPr="00131EED" w:rsidRDefault="00F421F8">
            <w:pPr>
              <w:jc w:val="center"/>
              <w:rPr>
                <w:b/>
                <w:i/>
                <w:color w:val="000000"/>
                <w:sz w:val="16"/>
                <w:szCs w:val="16"/>
                <w:lang w:eastAsia="en-US"/>
              </w:rPr>
            </w:pPr>
            <w:r w:rsidRPr="00131EED">
              <w:rPr>
                <w:b/>
                <w:i/>
                <w:color w:val="000000"/>
                <w:sz w:val="16"/>
                <w:szCs w:val="16"/>
                <w:lang w:eastAsia="en-US"/>
              </w:rPr>
              <w:t>Municipio</w:t>
            </w:r>
          </w:p>
        </w:tc>
        <w:tc>
          <w:tcPr>
            <w:tcW w:w="378" w:type="pct"/>
            <w:tcBorders>
              <w:top w:val="single" w:sz="4" w:space="0" w:color="auto"/>
              <w:left w:val="nil"/>
              <w:bottom w:val="single" w:sz="4" w:space="0" w:color="auto"/>
              <w:right w:val="single" w:sz="4" w:space="0" w:color="auto"/>
            </w:tcBorders>
            <w:noWrap/>
            <w:vAlign w:val="center"/>
            <w:hideMark/>
          </w:tcPr>
          <w:p w14:paraId="68B3A209" w14:textId="77777777" w:rsidR="00F421F8" w:rsidRPr="00131EED" w:rsidRDefault="00F421F8">
            <w:pPr>
              <w:jc w:val="center"/>
              <w:rPr>
                <w:b/>
                <w:i/>
                <w:color w:val="000000"/>
                <w:sz w:val="16"/>
                <w:szCs w:val="16"/>
                <w:lang w:eastAsia="en-US"/>
              </w:rPr>
            </w:pPr>
            <w:r w:rsidRPr="00131EED">
              <w:rPr>
                <w:b/>
                <w:i/>
                <w:color w:val="000000"/>
                <w:sz w:val="16"/>
                <w:szCs w:val="16"/>
                <w:lang w:eastAsia="en-US"/>
              </w:rPr>
              <w:t>1975</w:t>
            </w:r>
          </w:p>
        </w:tc>
        <w:tc>
          <w:tcPr>
            <w:tcW w:w="378" w:type="pct"/>
            <w:tcBorders>
              <w:top w:val="single" w:sz="4" w:space="0" w:color="auto"/>
              <w:left w:val="nil"/>
              <w:bottom w:val="single" w:sz="4" w:space="0" w:color="auto"/>
              <w:right w:val="single" w:sz="4" w:space="0" w:color="auto"/>
            </w:tcBorders>
            <w:noWrap/>
            <w:vAlign w:val="center"/>
            <w:hideMark/>
          </w:tcPr>
          <w:p w14:paraId="4E5C0FBB" w14:textId="77777777" w:rsidR="00F421F8" w:rsidRPr="00131EED" w:rsidRDefault="00F421F8">
            <w:pPr>
              <w:jc w:val="center"/>
              <w:rPr>
                <w:b/>
                <w:i/>
                <w:color w:val="000000"/>
                <w:sz w:val="16"/>
                <w:szCs w:val="16"/>
                <w:lang w:eastAsia="en-US"/>
              </w:rPr>
            </w:pPr>
            <w:r w:rsidRPr="00131EED">
              <w:rPr>
                <w:b/>
                <w:i/>
                <w:color w:val="000000"/>
                <w:sz w:val="16"/>
                <w:szCs w:val="16"/>
                <w:lang w:eastAsia="en-US"/>
              </w:rPr>
              <w:t>1980</w:t>
            </w:r>
          </w:p>
        </w:tc>
        <w:tc>
          <w:tcPr>
            <w:tcW w:w="378" w:type="pct"/>
            <w:tcBorders>
              <w:top w:val="single" w:sz="4" w:space="0" w:color="auto"/>
              <w:left w:val="nil"/>
              <w:bottom w:val="single" w:sz="4" w:space="0" w:color="auto"/>
              <w:right w:val="single" w:sz="4" w:space="0" w:color="auto"/>
            </w:tcBorders>
            <w:noWrap/>
            <w:vAlign w:val="center"/>
            <w:hideMark/>
          </w:tcPr>
          <w:p w14:paraId="3CD45851" w14:textId="77777777" w:rsidR="00F421F8" w:rsidRPr="00131EED" w:rsidRDefault="00F421F8">
            <w:pPr>
              <w:jc w:val="center"/>
              <w:rPr>
                <w:b/>
                <w:i/>
                <w:color w:val="000000"/>
                <w:sz w:val="16"/>
                <w:szCs w:val="16"/>
                <w:lang w:eastAsia="en-US"/>
              </w:rPr>
            </w:pPr>
            <w:r w:rsidRPr="00131EED">
              <w:rPr>
                <w:b/>
                <w:i/>
                <w:color w:val="000000"/>
                <w:sz w:val="16"/>
                <w:szCs w:val="16"/>
                <w:lang w:eastAsia="en-US"/>
              </w:rPr>
              <w:t>1985</w:t>
            </w:r>
          </w:p>
        </w:tc>
        <w:tc>
          <w:tcPr>
            <w:tcW w:w="378" w:type="pct"/>
            <w:tcBorders>
              <w:top w:val="single" w:sz="4" w:space="0" w:color="auto"/>
              <w:left w:val="nil"/>
              <w:bottom w:val="single" w:sz="4" w:space="0" w:color="auto"/>
              <w:right w:val="single" w:sz="4" w:space="0" w:color="auto"/>
            </w:tcBorders>
            <w:noWrap/>
            <w:vAlign w:val="center"/>
            <w:hideMark/>
          </w:tcPr>
          <w:p w14:paraId="394CFE08" w14:textId="77777777" w:rsidR="00F421F8" w:rsidRPr="00131EED" w:rsidRDefault="00F421F8">
            <w:pPr>
              <w:jc w:val="center"/>
              <w:rPr>
                <w:b/>
                <w:i/>
                <w:color w:val="000000"/>
                <w:sz w:val="16"/>
                <w:szCs w:val="16"/>
                <w:lang w:eastAsia="en-US"/>
              </w:rPr>
            </w:pPr>
            <w:r w:rsidRPr="00131EED">
              <w:rPr>
                <w:b/>
                <w:i/>
                <w:color w:val="000000"/>
                <w:sz w:val="16"/>
                <w:szCs w:val="16"/>
                <w:lang w:eastAsia="en-US"/>
              </w:rPr>
              <w:t>1990</w:t>
            </w:r>
          </w:p>
        </w:tc>
        <w:tc>
          <w:tcPr>
            <w:tcW w:w="378" w:type="pct"/>
            <w:tcBorders>
              <w:top w:val="single" w:sz="4" w:space="0" w:color="auto"/>
              <w:left w:val="nil"/>
              <w:bottom w:val="single" w:sz="4" w:space="0" w:color="auto"/>
              <w:right w:val="single" w:sz="4" w:space="0" w:color="auto"/>
            </w:tcBorders>
            <w:noWrap/>
            <w:vAlign w:val="center"/>
            <w:hideMark/>
          </w:tcPr>
          <w:p w14:paraId="59BA543E" w14:textId="77777777" w:rsidR="00F421F8" w:rsidRPr="00131EED" w:rsidRDefault="00F421F8">
            <w:pPr>
              <w:jc w:val="center"/>
              <w:rPr>
                <w:b/>
                <w:i/>
                <w:color w:val="000000"/>
                <w:sz w:val="16"/>
                <w:szCs w:val="16"/>
                <w:lang w:eastAsia="en-US"/>
              </w:rPr>
            </w:pPr>
            <w:r w:rsidRPr="00131EED">
              <w:rPr>
                <w:b/>
                <w:i/>
                <w:color w:val="000000"/>
                <w:sz w:val="16"/>
                <w:szCs w:val="16"/>
                <w:lang w:eastAsia="en-US"/>
              </w:rPr>
              <w:t>1995</w:t>
            </w:r>
          </w:p>
        </w:tc>
        <w:tc>
          <w:tcPr>
            <w:tcW w:w="378" w:type="pct"/>
            <w:tcBorders>
              <w:top w:val="single" w:sz="4" w:space="0" w:color="auto"/>
              <w:left w:val="nil"/>
              <w:bottom w:val="single" w:sz="4" w:space="0" w:color="auto"/>
              <w:right w:val="single" w:sz="4" w:space="0" w:color="auto"/>
            </w:tcBorders>
            <w:noWrap/>
            <w:vAlign w:val="center"/>
            <w:hideMark/>
          </w:tcPr>
          <w:p w14:paraId="5C3EB878" w14:textId="77777777" w:rsidR="00F421F8" w:rsidRPr="00131EED" w:rsidRDefault="00F421F8">
            <w:pPr>
              <w:jc w:val="center"/>
              <w:rPr>
                <w:b/>
                <w:i/>
                <w:color w:val="000000"/>
                <w:sz w:val="16"/>
                <w:szCs w:val="16"/>
                <w:lang w:eastAsia="en-US"/>
              </w:rPr>
            </w:pPr>
            <w:r w:rsidRPr="00131EED">
              <w:rPr>
                <w:b/>
                <w:i/>
                <w:color w:val="000000"/>
                <w:sz w:val="16"/>
                <w:szCs w:val="16"/>
                <w:lang w:eastAsia="en-US"/>
              </w:rPr>
              <w:t>2000</w:t>
            </w:r>
          </w:p>
        </w:tc>
        <w:tc>
          <w:tcPr>
            <w:tcW w:w="378" w:type="pct"/>
            <w:tcBorders>
              <w:top w:val="single" w:sz="4" w:space="0" w:color="auto"/>
              <w:left w:val="nil"/>
              <w:bottom w:val="single" w:sz="4" w:space="0" w:color="auto"/>
              <w:right w:val="single" w:sz="4" w:space="0" w:color="auto"/>
            </w:tcBorders>
            <w:noWrap/>
            <w:vAlign w:val="center"/>
            <w:hideMark/>
          </w:tcPr>
          <w:p w14:paraId="6D37CDA6" w14:textId="77777777" w:rsidR="00F421F8" w:rsidRPr="00131EED" w:rsidRDefault="00F421F8">
            <w:pPr>
              <w:jc w:val="center"/>
              <w:rPr>
                <w:b/>
                <w:i/>
                <w:color w:val="000000"/>
                <w:sz w:val="16"/>
                <w:szCs w:val="16"/>
                <w:lang w:eastAsia="en-US"/>
              </w:rPr>
            </w:pPr>
            <w:r w:rsidRPr="00131EED">
              <w:rPr>
                <w:b/>
                <w:i/>
                <w:color w:val="000000"/>
                <w:sz w:val="16"/>
                <w:szCs w:val="16"/>
                <w:lang w:eastAsia="en-US"/>
              </w:rPr>
              <w:t>2005</w:t>
            </w:r>
          </w:p>
        </w:tc>
        <w:tc>
          <w:tcPr>
            <w:tcW w:w="378" w:type="pct"/>
            <w:tcBorders>
              <w:top w:val="single" w:sz="4" w:space="0" w:color="auto"/>
              <w:left w:val="nil"/>
              <w:bottom w:val="single" w:sz="4" w:space="0" w:color="auto"/>
              <w:right w:val="single" w:sz="4" w:space="0" w:color="auto"/>
            </w:tcBorders>
            <w:noWrap/>
            <w:vAlign w:val="center"/>
            <w:hideMark/>
          </w:tcPr>
          <w:p w14:paraId="10D95564" w14:textId="77777777" w:rsidR="00F421F8" w:rsidRPr="00131EED" w:rsidRDefault="00F421F8">
            <w:pPr>
              <w:jc w:val="center"/>
              <w:rPr>
                <w:b/>
                <w:i/>
                <w:color w:val="000000"/>
                <w:sz w:val="16"/>
                <w:szCs w:val="16"/>
                <w:lang w:eastAsia="en-US"/>
              </w:rPr>
            </w:pPr>
            <w:r w:rsidRPr="00131EED">
              <w:rPr>
                <w:b/>
                <w:i/>
                <w:color w:val="000000"/>
                <w:sz w:val="16"/>
                <w:szCs w:val="16"/>
                <w:lang w:eastAsia="en-US"/>
              </w:rPr>
              <w:t>2010</w:t>
            </w:r>
          </w:p>
        </w:tc>
        <w:tc>
          <w:tcPr>
            <w:tcW w:w="378" w:type="pct"/>
            <w:tcBorders>
              <w:top w:val="single" w:sz="4" w:space="0" w:color="auto"/>
              <w:left w:val="nil"/>
              <w:bottom w:val="single" w:sz="4" w:space="0" w:color="auto"/>
              <w:right w:val="single" w:sz="4" w:space="0" w:color="auto"/>
            </w:tcBorders>
            <w:noWrap/>
            <w:vAlign w:val="center"/>
            <w:hideMark/>
          </w:tcPr>
          <w:p w14:paraId="7CAD8902" w14:textId="77777777" w:rsidR="00F421F8" w:rsidRPr="00131EED" w:rsidRDefault="00F421F8">
            <w:pPr>
              <w:jc w:val="center"/>
              <w:rPr>
                <w:b/>
                <w:i/>
                <w:color w:val="000000"/>
                <w:sz w:val="16"/>
                <w:szCs w:val="16"/>
                <w:lang w:eastAsia="en-US"/>
              </w:rPr>
            </w:pPr>
            <w:r w:rsidRPr="00131EED">
              <w:rPr>
                <w:b/>
                <w:i/>
                <w:color w:val="000000"/>
                <w:sz w:val="16"/>
                <w:szCs w:val="16"/>
                <w:lang w:eastAsia="en-US"/>
              </w:rPr>
              <w:t>2015</w:t>
            </w:r>
          </w:p>
        </w:tc>
        <w:tc>
          <w:tcPr>
            <w:tcW w:w="378" w:type="pct"/>
            <w:tcBorders>
              <w:top w:val="single" w:sz="4" w:space="0" w:color="auto"/>
              <w:left w:val="nil"/>
              <w:bottom w:val="single" w:sz="4" w:space="0" w:color="auto"/>
              <w:right w:val="single" w:sz="4" w:space="0" w:color="auto"/>
            </w:tcBorders>
            <w:noWrap/>
            <w:vAlign w:val="center"/>
            <w:hideMark/>
          </w:tcPr>
          <w:p w14:paraId="286E0DF6" w14:textId="77777777" w:rsidR="00F421F8" w:rsidRPr="00131EED" w:rsidRDefault="00F421F8">
            <w:pPr>
              <w:jc w:val="center"/>
              <w:rPr>
                <w:b/>
                <w:i/>
                <w:color w:val="000000"/>
                <w:sz w:val="16"/>
                <w:szCs w:val="16"/>
                <w:lang w:eastAsia="en-US"/>
              </w:rPr>
            </w:pPr>
            <w:r w:rsidRPr="00131EED">
              <w:rPr>
                <w:b/>
                <w:i/>
                <w:color w:val="000000"/>
                <w:sz w:val="16"/>
                <w:szCs w:val="16"/>
                <w:lang w:eastAsia="en-US"/>
              </w:rPr>
              <w:t>2020</w:t>
            </w:r>
          </w:p>
        </w:tc>
        <w:tc>
          <w:tcPr>
            <w:tcW w:w="378" w:type="pct"/>
            <w:tcBorders>
              <w:top w:val="single" w:sz="4" w:space="0" w:color="auto"/>
              <w:left w:val="nil"/>
              <w:bottom w:val="single" w:sz="4" w:space="0" w:color="auto"/>
              <w:right w:val="single" w:sz="4" w:space="0" w:color="auto"/>
            </w:tcBorders>
            <w:noWrap/>
            <w:vAlign w:val="center"/>
            <w:hideMark/>
          </w:tcPr>
          <w:p w14:paraId="211A5024" w14:textId="77777777" w:rsidR="00F421F8" w:rsidRPr="00131EED" w:rsidRDefault="00F421F8">
            <w:pPr>
              <w:jc w:val="center"/>
              <w:rPr>
                <w:b/>
                <w:i/>
                <w:color w:val="000000"/>
                <w:sz w:val="16"/>
                <w:szCs w:val="16"/>
                <w:lang w:eastAsia="en-US"/>
              </w:rPr>
            </w:pPr>
            <w:r w:rsidRPr="00131EED">
              <w:rPr>
                <w:b/>
                <w:i/>
                <w:color w:val="000000"/>
                <w:sz w:val="16"/>
                <w:szCs w:val="16"/>
                <w:lang w:eastAsia="en-US"/>
              </w:rPr>
              <w:t>2025</w:t>
            </w:r>
          </w:p>
        </w:tc>
        <w:tc>
          <w:tcPr>
            <w:tcW w:w="378" w:type="pct"/>
            <w:tcBorders>
              <w:top w:val="single" w:sz="4" w:space="0" w:color="auto"/>
              <w:left w:val="nil"/>
              <w:bottom w:val="single" w:sz="4" w:space="0" w:color="auto"/>
              <w:right w:val="single" w:sz="4" w:space="0" w:color="auto"/>
            </w:tcBorders>
            <w:noWrap/>
            <w:vAlign w:val="center"/>
            <w:hideMark/>
          </w:tcPr>
          <w:p w14:paraId="09812A48" w14:textId="77777777" w:rsidR="00F421F8" w:rsidRPr="00131EED" w:rsidRDefault="00F421F8">
            <w:pPr>
              <w:jc w:val="center"/>
              <w:rPr>
                <w:b/>
                <w:i/>
                <w:color w:val="000000"/>
                <w:sz w:val="16"/>
                <w:szCs w:val="16"/>
                <w:lang w:eastAsia="en-US"/>
              </w:rPr>
            </w:pPr>
            <w:r w:rsidRPr="00131EED">
              <w:rPr>
                <w:b/>
                <w:i/>
                <w:color w:val="000000"/>
                <w:sz w:val="16"/>
                <w:szCs w:val="16"/>
                <w:lang w:eastAsia="en-US"/>
              </w:rPr>
              <w:t>2030</w:t>
            </w:r>
          </w:p>
        </w:tc>
      </w:tr>
      <w:tr w:rsidR="00F421F8" w:rsidRPr="00131EED" w14:paraId="6D3DE0AF"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1773BDDB" w14:textId="77777777" w:rsidR="00F421F8" w:rsidRPr="00131EED" w:rsidRDefault="00F421F8">
            <w:pPr>
              <w:jc w:val="center"/>
              <w:rPr>
                <w:b/>
                <w:i/>
                <w:color w:val="000000"/>
                <w:sz w:val="16"/>
                <w:szCs w:val="16"/>
                <w:lang w:eastAsia="en-US"/>
              </w:rPr>
            </w:pPr>
            <w:r w:rsidRPr="00131EED">
              <w:rPr>
                <w:b/>
                <w:i/>
                <w:color w:val="000000"/>
                <w:sz w:val="16"/>
                <w:szCs w:val="16"/>
                <w:lang w:eastAsia="en-US"/>
              </w:rPr>
              <w:t>Total</w:t>
            </w:r>
          </w:p>
        </w:tc>
        <w:tc>
          <w:tcPr>
            <w:tcW w:w="378" w:type="pct"/>
            <w:tcBorders>
              <w:top w:val="nil"/>
              <w:left w:val="nil"/>
              <w:bottom w:val="single" w:sz="4" w:space="0" w:color="auto"/>
              <w:right w:val="single" w:sz="4" w:space="0" w:color="auto"/>
            </w:tcBorders>
            <w:noWrap/>
            <w:hideMark/>
          </w:tcPr>
          <w:p w14:paraId="4E472B09" w14:textId="77777777" w:rsidR="00F421F8" w:rsidRPr="00131EED" w:rsidRDefault="00F421F8">
            <w:pPr>
              <w:jc w:val="center"/>
              <w:rPr>
                <w:b/>
                <w:i/>
                <w:color w:val="000000"/>
                <w:sz w:val="16"/>
                <w:szCs w:val="16"/>
                <w:lang w:eastAsia="en-US"/>
              </w:rPr>
            </w:pPr>
            <w:r w:rsidRPr="00131EED">
              <w:rPr>
                <w:b/>
                <w:sz w:val="16"/>
                <w:szCs w:val="16"/>
              </w:rPr>
              <w:t>13860</w:t>
            </w:r>
          </w:p>
        </w:tc>
        <w:tc>
          <w:tcPr>
            <w:tcW w:w="378" w:type="pct"/>
            <w:tcBorders>
              <w:top w:val="nil"/>
              <w:left w:val="nil"/>
              <w:bottom w:val="single" w:sz="4" w:space="0" w:color="auto"/>
              <w:right w:val="single" w:sz="4" w:space="0" w:color="auto"/>
            </w:tcBorders>
            <w:noWrap/>
            <w:hideMark/>
          </w:tcPr>
          <w:p w14:paraId="1B4AE61E" w14:textId="77777777" w:rsidR="00F421F8" w:rsidRPr="00131EED" w:rsidRDefault="00F421F8">
            <w:pPr>
              <w:jc w:val="center"/>
              <w:rPr>
                <w:b/>
                <w:i/>
                <w:color w:val="000000"/>
                <w:sz w:val="16"/>
                <w:szCs w:val="16"/>
                <w:lang w:eastAsia="en-US"/>
              </w:rPr>
            </w:pPr>
            <w:r w:rsidRPr="00131EED">
              <w:rPr>
                <w:b/>
                <w:sz w:val="16"/>
                <w:szCs w:val="16"/>
              </w:rPr>
              <w:t>14513</w:t>
            </w:r>
          </w:p>
        </w:tc>
        <w:tc>
          <w:tcPr>
            <w:tcW w:w="378" w:type="pct"/>
            <w:tcBorders>
              <w:top w:val="nil"/>
              <w:left w:val="nil"/>
              <w:bottom w:val="single" w:sz="4" w:space="0" w:color="auto"/>
              <w:right w:val="single" w:sz="4" w:space="0" w:color="auto"/>
            </w:tcBorders>
            <w:noWrap/>
            <w:hideMark/>
          </w:tcPr>
          <w:p w14:paraId="236ACB51" w14:textId="77777777" w:rsidR="00F421F8" w:rsidRPr="00131EED" w:rsidRDefault="00F421F8">
            <w:pPr>
              <w:jc w:val="center"/>
              <w:rPr>
                <w:b/>
                <w:i/>
                <w:color w:val="000000"/>
                <w:sz w:val="16"/>
                <w:szCs w:val="16"/>
                <w:lang w:eastAsia="en-US"/>
              </w:rPr>
            </w:pPr>
            <w:r w:rsidRPr="00131EED">
              <w:rPr>
                <w:b/>
                <w:sz w:val="16"/>
                <w:szCs w:val="16"/>
              </w:rPr>
              <w:t>15207</w:t>
            </w:r>
          </w:p>
        </w:tc>
        <w:tc>
          <w:tcPr>
            <w:tcW w:w="378" w:type="pct"/>
            <w:tcBorders>
              <w:top w:val="nil"/>
              <w:left w:val="nil"/>
              <w:bottom w:val="single" w:sz="4" w:space="0" w:color="auto"/>
              <w:right w:val="single" w:sz="4" w:space="0" w:color="auto"/>
            </w:tcBorders>
            <w:noWrap/>
            <w:hideMark/>
          </w:tcPr>
          <w:p w14:paraId="5306A1AA" w14:textId="77777777" w:rsidR="00F421F8" w:rsidRPr="00131EED" w:rsidRDefault="00F421F8">
            <w:pPr>
              <w:jc w:val="center"/>
              <w:rPr>
                <w:b/>
                <w:i/>
                <w:color w:val="000000"/>
                <w:sz w:val="16"/>
                <w:szCs w:val="16"/>
                <w:lang w:eastAsia="en-US"/>
              </w:rPr>
            </w:pPr>
            <w:r w:rsidRPr="00131EED">
              <w:rPr>
                <w:b/>
                <w:sz w:val="16"/>
                <w:szCs w:val="16"/>
              </w:rPr>
              <w:t>15931</w:t>
            </w:r>
          </w:p>
        </w:tc>
        <w:tc>
          <w:tcPr>
            <w:tcW w:w="378" w:type="pct"/>
            <w:tcBorders>
              <w:top w:val="nil"/>
              <w:left w:val="nil"/>
              <w:bottom w:val="single" w:sz="4" w:space="0" w:color="auto"/>
              <w:right w:val="single" w:sz="4" w:space="0" w:color="auto"/>
            </w:tcBorders>
            <w:noWrap/>
            <w:hideMark/>
          </w:tcPr>
          <w:p w14:paraId="4074DC49" w14:textId="77777777" w:rsidR="00F421F8" w:rsidRPr="00131EED" w:rsidRDefault="00F421F8">
            <w:pPr>
              <w:jc w:val="center"/>
              <w:rPr>
                <w:b/>
                <w:i/>
                <w:color w:val="000000"/>
                <w:sz w:val="16"/>
                <w:szCs w:val="16"/>
                <w:lang w:eastAsia="en-US"/>
              </w:rPr>
            </w:pPr>
            <w:r w:rsidRPr="00131EED">
              <w:rPr>
                <w:b/>
                <w:sz w:val="16"/>
                <w:szCs w:val="16"/>
              </w:rPr>
              <w:t>16840</w:t>
            </w:r>
          </w:p>
        </w:tc>
        <w:tc>
          <w:tcPr>
            <w:tcW w:w="378" w:type="pct"/>
            <w:tcBorders>
              <w:top w:val="nil"/>
              <w:left w:val="nil"/>
              <w:bottom w:val="single" w:sz="4" w:space="0" w:color="auto"/>
              <w:right w:val="single" w:sz="4" w:space="0" w:color="auto"/>
            </w:tcBorders>
            <w:noWrap/>
            <w:hideMark/>
          </w:tcPr>
          <w:p w14:paraId="5E33BB14" w14:textId="77777777" w:rsidR="00F421F8" w:rsidRPr="00131EED" w:rsidRDefault="00F421F8">
            <w:pPr>
              <w:jc w:val="center"/>
              <w:rPr>
                <w:b/>
                <w:i/>
                <w:color w:val="000000"/>
                <w:sz w:val="16"/>
                <w:szCs w:val="16"/>
                <w:lang w:eastAsia="en-US"/>
              </w:rPr>
            </w:pPr>
            <w:r w:rsidRPr="00131EED">
              <w:rPr>
                <w:b/>
                <w:sz w:val="16"/>
                <w:szCs w:val="16"/>
              </w:rPr>
              <w:t>17811</w:t>
            </w:r>
          </w:p>
        </w:tc>
        <w:tc>
          <w:tcPr>
            <w:tcW w:w="378" w:type="pct"/>
            <w:tcBorders>
              <w:top w:val="nil"/>
              <w:left w:val="nil"/>
              <w:bottom w:val="single" w:sz="4" w:space="0" w:color="auto"/>
              <w:right w:val="single" w:sz="4" w:space="0" w:color="auto"/>
            </w:tcBorders>
            <w:noWrap/>
            <w:hideMark/>
          </w:tcPr>
          <w:p w14:paraId="019CD0F3" w14:textId="77777777" w:rsidR="00F421F8" w:rsidRPr="00131EED" w:rsidRDefault="00F421F8">
            <w:pPr>
              <w:jc w:val="center"/>
              <w:rPr>
                <w:b/>
                <w:i/>
                <w:color w:val="000000"/>
                <w:sz w:val="16"/>
                <w:szCs w:val="16"/>
                <w:lang w:eastAsia="en-US"/>
              </w:rPr>
            </w:pPr>
            <w:r w:rsidRPr="00131EED">
              <w:rPr>
                <w:b/>
                <w:sz w:val="16"/>
                <w:szCs w:val="16"/>
              </w:rPr>
              <w:t>18615</w:t>
            </w:r>
          </w:p>
        </w:tc>
        <w:tc>
          <w:tcPr>
            <w:tcW w:w="378" w:type="pct"/>
            <w:tcBorders>
              <w:top w:val="nil"/>
              <w:left w:val="nil"/>
              <w:bottom w:val="single" w:sz="4" w:space="0" w:color="auto"/>
              <w:right w:val="single" w:sz="4" w:space="0" w:color="auto"/>
            </w:tcBorders>
            <w:noWrap/>
            <w:hideMark/>
          </w:tcPr>
          <w:p w14:paraId="7808B638" w14:textId="77777777" w:rsidR="00F421F8" w:rsidRPr="00131EED" w:rsidRDefault="00F421F8">
            <w:pPr>
              <w:jc w:val="center"/>
              <w:rPr>
                <w:b/>
                <w:i/>
                <w:color w:val="000000"/>
                <w:sz w:val="16"/>
                <w:szCs w:val="16"/>
                <w:lang w:eastAsia="en-US"/>
              </w:rPr>
            </w:pPr>
            <w:r w:rsidRPr="00131EED">
              <w:rPr>
                <w:b/>
                <w:sz w:val="16"/>
                <w:szCs w:val="16"/>
              </w:rPr>
              <w:t>19476</w:t>
            </w:r>
          </w:p>
        </w:tc>
        <w:tc>
          <w:tcPr>
            <w:tcW w:w="378" w:type="pct"/>
            <w:tcBorders>
              <w:top w:val="nil"/>
              <w:left w:val="nil"/>
              <w:bottom w:val="single" w:sz="4" w:space="0" w:color="auto"/>
              <w:right w:val="single" w:sz="4" w:space="0" w:color="auto"/>
            </w:tcBorders>
            <w:noWrap/>
            <w:hideMark/>
          </w:tcPr>
          <w:p w14:paraId="0143682D" w14:textId="77777777" w:rsidR="00F421F8" w:rsidRPr="00131EED" w:rsidRDefault="00F421F8">
            <w:pPr>
              <w:jc w:val="center"/>
              <w:rPr>
                <w:b/>
                <w:i/>
                <w:color w:val="000000"/>
                <w:sz w:val="16"/>
                <w:szCs w:val="16"/>
                <w:lang w:eastAsia="en-US"/>
              </w:rPr>
            </w:pPr>
            <w:r w:rsidRPr="00131EED">
              <w:rPr>
                <w:b/>
                <w:sz w:val="16"/>
                <w:szCs w:val="16"/>
              </w:rPr>
              <w:t>20378</w:t>
            </w:r>
          </w:p>
        </w:tc>
        <w:tc>
          <w:tcPr>
            <w:tcW w:w="378" w:type="pct"/>
            <w:tcBorders>
              <w:top w:val="nil"/>
              <w:left w:val="nil"/>
              <w:bottom w:val="single" w:sz="4" w:space="0" w:color="auto"/>
              <w:right w:val="single" w:sz="4" w:space="0" w:color="auto"/>
            </w:tcBorders>
            <w:noWrap/>
            <w:hideMark/>
          </w:tcPr>
          <w:p w14:paraId="12003FAC" w14:textId="77777777" w:rsidR="00F421F8" w:rsidRPr="00131EED" w:rsidRDefault="00F421F8">
            <w:pPr>
              <w:jc w:val="center"/>
              <w:rPr>
                <w:b/>
                <w:i/>
                <w:color w:val="000000"/>
                <w:sz w:val="16"/>
                <w:szCs w:val="16"/>
                <w:lang w:eastAsia="en-US"/>
              </w:rPr>
            </w:pPr>
            <w:r w:rsidRPr="00131EED">
              <w:rPr>
                <w:b/>
                <w:sz w:val="16"/>
                <w:szCs w:val="16"/>
              </w:rPr>
              <w:t>21385</w:t>
            </w:r>
          </w:p>
        </w:tc>
        <w:tc>
          <w:tcPr>
            <w:tcW w:w="378" w:type="pct"/>
            <w:tcBorders>
              <w:top w:val="nil"/>
              <w:left w:val="nil"/>
              <w:bottom w:val="single" w:sz="4" w:space="0" w:color="auto"/>
              <w:right w:val="single" w:sz="4" w:space="0" w:color="auto"/>
            </w:tcBorders>
            <w:noWrap/>
            <w:hideMark/>
          </w:tcPr>
          <w:p w14:paraId="2E975B3D" w14:textId="77777777" w:rsidR="00F421F8" w:rsidRPr="00131EED" w:rsidRDefault="00F421F8">
            <w:pPr>
              <w:jc w:val="center"/>
              <w:rPr>
                <w:b/>
                <w:i/>
                <w:color w:val="000000"/>
                <w:sz w:val="16"/>
                <w:szCs w:val="16"/>
                <w:lang w:eastAsia="en-US"/>
              </w:rPr>
            </w:pPr>
            <w:r w:rsidRPr="00131EED">
              <w:rPr>
                <w:b/>
                <w:sz w:val="16"/>
                <w:szCs w:val="16"/>
              </w:rPr>
              <w:t>21600</w:t>
            </w:r>
          </w:p>
        </w:tc>
        <w:tc>
          <w:tcPr>
            <w:tcW w:w="378" w:type="pct"/>
            <w:tcBorders>
              <w:top w:val="nil"/>
              <w:left w:val="nil"/>
              <w:bottom w:val="single" w:sz="4" w:space="0" w:color="auto"/>
              <w:right w:val="single" w:sz="4" w:space="0" w:color="auto"/>
            </w:tcBorders>
            <w:noWrap/>
            <w:hideMark/>
          </w:tcPr>
          <w:p w14:paraId="7F940983" w14:textId="77777777" w:rsidR="00F421F8" w:rsidRPr="00131EED" w:rsidRDefault="00F421F8">
            <w:pPr>
              <w:jc w:val="center"/>
              <w:rPr>
                <w:b/>
                <w:i/>
                <w:color w:val="000000"/>
                <w:sz w:val="16"/>
                <w:szCs w:val="16"/>
                <w:lang w:eastAsia="en-US"/>
              </w:rPr>
            </w:pPr>
            <w:r w:rsidRPr="00131EED">
              <w:rPr>
                <w:b/>
                <w:sz w:val="16"/>
                <w:szCs w:val="16"/>
              </w:rPr>
              <w:t>21831</w:t>
            </w:r>
          </w:p>
        </w:tc>
      </w:tr>
      <w:tr w:rsidR="00F421F8" w:rsidRPr="00131EED" w14:paraId="1C792EFB"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79E185FE" w14:textId="77777777" w:rsidR="00F421F8" w:rsidRPr="00131EED" w:rsidRDefault="00F421F8">
            <w:pPr>
              <w:jc w:val="center"/>
              <w:rPr>
                <w:b/>
                <w:i/>
                <w:color w:val="000000"/>
                <w:sz w:val="16"/>
                <w:szCs w:val="16"/>
                <w:lang w:eastAsia="en-US"/>
              </w:rPr>
            </w:pPr>
            <w:r w:rsidRPr="00131EED">
              <w:rPr>
                <w:b/>
                <w:i/>
                <w:color w:val="000000"/>
                <w:sz w:val="16"/>
                <w:szCs w:val="16"/>
                <w:lang w:eastAsia="en-US"/>
              </w:rPr>
              <w:t>Bogotá, D.C.</w:t>
            </w:r>
          </w:p>
        </w:tc>
        <w:tc>
          <w:tcPr>
            <w:tcW w:w="378" w:type="pct"/>
            <w:tcBorders>
              <w:top w:val="nil"/>
              <w:left w:val="nil"/>
              <w:bottom w:val="single" w:sz="4" w:space="0" w:color="auto"/>
              <w:right w:val="single" w:sz="4" w:space="0" w:color="auto"/>
            </w:tcBorders>
            <w:noWrap/>
            <w:hideMark/>
          </w:tcPr>
          <w:p w14:paraId="5BDE5B2E" w14:textId="77777777" w:rsidR="00F421F8" w:rsidRPr="00131EED" w:rsidRDefault="00F421F8">
            <w:pPr>
              <w:jc w:val="center"/>
              <w:rPr>
                <w:i/>
                <w:color w:val="000000"/>
                <w:sz w:val="16"/>
                <w:szCs w:val="16"/>
                <w:lang w:eastAsia="en-US"/>
              </w:rPr>
            </w:pPr>
            <w:r w:rsidRPr="00131EED">
              <w:rPr>
                <w:sz w:val="16"/>
                <w:szCs w:val="16"/>
              </w:rPr>
              <w:t>10277</w:t>
            </w:r>
          </w:p>
        </w:tc>
        <w:tc>
          <w:tcPr>
            <w:tcW w:w="378" w:type="pct"/>
            <w:tcBorders>
              <w:top w:val="nil"/>
              <w:left w:val="nil"/>
              <w:bottom w:val="single" w:sz="4" w:space="0" w:color="auto"/>
              <w:right w:val="single" w:sz="4" w:space="0" w:color="auto"/>
            </w:tcBorders>
            <w:noWrap/>
            <w:hideMark/>
          </w:tcPr>
          <w:p w14:paraId="7C5CE1ED" w14:textId="77777777" w:rsidR="00F421F8" w:rsidRPr="00131EED" w:rsidRDefault="00F421F8">
            <w:pPr>
              <w:jc w:val="center"/>
              <w:rPr>
                <w:i/>
                <w:color w:val="000000"/>
                <w:sz w:val="16"/>
                <w:szCs w:val="16"/>
                <w:lang w:eastAsia="en-US"/>
              </w:rPr>
            </w:pPr>
            <w:r w:rsidRPr="00131EED">
              <w:rPr>
                <w:sz w:val="16"/>
                <w:szCs w:val="16"/>
              </w:rPr>
              <w:t>10385</w:t>
            </w:r>
          </w:p>
        </w:tc>
        <w:tc>
          <w:tcPr>
            <w:tcW w:w="378" w:type="pct"/>
            <w:tcBorders>
              <w:top w:val="nil"/>
              <w:left w:val="nil"/>
              <w:bottom w:val="single" w:sz="4" w:space="0" w:color="auto"/>
              <w:right w:val="single" w:sz="4" w:space="0" w:color="auto"/>
            </w:tcBorders>
            <w:noWrap/>
            <w:hideMark/>
          </w:tcPr>
          <w:p w14:paraId="125448B9" w14:textId="77777777" w:rsidR="00F421F8" w:rsidRPr="00131EED" w:rsidRDefault="00F421F8">
            <w:pPr>
              <w:jc w:val="center"/>
              <w:rPr>
                <w:i/>
                <w:color w:val="000000"/>
                <w:sz w:val="16"/>
                <w:szCs w:val="16"/>
                <w:lang w:eastAsia="en-US"/>
              </w:rPr>
            </w:pPr>
            <w:r w:rsidRPr="00131EED">
              <w:rPr>
                <w:sz w:val="16"/>
                <w:szCs w:val="16"/>
              </w:rPr>
              <w:t>10497</w:t>
            </w:r>
          </w:p>
        </w:tc>
        <w:tc>
          <w:tcPr>
            <w:tcW w:w="378" w:type="pct"/>
            <w:tcBorders>
              <w:top w:val="nil"/>
              <w:left w:val="nil"/>
              <w:bottom w:val="single" w:sz="4" w:space="0" w:color="auto"/>
              <w:right w:val="single" w:sz="4" w:space="0" w:color="auto"/>
            </w:tcBorders>
            <w:noWrap/>
            <w:hideMark/>
          </w:tcPr>
          <w:p w14:paraId="46768BFE" w14:textId="77777777" w:rsidR="00F421F8" w:rsidRPr="00131EED" w:rsidRDefault="00F421F8">
            <w:pPr>
              <w:jc w:val="center"/>
              <w:rPr>
                <w:i/>
                <w:color w:val="000000"/>
                <w:sz w:val="16"/>
                <w:szCs w:val="16"/>
                <w:lang w:eastAsia="en-US"/>
              </w:rPr>
            </w:pPr>
            <w:r w:rsidRPr="00131EED">
              <w:rPr>
                <w:sz w:val="16"/>
                <w:szCs w:val="16"/>
              </w:rPr>
              <w:t>10612</w:t>
            </w:r>
          </w:p>
        </w:tc>
        <w:tc>
          <w:tcPr>
            <w:tcW w:w="378" w:type="pct"/>
            <w:tcBorders>
              <w:top w:val="nil"/>
              <w:left w:val="nil"/>
              <w:bottom w:val="single" w:sz="4" w:space="0" w:color="auto"/>
              <w:right w:val="single" w:sz="4" w:space="0" w:color="auto"/>
            </w:tcBorders>
            <w:noWrap/>
            <w:hideMark/>
          </w:tcPr>
          <w:p w14:paraId="4CE55E3F" w14:textId="77777777" w:rsidR="00F421F8" w:rsidRPr="00131EED" w:rsidRDefault="00F421F8">
            <w:pPr>
              <w:jc w:val="center"/>
              <w:rPr>
                <w:i/>
                <w:color w:val="000000"/>
                <w:sz w:val="16"/>
                <w:szCs w:val="16"/>
                <w:lang w:eastAsia="en-US"/>
              </w:rPr>
            </w:pPr>
            <w:r w:rsidRPr="00131EED">
              <w:rPr>
                <w:sz w:val="16"/>
                <w:szCs w:val="16"/>
              </w:rPr>
              <w:t>11192</w:t>
            </w:r>
          </w:p>
        </w:tc>
        <w:tc>
          <w:tcPr>
            <w:tcW w:w="378" w:type="pct"/>
            <w:tcBorders>
              <w:top w:val="nil"/>
              <w:left w:val="nil"/>
              <w:bottom w:val="single" w:sz="4" w:space="0" w:color="auto"/>
              <w:right w:val="single" w:sz="4" w:space="0" w:color="auto"/>
            </w:tcBorders>
            <w:noWrap/>
            <w:hideMark/>
          </w:tcPr>
          <w:p w14:paraId="165D81F6" w14:textId="77777777" w:rsidR="00F421F8" w:rsidRPr="00131EED" w:rsidRDefault="00F421F8">
            <w:pPr>
              <w:jc w:val="center"/>
              <w:rPr>
                <w:i/>
                <w:color w:val="000000"/>
                <w:sz w:val="16"/>
                <w:szCs w:val="16"/>
                <w:lang w:eastAsia="en-US"/>
              </w:rPr>
            </w:pPr>
            <w:r w:rsidRPr="00131EED">
              <w:rPr>
                <w:sz w:val="16"/>
                <w:szCs w:val="16"/>
              </w:rPr>
              <w:t>11815</w:t>
            </w:r>
          </w:p>
        </w:tc>
        <w:tc>
          <w:tcPr>
            <w:tcW w:w="378" w:type="pct"/>
            <w:tcBorders>
              <w:top w:val="nil"/>
              <w:left w:val="nil"/>
              <w:bottom w:val="single" w:sz="4" w:space="0" w:color="auto"/>
              <w:right w:val="single" w:sz="4" w:space="0" w:color="auto"/>
            </w:tcBorders>
            <w:noWrap/>
            <w:hideMark/>
          </w:tcPr>
          <w:p w14:paraId="1C4F8380" w14:textId="77777777" w:rsidR="00F421F8" w:rsidRPr="00131EED" w:rsidRDefault="00F421F8">
            <w:pPr>
              <w:jc w:val="center"/>
              <w:rPr>
                <w:i/>
                <w:color w:val="000000"/>
                <w:sz w:val="16"/>
                <w:szCs w:val="16"/>
                <w:lang w:eastAsia="en-US"/>
              </w:rPr>
            </w:pPr>
            <w:r w:rsidRPr="00131EED">
              <w:rPr>
                <w:sz w:val="16"/>
                <w:szCs w:val="16"/>
              </w:rPr>
              <w:t>12132</w:t>
            </w:r>
          </w:p>
        </w:tc>
        <w:tc>
          <w:tcPr>
            <w:tcW w:w="378" w:type="pct"/>
            <w:tcBorders>
              <w:top w:val="nil"/>
              <w:left w:val="nil"/>
              <w:bottom w:val="single" w:sz="4" w:space="0" w:color="auto"/>
              <w:right w:val="single" w:sz="4" w:space="0" w:color="auto"/>
            </w:tcBorders>
            <w:noWrap/>
            <w:hideMark/>
          </w:tcPr>
          <w:p w14:paraId="317483C4" w14:textId="77777777" w:rsidR="00F421F8" w:rsidRPr="00131EED" w:rsidRDefault="00F421F8">
            <w:pPr>
              <w:jc w:val="center"/>
              <w:rPr>
                <w:i/>
                <w:color w:val="000000"/>
                <w:sz w:val="16"/>
                <w:szCs w:val="16"/>
                <w:lang w:eastAsia="en-US"/>
              </w:rPr>
            </w:pPr>
            <w:r w:rsidRPr="00131EED">
              <w:rPr>
                <w:sz w:val="16"/>
                <w:szCs w:val="16"/>
              </w:rPr>
              <w:t>12471</w:t>
            </w:r>
          </w:p>
        </w:tc>
        <w:tc>
          <w:tcPr>
            <w:tcW w:w="378" w:type="pct"/>
            <w:tcBorders>
              <w:top w:val="nil"/>
              <w:left w:val="nil"/>
              <w:bottom w:val="single" w:sz="4" w:space="0" w:color="auto"/>
              <w:right w:val="single" w:sz="4" w:space="0" w:color="auto"/>
            </w:tcBorders>
            <w:noWrap/>
            <w:hideMark/>
          </w:tcPr>
          <w:p w14:paraId="5DEFCDDE" w14:textId="77777777" w:rsidR="00F421F8" w:rsidRPr="00131EED" w:rsidRDefault="00F421F8">
            <w:pPr>
              <w:jc w:val="center"/>
              <w:rPr>
                <w:i/>
                <w:color w:val="000000"/>
                <w:sz w:val="16"/>
                <w:szCs w:val="16"/>
                <w:lang w:eastAsia="en-US"/>
              </w:rPr>
            </w:pPr>
            <w:r w:rsidRPr="00131EED">
              <w:rPr>
                <w:sz w:val="16"/>
                <w:szCs w:val="16"/>
              </w:rPr>
              <w:t>12812</w:t>
            </w:r>
          </w:p>
        </w:tc>
        <w:tc>
          <w:tcPr>
            <w:tcW w:w="378" w:type="pct"/>
            <w:tcBorders>
              <w:top w:val="nil"/>
              <w:left w:val="nil"/>
              <w:bottom w:val="single" w:sz="4" w:space="0" w:color="auto"/>
              <w:right w:val="single" w:sz="4" w:space="0" w:color="auto"/>
            </w:tcBorders>
            <w:noWrap/>
            <w:hideMark/>
          </w:tcPr>
          <w:p w14:paraId="53B9AB6B" w14:textId="77777777" w:rsidR="00F421F8" w:rsidRPr="00131EED" w:rsidRDefault="00F421F8">
            <w:pPr>
              <w:jc w:val="center"/>
              <w:rPr>
                <w:i/>
                <w:color w:val="000000"/>
                <w:sz w:val="16"/>
                <w:szCs w:val="16"/>
                <w:lang w:eastAsia="en-US"/>
              </w:rPr>
            </w:pPr>
            <w:r w:rsidRPr="00131EED">
              <w:rPr>
                <w:sz w:val="16"/>
                <w:szCs w:val="16"/>
              </w:rPr>
              <w:t>13145</w:t>
            </w:r>
          </w:p>
        </w:tc>
        <w:tc>
          <w:tcPr>
            <w:tcW w:w="378" w:type="pct"/>
            <w:tcBorders>
              <w:top w:val="nil"/>
              <w:left w:val="nil"/>
              <w:bottom w:val="single" w:sz="4" w:space="0" w:color="auto"/>
              <w:right w:val="single" w:sz="4" w:space="0" w:color="auto"/>
            </w:tcBorders>
            <w:noWrap/>
            <w:hideMark/>
          </w:tcPr>
          <w:p w14:paraId="14F205AF" w14:textId="77777777" w:rsidR="00F421F8" w:rsidRPr="00131EED" w:rsidRDefault="00F421F8">
            <w:pPr>
              <w:jc w:val="center"/>
              <w:rPr>
                <w:i/>
                <w:color w:val="000000"/>
                <w:sz w:val="16"/>
                <w:szCs w:val="16"/>
                <w:lang w:eastAsia="en-US"/>
              </w:rPr>
            </w:pPr>
            <w:r w:rsidRPr="00131EED">
              <w:rPr>
                <w:sz w:val="16"/>
                <w:szCs w:val="16"/>
              </w:rPr>
              <w:t>13218</w:t>
            </w:r>
          </w:p>
        </w:tc>
        <w:tc>
          <w:tcPr>
            <w:tcW w:w="378" w:type="pct"/>
            <w:tcBorders>
              <w:top w:val="nil"/>
              <w:left w:val="nil"/>
              <w:bottom w:val="single" w:sz="4" w:space="0" w:color="auto"/>
              <w:right w:val="single" w:sz="4" w:space="0" w:color="auto"/>
            </w:tcBorders>
            <w:noWrap/>
            <w:hideMark/>
          </w:tcPr>
          <w:p w14:paraId="23D0CDF0" w14:textId="77777777" w:rsidR="00F421F8" w:rsidRPr="00131EED" w:rsidRDefault="00F421F8">
            <w:pPr>
              <w:jc w:val="center"/>
              <w:rPr>
                <w:i/>
                <w:color w:val="000000"/>
                <w:sz w:val="16"/>
                <w:szCs w:val="16"/>
                <w:lang w:eastAsia="en-US"/>
              </w:rPr>
            </w:pPr>
            <w:r w:rsidRPr="00131EED">
              <w:rPr>
                <w:sz w:val="16"/>
                <w:szCs w:val="16"/>
              </w:rPr>
              <w:t>13261</w:t>
            </w:r>
          </w:p>
        </w:tc>
      </w:tr>
      <w:tr w:rsidR="00F421F8" w:rsidRPr="00131EED" w14:paraId="36DD3967"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700C0EE6" w14:textId="77777777" w:rsidR="00F421F8" w:rsidRPr="00131EED" w:rsidRDefault="00F421F8">
            <w:pPr>
              <w:jc w:val="center"/>
              <w:rPr>
                <w:b/>
                <w:i/>
                <w:color w:val="000000"/>
                <w:sz w:val="16"/>
                <w:szCs w:val="16"/>
                <w:lang w:eastAsia="en-US"/>
              </w:rPr>
            </w:pPr>
            <w:r w:rsidRPr="00131EED">
              <w:rPr>
                <w:b/>
                <w:i/>
                <w:color w:val="000000"/>
                <w:sz w:val="16"/>
                <w:szCs w:val="16"/>
                <w:lang w:eastAsia="en-US"/>
              </w:rPr>
              <w:t>Madrid</w:t>
            </w:r>
          </w:p>
        </w:tc>
        <w:tc>
          <w:tcPr>
            <w:tcW w:w="378" w:type="pct"/>
            <w:tcBorders>
              <w:top w:val="nil"/>
              <w:left w:val="nil"/>
              <w:bottom w:val="single" w:sz="4" w:space="0" w:color="auto"/>
              <w:right w:val="single" w:sz="4" w:space="0" w:color="auto"/>
            </w:tcBorders>
            <w:noWrap/>
            <w:hideMark/>
          </w:tcPr>
          <w:p w14:paraId="19A484D8" w14:textId="77777777" w:rsidR="00F421F8" w:rsidRPr="00131EED" w:rsidRDefault="00F421F8">
            <w:pPr>
              <w:jc w:val="center"/>
              <w:rPr>
                <w:i/>
                <w:color w:val="000000"/>
                <w:sz w:val="16"/>
                <w:szCs w:val="16"/>
                <w:lang w:eastAsia="en-US"/>
              </w:rPr>
            </w:pPr>
            <w:r w:rsidRPr="00131EED">
              <w:rPr>
                <w:sz w:val="16"/>
                <w:szCs w:val="16"/>
              </w:rPr>
              <w:t>435</w:t>
            </w:r>
          </w:p>
        </w:tc>
        <w:tc>
          <w:tcPr>
            <w:tcW w:w="378" w:type="pct"/>
            <w:tcBorders>
              <w:top w:val="nil"/>
              <w:left w:val="nil"/>
              <w:bottom w:val="single" w:sz="4" w:space="0" w:color="auto"/>
              <w:right w:val="single" w:sz="4" w:space="0" w:color="auto"/>
            </w:tcBorders>
            <w:noWrap/>
            <w:hideMark/>
          </w:tcPr>
          <w:p w14:paraId="57890C89" w14:textId="77777777" w:rsidR="00F421F8" w:rsidRPr="00131EED" w:rsidRDefault="00F421F8">
            <w:pPr>
              <w:jc w:val="center"/>
              <w:rPr>
                <w:i/>
                <w:color w:val="000000"/>
                <w:sz w:val="16"/>
                <w:szCs w:val="16"/>
                <w:lang w:eastAsia="en-US"/>
              </w:rPr>
            </w:pPr>
            <w:r w:rsidRPr="00131EED">
              <w:rPr>
                <w:sz w:val="16"/>
                <w:szCs w:val="16"/>
              </w:rPr>
              <w:t>540</w:t>
            </w:r>
          </w:p>
        </w:tc>
        <w:tc>
          <w:tcPr>
            <w:tcW w:w="378" w:type="pct"/>
            <w:tcBorders>
              <w:top w:val="nil"/>
              <w:left w:val="nil"/>
              <w:bottom w:val="single" w:sz="4" w:space="0" w:color="auto"/>
              <w:right w:val="single" w:sz="4" w:space="0" w:color="auto"/>
            </w:tcBorders>
            <w:noWrap/>
            <w:hideMark/>
          </w:tcPr>
          <w:p w14:paraId="3FB2DB35" w14:textId="77777777" w:rsidR="00F421F8" w:rsidRPr="00131EED" w:rsidRDefault="00F421F8">
            <w:pPr>
              <w:jc w:val="center"/>
              <w:rPr>
                <w:i/>
                <w:color w:val="000000"/>
                <w:sz w:val="16"/>
                <w:szCs w:val="16"/>
                <w:lang w:eastAsia="en-US"/>
              </w:rPr>
            </w:pPr>
            <w:r w:rsidRPr="00131EED">
              <w:rPr>
                <w:sz w:val="16"/>
                <w:szCs w:val="16"/>
              </w:rPr>
              <w:t>650</w:t>
            </w:r>
          </w:p>
        </w:tc>
        <w:tc>
          <w:tcPr>
            <w:tcW w:w="378" w:type="pct"/>
            <w:tcBorders>
              <w:top w:val="nil"/>
              <w:left w:val="nil"/>
              <w:bottom w:val="single" w:sz="4" w:space="0" w:color="auto"/>
              <w:right w:val="single" w:sz="4" w:space="0" w:color="auto"/>
            </w:tcBorders>
            <w:noWrap/>
            <w:hideMark/>
          </w:tcPr>
          <w:p w14:paraId="4B904842" w14:textId="77777777" w:rsidR="00F421F8" w:rsidRPr="00131EED" w:rsidRDefault="00F421F8">
            <w:pPr>
              <w:jc w:val="center"/>
              <w:rPr>
                <w:i/>
                <w:color w:val="000000"/>
                <w:sz w:val="16"/>
                <w:szCs w:val="16"/>
                <w:lang w:eastAsia="en-US"/>
              </w:rPr>
            </w:pPr>
            <w:r w:rsidRPr="00131EED">
              <w:rPr>
                <w:sz w:val="16"/>
                <w:szCs w:val="16"/>
              </w:rPr>
              <w:t>764</w:t>
            </w:r>
          </w:p>
        </w:tc>
        <w:tc>
          <w:tcPr>
            <w:tcW w:w="378" w:type="pct"/>
            <w:tcBorders>
              <w:top w:val="nil"/>
              <w:left w:val="nil"/>
              <w:bottom w:val="single" w:sz="4" w:space="0" w:color="auto"/>
              <w:right w:val="single" w:sz="4" w:space="0" w:color="auto"/>
            </w:tcBorders>
            <w:noWrap/>
            <w:hideMark/>
          </w:tcPr>
          <w:p w14:paraId="7930FB2B" w14:textId="77777777" w:rsidR="00F421F8" w:rsidRPr="00131EED" w:rsidRDefault="00F421F8">
            <w:pPr>
              <w:jc w:val="center"/>
              <w:rPr>
                <w:i/>
                <w:color w:val="000000"/>
                <w:sz w:val="16"/>
                <w:szCs w:val="16"/>
                <w:lang w:eastAsia="en-US"/>
              </w:rPr>
            </w:pPr>
            <w:r w:rsidRPr="00131EED">
              <w:rPr>
                <w:sz w:val="16"/>
                <w:szCs w:val="16"/>
              </w:rPr>
              <w:t>781</w:t>
            </w:r>
          </w:p>
        </w:tc>
        <w:tc>
          <w:tcPr>
            <w:tcW w:w="378" w:type="pct"/>
            <w:tcBorders>
              <w:top w:val="nil"/>
              <w:left w:val="nil"/>
              <w:bottom w:val="single" w:sz="4" w:space="0" w:color="auto"/>
              <w:right w:val="single" w:sz="4" w:space="0" w:color="auto"/>
            </w:tcBorders>
            <w:noWrap/>
            <w:hideMark/>
          </w:tcPr>
          <w:p w14:paraId="67208FBD" w14:textId="77777777" w:rsidR="00F421F8" w:rsidRPr="00131EED" w:rsidRDefault="00F421F8">
            <w:pPr>
              <w:jc w:val="center"/>
              <w:rPr>
                <w:i/>
                <w:color w:val="000000"/>
                <w:sz w:val="16"/>
                <w:szCs w:val="16"/>
                <w:lang w:eastAsia="en-US"/>
              </w:rPr>
            </w:pPr>
            <w:r w:rsidRPr="00131EED">
              <w:rPr>
                <w:sz w:val="16"/>
                <w:szCs w:val="16"/>
              </w:rPr>
              <w:t>799</w:t>
            </w:r>
          </w:p>
        </w:tc>
        <w:tc>
          <w:tcPr>
            <w:tcW w:w="378" w:type="pct"/>
            <w:tcBorders>
              <w:top w:val="nil"/>
              <w:left w:val="nil"/>
              <w:bottom w:val="single" w:sz="4" w:space="0" w:color="auto"/>
              <w:right w:val="single" w:sz="4" w:space="0" w:color="auto"/>
            </w:tcBorders>
            <w:noWrap/>
            <w:hideMark/>
          </w:tcPr>
          <w:p w14:paraId="67372DE2" w14:textId="77777777" w:rsidR="00F421F8" w:rsidRPr="00131EED" w:rsidRDefault="00F421F8">
            <w:pPr>
              <w:jc w:val="center"/>
              <w:rPr>
                <w:i/>
                <w:color w:val="000000"/>
                <w:sz w:val="16"/>
                <w:szCs w:val="16"/>
                <w:lang w:eastAsia="en-US"/>
              </w:rPr>
            </w:pPr>
            <w:r w:rsidRPr="00131EED">
              <w:rPr>
                <w:sz w:val="16"/>
                <w:szCs w:val="16"/>
              </w:rPr>
              <w:t>849</w:t>
            </w:r>
          </w:p>
        </w:tc>
        <w:tc>
          <w:tcPr>
            <w:tcW w:w="378" w:type="pct"/>
            <w:tcBorders>
              <w:top w:val="nil"/>
              <w:left w:val="nil"/>
              <w:bottom w:val="single" w:sz="4" w:space="0" w:color="auto"/>
              <w:right w:val="single" w:sz="4" w:space="0" w:color="auto"/>
            </w:tcBorders>
            <w:noWrap/>
            <w:hideMark/>
          </w:tcPr>
          <w:p w14:paraId="4AE82A57" w14:textId="77777777" w:rsidR="00F421F8" w:rsidRPr="00131EED" w:rsidRDefault="00F421F8">
            <w:pPr>
              <w:jc w:val="center"/>
              <w:rPr>
                <w:i/>
                <w:color w:val="000000"/>
                <w:sz w:val="16"/>
                <w:szCs w:val="16"/>
                <w:lang w:eastAsia="en-US"/>
              </w:rPr>
            </w:pPr>
            <w:r w:rsidRPr="00131EED">
              <w:rPr>
                <w:sz w:val="16"/>
                <w:szCs w:val="16"/>
              </w:rPr>
              <w:t>901</w:t>
            </w:r>
          </w:p>
        </w:tc>
        <w:tc>
          <w:tcPr>
            <w:tcW w:w="378" w:type="pct"/>
            <w:tcBorders>
              <w:top w:val="nil"/>
              <w:left w:val="nil"/>
              <w:bottom w:val="single" w:sz="4" w:space="0" w:color="auto"/>
              <w:right w:val="single" w:sz="4" w:space="0" w:color="auto"/>
            </w:tcBorders>
            <w:noWrap/>
            <w:hideMark/>
          </w:tcPr>
          <w:p w14:paraId="47AD3362" w14:textId="77777777" w:rsidR="00F421F8" w:rsidRPr="00131EED" w:rsidRDefault="00F421F8">
            <w:pPr>
              <w:jc w:val="center"/>
              <w:rPr>
                <w:i/>
                <w:color w:val="000000"/>
                <w:sz w:val="16"/>
                <w:szCs w:val="16"/>
                <w:lang w:eastAsia="en-US"/>
              </w:rPr>
            </w:pPr>
            <w:r w:rsidRPr="00131EED">
              <w:rPr>
                <w:sz w:val="16"/>
                <w:szCs w:val="16"/>
              </w:rPr>
              <w:t>959</w:t>
            </w:r>
          </w:p>
        </w:tc>
        <w:tc>
          <w:tcPr>
            <w:tcW w:w="378" w:type="pct"/>
            <w:tcBorders>
              <w:top w:val="nil"/>
              <w:left w:val="nil"/>
              <w:bottom w:val="single" w:sz="4" w:space="0" w:color="auto"/>
              <w:right w:val="single" w:sz="4" w:space="0" w:color="auto"/>
            </w:tcBorders>
            <w:noWrap/>
            <w:hideMark/>
          </w:tcPr>
          <w:p w14:paraId="5A990008" w14:textId="77777777" w:rsidR="00F421F8" w:rsidRPr="00131EED" w:rsidRDefault="00F421F8">
            <w:pPr>
              <w:jc w:val="center"/>
              <w:rPr>
                <w:i/>
                <w:color w:val="000000"/>
                <w:sz w:val="16"/>
                <w:szCs w:val="16"/>
                <w:lang w:eastAsia="en-US"/>
              </w:rPr>
            </w:pPr>
            <w:r w:rsidRPr="00131EED">
              <w:rPr>
                <w:sz w:val="16"/>
                <w:szCs w:val="16"/>
              </w:rPr>
              <w:t>1037</w:t>
            </w:r>
          </w:p>
        </w:tc>
        <w:tc>
          <w:tcPr>
            <w:tcW w:w="378" w:type="pct"/>
            <w:tcBorders>
              <w:top w:val="nil"/>
              <w:left w:val="nil"/>
              <w:bottom w:val="single" w:sz="4" w:space="0" w:color="auto"/>
              <w:right w:val="single" w:sz="4" w:space="0" w:color="auto"/>
            </w:tcBorders>
            <w:noWrap/>
            <w:hideMark/>
          </w:tcPr>
          <w:p w14:paraId="3AA30D0C" w14:textId="77777777" w:rsidR="00F421F8" w:rsidRPr="00131EED" w:rsidRDefault="00F421F8">
            <w:pPr>
              <w:jc w:val="center"/>
              <w:rPr>
                <w:i/>
                <w:color w:val="000000"/>
                <w:sz w:val="16"/>
                <w:szCs w:val="16"/>
                <w:lang w:eastAsia="en-US"/>
              </w:rPr>
            </w:pPr>
            <w:r w:rsidRPr="00131EED">
              <w:rPr>
                <w:sz w:val="16"/>
                <w:szCs w:val="16"/>
              </w:rPr>
              <w:t>1054</w:t>
            </w:r>
          </w:p>
        </w:tc>
        <w:tc>
          <w:tcPr>
            <w:tcW w:w="378" w:type="pct"/>
            <w:tcBorders>
              <w:top w:val="nil"/>
              <w:left w:val="nil"/>
              <w:bottom w:val="single" w:sz="4" w:space="0" w:color="auto"/>
              <w:right w:val="single" w:sz="4" w:space="0" w:color="auto"/>
            </w:tcBorders>
            <w:noWrap/>
            <w:hideMark/>
          </w:tcPr>
          <w:p w14:paraId="1C384C8B" w14:textId="77777777" w:rsidR="00F421F8" w:rsidRPr="00131EED" w:rsidRDefault="00F421F8">
            <w:pPr>
              <w:jc w:val="center"/>
              <w:rPr>
                <w:i/>
                <w:color w:val="000000"/>
                <w:sz w:val="16"/>
                <w:szCs w:val="16"/>
                <w:lang w:eastAsia="en-US"/>
              </w:rPr>
            </w:pPr>
            <w:r w:rsidRPr="00131EED">
              <w:rPr>
                <w:sz w:val="16"/>
                <w:szCs w:val="16"/>
              </w:rPr>
              <w:t>1070</w:t>
            </w:r>
          </w:p>
        </w:tc>
      </w:tr>
      <w:tr w:rsidR="00F421F8" w:rsidRPr="00131EED" w14:paraId="07DDC1A2"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5FEFF424" w14:textId="77777777" w:rsidR="00F421F8" w:rsidRPr="00131EED" w:rsidRDefault="00F421F8">
            <w:pPr>
              <w:jc w:val="center"/>
              <w:rPr>
                <w:b/>
                <w:i/>
                <w:color w:val="000000"/>
                <w:sz w:val="16"/>
                <w:szCs w:val="16"/>
                <w:lang w:eastAsia="en-US"/>
              </w:rPr>
            </w:pPr>
            <w:r w:rsidRPr="00131EED">
              <w:rPr>
                <w:b/>
                <w:i/>
                <w:color w:val="000000"/>
                <w:sz w:val="16"/>
                <w:szCs w:val="16"/>
                <w:lang w:eastAsia="en-US"/>
              </w:rPr>
              <w:t>Soacha</w:t>
            </w:r>
          </w:p>
        </w:tc>
        <w:tc>
          <w:tcPr>
            <w:tcW w:w="378" w:type="pct"/>
            <w:tcBorders>
              <w:top w:val="nil"/>
              <w:left w:val="nil"/>
              <w:bottom w:val="single" w:sz="4" w:space="0" w:color="auto"/>
              <w:right w:val="single" w:sz="4" w:space="0" w:color="auto"/>
            </w:tcBorders>
            <w:noWrap/>
            <w:hideMark/>
          </w:tcPr>
          <w:p w14:paraId="1375ED1C" w14:textId="77777777" w:rsidR="00F421F8" w:rsidRPr="00131EED" w:rsidRDefault="00F421F8">
            <w:pPr>
              <w:jc w:val="center"/>
              <w:rPr>
                <w:i/>
                <w:color w:val="000000"/>
                <w:sz w:val="16"/>
                <w:szCs w:val="16"/>
                <w:lang w:eastAsia="en-US"/>
              </w:rPr>
            </w:pPr>
            <w:r w:rsidRPr="00131EED">
              <w:rPr>
                <w:sz w:val="16"/>
                <w:szCs w:val="16"/>
              </w:rPr>
              <w:t>631</w:t>
            </w:r>
          </w:p>
        </w:tc>
        <w:tc>
          <w:tcPr>
            <w:tcW w:w="378" w:type="pct"/>
            <w:tcBorders>
              <w:top w:val="nil"/>
              <w:left w:val="nil"/>
              <w:bottom w:val="single" w:sz="4" w:space="0" w:color="auto"/>
              <w:right w:val="single" w:sz="4" w:space="0" w:color="auto"/>
            </w:tcBorders>
            <w:noWrap/>
            <w:hideMark/>
          </w:tcPr>
          <w:p w14:paraId="2E161175" w14:textId="77777777" w:rsidR="00F421F8" w:rsidRPr="00131EED" w:rsidRDefault="00F421F8">
            <w:pPr>
              <w:jc w:val="center"/>
              <w:rPr>
                <w:i/>
                <w:color w:val="000000"/>
                <w:sz w:val="16"/>
                <w:szCs w:val="16"/>
                <w:lang w:eastAsia="en-US"/>
              </w:rPr>
            </w:pPr>
            <w:r w:rsidRPr="00131EED">
              <w:rPr>
                <w:sz w:val="16"/>
                <w:szCs w:val="16"/>
              </w:rPr>
              <w:t>644</w:t>
            </w:r>
          </w:p>
        </w:tc>
        <w:tc>
          <w:tcPr>
            <w:tcW w:w="378" w:type="pct"/>
            <w:tcBorders>
              <w:top w:val="nil"/>
              <w:left w:val="nil"/>
              <w:bottom w:val="single" w:sz="4" w:space="0" w:color="auto"/>
              <w:right w:val="single" w:sz="4" w:space="0" w:color="auto"/>
            </w:tcBorders>
            <w:noWrap/>
            <w:hideMark/>
          </w:tcPr>
          <w:p w14:paraId="1FA87785" w14:textId="77777777" w:rsidR="00F421F8" w:rsidRPr="00131EED" w:rsidRDefault="00F421F8">
            <w:pPr>
              <w:jc w:val="center"/>
              <w:rPr>
                <w:i/>
                <w:color w:val="000000"/>
                <w:sz w:val="16"/>
                <w:szCs w:val="16"/>
                <w:lang w:eastAsia="en-US"/>
              </w:rPr>
            </w:pPr>
            <w:r w:rsidRPr="00131EED">
              <w:rPr>
                <w:sz w:val="16"/>
                <w:szCs w:val="16"/>
              </w:rPr>
              <w:t>658</w:t>
            </w:r>
          </w:p>
        </w:tc>
        <w:tc>
          <w:tcPr>
            <w:tcW w:w="378" w:type="pct"/>
            <w:tcBorders>
              <w:top w:val="nil"/>
              <w:left w:val="nil"/>
              <w:bottom w:val="single" w:sz="4" w:space="0" w:color="auto"/>
              <w:right w:val="single" w:sz="4" w:space="0" w:color="auto"/>
            </w:tcBorders>
            <w:noWrap/>
            <w:hideMark/>
          </w:tcPr>
          <w:p w14:paraId="1CFDDDC5" w14:textId="77777777" w:rsidR="00F421F8" w:rsidRPr="00131EED" w:rsidRDefault="00F421F8">
            <w:pPr>
              <w:jc w:val="center"/>
              <w:rPr>
                <w:i/>
                <w:color w:val="000000"/>
                <w:sz w:val="16"/>
                <w:szCs w:val="16"/>
                <w:lang w:eastAsia="en-US"/>
              </w:rPr>
            </w:pPr>
            <w:r w:rsidRPr="00131EED">
              <w:rPr>
                <w:sz w:val="16"/>
                <w:szCs w:val="16"/>
              </w:rPr>
              <w:t>672</w:t>
            </w:r>
          </w:p>
        </w:tc>
        <w:tc>
          <w:tcPr>
            <w:tcW w:w="378" w:type="pct"/>
            <w:tcBorders>
              <w:top w:val="nil"/>
              <w:left w:val="nil"/>
              <w:bottom w:val="single" w:sz="4" w:space="0" w:color="auto"/>
              <w:right w:val="single" w:sz="4" w:space="0" w:color="auto"/>
            </w:tcBorders>
            <w:noWrap/>
            <w:hideMark/>
          </w:tcPr>
          <w:p w14:paraId="523187BC" w14:textId="77777777" w:rsidR="00F421F8" w:rsidRPr="00131EED" w:rsidRDefault="00F421F8">
            <w:pPr>
              <w:jc w:val="center"/>
              <w:rPr>
                <w:i/>
                <w:color w:val="000000"/>
                <w:sz w:val="16"/>
                <w:szCs w:val="16"/>
                <w:lang w:eastAsia="en-US"/>
              </w:rPr>
            </w:pPr>
            <w:r w:rsidRPr="00131EED">
              <w:rPr>
                <w:sz w:val="16"/>
                <w:szCs w:val="16"/>
              </w:rPr>
              <w:t>694</w:t>
            </w:r>
          </w:p>
        </w:tc>
        <w:tc>
          <w:tcPr>
            <w:tcW w:w="378" w:type="pct"/>
            <w:tcBorders>
              <w:top w:val="nil"/>
              <w:left w:val="nil"/>
              <w:bottom w:val="single" w:sz="4" w:space="0" w:color="auto"/>
              <w:right w:val="single" w:sz="4" w:space="0" w:color="auto"/>
            </w:tcBorders>
            <w:noWrap/>
            <w:hideMark/>
          </w:tcPr>
          <w:p w14:paraId="513127D7" w14:textId="77777777" w:rsidR="00F421F8" w:rsidRPr="00131EED" w:rsidRDefault="00F421F8">
            <w:pPr>
              <w:jc w:val="center"/>
              <w:rPr>
                <w:i/>
                <w:color w:val="000000"/>
                <w:sz w:val="16"/>
                <w:szCs w:val="16"/>
                <w:lang w:eastAsia="en-US"/>
              </w:rPr>
            </w:pPr>
            <w:r w:rsidRPr="00131EED">
              <w:rPr>
                <w:sz w:val="16"/>
                <w:szCs w:val="16"/>
              </w:rPr>
              <w:t>716</w:t>
            </w:r>
          </w:p>
        </w:tc>
        <w:tc>
          <w:tcPr>
            <w:tcW w:w="378" w:type="pct"/>
            <w:tcBorders>
              <w:top w:val="nil"/>
              <w:left w:val="nil"/>
              <w:bottom w:val="single" w:sz="4" w:space="0" w:color="auto"/>
              <w:right w:val="single" w:sz="4" w:space="0" w:color="auto"/>
            </w:tcBorders>
            <w:noWrap/>
            <w:hideMark/>
          </w:tcPr>
          <w:p w14:paraId="65D23633" w14:textId="77777777" w:rsidR="00F421F8" w:rsidRPr="00131EED" w:rsidRDefault="00F421F8">
            <w:pPr>
              <w:jc w:val="center"/>
              <w:rPr>
                <w:i/>
                <w:color w:val="000000"/>
                <w:sz w:val="16"/>
                <w:szCs w:val="16"/>
                <w:lang w:eastAsia="en-US"/>
              </w:rPr>
            </w:pPr>
            <w:r w:rsidRPr="00131EED">
              <w:rPr>
                <w:sz w:val="16"/>
                <w:szCs w:val="16"/>
              </w:rPr>
              <w:t>747</w:t>
            </w:r>
          </w:p>
        </w:tc>
        <w:tc>
          <w:tcPr>
            <w:tcW w:w="378" w:type="pct"/>
            <w:tcBorders>
              <w:top w:val="nil"/>
              <w:left w:val="nil"/>
              <w:bottom w:val="single" w:sz="4" w:space="0" w:color="auto"/>
              <w:right w:val="single" w:sz="4" w:space="0" w:color="auto"/>
            </w:tcBorders>
            <w:noWrap/>
            <w:hideMark/>
          </w:tcPr>
          <w:p w14:paraId="4C762D3A" w14:textId="77777777" w:rsidR="00F421F8" w:rsidRPr="00131EED" w:rsidRDefault="00F421F8">
            <w:pPr>
              <w:jc w:val="center"/>
              <w:rPr>
                <w:i/>
                <w:color w:val="000000"/>
                <w:sz w:val="16"/>
                <w:szCs w:val="16"/>
                <w:lang w:eastAsia="en-US"/>
              </w:rPr>
            </w:pPr>
            <w:r w:rsidRPr="00131EED">
              <w:rPr>
                <w:sz w:val="16"/>
                <w:szCs w:val="16"/>
              </w:rPr>
              <w:t>784</w:t>
            </w:r>
          </w:p>
        </w:tc>
        <w:tc>
          <w:tcPr>
            <w:tcW w:w="378" w:type="pct"/>
            <w:tcBorders>
              <w:top w:val="nil"/>
              <w:left w:val="nil"/>
              <w:bottom w:val="single" w:sz="4" w:space="0" w:color="auto"/>
              <w:right w:val="single" w:sz="4" w:space="0" w:color="auto"/>
            </w:tcBorders>
            <w:noWrap/>
            <w:hideMark/>
          </w:tcPr>
          <w:p w14:paraId="6CB1D6B8" w14:textId="77777777" w:rsidR="00F421F8" w:rsidRPr="00131EED" w:rsidRDefault="00F421F8">
            <w:pPr>
              <w:jc w:val="center"/>
              <w:rPr>
                <w:i/>
                <w:color w:val="000000"/>
                <w:sz w:val="16"/>
                <w:szCs w:val="16"/>
                <w:lang w:eastAsia="en-US"/>
              </w:rPr>
            </w:pPr>
            <w:r w:rsidRPr="00131EED">
              <w:rPr>
                <w:sz w:val="16"/>
                <w:szCs w:val="16"/>
              </w:rPr>
              <w:t>831</w:t>
            </w:r>
          </w:p>
        </w:tc>
        <w:tc>
          <w:tcPr>
            <w:tcW w:w="378" w:type="pct"/>
            <w:tcBorders>
              <w:top w:val="nil"/>
              <w:left w:val="nil"/>
              <w:bottom w:val="single" w:sz="4" w:space="0" w:color="auto"/>
              <w:right w:val="single" w:sz="4" w:space="0" w:color="auto"/>
            </w:tcBorders>
            <w:noWrap/>
            <w:hideMark/>
          </w:tcPr>
          <w:p w14:paraId="7D874A13" w14:textId="77777777" w:rsidR="00F421F8" w:rsidRPr="00131EED" w:rsidRDefault="00F421F8">
            <w:pPr>
              <w:jc w:val="center"/>
              <w:rPr>
                <w:i/>
                <w:color w:val="000000"/>
                <w:sz w:val="16"/>
                <w:szCs w:val="16"/>
                <w:lang w:eastAsia="en-US"/>
              </w:rPr>
            </w:pPr>
            <w:r w:rsidRPr="00131EED">
              <w:rPr>
                <w:sz w:val="16"/>
                <w:szCs w:val="16"/>
              </w:rPr>
              <w:t>923</w:t>
            </w:r>
          </w:p>
        </w:tc>
        <w:tc>
          <w:tcPr>
            <w:tcW w:w="378" w:type="pct"/>
            <w:tcBorders>
              <w:top w:val="nil"/>
              <w:left w:val="nil"/>
              <w:bottom w:val="single" w:sz="4" w:space="0" w:color="auto"/>
              <w:right w:val="single" w:sz="4" w:space="0" w:color="auto"/>
            </w:tcBorders>
            <w:noWrap/>
            <w:hideMark/>
          </w:tcPr>
          <w:p w14:paraId="4A31B735" w14:textId="77777777" w:rsidR="00F421F8" w:rsidRPr="00131EED" w:rsidRDefault="00F421F8">
            <w:pPr>
              <w:jc w:val="center"/>
              <w:rPr>
                <w:i/>
                <w:color w:val="000000"/>
                <w:sz w:val="16"/>
                <w:szCs w:val="16"/>
                <w:lang w:eastAsia="en-US"/>
              </w:rPr>
            </w:pPr>
            <w:r w:rsidRPr="00131EED">
              <w:rPr>
                <w:sz w:val="16"/>
                <w:szCs w:val="16"/>
              </w:rPr>
              <w:t>933</w:t>
            </w:r>
          </w:p>
        </w:tc>
        <w:tc>
          <w:tcPr>
            <w:tcW w:w="378" w:type="pct"/>
            <w:tcBorders>
              <w:top w:val="nil"/>
              <w:left w:val="nil"/>
              <w:bottom w:val="single" w:sz="4" w:space="0" w:color="auto"/>
              <w:right w:val="single" w:sz="4" w:space="0" w:color="auto"/>
            </w:tcBorders>
            <w:noWrap/>
            <w:hideMark/>
          </w:tcPr>
          <w:p w14:paraId="704E5347" w14:textId="77777777" w:rsidR="00F421F8" w:rsidRPr="00131EED" w:rsidRDefault="00F421F8">
            <w:pPr>
              <w:jc w:val="center"/>
              <w:rPr>
                <w:i/>
                <w:color w:val="000000"/>
                <w:sz w:val="16"/>
                <w:szCs w:val="16"/>
                <w:lang w:eastAsia="en-US"/>
              </w:rPr>
            </w:pPr>
            <w:r w:rsidRPr="00131EED">
              <w:rPr>
                <w:sz w:val="16"/>
                <w:szCs w:val="16"/>
              </w:rPr>
              <w:t>940</w:t>
            </w:r>
          </w:p>
        </w:tc>
      </w:tr>
      <w:tr w:rsidR="00F421F8" w:rsidRPr="00131EED" w14:paraId="359C2A38"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615A1A9F" w14:textId="77777777" w:rsidR="00F421F8" w:rsidRPr="00131EED" w:rsidRDefault="00F421F8">
            <w:pPr>
              <w:jc w:val="center"/>
              <w:rPr>
                <w:b/>
                <w:i/>
                <w:color w:val="000000"/>
                <w:sz w:val="16"/>
                <w:szCs w:val="16"/>
                <w:lang w:eastAsia="en-US"/>
              </w:rPr>
            </w:pPr>
            <w:r w:rsidRPr="00131EED">
              <w:rPr>
                <w:b/>
                <w:i/>
                <w:color w:val="000000"/>
                <w:sz w:val="16"/>
                <w:szCs w:val="16"/>
                <w:lang w:eastAsia="en-US"/>
              </w:rPr>
              <w:t>Chía</w:t>
            </w:r>
          </w:p>
        </w:tc>
        <w:tc>
          <w:tcPr>
            <w:tcW w:w="378" w:type="pct"/>
            <w:tcBorders>
              <w:top w:val="nil"/>
              <w:left w:val="nil"/>
              <w:bottom w:val="single" w:sz="4" w:space="0" w:color="auto"/>
              <w:right w:val="single" w:sz="4" w:space="0" w:color="auto"/>
            </w:tcBorders>
            <w:noWrap/>
            <w:hideMark/>
          </w:tcPr>
          <w:p w14:paraId="58BC3D7F" w14:textId="77777777" w:rsidR="00F421F8" w:rsidRPr="00131EED" w:rsidRDefault="00F421F8">
            <w:pPr>
              <w:jc w:val="center"/>
              <w:rPr>
                <w:i/>
                <w:color w:val="000000"/>
                <w:sz w:val="16"/>
                <w:szCs w:val="16"/>
                <w:lang w:eastAsia="en-US"/>
              </w:rPr>
            </w:pPr>
            <w:r w:rsidRPr="00131EED">
              <w:rPr>
                <w:sz w:val="16"/>
                <w:szCs w:val="16"/>
              </w:rPr>
              <w:t>369</w:t>
            </w:r>
          </w:p>
        </w:tc>
        <w:tc>
          <w:tcPr>
            <w:tcW w:w="378" w:type="pct"/>
            <w:tcBorders>
              <w:top w:val="nil"/>
              <w:left w:val="nil"/>
              <w:bottom w:val="single" w:sz="4" w:space="0" w:color="auto"/>
              <w:right w:val="single" w:sz="4" w:space="0" w:color="auto"/>
            </w:tcBorders>
            <w:noWrap/>
            <w:hideMark/>
          </w:tcPr>
          <w:p w14:paraId="48901504" w14:textId="77777777" w:rsidR="00F421F8" w:rsidRPr="00131EED" w:rsidRDefault="00F421F8">
            <w:pPr>
              <w:jc w:val="center"/>
              <w:rPr>
                <w:i/>
                <w:color w:val="000000"/>
                <w:sz w:val="16"/>
                <w:szCs w:val="16"/>
                <w:lang w:eastAsia="en-US"/>
              </w:rPr>
            </w:pPr>
            <w:r w:rsidRPr="00131EED">
              <w:rPr>
                <w:sz w:val="16"/>
                <w:szCs w:val="16"/>
              </w:rPr>
              <w:t>424</w:t>
            </w:r>
          </w:p>
        </w:tc>
        <w:tc>
          <w:tcPr>
            <w:tcW w:w="378" w:type="pct"/>
            <w:tcBorders>
              <w:top w:val="nil"/>
              <w:left w:val="nil"/>
              <w:bottom w:val="single" w:sz="4" w:space="0" w:color="auto"/>
              <w:right w:val="single" w:sz="4" w:space="0" w:color="auto"/>
            </w:tcBorders>
            <w:noWrap/>
            <w:hideMark/>
          </w:tcPr>
          <w:p w14:paraId="5A831929" w14:textId="77777777" w:rsidR="00F421F8" w:rsidRPr="00131EED" w:rsidRDefault="00F421F8">
            <w:pPr>
              <w:jc w:val="center"/>
              <w:rPr>
                <w:i/>
                <w:color w:val="000000"/>
                <w:sz w:val="16"/>
                <w:szCs w:val="16"/>
                <w:lang w:eastAsia="en-US"/>
              </w:rPr>
            </w:pPr>
            <w:r w:rsidRPr="00131EED">
              <w:rPr>
                <w:sz w:val="16"/>
                <w:szCs w:val="16"/>
              </w:rPr>
              <w:t>482</w:t>
            </w:r>
          </w:p>
        </w:tc>
        <w:tc>
          <w:tcPr>
            <w:tcW w:w="378" w:type="pct"/>
            <w:tcBorders>
              <w:top w:val="nil"/>
              <w:left w:val="nil"/>
              <w:bottom w:val="single" w:sz="4" w:space="0" w:color="auto"/>
              <w:right w:val="single" w:sz="4" w:space="0" w:color="auto"/>
            </w:tcBorders>
            <w:noWrap/>
            <w:hideMark/>
          </w:tcPr>
          <w:p w14:paraId="72692A82" w14:textId="77777777" w:rsidR="00F421F8" w:rsidRPr="00131EED" w:rsidRDefault="00F421F8">
            <w:pPr>
              <w:jc w:val="center"/>
              <w:rPr>
                <w:i/>
                <w:color w:val="000000"/>
                <w:sz w:val="16"/>
                <w:szCs w:val="16"/>
                <w:lang w:eastAsia="en-US"/>
              </w:rPr>
            </w:pPr>
            <w:r w:rsidRPr="00131EED">
              <w:rPr>
                <w:sz w:val="16"/>
                <w:szCs w:val="16"/>
              </w:rPr>
              <w:t>543</w:t>
            </w:r>
          </w:p>
        </w:tc>
        <w:tc>
          <w:tcPr>
            <w:tcW w:w="378" w:type="pct"/>
            <w:tcBorders>
              <w:top w:val="nil"/>
              <w:left w:val="nil"/>
              <w:bottom w:val="single" w:sz="4" w:space="0" w:color="auto"/>
              <w:right w:val="single" w:sz="4" w:space="0" w:color="auto"/>
            </w:tcBorders>
            <w:noWrap/>
            <w:hideMark/>
          </w:tcPr>
          <w:p w14:paraId="4790BDA7" w14:textId="77777777" w:rsidR="00F421F8" w:rsidRPr="00131EED" w:rsidRDefault="00F421F8">
            <w:pPr>
              <w:jc w:val="center"/>
              <w:rPr>
                <w:i/>
                <w:color w:val="000000"/>
                <w:sz w:val="16"/>
                <w:szCs w:val="16"/>
                <w:lang w:eastAsia="en-US"/>
              </w:rPr>
            </w:pPr>
            <w:r w:rsidRPr="00131EED">
              <w:rPr>
                <w:sz w:val="16"/>
                <w:szCs w:val="16"/>
              </w:rPr>
              <w:t>595</w:t>
            </w:r>
          </w:p>
        </w:tc>
        <w:tc>
          <w:tcPr>
            <w:tcW w:w="378" w:type="pct"/>
            <w:tcBorders>
              <w:top w:val="nil"/>
              <w:left w:val="nil"/>
              <w:bottom w:val="single" w:sz="4" w:space="0" w:color="auto"/>
              <w:right w:val="single" w:sz="4" w:space="0" w:color="auto"/>
            </w:tcBorders>
            <w:noWrap/>
            <w:hideMark/>
          </w:tcPr>
          <w:p w14:paraId="16C89666" w14:textId="77777777" w:rsidR="00F421F8" w:rsidRPr="00131EED" w:rsidRDefault="00F421F8">
            <w:pPr>
              <w:jc w:val="center"/>
              <w:rPr>
                <w:i/>
                <w:color w:val="000000"/>
                <w:sz w:val="16"/>
                <w:szCs w:val="16"/>
                <w:lang w:eastAsia="en-US"/>
              </w:rPr>
            </w:pPr>
            <w:r w:rsidRPr="00131EED">
              <w:rPr>
                <w:sz w:val="16"/>
                <w:szCs w:val="16"/>
              </w:rPr>
              <w:t>652</w:t>
            </w:r>
          </w:p>
        </w:tc>
        <w:tc>
          <w:tcPr>
            <w:tcW w:w="378" w:type="pct"/>
            <w:tcBorders>
              <w:top w:val="nil"/>
              <w:left w:val="nil"/>
              <w:bottom w:val="single" w:sz="4" w:space="0" w:color="auto"/>
              <w:right w:val="single" w:sz="4" w:space="0" w:color="auto"/>
            </w:tcBorders>
            <w:noWrap/>
            <w:hideMark/>
          </w:tcPr>
          <w:p w14:paraId="283E7BA8" w14:textId="77777777" w:rsidR="00F421F8" w:rsidRPr="00131EED" w:rsidRDefault="00F421F8">
            <w:pPr>
              <w:jc w:val="center"/>
              <w:rPr>
                <w:i/>
                <w:color w:val="000000"/>
                <w:sz w:val="16"/>
                <w:szCs w:val="16"/>
                <w:lang w:eastAsia="en-US"/>
              </w:rPr>
            </w:pPr>
            <w:r w:rsidRPr="00131EED">
              <w:rPr>
                <w:sz w:val="16"/>
                <w:szCs w:val="16"/>
              </w:rPr>
              <w:t>713</w:t>
            </w:r>
          </w:p>
        </w:tc>
        <w:tc>
          <w:tcPr>
            <w:tcW w:w="378" w:type="pct"/>
            <w:tcBorders>
              <w:top w:val="nil"/>
              <w:left w:val="nil"/>
              <w:bottom w:val="single" w:sz="4" w:space="0" w:color="auto"/>
              <w:right w:val="single" w:sz="4" w:space="0" w:color="auto"/>
            </w:tcBorders>
            <w:noWrap/>
            <w:hideMark/>
          </w:tcPr>
          <w:p w14:paraId="001AA324" w14:textId="77777777" w:rsidR="00F421F8" w:rsidRPr="00131EED" w:rsidRDefault="00F421F8">
            <w:pPr>
              <w:jc w:val="center"/>
              <w:rPr>
                <w:i/>
                <w:color w:val="000000"/>
                <w:sz w:val="16"/>
                <w:szCs w:val="16"/>
                <w:lang w:eastAsia="en-US"/>
              </w:rPr>
            </w:pPr>
            <w:r w:rsidRPr="00131EED">
              <w:rPr>
                <w:sz w:val="16"/>
                <w:szCs w:val="16"/>
              </w:rPr>
              <w:t>777</w:t>
            </w:r>
          </w:p>
        </w:tc>
        <w:tc>
          <w:tcPr>
            <w:tcW w:w="378" w:type="pct"/>
            <w:tcBorders>
              <w:top w:val="nil"/>
              <w:left w:val="nil"/>
              <w:bottom w:val="single" w:sz="4" w:space="0" w:color="auto"/>
              <w:right w:val="single" w:sz="4" w:space="0" w:color="auto"/>
            </w:tcBorders>
            <w:noWrap/>
            <w:hideMark/>
          </w:tcPr>
          <w:p w14:paraId="18F15E05" w14:textId="77777777" w:rsidR="00F421F8" w:rsidRPr="00131EED" w:rsidRDefault="00F421F8">
            <w:pPr>
              <w:jc w:val="center"/>
              <w:rPr>
                <w:i/>
                <w:color w:val="000000"/>
                <w:sz w:val="16"/>
                <w:szCs w:val="16"/>
                <w:lang w:eastAsia="en-US"/>
              </w:rPr>
            </w:pPr>
            <w:r w:rsidRPr="00131EED">
              <w:rPr>
                <w:sz w:val="16"/>
                <w:szCs w:val="16"/>
              </w:rPr>
              <w:t>839</w:t>
            </w:r>
          </w:p>
        </w:tc>
        <w:tc>
          <w:tcPr>
            <w:tcW w:w="378" w:type="pct"/>
            <w:tcBorders>
              <w:top w:val="nil"/>
              <w:left w:val="nil"/>
              <w:bottom w:val="single" w:sz="4" w:space="0" w:color="auto"/>
              <w:right w:val="single" w:sz="4" w:space="0" w:color="auto"/>
            </w:tcBorders>
            <w:noWrap/>
            <w:hideMark/>
          </w:tcPr>
          <w:p w14:paraId="7EB0934C" w14:textId="77777777" w:rsidR="00F421F8" w:rsidRPr="00131EED" w:rsidRDefault="00F421F8">
            <w:pPr>
              <w:jc w:val="center"/>
              <w:rPr>
                <w:i/>
                <w:color w:val="000000"/>
                <w:sz w:val="16"/>
                <w:szCs w:val="16"/>
                <w:lang w:eastAsia="en-US"/>
              </w:rPr>
            </w:pPr>
            <w:r w:rsidRPr="00131EED">
              <w:rPr>
                <w:sz w:val="16"/>
                <w:szCs w:val="16"/>
              </w:rPr>
              <w:t>890</w:t>
            </w:r>
          </w:p>
        </w:tc>
        <w:tc>
          <w:tcPr>
            <w:tcW w:w="378" w:type="pct"/>
            <w:tcBorders>
              <w:top w:val="nil"/>
              <w:left w:val="nil"/>
              <w:bottom w:val="single" w:sz="4" w:space="0" w:color="auto"/>
              <w:right w:val="single" w:sz="4" w:space="0" w:color="auto"/>
            </w:tcBorders>
            <w:noWrap/>
            <w:hideMark/>
          </w:tcPr>
          <w:p w14:paraId="570FBCA1" w14:textId="77777777" w:rsidR="00F421F8" w:rsidRPr="00131EED" w:rsidRDefault="00F421F8">
            <w:pPr>
              <w:jc w:val="center"/>
              <w:rPr>
                <w:i/>
                <w:color w:val="000000"/>
                <w:sz w:val="16"/>
                <w:szCs w:val="16"/>
                <w:lang w:eastAsia="en-US"/>
              </w:rPr>
            </w:pPr>
            <w:r w:rsidRPr="00131EED">
              <w:rPr>
                <w:sz w:val="16"/>
                <w:szCs w:val="16"/>
              </w:rPr>
              <w:t>894</w:t>
            </w:r>
          </w:p>
        </w:tc>
        <w:tc>
          <w:tcPr>
            <w:tcW w:w="378" w:type="pct"/>
            <w:tcBorders>
              <w:top w:val="nil"/>
              <w:left w:val="nil"/>
              <w:bottom w:val="single" w:sz="4" w:space="0" w:color="auto"/>
              <w:right w:val="single" w:sz="4" w:space="0" w:color="auto"/>
            </w:tcBorders>
            <w:noWrap/>
            <w:hideMark/>
          </w:tcPr>
          <w:p w14:paraId="11C45FCE" w14:textId="77777777" w:rsidR="00F421F8" w:rsidRPr="00131EED" w:rsidRDefault="00F421F8">
            <w:pPr>
              <w:jc w:val="center"/>
              <w:rPr>
                <w:i/>
                <w:color w:val="000000"/>
                <w:sz w:val="16"/>
                <w:szCs w:val="16"/>
                <w:lang w:eastAsia="en-US"/>
              </w:rPr>
            </w:pPr>
            <w:r w:rsidRPr="00131EED">
              <w:rPr>
                <w:sz w:val="16"/>
                <w:szCs w:val="16"/>
              </w:rPr>
              <w:t>908</w:t>
            </w:r>
          </w:p>
        </w:tc>
      </w:tr>
      <w:tr w:rsidR="00F421F8" w:rsidRPr="00131EED" w14:paraId="2AF01880"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430C6BA7" w14:textId="77777777" w:rsidR="00F421F8" w:rsidRPr="00131EED" w:rsidRDefault="00F421F8">
            <w:pPr>
              <w:jc w:val="center"/>
              <w:rPr>
                <w:b/>
                <w:i/>
                <w:color w:val="000000"/>
                <w:sz w:val="16"/>
                <w:szCs w:val="16"/>
                <w:lang w:eastAsia="en-US"/>
              </w:rPr>
            </w:pPr>
            <w:r w:rsidRPr="00131EED">
              <w:rPr>
                <w:b/>
                <w:i/>
                <w:color w:val="000000"/>
                <w:sz w:val="16"/>
                <w:szCs w:val="16"/>
                <w:lang w:eastAsia="en-US"/>
              </w:rPr>
              <w:t>Facatativá</w:t>
            </w:r>
          </w:p>
        </w:tc>
        <w:tc>
          <w:tcPr>
            <w:tcW w:w="378" w:type="pct"/>
            <w:tcBorders>
              <w:top w:val="nil"/>
              <w:left w:val="nil"/>
              <w:bottom w:val="single" w:sz="4" w:space="0" w:color="auto"/>
              <w:right w:val="single" w:sz="4" w:space="0" w:color="auto"/>
            </w:tcBorders>
            <w:noWrap/>
            <w:hideMark/>
          </w:tcPr>
          <w:p w14:paraId="4E8AC02E" w14:textId="77777777" w:rsidR="00F421F8" w:rsidRPr="00131EED" w:rsidRDefault="00F421F8">
            <w:pPr>
              <w:jc w:val="center"/>
              <w:rPr>
                <w:i/>
                <w:color w:val="000000"/>
                <w:sz w:val="16"/>
                <w:szCs w:val="16"/>
                <w:lang w:eastAsia="en-US"/>
              </w:rPr>
            </w:pPr>
            <w:r w:rsidRPr="00131EED">
              <w:rPr>
                <w:sz w:val="16"/>
                <w:szCs w:val="16"/>
              </w:rPr>
              <w:t>241</w:t>
            </w:r>
          </w:p>
        </w:tc>
        <w:tc>
          <w:tcPr>
            <w:tcW w:w="378" w:type="pct"/>
            <w:tcBorders>
              <w:top w:val="nil"/>
              <w:left w:val="nil"/>
              <w:bottom w:val="single" w:sz="4" w:space="0" w:color="auto"/>
              <w:right w:val="single" w:sz="4" w:space="0" w:color="auto"/>
            </w:tcBorders>
            <w:noWrap/>
            <w:hideMark/>
          </w:tcPr>
          <w:p w14:paraId="3BFB8EBC" w14:textId="77777777" w:rsidR="00F421F8" w:rsidRPr="00131EED" w:rsidRDefault="00F421F8">
            <w:pPr>
              <w:jc w:val="center"/>
              <w:rPr>
                <w:i/>
                <w:color w:val="000000"/>
                <w:sz w:val="16"/>
                <w:szCs w:val="16"/>
                <w:lang w:eastAsia="en-US"/>
              </w:rPr>
            </w:pPr>
            <w:r w:rsidRPr="00131EED">
              <w:rPr>
                <w:sz w:val="16"/>
                <w:szCs w:val="16"/>
              </w:rPr>
              <w:t>279</w:t>
            </w:r>
          </w:p>
        </w:tc>
        <w:tc>
          <w:tcPr>
            <w:tcW w:w="378" w:type="pct"/>
            <w:tcBorders>
              <w:top w:val="nil"/>
              <w:left w:val="nil"/>
              <w:bottom w:val="single" w:sz="4" w:space="0" w:color="auto"/>
              <w:right w:val="single" w:sz="4" w:space="0" w:color="auto"/>
            </w:tcBorders>
            <w:noWrap/>
            <w:hideMark/>
          </w:tcPr>
          <w:p w14:paraId="3C9F9CF6" w14:textId="77777777" w:rsidR="00F421F8" w:rsidRPr="00131EED" w:rsidRDefault="00F421F8">
            <w:pPr>
              <w:jc w:val="center"/>
              <w:rPr>
                <w:i/>
                <w:color w:val="000000"/>
                <w:sz w:val="16"/>
                <w:szCs w:val="16"/>
                <w:lang w:eastAsia="en-US"/>
              </w:rPr>
            </w:pPr>
            <w:r w:rsidRPr="00131EED">
              <w:rPr>
                <w:sz w:val="16"/>
                <w:szCs w:val="16"/>
              </w:rPr>
              <w:t>319</w:t>
            </w:r>
          </w:p>
        </w:tc>
        <w:tc>
          <w:tcPr>
            <w:tcW w:w="378" w:type="pct"/>
            <w:tcBorders>
              <w:top w:val="nil"/>
              <w:left w:val="nil"/>
              <w:bottom w:val="single" w:sz="4" w:space="0" w:color="auto"/>
              <w:right w:val="single" w:sz="4" w:space="0" w:color="auto"/>
            </w:tcBorders>
            <w:noWrap/>
            <w:hideMark/>
          </w:tcPr>
          <w:p w14:paraId="52555AF7" w14:textId="77777777" w:rsidR="00F421F8" w:rsidRPr="00131EED" w:rsidRDefault="00F421F8">
            <w:pPr>
              <w:jc w:val="center"/>
              <w:rPr>
                <w:i/>
                <w:color w:val="000000"/>
                <w:sz w:val="16"/>
                <w:szCs w:val="16"/>
                <w:lang w:eastAsia="en-US"/>
              </w:rPr>
            </w:pPr>
            <w:r w:rsidRPr="00131EED">
              <w:rPr>
                <w:sz w:val="16"/>
                <w:szCs w:val="16"/>
              </w:rPr>
              <w:t>360</w:t>
            </w:r>
          </w:p>
        </w:tc>
        <w:tc>
          <w:tcPr>
            <w:tcW w:w="378" w:type="pct"/>
            <w:tcBorders>
              <w:top w:val="nil"/>
              <w:left w:val="nil"/>
              <w:bottom w:val="single" w:sz="4" w:space="0" w:color="auto"/>
              <w:right w:val="single" w:sz="4" w:space="0" w:color="auto"/>
            </w:tcBorders>
            <w:noWrap/>
            <w:hideMark/>
          </w:tcPr>
          <w:p w14:paraId="2F8F8827" w14:textId="77777777" w:rsidR="00F421F8" w:rsidRPr="00131EED" w:rsidRDefault="00F421F8">
            <w:pPr>
              <w:jc w:val="center"/>
              <w:rPr>
                <w:i/>
                <w:color w:val="000000"/>
                <w:sz w:val="16"/>
                <w:szCs w:val="16"/>
                <w:lang w:eastAsia="en-US"/>
              </w:rPr>
            </w:pPr>
            <w:r w:rsidRPr="00131EED">
              <w:rPr>
                <w:sz w:val="16"/>
                <w:szCs w:val="16"/>
              </w:rPr>
              <w:t>382</w:t>
            </w:r>
          </w:p>
        </w:tc>
        <w:tc>
          <w:tcPr>
            <w:tcW w:w="378" w:type="pct"/>
            <w:tcBorders>
              <w:top w:val="nil"/>
              <w:left w:val="nil"/>
              <w:bottom w:val="single" w:sz="4" w:space="0" w:color="auto"/>
              <w:right w:val="single" w:sz="4" w:space="0" w:color="auto"/>
            </w:tcBorders>
            <w:noWrap/>
            <w:hideMark/>
          </w:tcPr>
          <w:p w14:paraId="30671284" w14:textId="77777777" w:rsidR="00F421F8" w:rsidRPr="00131EED" w:rsidRDefault="00F421F8">
            <w:pPr>
              <w:jc w:val="center"/>
              <w:rPr>
                <w:i/>
                <w:color w:val="000000"/>
                <w:sz w:val="16"/>
                <w:szCs w:val="16"/>
                <w:lang w:eastAsia="en-US"/>
              </w:rPr>
            </w:pPr>
            <w:r w:rsidRPr="00131EED">
              <w:rPr>
                <w:sz w:val="16"/>
                <w:szCs w:val="16"/>
              </w:rPr>
              <w:t>405</w:t>
            </w:r>
          </w:p>
        </w:tc>
        <w:tc>
          <w:tcPr>
            <w:tcW w:w="378" w:type="pct"/>
            <w:tcBorders>
              <w:top w:val="nil"/>
              <w:left w:val="nil"/>
              <w:bottom w:val="single" w:sz="4" w:space="0" w:color="auto"/>
              <w:right w:val="single" w:sz="4" w:space="0" w:color="auto"/>
            </w:tcBorders>
            <w:noWrap/>
            <w:hideMark/>
          </w:tcPr>
          <w:p w14:paraId="7D3E1D54" w14:textId="77777777" w:rsidR="00F421F8" w:rsidRPr="00131EED" w:rsidRDefault="00F421F8">
            <w:pPr>
              <w:jc w:val="center"/>
              <w:rPr>
                <w:i/>
                <w:color w:val="000000"/>
                <w:sz w:val="16"/>
                <w:szCs w:val="16"/>
                <w:lang w:eastAsia="en-US"/>
              </w:rPr>
            </w:pPr>
            <w:r w:rsidRPr="00131EED">
              <w:rPr>
                <w:sz w:val="16"/>
                <w:szCs w:val="16"/>
              </w:rPr>
              <w:t>429</w:t>
            </w:r>
          </w:p>
        </w:tc>
        <w:tc>
          <w:tcPr>
            <w:tcW w:w="378" w:type="pct"/>
            <w:tcBorders>
              <w:top w:val="nil"/>
              <w:left w:val="nil"/>
              <w:bottom w:val="single" w:sz="4" w:space="0" w:color="auto"/>
              <w:right w:val="single" w:sz="4" w:space="0" w:color="auto"/>
            </w:tcBorders>
            <w:noWrap/>
            <w:hideMark/>
          </w:tcPr>
          <w:p w14:paraId="52F81561" w14:textId="77777777" w:rsidR="00F421F8" w:rsidRPr="00131EED" w:rsidRDefault="00F421F8">
            <w:pPr>
              <w:jc w:val="center"/>
              <w:rPr>
                <w:i/>
                <w:color w:val="000000"/>
                <w:sz w:val="16"/>
                <w:szCs w:val="16"/>
                <w:lang w:eastAsia="en-US"/>
              </w:rPr>
            </w:pPr>
            <w:r w:rsidRPr="00131EED">
              <w:rPr>
                <w:sz w:val="16"/>
                <w:szCs w:val="16"/>
              </w:rPr>
              <w:t>453</w:t>
            </w:r>
          </w:p>
        </w:tc>
        <w:tc>
          <w:tcPr>
            <w:tcW w:w="378" w:type="pct"/>
            <w:tcBorders>
              <w:top w:val="nil"/>
              <w:left w:val="nil"/>
              <w:bottom w:val="single" w:sz="4" w:space="0" w:color="auto"/>
              <w:right w:val="single" w:sz="4" w:space="0" w:color="auto"/>
            </w:tcBorders>
            <w:noWrap/>
            <w:hideMark/>
          </w:tcPr>
          <w:p w14:paraId="1258F971" w14:textId="77777777" w:rsidR="00F421F8" w:rsidRPr="00131EED" w:rsidRDefault="00F421F8">
            <w:pPr>
              <w:jc w:val="center"/>
              <w:rPr>
                <w:i/>
                <w:color w:val="000000"/>
                <w:sz w:val="16"/>
                <w:szCs w:val="16"/>
                <w:lang w:eastAsia="en-US"/>
              </w:rPr>
            </w:pPr>
            <w:r w:rsidRPr="00131EED">
              <w:rPr>
                <w:sz w:val="16"/>
                <w:szCs w:val="16"/>
              </w:rPr>
              <w:t>478</w:t>
            </w:r>
          </w:p>
        </w:tc>
        <w:tc>
          <w:tcPr>
            <w:tcW w:w="378" w:type="pct"/>
            <w:tcBorders>
              <w:top w:val="nil"/>
              <w:left w:val="nil"/>
              <w:bottom w:val="single" w:sz="4" w:space="0" w:color="auto"/>
              <w:right w:val="single" w:sz="4" w:space="0" w:color="auto"/>
            </w:tcBorders>
            <w:noWrap/>
            <w:hideMark/>
          </w:tcPr>
          <w:p w14:paraId="7A66174C" w14:textId="77777777" w:rsidR="00F421F8" w:rsidRPr="00131EED" w:rsidRDefault="00F421F8">
            <w:pPr>
              <w:jc w:val="center"/>
              <w:rPr>
                <w:i/>
                <w:color w:val="000000"/>
                <w:sz w:val="16"/>
                <w:szCs w:val="16"/>
                <w:lang w:eastAsia="en-US"/>
              </w:rPr>
            </w:pPr>
            <w:r w:rsidRPr="00131EED">
              <w:rPr>
                <w:sz w:val="16"/>
                <w:szCs w:val="16"/>
              </w:rPr>
              <w:t>500</w:t>
            </w:r>
          </w:p>
        </w:tc>
        <w:tc>
          <w:tcPr>
            <w:tcW w:w="378" w:type="pct"/>
            <w:tcBorders>
              <w:top w:val="nil"/>
              <w:left w:val="nil"/>
              <w:bottom w:val="single" w:sz="4" w:space="0" w:color="auto"/>
              <w:right w:val="single" w:sz="4" w:space="0" w:color="auto"/>
            </w:tcBorders>
            <w:noWrap/>
            <w:hideMark/>
          </w:tcPr>
          <w:p w14:paraId="3998C81A" w14:textId="77777777" w:rsidR="00F421F8" w:rsidRPr="00131EED" w:rsidRDefault="00F421F8">
            <w:pPr>
              <w:jc w:val="center"/>
              <w:rPr>
                <w:i/>
                <w:color w:val="000000"/>
                <w:sz w:val="16"/>
                <w:szCs w:val="16"/>
                <w:lang w:eastAsia="en-US"/>
              </w:rPr>
            </w:pPr>
            <w:r w:rsidRPr="00131EED">
              <w:rPr>
                <w:sz w:val="16"/>
                <w:szCs w:val="16"/>
              </w:rPr>
              <w:t>509</w:t>
            </w:r>
          </w:p>
        </w:tc>
        <w:tc>
          <w:tcPr>
            <w:tcW w:w="378" w:type="pct"/>
            <w:tcBorders>
              <w:top w:val="nil"/>
              <w:left w:val="nil"/>
              <w:bottom w:val="single" w:sz="4" w:space="0" w:color="auto"/>
              <w:right w:val="single" w:sz="4" w:space="0" w:color="auto"/>
            </w:tcBorders>
            <w:noWrap/>
            <w:hideMark/>
          </w:tcPr>
          <w:p w14:paraId="35417346" w14:textId="77777777" w:rsidR="00F421F8" w:rsidRPr="00131EED" w:rsidRDefault="00F421F8">
            <w:pPr>
              <w:jc w:val="center"/>
              <w:rPr>
                <w:i/>
                <w:color w:val="000000"/>
                <w:sz w:val="16"/>
                <w:szCs w:val="16"/>
                <w:lang w:eastAsia="en-US"/>
              </w:rPr>
            </w:pPr>
            <w:r w:rsidRPr="00131EED">
              <w:rPr>
                <w:sz w:val="16"/>
                <w:szCs w:val="16"/>
              </w:rPr>
              <w:t>519</w:t>
            </w:r>
          </w:p>
        </w:tc>
      </w:tr>
      <w:tr w:rsidR="00F421F8" w:rsidRPr="00131EED" w14:paraId="033FFF5B"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57E8B8B2" w14:textId="77777777" w:rsidR="00F421F8" w:rsidRPr="00131EED" w:rsidRDefault="00F421F8">
            <w:pPr>
              <w:jc w:val="center"/>
              <w:rPr>
                <w:b/>
                <w:i/>
                <w:color w:val="000000"/>
                <w:sz w:val="16"/>
                <w:szCs w:val="16"/>
                <w:lang w:eastAsia="en-US"/>
              </w:rPr>
            </w:pPr>
            <w:r w:rsidRPr="00131EED">
              <w:rPr>
                <w:b/>
                <w:i/>
                <w:color w:val="000000"/>
                <w:sz w:val="16"/>
                <w:szCs w:val="16"/>
                <w:lang w:eastAsia="en-US"/>
              </w:rPr>
              <w:t>Cota</w:t>
            </w:r>
          </w:p>
        </w:tc>
        <w:tc>
          <w:tcPr>
            <w:tcW w:w="378" w:type="pct"/>
            <w:tcBorders>
              <w:top w:val="nil"/>
              <w:left w:val="nil"/>
              <w:bottom w:val="single" w:sz="4" w:space="0" w:color="auto"/>
              <w:right w:val="single" w:sz="4" w:space="0" w:color="auto"/>
            </w:tcBorders>
            <w:noWrap/>
            <w:hideMark/>
          </w:tcPr>
          <w:p w14:paraId="16026879" w14:textId="77777777" w:rsidR="00F421F8" w:rsidRPr="00131EED" w:rsidRDefault="00F421F8">
            <w:pPr>
              <w:jc w:val="center"/>
              <w:rPr>
                <w:i/>
                <w:color w:val="000000"/>
                <w:sz w:val="16"/>
                <w:szCs w:val="16"/>
                <w:lang w:eastAsia="en-US"/>
              </w:rPr>
            </w:pPr>
            <w:r w:rsidRPr="00131EED">
              <w:rPr>
                <w:sz w:val="16"/>
                <w:szCs w:val="16"/>
              </w:rPr>
              <w:t>134</w:t>
            </w:r>
          </w:p>
        </w:tc>
        <w:tc>
          <w:tcPr>
            <w:tcW w:w="378" w:type="pct"/>
            <w:tcBorders>
              <w:top w:val="nil"/>
              <w:left w:val="nil"/>
              <w:bottom w:val="single" w:sz="4" w:space="0" w:color="auto"/>
              <w:right w:val="single" w:sz="4" w:space="0" w:color="auto"/>
            </w:tcBorders>
            <w:noWrap/>
            <w:hideMark/>
          </w:tcPr>
          <w:p w14:paraId="756E9B55" w14:textId="77777777" w:rsidR="00F421F8" w:rsidRPr="00131EED" w:rsidRDefault="00F421F8">
            <w:pPr>
              <w:jc w:val="center"/>
              <w:rPr>
                <w:i/>
                <w:color w:val="000000"/>
                <w:sz w:val="16"/>
                <w:szCs w:val="16"/>
                <w:lang w:eastAsia="en-US"/>
              </w:rPr>
            </w:pPr>
            <w:r w:rsidRPr="00131EED">
              <w:rPr>
                <w:sz w:val="16"/>
                <w:szCs w:val="16"/>
              </w:rPr>
              <w:t>154</w:t>
            </w:r>
          </w:p>
        </w:tc>
        <w:tc>
          <w:tcPr>
            <w:tcW w:w="378" w:type="pct"/>
            <w:tcBorders>
              <w:top w:val="nil"/>
              <w:left w:val="nil"/>
              <w:bottom w:val="single" w:sz="4" w:space="0" w:color="auto"/>
              <w:right w:val="single" w:sz="4" w:space="0" w:color="auto"/>
            </w:tcBorders>
            <w:noWrap/>
            <w:hideMark/>
          </w:tcPr>
          <w:p w14:paraId="2F4A009E" w14:textId="77777777" w:rsidR="00F421F8" w:rsidRPr="00131EED" w:rsidRDefault="00F421F8">
            <w:pPr>
              <w:jc w:val="center"/>
              <w:rPr>
                <w:i/>
                <w:color w:val="000000"/>
                <w:sz w:val="16"/>
                <w:szCs w:val="16"/>
                <w:lang w:eastAsia="en-US"/>
              </w:rPr>
            </w:pPr>
            <w:r w:rsidRPr="00131EED">
              <w:rPr>
                <w:sz w:val="16"/>
                <w:szCs w:val="16"/>
              </w:rPr>
              <w:t>176</w:t>
            </w:r>
          </w:p>
        </w:tc>
        <w:tc>
          <w:tcPr>
            <w:tcW w:w="378" w:type="pct"/>
            <w:tcBorders>
              <w:top w:val="nil"/>
              <w:left w:val="nil"/>
              <w:bottom w:val="single" w:sz="4" w:space="0" w:color="auto"/>
              <w:right w:val="single" w:sz="4" w:space="0" w:color="auto"/>
            </w:tcBorders>
            <w:noWrap/>
            <w:hideMark/>
          </w:tcPr>
          <w:p w14:paraId="4506873D" w14:textId="77777777" w:rsidR="00F421F8" w:rsidRPr="00131EED" w:rsidRDefault="00F421F8">
            <w:pPr>
              <w:jc w:val="center"/>
              <w:rPr>
                <w:i/>
                <w:color w:val="000000"/>
                <w:sz w:val="16"/>
                <w:szCs w:val="16"/>
                <w:lang w:eastAsia="en-US"/>
              </w:rPr>
            </w:pPr>
            <w:r w:rsidRPr="00131EED">
              <w:rPr>
                <w:sz w:val="16"/>
                <w:szCs w:val="16"/>
              </w:rPr>
              <w:t>198</w:t>
            </w:r>
          </w:p>
        </w:tc>
        <w:tc>
          <w:tcPr>
            <w:tcW w:w="378" w:type="pct"/>
            <w:tcBorders>
              <w:top w:val="nil"/>
              <w:left w:val="nil"/>
              <w:bottom w:val="single" w:sz="4" w:space="0" w:color="auto"/>
              <w:right w:val="single" w:sz="4" w:space="0" w:color="auto"/>
            </w:tcBorders>
            <w:noWrap/>
            <w:hideMark/>
          </w:tcPr>
          <w:p w14:paraId="267F00D5" w14:textId="77777777" w:rsidR="00F421F8" w:rsidRPr="00131EED" w:rsidRDefault="00F421F8">
            <w:pPr>
              <w:jc w:val="center"/>
              <w:rPr>
                <w:i/>
                <w:color w:val="000000"/>
                <w:sz w:val="16"/>
                <w:szCs w:val="16"/>
                <w:lang w:eastAsia="en-US"/>
              </w:rPr>
            </w:pPr>
            <w:r w:rsidRPr="00131EED">
              <w:rPr>
                <w:sz w:val="16"/>
                <w:szCs w:val="16"/>
              </w:rPr>
              <w:t>215</w:t>
            </w:r>
          </w:p>
        </w:tc>
        <w:tc>
          <w:tcPr>
            <w:tcW w:w="378" w:type="pct"/>
            <w:tcBorders>
              <w:top w:val="nil"/>
              <w:left w:val="nil"/>
              <w:bottom w:val="single" w:sz="4" w:space="0" w:color="auto"/>
              <w:right w:val="single" w:sz="4" w:space="0" w:color="auto"/>
            </w:tcBorders>
            <w:noWrap/>
            <w:hideMark/>
          </w:tcPr>
          <w:p w14:paraId="714FC4C4" w14:textId="77777777" w:rsidR="00F421F8" w:rsidRPr="00131EED" w:rsidRDefault="00F421F8">
            <w:pPr>
              <w:jc w:val="center"/>
              <w:rPr>
                <w:i/>
                <w:color w:val="000000"/>
                <w:sz w:val="16"/>
                <w:szCs w:val="16"/>
                <w:lang w:eastAsia="en-US"/>
              </w:rPr>
            </w:pPr>
            <w:r w:rsidRPr="00131EED">
              <w:rPr>
                <w:sz w:val="16"/>
                <w:szCs w:val="16"/>
              </w:rPr>
              <w:t>232</w:t>
            </w:r>
          </w:p>
        </w:tc>
        <w:tc>
          <w:tcPr>
            <w:tcW w:w="378" w:type="pct"/>
            <w:tcBorders>
              <w:top w:val="nil"/>
              <w:left w:val="nil"/>
              <w:bottom w:val="single" w:sz="4" w:space="0" w:color="auto"/>
              <w:right w:val="single" w:sz="4" w:space="0" w:color="auto"/>
            </w:tcBorders>
            <w:noWrap/>
            <w:hideMark/>
          </w:tcPr>
          <w:p w14:paraId="1C3C87CB" w14:textId="77777777" w:rsidR="00F421F8" w:rsidRPr="00131EED" w:rsidRDefault="00F421F8">
            <w:pPr>
              <w:jc w:val="center"/>
              <w:rPr>
                <w:i/>
                <w:color w:val="000000"/>
                <w:sz w:val="16"/>
                <w:szCs w:val="16"/>
                <w:lang w:eastAsia="en-US"/>
              </w:rPr>
            </w:pPr>
            <w:r w:rsidRPr="00131EED">
              <w:rPr>
                <w:sz w:val="16"/>
                <w:szCs w:val="16"/>
              </w:rPr>
              <w:t>287</w:t>
            </w:r>
          </w:p>
        </w:tc>
        <w:tc>
          <w:tcPr>
            <w:tcW w:w="378" w:type="pct"/>
            <w:tcBorders>
              <w:top w:val="nil"/>
              <w:left w:val="nil"/>
              <w:bottom w:val="single" w:sz="4" w:space="0" w:color="auto"/>
              <w:right w:val="single" w:sz="4" w:space="0" w:color="auto"/>
            </w:tcBorders>
            <w:noWrap/>
            <w:hideMark/>
          </w:tcPr>
          <w:p w14:paraId="5932427F" w14:textId="77777777" w:rsidR="00F421F8" w:rsidRPr="00131EED" w:rsidRDefault="00F421F8">
            <w:pPr>
              <w:jc w:val="center"/>
              <w:rPr>
                <w:i/>
                <w:color w:val="000000"/>
                <w:sz w:val="16"/>
                <w:szCs w:val="16"/>
                <w:lang w:eastAsia="en-US"/>
              </w:rPr>
            </w:pPr>
            <w:r w:rsidRPr="00131EED">
              <w:rPr>
                <w:sz w:val="16"/>
                <w:szCs w:val="16"/>
              </w:rPr>
              <w:t>349</w:t>
            </w:r>
          </w:p>
        </w:tc>
        <w:tc>
          <w:tcPr>
            <w:tcW w:w="378" w:type="pct"/>
            <w:tcBorders>
              <w:top w:val="nil"/>
              <w:left w:val="nil"/>
              <w:bottom w:val="single" w:sz="4" w:space="0" w:color="auto"/>
              <w:right w:val="single" w:sz="4" w:space="0" w:color="auto"/>
            </w:tcBorders>
            <w:noWrap/>
            <w:hideMark/>
          </w:tcPr>
          <w:p w14:paraId="782DF479" w14:textId="77777777" w:rsidR="00F421F8" w:rsidRPr="00131EED" w:rsidRDefault="00F421F8">
            <w:pPr>
              <w:jc w:val="center"/>
              <w:rPr>
                <w:i/>
                <w:color w:val="000000"/>
                <w:sz w:val="16"/>
                <w:szCs w:val="16"/>
                <w:lang w:eastAsia="en-US"/>
              </w:rPr>
            </w:pPr>
            <w:r w:rsidRPr="00131EED">
              <w:rPr>
                <w:sz w:val="16"/>
                <w:szCs w:val="16"/>
              </w:rPr>
              <w:t>412</w:t>
            </w:r>
          </w:p>
        </w:tc>
        <w:tc>
          <w:tcPr>
            <w:tcW w:w="378" w:type="pct"/>
            <w:tcBorders>
              <w:top w:val="nil"/>
              <w:left w:val="nil"/>
              <w:bottom w:val="single" w:sz="4" w:space="0" w:color="auto"/>
              <w:right w:val="single" w:sz="4" w:space="0" w:color="auto"/>
            </w:tcBorders>
            <w:noWrap/>
            <w:hideMark/>
          </w:tcPr>
          <w:p w14:paraId="1608CD35" w14:textId="77777777" w:rsidR="00F421F8" w:rsidRPr="00131EED" w:rsidRDefault="00F421F8">
            <w:pPr>
              <w:jc w:val="center"/>
              <w:rPr>
                <w:i/>
                <w:color w:val="000000"/>
                <w:sz w:val="16"/>
                <w:szCs w:val="16"/>
                <w:lang w:eastAsia="en-US"/>
              </w:rPr>
            </w:pPr>
            <w:r w:rsidRPr="00131EED">
              <w:rPr>
                <w:sz w:val="16"/>
                <w:szCs w:val="16"/>
              </w:rPr>
              <w:t>469</w:t>
            </w:r>
          </w:p>
        </w:tc>
        <w:tc>
          <w:tcPr>
            <w:tcW w:w="378" w:type="pct"/>
            <w:tcBorders>
              <w:top w:val="nil"/>
              <w:left w:val="nil"/>
              <w:bottom w:val="single" w:sz="4" w:space="0" w:color="auto"/>
              <w:right w:val="single" w:sz="4" w:space="0" w:color="auto"/>
            </w:tcBorders>
            <w:noWrap/>
            <w:hideMark/>
          </w:tcPr>
          <w:p w14:paraId="6AB5187B" w14:textId="77777777" w:rsidR="00F421F8" w:rsidRPr="00131EED" w:rsidRDefault="00F421F8">
            <w:pPr>
              <w:jc w:val="center"/>
              <w:rPr>
                <w:i/>
                <w:color w:val="000000"/>
                <w:sz w:val="16"/>
                <w:szCs w:val="16"/>
                <w:lang w:eastAsia="en-US"/>
              </w:rPr>
            </w:pPr>
            <w:r w:rsidRPr="00131EED">
              <w:rPr>
                <w:sz w:val="16"/>
                <w:szCs w:val="16"/>
              </w:rPr>
              <w:t>490</w:t>
            </w:r>
          </w:p>
        </w:tc>
        <w:tc>
          <w:tcPr>
            <w:tcW w:w="378" w:type="pct"/>
            <w:tcBorders>
              <w:top w:val="nil"/>
              <w:left w:val="nil"/>
              <w:bottom w:val="single" w:sz="4" w:space="0" w:color="auto"/>
              <w:right w:val="single" w:sz="4" w:space="0" w:color="auto"/>
            </w:tcBorders>
            <w:noWrap/>
            <w:hideMark/>
          </w:tcPr>
          <w:p w14:paraId="407929A9" w14:textId="77777777" w:rsidR="00F421F8" w:rsidRPr="00131EED" w:rsidRDefault="00F421F8">
            <w:pPr>
              <w:jc w:val="center"/>
              <w:rPr>
                <w:i/>
                <w:color w:val="000000"/>
                <w:sz w:val="16"/>
                <w:szCs w:val="16"/>
                <w:lang w:eastAsia="en-US"/>
              </w:rPr>
            </w:pPr>
            <w:r w:rsidRPr="00131EED">
              <w:rPr>
                <w:sz w:val="16"/>
                <w:szCs w:val="16"/>
              </w:rPr>
              <w:t>501</w:t>
            </w:r>
          </w:p>
        </w:tc>
      </w:tr>
      <w:tr w:rsidR="00F421F8" w:rsidRPr="00131EED" w14:paraId="19F57B43"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4933FA0F" w14:textId="77777777" w:rsidR="00F421F8" w:rsidRPr="00131EED" w:rsidRDefault="00F421F8">
            <w:pPr>
              <w:jc w:val="center"/>
              <w:rPr>
                <w:b/>
                <w:i/>
                <w:color w:val="000000"/>
                <w:sz w:val="16"/>
                <w:szCs w:val="16"/>
                <w:lang w:eastAsia="en-US"/>
              </w:rPr>
            </w:pPr>
            <w:r w:rsidRPr="00131EED">
              <w:rPr>
                <w:b/>
                <w:i/>
                <w:color w:val="000000"/>
                <w:sz w:val="16"/>
                <w:szCs w:val="16"/>
                <w:lang w:eastAsia="en-US"/>
              </w:rPr>
              <w:t>Cajicá</w:t>
            </w:r>
          </w:p>
        </w:tc>
        <w:tc>
          <w:tcPr>
            <w:tcW w:w="378" w:type="pct"/>
            <w:tcBorders>
              <w:top w:val="nil"/>
              <w:left w:val="nil"/>
              <w:bottom w:val="single" w:sz="4" w:space="0" w:color="auto"/>
              <w:right w:val="single" w:sz="4" w:space="0" w:color="auto"/>
            </w:tcBorders>
            <w:noWrap/>
            <w:hideMark/>
          </w:tcPr>
          <w:p w14:paraId="6A0CED89" w14:textId="77777777" w:rsidR="00F421F8" w:rsidRPr="00131EED" w:rsidRDefault="00F421F8">
            <w:pPr>
              <w:jc w:val="center"/>
              <w:rPr>
                <w:i/>
                <w:color w:val="000000"/>
                <w:sz w:val="16"/>
                <w:szCs w:val="16"/>
                <w:lang w:eastAsia="en-US"/>
              </w:rPr>
            </w:pPr>
            <w:r w:rsidRPr="00131EED">
              <w:rPr>
                <w:sz w:val="16"/>
                <w:szCs w:val="16"/>
              </w:rPr>
              <w:t>204</w:t>
            </w:r>
          </w:p>
        </w:tc>
        <w:tc>
          <w:tcPr>
            <w:tcW w:w="378" w:type="pct"/>
            <w:tcBorders>
              <w:top w:val="nil"/>
              <w:left w:val="nil"/>
              <w:bottom w:val="single" w:sz="4" w:space="0" w:color="auto"/>
              <w:right w:val="single" w:sz="4" w:space="0" w:color="auto"/>
            </w:tcBorders>
            <w:noWrap/>
            <w:hideMark/>
          </w:tcPr>
          <w:p w14:paraId="0D019AAE" w14:textId="77777777" w:rsidR="00F421F8" w:rsidRPr="00131EED" w:rsidRDefault="00F421F8">
            <w:pPr>
              <w:jc w:val="center"/>
              <w:rPr>
                <w:i/>
                <w:color w:val="000000"/>
                <w:sz w:val="16"/>
                <w:szCs w:val="16"/>
                <w:lang w:eastAsia="en-US"/>
              </w:rPr>
            </w:pPr>
            <w:r w:rsidRPr="00131EED">
              <w:rPr>
                <w:sz w:val="16"/>
                <w:szCs w:val="16"/>
              </w:rPr>
              <w:t>228</w:t>
            </w:r>
          </w:p>
        </w:tc>
        <w:tc>
          <w:tcPr>
            <w:tcW w:w="378" w:type="pct"/>
            <w:tcBorders>
              <w:top w:val="nil"/>
              <w:left w:val="nil"/>
              <w:bottom w:val="single" w:sz="4" w:space="0" w:color="auto"/>
              <w:right w:val="single" w:sz="4" w:space="0" w:color="auto"/>
            </w:tcBorders>
            <w:noWrap/>
            <w:hideMark/>
          </w:tcPr>
          <w:p w14:paraId="1197CCFF" w14:textId="77777777" w:rsidR="00F421F8" w:rsidRPr="00131EED" w:rsidRDefault="00F421F8">
            <w:pPr>
              <w:jc w:val="center"/>
              <w:rPr>
                <w:i/>
                <w:color w:val="000000"/>
                <w:sz w:val="16"/>
                <w:szCs w:val="16"/>
                <w:lang w:eastAsia="en-US"/>
              </w:rPr>
            </w:pPr>
            <w:r w:rsidRPr="00131EED">
              <w:rPr>
                <w:sz w:val="16"/>
                <w:szCs w:val="16"/>
              </w:rPr>
              <w:t>254</w:t>
            </w:r>
          </w:p>
        </w:tc>
        <w:tc>
          <w:tcPr>
            <w:tcW w:w="378" w:type="pct"/>
            <w:tcBorders>
              <w:top w:val="nil"/>
              <w:left w:val="nil"/>
              <w:bottom w:val="single" w:sz="4" w:space="0" w:color="auto"/>
              <w:right w:val="single" w:sz="4" w:space="0" w:color="auto"/>
            </w:tcBorders>
            <w:noWrap/>
            <w:hideMark/>
          </w:tcPr>
          <w:p w14:paraId="07A00691" w14:textId="77777777" w:rsidR="00F421F8" w:rsidRPr="00131EED" w:rsidRDefault="00F421F8">
            <w:pPr>
              <w:jc w:val="center"/>
              <w:rPr>
                <w:i/>
                <w:color w:val="000000"/>
                <w:sz w:val="16"/>
                <w:szCs w:val="16"/>
                <w:lang w:eastAsia="en-US"/>
              </w:rPr>
            </w:pPr>
            <w:r w:rsidRPr="00131EED">
              <w:rPr>
                <w:sz w:val="16"/>
                <w:szCs w:val="16"/>
              </w:rPr>
              <w:t>281</w:t>
            </w:r>
          </w:p>
        </w:tc>
        <w:tc>
          <w:tcPr>
            <w:tcW w:w="378" w:type="pct"/>
            <w:tcBorders>
              <w:top w:val="nil"/>
              <w:left w:val="nil"/>
              <w:bottom w:val="single" w:sz="4" w:space="0" w:color="auto"/>
              <w:right w:val="single" w:sz="4" w:space="0" w:color="auto"/>
            </w:tcBorders>
            <w:noWrap/>
            <w:hideMark/>
          </w:tcPr>
          <w:p w14:paraId="2128976F" w14:textId="77777777" w:rsidR="00F421F8" w:rsidRPr="00131EED" w:rsidRDefault="00F421F8">
            <w:pPr>
              <w:jc w:val="center"/>
              <w:rPr>
                <w:i/>
                <w:color w:val="000000"/>
                <w:sz w:val="16"/>
                <w:szCs w:val="16"/>
                <w:lang w:eastAsia="en-US"/>
              </w:rPr>
            </w:pPr>
            <w:r w:rsidRPr="00131EED">
              <w:rPr>
                <w:sz w:val="16"/>
                <w:szCs w:val="16"/>
              </w:rPr>
              <w:t>304</w:t>
            </w:r>
          </w:p>
        </w:tc>
        <w:tc>
          <w:tcPr>
            <w:tcW w:w="378" w:type="pct"/>
            <w:tcBorders>
              <w:top w:val="nil"/>
              <w:left w:val="nil"/>
              <w:bottom w:val="single" w:sz="4" w:space="0" w:color="auto"/>
              <w:right w:val="single" w:sz="4" w:space="0" w:color="auto"/>
            </w:tcBorders>
            <w:noWrap/>
            <w:hideMark/>
          </w:tcPr>
          <w:p w14:paraId="2D463DFD" w14:textId="77777777" w:rsidR="00F421F8" w:rsidRPr="00131EED" w:rsidRDefault="00F421F8">
            <w:pPr>
              <w:jc w:val="center"/>
              <w:rPr>
                <w:i/>
                <w:color w:val="000000"/>
                <w:sz w:val="16"/>
                <w:szCs w:val="16"/>
                <w:lang w:eastAsia="en-US"/>
              </w:rPr>
            </w:pPr>
            <w:r w:rsidRPr="00131EED">
              <w:rPr>
                <w:sz w:val="16"/>
                <w:szCs w:val="16"/>
              </w:rPr>
              <w:t>329</w:t>
            </w:r>
          </w:p>
        </w:tc>
        <w:tc>
          <w:tcPr>
            <w:tcW w:w="378" w:type="pct"/>
            <w:tcBorders>
              <w:top w:val="nil"/>
              <w:left w:val="nil"/>
              <w:bottom w:val="single" w:sz="4" w:space="0" w:color="auto"/>
              <w:right w:val="single" w:sz="4" w:space="0" w:color="auto"/>
            </w:tcBorders>
            <w:noWrap/>
            <w:hideMark/>
          </w:tcPr>
          <w:p w14:paraId="7AC4E361" w14:textId="77777777" w:rsidR="00F421F8" w:rsidRPr="00131EED" w:rsidRDefault="00F421F8">
            <w:pPr>
              <w:jc w:val="center"/>
              <w:rPr>
                <w:i/>
                <w:color w:val="000000"/>
                <w:sz w:val="16"/>
                <w:szCs w:val="16"/>
                <w:lang w:eastAsia="en-US"/>
              </w:rPr>
            </w:pPr>
            <w:r w:rsidRPr="00131EED">
              <w:rPr>
                <w:sz w:val="16"/>
                <w:szCs w:val="16"/>
              </w:rPr>
              <w:t>362</w:t>
            </w:r>
          </w:p>
        </w:tc>
        <w:tc>
          <w:tcPr>
            <w:tcW w:w="378" w:type="pct"/>
            <w:tcBorders>
              <w:top w:val="nil"/>
              <w:left w:val="nil"/>
              <w:bottom w:val="single" w:sz="4" w:space="0" w:color="auto"/>
              <w:right w:val="single" w:sz="4" w:space="0" w:color="auto"/>
            </w:tcBorders>
            <w:noWrap/>
            <w:hideMark/>
          </w:tcPr>
          <w:p w14:paraId="6E540396" w14:textId="77777777" w:rsidR="00F421F8" w:rsidRPr="00131EED" w:rsidRDefault="00F421F8">
            <w:pPr>
              <w:jc w:val="center"/>
              <w:rPr>
                <w:i/>
                <w:color w:val="000000"/>
                <w:sz w:val="16"/>
                <w:szCs w:val="16"/>
                <w:lang w:eastAsia="en-US"/>
              </w:rPr>
            </w:pPr>
            <w:r w:rsidRPr="00131EED">
              <w:rPr>
                <w:sz w:val="16"/>
                <w:szCs w:val="16"/>
              </w:rPr>
              <w:t>397</w:t>
            </w:r>
          </w:p>
        </w:tc>
        <w:tc>
          <w:tcPr>
            <w:tcW w:w="378" w:type="pct"/>
            <w:tcBorders>
              <w:top w:val="nil"/>
              <w:left w:val="nil"/>
              <w:bottom w:val="single" w:sz="4" w:space="0" w:color="auto"/>
              <w:right w:val="single" w:sz="4" w:space="0" w:color="auto"/>
            </w:tcBorders>
            <w:noWrap/>
            <w:hideMark/>
          </w:tcPr>
          <w:p w14:paraId="281A7B5E" w14:textId="77777777" w:rsidR="00F421F8" w:rsidRPr="00131EED" w:rsidRDefault="00F421F8">
            <w:pPr>
              <w:jc w:val="center"/>
              <w:rPr>
                <w:i/>
                <w:color w:val="000000"/>
                <w:sz w:val="16"/>
                <w:szCs w:val="16"/>
                <w:lang w:eastAsia="en-US"/>
              </w:rPr>
            </w:pPr>
            <w:r w:rsidRPr="00131EED">
              <w:rPr>
                <w:sz w:val="16"/>
                <w:szCs w:val="16"/>
              </w:rPr>
              <w:t>435</w:t>
            </w:r>
          </w:p>
        </w:tc>
        <w:tc>
          <w:tcPr>
            <w:tcW w:w="378" w:type="pct"/>
            <w:tcBorders>
              <w:top w:val="nil"/>
              <w:left w:val="nil"/>
              <w:bottom w:val="single" w:sz="4" w:space="0" w:color="auto"/>
              <w:right w:val="single" w:sz="4" w:space="0" w:color="auto"/>
            </w:tcBorders>
            <w:noWrap/>
            <w:hideMark/>
          </w:tcPr>
          <w:p w14:paraId="1AFB91F4" w14:textId="77777777" w:rsidR="00F421F8" w:rsidRPr="00131EED" w:rsidRDefault="00F421F8">
            <w:pPr>
              <w:jc w:val="center"/>
              <w:rPr>
                <w:i/>
                <w:color w:val="000000"/>
                <w:sz w:val="16"/>
                <w:szCs w:val="16"/>
                <w:lang w:eastAsia="en-US"/>
              </w:rPr>
            </w:pPr>
            <w:r w:rsidRPr="00131EED">
              <w:rPr>
                <w:sz w:val="16"/>
                <w:szCs w:val="16"/>
              </w:rPr>
              <w:t>487</w:t>
            </w:r>
          </w:p>
        </w:tc>
        <w:tc>
          <w:tcPr>
            <w:tcW w:w="378" w:type="pct"/>
            <w:tcBorders>
              <w:top w:val="nil"/>
              <w:left w:val="nil"/>
              <w:bottom w:val="single" w:sz="4" w:space="0" w:color="auto"/>
              <w:right w:val="single" w:sz="4" w:space="0" w:color="auto"/>
            </w:tcBorders>
            <w:noWrap/>
            <w:hideMark/>
          </w:tcPr>
          <w:p w14:paraId="401AF816" w14:textId="77777777" w:rsidR="00F421F8" w:rsidRPr="00131EED" w:rsidRDefault="00F421F8">
            <w:pPr>
              <w:jc w:val="center"/>
              <w:rPr>
                <w:i/>
                <w:color w:val="000000"/>
                <w:sz w:val="16"/>
                <w:szCs w:val="16"/>
                <w:lang w:eastAsia="en-US"/>
              </w:rPr>
            </w:pPr>
            <w:r w:rsidRPr="00131EED">
              <w:rPr>
                <w:sz w:val="16"/>
                <w:szCs w:val="16"/>
              </w:rPr>
              <w:t>488</w:t>
            </w:r>
          </w:p>
        </w:tc>
        <w:tc>
          <w:tcPr>
            <w:tcW w:w="378" w:type="pct"/>
            <w:tcBorders>
              <w:top w:val="nil"/>
              <w:left w:val="nil"/>
              <w:bottom w:val="single" w:sz="4" w:space="0" w:color="auto"/>
              <w:right w:val="single" w:sz="4" w:space="0" w:color="auto"/>
            </w:tcBorders>
            <w:noWrap/>
            <w:hideMark/>
          </w:tcPr>
          <w:p w14:paraId="65AC318A" w14:textId="77777777" w:rsidR="00F421F8" w:rsidRPr="00131EED" w:rsidRDefault="00F421F8">
            <w:pPr>
              <w:jc w:val="center"/>
              <w:rPr>
                <w:i/>
                <w:color w:val="000000"/>
                <w:sz w:val="16"/>
                <w:szCs w:val="16"/>
                <w:lang w:eastAsia="en-US"/>
              </w:rPr>
            </w:pPr>
            <w:r w:rsidRPr="00131EED">
              <w:rPr>
                <w:sz w:val="16"/>
                <w:szCs w:val="16"/>
              </w:rPr>
              <w:t>495</w:t>
            </w:r>
          </w:p>
        </w:tc>
      </w:tr>
      <w:tr w:rsidR="00F421F8" w:rsidRPr="00131EED" w14:paraId="4144060C"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7986840A" w14:textId="77777777" w:rsidR="00F421F8" w:rsidRPr="00131EED" w:rsidRDefault="00F421F8">
            <w:pPr>
              <w:jc w:val="center"/>
              <w:rPr>
                <w:b/>
                <w:i/>
                <w:color w:val="000000"/>
                <w:sz w:val="16"/>
                <w:szCs w:val="16"/>
                <w:lang w:eastAsia="en-US"/>
              </w:rPr>
            </w:pPr>
            <w:r w:rsidRPr="00131EED">
              <w:rPr>
                <w:b/>
                <w:i/>
                <w:color w:val="000000"/>
                <w:sz w:val="16"/>
                <w:szCs w:val="16"/>
                <w:lang w:eastAsia="en-US"/>
              </w:rPr>
              <w:t>Funza</w:t>
            </w:r>
          </w:p>
        </w:tc>
        <w:tc>
          <w:tcPr>
            <w:tcW w:w="378" w:type="pct"/>
            <w:tcBorders>
              <w:top w:val="nil"/>
              <w:left w:val="nil"/>
              <w:bottom w:val="single" w:sz="4" w:space="0" w:color="auto"/>
              <w:right w:val="single" w:sz="4" w:space="0" w:color="auto"/>
            </w:tcBorders>
            <w:noWrap/>
            <w:hideMark/>
          </w:tcPr>
          <w:p w14:paraId="38847782" w14:textId="77777777" w:rsidR="00F421F8" w:rsidRPr="00131EED" w:rsidRDefault="00F421F8">
            <w:pPr>
              <w:jc w:val="center"/>
              <w:rPr>
                <w:i/>
                <w:color w:val="000000"/>
                <w:sz w:val="16"/>
                <w:szCs w:val="16"/>
                <w:lang w:eastAsia="en-US"/>
              </w:rPr>
            </w:pPr>
            <w:r w:rsidRPr="00131EED">
              <w:rPr>
                <w:sz w:val="16"/>
                <w:szCs w:val="16"/>
              </w:rPr>
              <w:t>152</w:t>
            </w:r>
          </w:p>
        </w:tc>
        <w:tc>
          <w:tcPr>
            <w:tcW w:w="378" w:type="pct"/>
            <w:tcBorders>
              <w:top w:val="nil"/>
              <w:left w:val="nil"/>
              <w:bottom w:val="single" w:sz="4" w:space="0" w:color="auto"/>
              <w:right w:val="single" w:sz="4" w:space="0" w:color="auto"/>
            </w:tcBorders>
            <w:noWrap/>
            <w:hideMark/>
          </w:tcPr>
          <w:p w14:paraId="4CE98414" w14:textId="77777777" w:rsidR="00F421F8" w:rsidRPr="00131EED" w:rsidRDefault="00F421F8">
            <w:pPr>
              <w:jc w:val="center"/>
              <w:rPr>
                <w:i/>
                <w:color w:val="000000"/>
                <w:sz w:val="16"/>
                <w:szCs w:val="16"/>
                <w:lang w:eastAsia="en-US"/>
              </w:rPr>
            </w:pPr>
            <w:r w:rsidRPr="00131EED">
              <w:rPr>
                <w:sz w:val="16"/>
                <w:szCs w:val="16"/>
              </w:rPr>
              <w:t>161</w:t>
            </w:r>
          </w:p>
        </w:tc>
        <w:tc>
          <w:tcPr>
            <w:tcW w:w="378" w:type="pct"/>
            <w:tcBorders>
              <w:top w:val="nil"/>
              <w:left w:val="nil"/>
              <w:bottom w:val="single" w:sz="4" w:space="0" w:color="auto"/>
              <w:right w:val="single" w:sz="4" w:space="0" w:color="auto"/>
            </w:tcBorders>
            <w:noWrap/>
            <w:hideMark/>
          </w:tcPr>
          <w:p w14:paraId="357CC28A" w14:textId="77777777" w:rsidR="00F421F8" w:rsidRPr="00131EED" w:rsidRDefault="00F421F8">
            <w:pPr>
              <w:jc w:val="center"/>
              <w:rPr>
                <w:i/>
                <w:color w:val="000000"/>
                <w:sz w:val="16"/>
                <w:szCs w:val="16"/>
                <w:lang w:eastAsia="en-US"/>
              </w:rPr>
            </w:pPr>
            <w:r w:rsidRPr="00131EED">
              <w:rPr>
                <w:sz w:val="16"/>
                <w:szCs w:val="16"/>
              </w:rPr>
              <w:t>171</w:t>
            </w:r>
          </w:p>
        </w:tc>
        <w:tc>
          <w:tcPr>
            <w:tcW w:w="378" w:type="pct"/>
            <w:tcBorders>
              <w:top w:val="nil"/>
              <w:left w:val="nil"/>
              <w:bottom w:val="single" w:sz="4" w:space="0" w:color="auto"/>
              <w:right w:val="single" w:sz="4" w:space="0" w:color="auto"/>
            </w:tcBorders>
            <w:noWrap/>
            <w:hideMark/>
          </w:tcPr>
          <w:p w14:paraId="0E4008B8" w14:textId="77777777" w:rsidR="00F421F8" w:rsidRPr="00131EED" w:rsidRDefault="00F421F8">
            <w:pPr>
              <w:jc w:val="center"/>
              <w:rPr>
                <w:i/>
                <w:color w:val="000000"/>
                <w:sz w:val="16"/>
                <w:szCs w:val="16"/>
                <w:lang w:eastAsia="en-US"/>
              </w:rPr>
            </w:pPr>
            <w:r w:rsidRPr="00131EED">
              <w:rPr>
                <w:sz w:val="16"/>
                <w:szCs w:val="16"/>
              </w:rPr>
              <w:t>181</w:t>
            </w:r>
          </w:p>
        </w:tc>
        <w:tc>
          <w:tcPr>
            <w:tcW w:w="378" w:type="pct"/>
            <w:tcBorders>
              <w:top w:val="nil"/>
              <w:left w:val="nil"/>
              <w:bottom w:val="single" w:sz="4" w:space="0" w:color="auto"/>
              <w:right w:val="single" w:sz="4" w:space="0" w:color="auto"/>
            </w:tcBorders>
            <w:noWrap/>
            <w:hideMark/>
          </w:tcPr>
          <w:p w14:paraId="499B337D" w14:textId="77777777" w:rsidR="00F421F8" w:rsidRPr="00131EED" w:rsidRDefault="00F421F8">
            <w:pPr>
              <w:jc w:val="center"/>
              <w:rPr>
                <w:i/>
                <w:color w:val="000000"/>
                <w:sz w:val="16"/>
                <w:szCs w:val="16"/>
                <w:lang w:eastAsia="en-US"/>
              </w:rPr>
            </w:pPr>
            <w:r w:rsidRPr="00131EED">
              <w:rPr>
                <w:sz w:val="16"/>
                <w:szCs w:val="16"/>
              </w:rPr>
              <w:t>199</w:t>
            </w:r>
          </w:p>
        </w:tc>
        <w:tc>
          <w:tcPr>
            <w:tcW w:w="378" w:type="pct"/>
            <w:tcBorders>
              <w:top w:val="nil"/>
              <w:left w:val="nil"/>
              <w:bottom w:val="single" w:sz="4" w:space="0" w:color="auto"/>
              <w:right w:val="single" w:sz="4" w:space="0" w:color="auto"/>
            </w:tcBorders>
            <w:noWrap/>
            <w:hideMark/>
          </w:tcPr>
          <w:p w14:paraId="62132889" w14:textId="77777777" w:rsidR="00F421F8" w:rsidRPr="00131EED" w:rsidRDefault="00F421F8">
            <w:pPr>
              <w:jc w:val="center"/>
              <w:rPr>
                <w:i/>
                <w:color w:val="000000"/>
                <w:sz w:val="16"/>
                <w:szCs w:val="16"/>
                <w:lang w:eastAsia="en-US"/>
              </w:rPr>
            </w:pPr>
            <w:r w:rsidRPr="00131EED">
              <w:rPr>
                <w:sz w:val="16"/>
                <w:szCs w:val="16"/>
              </w:rPr>
              <w:t>218</w:t>
            </w:r>
          </w:p>
        </w:tc>
        <w:tc>
          <w:tcPr>
            <w:tcW w:w="378" w:type="pct"/>
            <w:tcBorders>
              <w:top w:val="nil"/>
              <w:left w:val="nil"/>
              <w:bottom w:val="single" w:sz="4" w:space="0" w:color="auto"/>
              <w:right w:val="single" w:sz="4" w:space="0" w:color="auto"/>
            </w:tcBorders>
            <w:noWrap/>
            <w:hideMark/>
          </w:tcPr>
          <w:p w14:paraId="1406FFB7" w14:textId="77777777" w:rsidR="00F421F8" w:rsidRPr="00131EED" w:rsidRDefault="00F421F8">
            <w:pPr>
              <w:jc w:val="center"/>
              <w:rPr>
                <w:i/>
                <w:color w:val="000000"/>
                <w:sz w:val="16"/>
                <w:szCs w:val="16"/>
                <w:lang w:eastAsia="en-US"/>
              </w:rPr>
            </w:pPr>
            <w:r w:rsidRPr="00131EED">
              <w:rPr>
                <w:sz w:val="16"/>
                <w:szCs w:val="16"/>
              </w:rPr>
              <w:t>266</w:t>
            </w:r>
          </w:p>
        </w:tc>
        <w:tc>
          <w:tcPr>
            <w:tcW w:w="378" w:type="pct"/>
            <w:tcBorders>
              <w:top w:val="nil"/>
              <w:left w:val="nil"/>
              <w:bottom w:val="single" w:sz="4" w:space="0" w:color="auto"/>
              <w:right w:val="single" w:sz="4" w:space="0" w:color="auto"/>
            </w:tcBorders>
            <w:noWrap/>
            <w:hideMark/>
          </w:tcPr>
          <w:p w14:paraId="6B8CD131" w14:textId="77777777" w:rsidR="00F421F8" w:rsidRPr="00131EED" w:rsidRDefault="00F421F8">
            <w:pPr>
              <w:jc w:val="center"/>
              <w:rPr>
                <w:i/>
                <w:color w:val="000000"/>
                <w:sz w:val="16"/>
                <w:szCs w:val="16"/>
                <w:lang w:eastAsia="en-US"/>
              </w:rPr>
            </w:pPr>
            <w:r w:rsidRPr="00131EED">
              <w:rPr>
                <w:sz w:val="16"/>
                <w:szCs w:val="16"/>
              </w:rPr>
              <w:t>320</w:t>
            </w:r>
          </w:p>
        </w:tc>
        <w:tc>
          <w:tcPr>
            <w:tcW w:w="378" w:type="pct"/>
            <w:tcBorders>
              <w:top w:val="nil"/>
              <w:left w:val="nil"/>
              <w:bottom w:val="single" w:sz="4" w:space="0" w:color="auto"/>
              <w:right w:val="single" w:sz="4" w:space="0" w:color="auto"/>
            </w:tcBorders>
            <w:noWrap/>
            <w:hideMark/>
          </w:tcPr>
          <w:p w14:paraId="14422A1B" w14:textId="77777777" w:rsidR="00F421F8" w:rsidRPr="00131EED" w:rsidRDefault="00F421F8">
            <w:pPr>
              <w:jc w:val="center"/>
              <w:rPr>
                <w:i/>
                <w:color w:val="000000"/>
                <w:sz w:val="16"/>
                <w:szCs w:val="16"/>
                <w:lang w:eastAsia="en-US"/>
              </w:rPr>
            </w:pPr>
            <w:r w:rsidRPr="00131EED">
              <w:rPr>
                <w:sz w:val="16"/>
                <w:szCs w:val="16"/>
              </w:rPr>
              <w:t>380</w:t>
            </w:r>
          </w:p>
        </w:tc>
        <w:tc>
          <w:tcPr>
            <w:tcW w:w="378" w:type="pct"/>
            <w:tcBorders>
              <w:top w:val="nil"/>
              <w:left w:val="nil"/>
              <w:bottom w:val="single" w:sz="4" w:space="0" w:color="auto"/>
              <w:right w:val="single" w:sz="4" w:space="0" w:color="auto"/>
            </w:tcBorders>
            <w:noWrap/>
            <w:hideMark/>
          </w:tcPr>
          <w:p w14:paraId="49561776" w14:textId="77777777" w:rsidR="00F421F8" w:rsidRPr="00131EED" w:rsidRDefault="00F421F8">
            <w:pPr>
              <w:jc w:val="center"/>
              <w:rPr>
                <w:i/>
                <w:color w:val="000000"/>
                <w:sz w:val="16"/>
                <w:szCs w:val="16"/>
                <w:lang w:eastAsia="en-US"/>
              </w:rPr>
            </w:pPr>
            <w:r w:rsidRPr="00131EED">
              <w:rPr>
                <w:sz w:val="16"/>
                <w:szCs w:val="16"/>
              </w:rPr>
              <w:t>455</w:t>
            </w:r>
          </w:p>
        </w:tc>
        <w:tc>
          <w:tcPr>
            <w:tcW w:w="378" w:type="pct"/>
            <w:tcBorders>
              <w:top w:val="nil"/>
              <w:left w:val="nil"/>
              <w:bottom w:val="single" w:sz="4" w:space="0" w:color="auto"/>
              <w:right w:val="single" w:sz="4" w:space="0" w:color="auto"/>
            </w:tcBorders>
            <w:noWrap/>
            <w:hideMark/>
          </w:tcPr>
          <w:p w14:paraId="06CEF8EA" w14:textId="77777777" w:rsidR="00F421F8" w:rsidRPr="00131EED" w:rsidRDefault="00F421F8">
            <w:pPr>
              <w:jc w:val="center"/>
              <w:rPr>
                <w:i/>
                <w:color w:val="000000"/>
                <w:sz w:val="16"/>
                <w:szCs w:val="16"/>
                <w:lang w:eastAsia="en-US"/>
              </w:rPr>
            </w:pPr>
            <w:r w:rsidRPr="00131EED">
              <w:rPr>
                <w:sz w:val="16"/>
                <w:szCs w:val="16"/>
              </w:rPr>
              <w:t>480</w:t>
            </w:r>
          </w:p>
        </w:tc>
        <w:tc>
          <w:tcPr>
            <w:tcW w:w="378" w:type="pct"/>
            <w:tcBorders>
              <w:top w:val="nil"/>
              <w:left w:val="nil"/>
              <w:bottom w:val="single" w:sz="4" w:space="0" w:color="auto"/>
              <w:right w:val="single" w:sz="4" w:space="0" w:color="auto"/>
            </w:tcBorders>
            <w:noWrap/>
            <w:hideMark/>
          </w:tcPr>
          <w:p w14:paraId="4D2FE3D3" w14:textId="77777777" w:rsidR="00F421F8" w:rsidRPr="00131EED" w:rsidRDefault="00F421F8">
            <w:pPr>
              <w:jc w:val="center"/>
              <w:rPr>
                <w:i/>
                <w:color w:val="000000"/>
                <w:sz w:val="16"/>
                <w:szCs w:val="16"/>
                <w:lang w:eastAsia="en-US"/>
              </w:rPr>
            </w:pPr>
            <w:r w:rsidRPr="00131EED">
              <w:rPr>
                <w:sz w:val="16"/>
                <w:szCs w:val="16"/>
              </w:rPr>
              <w:t>489</w:t>
            </w:r>
          </w:p>
        </w:tc>
      </w:tr>
      <w:tr w:rsidR="00F421F8" w:rsidRPr="00131EED" w14:paraId="1E689931"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69A8BF84" w14:textId="77777777" w:rsidR="00F421F8" w:rsidRPr="00131EED" w:rsidRDefault="00F421F8">
            <w:pPr>
              <w:jc w:val="center"/>
              <w:rPr>
                <w:b/>
                <w:i/>
                <w:color w:val="000000"/>
                <w:sz w:val="16"/>
                <w:szCs w:val="16"/>
                <w:lang w:eastAsia="en-US"/>
              </w:rPr>
            </w:pPr>
            <w:r w:rsidRPr="00131EED">
              <w:rPr>
                <w:b/>
                <w:i/>
                <w:color w:val="000000"/>
                <w:sz w:val="16"/>
                <w:szCs w:val="16"/>
                <w:lang w:eastAsia="en-US"/>
              </w:rPr>
              <w:t>Mosquera</w:t>
            </w:r>
          </w:p>
        </w:tc>
        <w:tc>
          <w:tcPr>
            <w:tcW w:w="378" w:type="pct"/>
            <w:tcBorders>
              <w:top w:val="nil"/>
              <w:left w:val="nil"/>
              <w:bottom w:val="single" w:sz="4" w:space="0" w:color="auto"/>
              <w:right w:val="single" w:sz="4" w:space="0" w:color="auto"/>
            </w:tcBorders>
            <w:noWrap/>
            <w:hideMark/>
          </w:tcPr>
          <w:p w14:paraId="09C81DE6" w14:textId="77777777" w:rsidR="00F421F8" w:rsidRPr="00131EED" w:rsidRDefault="00F421F8">
            <w:pPr>
              <w:jc w:val="center"/>
              <w:rPr>
                <w:i/>
                <w:color w:val="000000"/>
                <w:sz w:val="16"/>
                <w:szCs w:val="16"/>
                <w:lang w:eastAsia="en-US"/>
              </w:rPr>
            </w:pPr>
            <w:r w:rsidRPr="00131EED">
              <w:rPr>
                <w:sz w:val="16"/>
                <w:szCs w:val="16"/>
              </w:rPr>
              <w:t>158</w:t>
            </w:r>
          </w:p>
        </w:tc>
        <w:tc>
          <w:tcPr>
            <w:tcW w:w="378" w:type="pct"/>
            <w:tcBorders>
              <w:top w:val="nil"/>
              <w:left w:val="nil"/>
              <w:bottom w:val="single" w:sz="4" w:space="0" w:color="auto"/>
              <w:right w:val="single" w:sz="4" w:space="0" w:color="auto"/>
            </w:tcBorders>
            <w:noWrap/>
            <w:hideMark/>
          </w:tcPr>
          <w:p w14:paraId="5D2FA618" w14:textId="77777777" w:rsidR="00F421F8" w:rsidRPr="00131EED" w:rsidRDefault="00F421F8">
            <w:pPr>
              <w:jc w:val="center"/>
              <w:rPr>
                <w:i/>
                <w:color w:val="000000"/>
                <w:sz w:val="16"/>
                <w:szCs w:val="16"/>
                <w:lang w:eastAsia="en-US"/>
              </w:rPr>
            </w:pPr>
            <w:r w:rsidRPr="00131EED">
              <w:rPr>
                <w:sz w:val="16"/>
                <w:szCs w:val="16"/>
              </w:rPr>
              <w:t>170</w:t>
            </w:r>
          </w:p>
        </w:tc>
        <w:tc>
          <w:tcPr>
            <w:tcW w:w="378" w:type="pct"/>
            <w:tcBorders>
              <w:top w:val="nil"/>
              <w:left w:val="nil"/>
              <w:bottom w:val="single" w:sz="4" w:space="0" w:color="auto"/>
              <w:right w:val="single" w:sz="4" w:space="0" w:color="auto"/>
            </w:tcBorders>
            <w:noWrap/>
            <w:hideMark/>
          </w:tcPr>
          <w:p w14:paraId="0803C0A3" w14:textId="77777777" w:rsidR="00F421F8" w:rsidRPr="00131EED" w:rsidRDefault="00F421F8">
            <w:pPr>
              <w:jc w:val="center"/>
              <w:rPr>
                <w:i/>
                <w:color w:val="000000"/>
                <w:sz w:val="16"/>
                <w:szCs w:val="16"/>
                <w:lang w:eastAsia="en-US"/>
              </w:rPr>
            </w:pPr>
            <w:r w:rsidRPr="00131EED">
              <w:rPr>
                <w:sz w:val="16"/>
                <w:szCs w:val="16"/>
              </w:rPr>
              <w:t>182</w:t>
            </w:r>
          </w:p>
        </w:tc>
        <w:tc>
          <w:tcPr>
            <w:tcW w:w="378" w:type="pct"/>
            <w:tcBorders>
              <w:top w:val="nil"/>
              <w:left w:val="nil"/>
              <w:bottom w:val="single" w:sz="4" w:space="0" w:color="auto"/>
              <w:right w:val="single" w:sz="4" w:space="0" w:color="auto"/>
            </w:tcBorders>
            <w:noWrap/>
            <w:hideMark/>
          </w:tcPr>
          <w:p w14:paraId="1301DF7F" w14:textId="77777777" w:rsidR="00F421F8" w:rsidRPr="00131EED" w:rsidRDefault="00F421F8">
            <w:pPr>
              <w:jc w:val="center"/>
              <w:rPr>
                <w:i/>
                <w:color w:val="000000"/>
                <w:sz w:val="16"/>
                <w:szCs w:val="16"/>
                <w:lang w:eastAsia="en-US"/>
              </w:rPr>
            </w:pPr>
            <w:r w:rsidRPr="00131EED">
              <w:rPr>
                <w:sz w:val="16"/>
                <w:szCs w:val="16"/>
              </w:rPr>
              <w:t>196</w:t>
            </w:r>
          </w:p>
        </w:tc>
        <w:tc>
          <w:tcPr>
            <w:tcW w:w="378" w:type="pct"/>
            <w:tcBorders>
              <w:top w:val="nil"/>
              <w:left w:val="nil"/>
              <w:bottom w:val="single" w:sz="4" w:space="0" w:color="auto"/>
              <w:right w:val="single" w:sz="4" w:space="0" w:color="auto"/>
            </w:tcBorders>
            <w:noWrap/>
            <w:hideMark/>
          </w:tcPr>
          <w:p w14:paraId="49E7BA0B" w14:textId="77777777" w:rsidR="00F421F8" w:rsidRPr="00131EED" w:rsidRDefault="00F421F8">
            <w:pPr>
              <w:jc w:val="center"/>
              <w:rPr>
                <w:i/>
                <w:color w:val="000000"/>
                <w:sz w:val="16"/>
                <w:szCs w:val="16"/>
                <w:lang w:eastAsia="en-US"/>
              </w:rPr>
            </w:pPr>
            <w:r w:rsidRPr="00131EED">
              <w:rPr>
                <w:sz w:val="16"/>
                <w:szCs w:val="16"/>
              </w:rPr>
              <w:t>218</w:t>
            </w:r>
          </w:p>
        </w:tc>
        <w:tc>
          <w:tcPr>
            <w:tcW w:w="378" w:type="pct"/>
            <w:tcBorders>
              <w:top w:val="nil"/>
              <w:left w:val="nil"/>
              <w:bottom w:val="single" w:sz="4" w:space="0" w:color="auto"/>
              <w:right w:val="single" w:sz="4" w:space="0" w:color="auto"/>
            </w:tcBorders>
            <w:noWrap/>
            <w:hideMark/>
          </w:tcPr>
          <w:p w14:paraId="59D90698" w14:textId="77777777" w:rsidR="00F421F8" w:rsidRPr="00131EED" w:rsidRDefault="00F421F8">
            <w:pPr>
              <w:jc w:val="center"/>
              <w:rPr>
                <w:i/>
                <w:color w:val="000000"/>
                <w:sz w:val="16"/>
                <w:szCs w:val="16"/>
                <w:lang w:eastAsia="en-US"/>
              </w:rPr>
            </w:pPr>
            <w:r w:rsidRPr="00131EED">
              <w:rPr>
                <w:sz w:val="16"/>
                <w:szCs w:val="16"/>
              </w:rPr>
              <w:t>243</w:t>
            </w:r>
          </w:p>
        </w:tc>
        <w:tc>
          <w:tcPr>
            <w:tcW w:w="378" w:type="pct"/>
            <w:tcBorders>
              <w:top w:val="nil"/>
              <w:left w:val="nil"/>
              <w:bottom w:val="single" w:sz="4" w:space="0" w:color="auto"/>
              <w:right w:val="single" w:sz="4" w:space="0" w:color="auto"/>
            </w:tcBorders>
            <w:noWrap/>
            <w:hideMark/>
          </w:tcPr>
          <w:p w14:paraId="75DEE3CF" w14:textId="77777777" w:rsidR="00F421F8" w:rsidRPr="00131EED" w:rsidRDefault="00F421F8">
            <w:pPr>
              <w:jc w:val="center"/>
              <w:rPr>
                <w:i/>
                <w:color w:val="000000"/>
                <w:sz w:val="16"/>
                <w:szCs w:val="16"/>
                <w:lang w:eastAsia="en-US"/>
              </w:rPr>
            </w:pPr>
            <w:r w:rsidRPr="00131EED">
              <w:rPr>
                <w:sz w:val="16"/>
                <w:szCs w:val="16"/>
              </w:rPr>
              <w:t>292</w:t>
            </w:r>
          </w:p>
        </w:tc>
        <w:tc>
          <w:tcPr>
            <w:tcW w:w="378" w:type="pct"/>
            <w:tcBorders>
              <w:top w:val="nil"/>
              <w:left w:val="nil"/>
              <w:bottom w:val="single" w:sz="4" w:space="0" w:color="auto"/>
              <w:right w:val="single" w:sz="4" w:space="0" w:color="auto"/>
            </w:tcBorders>
            <w:noWrap/>
            <w:hideMark/>
          </w:tcPr>
          <w:p w14:paraId="02D6804D" w14:textId="77777777" w:rsidR="00F421F8" w:rsidRPr="00131EED" w:rsidRDefault="00F421F8">
            <w:pPr>
              <w:jc w:val="center"/>
              <w:rPr>
                <w:i/>
                <w:color w:val="000000"/>
                <w:sz w:val="16"/>
                <w:szCs w:val="16"/>
                <w:lang w:eastAsia="en-US"/>
              </w:rPr>
            </w:pPr>
            <w:r w:rsidRPr="00131EED">
              <w:rPr>
                <w:sz w:val="16"/>
                <w:szCs w:val="16"/>
              </w:rPr>
              <w:t>343</w:t>
            </w:r>
          </w:p>
        </w:tc>
        <w:tc>
          <w:tcPr>
            <w:tcW w:w="378" w:type="pct"/>
            <w:tcBorders>
              <w:top w:val="nil"/>
              <w:left w:val="nil"/>
              <w:bottom w:val="single" w:sz="4" w:space="0" w:color="auto"/>
              <w:right w:val="single" w:sz="4" w:space="0" w:color="auto"/>
            </w:tcBorders>
            <w:noWrap/>
            <w:hideMark/>
          </w:tcPr>
          <w:p w14:paraId="7A04C670" w14:textId="77777777" w:rsidR="00F421F8" w:rsidRPr="00131EED" w:rsidRDefault="00F421F8">
            <w:pPr>
              <w:jc w:val="center"/>
              <w:rPr>
                <w:i/>
                <w:color w:val="000000"/>
                <w:sz w:val="16"/>
                <w:szCs w:val="16"/>
                <w:lang w:eastAsia="en-US"/>
              </w:rPr>
            </w:pPr>
            <w:r w:rsidRPr="00131EED">
              <w:rPr>
                <w:sz w:val="16"/>
                <w:szCs w:val="16"/>
              </w:rPr>
              <w:t>397</w:t>
            </w:r>
          </w:p>
        </w:tc>
        <w:tc>
          <w:tcPr>
            <w:tcW w:w="378" w:type="pct"/>
            <w:tcBorders>
              <w:top w:val="nil"/>
              <w:left w:val="nil"/>
              <w:bottom w:val="single" w:sz="4" w:space="0" w:color="auto"/>
              <w:right w:val="single" w:sz="4" w:space="0" w:color="auto"/>
            </w:tcBorders>
            <w:noWrap/>
            <w:hideMark/>
          </w:tcPr>
          <w:p w14:paraId="243DA6EF" w14:textId="77777777" w:rsidR="00F421F8" w:rsidRPr="00131EED" w:rsidRDefault="00F421F8">
            <w:pPr>
              <w:jc w:val="center"/>
              <w:rPr>
                <w:i/>
                <w:color w:val="000000"/>
                <w:sz w:val="16"/>
                <w:szCs w:val="16"/>
                <w:lang w:eastAsia="en-US"/>
              </w:rPr>
            </w:pPr>
            <w:r w:rsidRPr="00131EED">
              <w:rPr>
                <w:sz w:val="16"/>
                <w:szCs w:val="16"/>
              </w:rPr>
              <w:t>460</w:t>
            </w:r>
          </w:p>
        </w:tc>
        <w:tc>
          <w:tcPr>
            <w:tcW w:w="378" w:type="pct"/>
            <w:tcBorders>
              <w:top w:val="nil"/>
              <w:left w:val="nil"/>
              <w:bottom w:val="single" w:sz="4" w:space="0" w:color="auto"/>
              <w:right w:val="single" w:sz="4" w:space="0" w:color="auto"/>
            </w:tcBorders>
            <w:noWrap/>
            <w:hideMark/>
          </w:tcPr>
          <w:p w14:paraId="6C39ED1F" w14:textId="77777777" w:rsidR="00F421F8" w:rsidRPr="00131EED" w:rsidRDefault="00F421F8">
            <w:pPr>
              <w:jc w:val="center"/>
              <w:rPr>
                <w:i/>
                <w:color w:val="000000"/>
                <w:sz w:val="16"/>
                <w:szCs w:val="16"/>
                <w:lang w:eastAsia="en-US"/>
              </w:rPr>
            </w:pPr>
            <w:r w:rsidRPr="00131EED">
              <w:rPr>
                <w:sz w:val="16"/>
                <w:szCs w:val="16"/>
              </w:rPr>
              <w:t>478</w:t>
            </w:r>
          </w:p>
        </w:tc>
        <w:tc>
          <w:tcPr>
            <w:tcW w:w="378" w:type="pct"/>
            <w:tcBorders>
              <w:top w:val="nil"/>
              <w:left w:val="nil"/>
              <w:bottom w:val="single" w:sz="4" w:space="0" w:color="auto"/>
              <w:right w:val="single" w:sz="4" w:space="0" w:color="auto"/>
            </w:tcBorders>
            <w:noWrap/>
            <w:hideMark/>
          </w:tcPr>
          <w:p w14:paraId="054AB75A" w14:textId="77777777" w:rsidR="00F421F8" w:rsidRPr="00131EED" w:rsidRDefault="00F421F8">
            <w:pPr>
              <w:jc w:val="center"/>
              <w:rPr>
                <w:i/>
                <w:color w:val="000000"/>
                <w:sz w:val="16"/>
                <w:szCs w:val="16"/>
                <w:lang w:eastAsia="en-US"/>
              </w:rPr>
            </w:pPr>
            <w:r w:rsidRPr="00131EED">
              <w:rPr>
                <w:sz w:val="16"/>
                <w:szCs w:val="16"/>
              </w:rPr>
              <w:t>488</w:t>
            </w:r>
          </w:p>
        </w:tc>
      </w:tr>
      <w:tr w:rsidR="00F421F8" w:rsidRPr="00131EED" w14:paraId="4585430B"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2DC9A7B2" w14:textId="77777777" w:rsidR="00F421F8" w:rsidRPr="00131EED" w:rsidRDefault="00F421F8">
            <w:pPr>
              <w:jc w:val="center"/>
              <w:rPr>
                <w:b/>
                <w:i/>
                <w:color w:val="000000"/>
                <w:sz w:val="16"/>
                <w:szCs w:val="16"/>
                <w:lang w:eastAsia="en-US"/>
              </w:rPr>
            </w:pPr>
            <w:r w:rsidRPr="00131EED">
              <w:rPr>
                <w:b/>
                <w:i/>
                <w:color w:val="000000"/>
                <w:sz w:val="16"/>
                <w:szCs w:val="16"/>
                <w:lang w:eastAsia="en-US"/>
              </w:rPr>
              <w:t>Zipaquirá</w:t>
            </w:r>
          </w:p>
        </w:tc>
        <w:tc>
          <w:tcPr>
            <w:tcW w:w="378" w:type="pct"/>
            <w:tcBorders>
              <w:top w:val="nil"/>
              <w:left w:val="nil"/>
              <w:bottom w:val="single" w:sz="4" w:space="0" w:color="auto"/>
              <w:right w:val="single" w:sz="4" w:space="0" w:color="auto"/>
            </w:tcBorders>
            <w:noWrap/>
            <w:hideMark/>
          </w:tcPr>
          <w:p w14:paraId="2C3328AA" w14:textId="77777777" w:rsidR="00F421F8" w:rsidRPr="00131EED" w:rsidRDefault="00F421F8">
            <w:pPr>
              <w:jc w:val="center"/>
              <w:rPr>
                <w:i/>
                <w:color w:val="000000"/>
                <w:sz w:val="16"/>
                <w:szCs w:val="16"/>
                <w:lang w:eastAsia="en-US"/>
              </w:rPr>
            </w:pPr>
            <w:r w:rsidRPr="00131EED">
              <w:rPr>
                <w:sz w:val="16"/>
                <w:szCs w:val="16"/>
              </w:rPr>
              <w:t>159</w:t>
            </w:r>
          </w:p>
        </w:tc>
        <w:tc>
          <w:tcPr>
            <w:tcW w:w="378" w:type="pct"/>
            <w:tcBorders>
              <w:top w:val="nil"/>
              <w:left w:val="nil"/>
              <w:bottom w:val="single" w:sz="4" w:space="0" w:color="auto"/>
              <w:right w:val="single" w:sz="4" w:space="0" w:color="auto"/>
            </w:tcBorders>
            <w:noWrap/>
            <w:hideMark/>
          </w:tcPr>
          <w:p w14:paraId="41ABC2CC" w14:textId="77777777" w:rsidR="00F421F8" w:rsidRPr="00131EED" w:rsidRDefault="00F421F8">
            <w:pPr>
              <w:jc w:val="center"/>
              <w:rPr>
                <w:i/>
                <w:color w:val="000000"/>
                <w:sz w:val="16"/>
                <w:szCs w:val="16"/>
                <w:lang w:eastAsia="en-US"/>
              </w:rPr>
            </w:pPr>
            <w:r w:rsidRPr="00131EED">
              <w:rPr>
                <w:sz w:val="16"/>
                <w:szCs w:val="16"/>
              </w:rPr>
              <w:t>182</w:t>
            </w:r>
          </w:p>
        </w:tc>
        <w:tc>
          <w:tcPr>
            <w:tcW w:w="378" w:type="pct"/>
            <w:tcBorders>
              <w:top w:val="nil"/>
              <w:left w:val="nil"/>
              <w:bottom w:val="single" w:sz="4" w:space="0" w:color="auto"/>
              <w:right w:val="single" w:sz="4" w:space="0" w:color="auto"/>
            </w:tcBorders>
            <w:noWrap/>
            <w:hideMark/>
          </w:tcPr>
          <w:p w14:paraId="755CD90F" w14:textId="77777777" w:rsidR="00F421F8" w:rsidRPr="00131EED" w:rsidRDefault="00F421F8">
            <w:pPr>
              <w:jc w:val="center"/>
              <w:rPr>
                <w:i/>
                <w:color w:val="000000"/>
                <w:sz w:val="16"/>
                <w:szCs w:val="16"/>
                <w:lang w:eastAsia="en-US"/>
              </w:rPr>
            </w:pPr>
            <w:r w:rsidRPr="00131EED">
              <w:rPr>
                <w:sz w:val="16"/>
                <w:szCs w:val="16"/>
              </w:rPr>
              <w:t>205</w:t>
            </w:r>
          </w:p>
        </w:tc>
        <w:tc>
          <w:tcPr>
            <w:tcW w:w="378" w:type="pct"/>
            <w:tcBorders>
              <w:top w:val="nil"/>
              <w:left w:val="nil"/>
              <w:bottom w:val="single" w:sz="4" w:space="0" w:color="auto"/>
              <w:right w:val="single" w:sz="4" w:space="0" w:color="auto"/>
            </w:tcBorders>
            <w:noWrap/>
            <w:hideMark/>
          </w:tcPr>
          <w:p w14:paraId="06000332" w14:textId="77777777" w:rsidR="00F421F8" w:rsidRPr="00131EED" w:rsidRDefault="00F421F8">
            <w:pPr>
              <w:jc w:val="center"/>
              <w:rPr>
                <w:i/>
                <w:color w:val="000000"/>
                <w:sz w:val="16"/>
                <w:szCs w:val="16"/>
                <w:lang w:eastAsia="en-US"/>
              </w:rPr>
            </w:pPr>
            <w:r w:rsidRPr="00131EED">
              <w:rPr>
                <w:sz w:val="16"/>
                <w:szCs w:val="16"/>
              </w:rPr>
              <w:t>230</w:t>
            </w:r>
          </w:p>
        </w:tc>
        <w:tc>
          <w:tcPr>
            <w:tcW w:w="378" w:type="pct"/>
            <w:tcBorders>
              <w:top w:val="nil"/>
              <w:left w:val="nil"/>
              <w:bottom w:val="single" w:sz="4" w:space="0" w:color="auto"/>
              <w:right w:val="single" w:sz="4" w:space="0" w:color="auto"/>
            </w:tcBorders>
            <w:noWrap/>
            <w:hideMark/>
          </w:tcPr>
          <w:p w14:paraId="49875A9F" w14:textId="77777777" w:rsidR="00F421F8" w:rsidRPr="00131EED" w:rsidRDefault="00F421F8">
            <w:pPr>
              <w:jc w:val="center"/>
              <w:rPr>
                <w:i/>
                <w:color w:val="000000"/>
                <w:sz w:val="16"/>
                <w:szCs w:val="16"/>
                <w:lang w:eastAsia="en-US"/>
              </w:rPr>
            </w:pPr>
            <w:r w:rsidRPr="00131EED">
              <w:rPr>
                <w:sz w:val="16"/>
                <w:szCs w:val="16"/>
              </w:rPr>
              <w:t>253</w:t>
            </w:r>
          </w:p>
        </w:tc>
        <w:tc>
          <w:tcPr>
            <w:tcW w:w="378" w:type="pct"/>
            <w:tcBorders>
              <w:top w:val="nil"/>
              <w:left w:val="nil"/>
              <w:bottom w:val="single" w:sz="4" w:space="0" w:color="auto"/>
              <w:right w:val="single" w:sz="4" w:space="0" w:color="auto"/>
            </w:tcBorders>
            <w:noWrap/>
            <w:hideMark/>
          </w:tcPr>
          <w:p w14:paraId="68AC6E36" w14:textId="77777777" w:rsidR="00F421F8" w:rsidRPr="00131EED" w:rsidRDefault="00F421F8">
            <w:pPr>
              <w:jc w:val="center"/>
              <w:rPr>
                <w:i/>
                <w:color w:val="000000"/>
                <w:sz w:val="16"/>
                <w:szCs w:val="16"/>
                <w:lang w:eastAsia="en-US"/>
              </w:rPr>
            </w:pPr>
            <w:r w:rsidRPr="00131EED">
              <w:rPr>
                <w:sz w:val="16"/>
                <w:szCs w:val="16"/>
              </w:rPr>
              <w:t>277</w:t>
            </w:r>
          </w:p>
        </w:tc>
        <w:tc>
          <w:tcPr>
            <w:tcW w:w="378" w:type="pct"/>
            <w:tcBorders>
              <w:top w:val="nil"/>
              <w:left w:val="nil"/>
              <w:bottom w:val="single" w:sz="4" w:space="0" w:color="auto"/>
              <w:right w:val="single" w:sz="4" w:space="0" w:color="auto"/>
            </w:tcBorders>
            <w:noWrap/>
            <w:hideMark/>
          </w:tcPr>
          <w:p w14:paraId="3A0CEF66" w14:textId="77777777" w:rsidR="00F421F8" w:rsidRPr="00131EED" w:rsidRDefault="00F421F8">
            <w:pPr>
              <w:jc w:val="center"/>
              <w:rPr>
                <w:i/>
                <w:color w:val="000000"/>
                <w:sz w:val="16"/>
                <w:szCs w:val="16"/>
                <w:lang w:eastAsia="en-US"/>
              </w:rPr>
            </w:pPr>
            <w:r w:rsidRPr="00131EED">
              <w:rPr>
                <w:sz w:val="16"/>
                <w:szCs w:val="16"/>
              </w:rPr>
              <w:t>297</w:t>
            </w:r>
          </w:p>
        </w:tc>
        <w:tc>
          <w:tcPr>
            <w:tcW w:w="378" w:type="pct"/>
            <w:tcBorders>
              <w:top w:val="nil"/>
              <w:left w:val="nil"/>
              <w:bottom w:val="single" w:sz="4" w:space="0" w:color="auto"/>
              <w:right w:val="single" w:sz="4" w:space="0" w:color="auto"/>
            </w:tcBorders>
            <w:noWrap/>
            <w:hideMark/>
          </w:tcPr>
          <w:p w14:paraId="1D48F778" w14:textId="77777777" w:rsidR="00F421F8" w:rsidRPr="00131EED" w:rsidRDefault="00F421F8">
            <w:pPr>
              <w:jc w:val="center"/>
              <w:rPr>
                <w:i/>
                <w:color w:val="000000"/>
                <w:sz w:val="16"/>
                <w:szCs w:val="16"/>
                <w:lang w:eastAsia="en-US"/>
              </w:rPr>
            </w:pPr>
            <w:r w:rsidRPr="00131EED">
              <w:rPr>
                <w:sz w:val="16"/>
                <w:szCs w:val="16"/>
              </w:rPr>
              <w:t>318</w:t>
            </w:r>
          </w:p>
        </w:tc>
        <w:tc>
          <w:tcPr>
            <w:tcW w:w="378" w:type="pct"/>
            <w:tcBorders>
              <w:top w:val="nil"/>
              <w:left w:val="nil"/>
              <w:bottom w:val="single" w:sz="4" w:space="0" w:color="auto"/>
              <w:right w:val="single" w:sz="4" w:space="0" w:color="auto"/>
            </w:tcBorders>
            <w:noWrap/>
            <w:hideMark/>
          </w:tcPr>
          <w:p w14:paraId="134A8127" w14:textId="77777777" w:rsidR="00F421F8" w:rsidRPr="00131EED" w:rsidRDefault="00F421F8">
            <w:pPr>
              <w:jc w:val="center"/>
              <w:rPr>
                <w:i/>
                <w:color w:val="000000"/>
                <w:sz w:val="16"/>
                <w:szCs w:val="16"/>
                <w:lang w:eastAsia="en-US"/>
              </w:rPr>
            </w:pPr>
            <w:r w:rsidRPr="00131EED">
              <w:rPr>
                <w:sz w:val="16"/>
                <w:szCs w:val="16"/>
              </w:rPr>
              <w:t>340</w:t>
            </w:r>
          </w:p>
        </w:tc>
        <w:tc>
          <w:tcPr>
            <w:tcW w:w="378" w:type="pct"/>
            <w:tcBorders>
              <w:top w:val="nil"/>
              <w:left w:val="nil"/>
              <w:bottom w:val="single" w:sz="4" w:space="0" w:color="auto"/>
              <w:right w:val="single" w:sz="4" w:space="0" w:color="auto"/>
            </w:tcBorders>
            <w:noWrap/>
            <w:hideMark/>
          </w:tcPr>
          <w:p w14:paraId="2C495E61" w14:textId="77777777" w:rsidR="00F421F8" w:rsidRPr="00131EED" w:rsidRDefault="00F421F8">
            <w:pPr>
              <w:jc w:val="center"/>
              <w:rPr>
                <w:i/>
                <w:color w:val="000000"/>
                <w:sz w:val="16"/>
                <w:szCs w:val="16"/>
                <w:lang w:eastAsia="en-US"/>
              </w:rPr>
            </w:pPr>
            <w:r w:rsidRPr="00131EED">
              <w:rPr>
                <w:sz w:val="16"/>
                <w:szCs w:val="16"/>
              </w:rPr>
              <w:t>368</w:t>
            </w:r>
          </w:p>
        </w:tc>
        <w:tc>
          <w:tcPr>
            <w:tcW w:w="378" w:type="pct"/>
            <w:tcBorders>
              <w:top w:val="nil"/>
              <w:left w:val="nil"/>
              <w:bottom w:val="single" w:sz="4" w:space="0" w:color="auto"/>
              <w:right w:val="single" w:sz="4" w:space="0" w:color="auto"/>
            </w:tcBorders>
            <w:noWrap/>
            <w:hideMark/>
          </w:tcPr>
          <w:p w14:paraId="15B68555" w14:textId="77777777" w:rsidR="00F421F8" w:rsidRPr="00131EED" w:rsidRDefault="00F421F8">
            <w:pPr>
              <w:jc w:val="center"/>
              <w:rPr>
                <w:i/>
                <w:color w:val="000000"/>
                <w:sz w:val="16"/>
                <w:szCs w:val="16"/>
                <w:lang w:eastAsia="en-US"/>
              </w:rPr>
            </w:pPr>
            <w:r w:rsidRPr="00131EED">
              <w:rPr>
                <w:sz w:val="16"/>
                <w:szCs w:val="16"/>
              </w:rPr>
              <w:t>368</w:t>
            </w:r>
          </w:p>
        </w:tc>
        <w:tc>
          <w:tcPr>
            <w:tcW w:w="378" w:type="pct"/>
            <w:tcBorders>
              <w:top w:val="nil"/>
              <w:left w:val="nil"/>
              <w:bottom w:val="single" w:sz="4" w:space="0" w:color="auto"/>
              <w:right w:val="single" w:sz="4" w:space="0" w:color="auto"/>
            </w:tcBorders>
            <w:noWrap/>
            <w:hideMark/>
          </w:tcPr>
          <w:p w14:paraId="1625DC68" w14:textId="77777777" w:rsidR="00F421F8" w:rsidRPr="00131EED" w:rsidRDefault="00F421F8">
            <w:pPr>
              <w:jc w:val="center"/>
              <w:rPr>
                <w:i/>
                <w:color w:val="000000"/>
                <w:sz w:val="16"/>
                <w:szCs w:val="16"/>
                <w:lang w:eastAsia="en-US"/>
              </w:rPr>
            </w:pPr>
            <w:r w:rsidRPr="00131EED">
              <w:rPr>
                <w:sz w:val="16"/>
                <w:szCs w:val="16"/>
              </w:rPr>
              <w:t>381</w:t>
            </w:r>
          </w:p>
        </w:tc>
      </w:tr>
      <w:tr w:rsidR="00F421F8" w:rsidRPr="00131EED" w14:paraId="728D8BDB"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2469DEDB" w14:textId="77777777" w:rsidR="00F421F8" w:rsidRPr="00131EED" w:rsidRDefault="00F421F8">
            <w:pPr>
              <w:jc w:val="center"/>
              <w:rPr>
                <w:b/>
                <w:i/>
                <w:color w:val="000000"/>
                <w:sz w:val="16"/>
                <w:szCs w:val="16"/>
                <w:lang w:eastAsia="en-US"/>
              </w:rPr>
            </w:pPr>
            <w:r w:rsidRPr="00131EED">
              <w:rPr>
                <w:b/>
                <w:i/>
                <w:color w:val="000000"/>
                <w:sz w:val="16"/>
                <w:szCs w:val="16"/>
                <w:lang w:eastAsia="en-US"/>
              </w:rPr>
              <w:t>Tocancipá</w:t>
            </w:r>
          </w:p>
        </w:tc>
        <w:tc>
          <w:tcPr>
            <w:tcW w:w="378" w:type="pct"/>
            <w:tcBorders>
              <w:top w:val="nil"/>
              <w:left w:val="nil"/>
              <w:bottom w:val="single" w:sz="4" w:space="0" w:color="auto"/>
              <w:right w:val="single" w:sz="4" w:space="0" w:color="auto"/>
            </w:tcBorders>
            <w:noWrap/>
            <w:hideMark/>
          </w:tcPr>
          <w:p w14:paraId="0C973394" w14:textId="77777777" w:rsidR="00F421F8" w:rsidRPr="00131EED" w:rsidRDefault="00F421F8">
            <w:pPr>
              <w:jc w:val="center"/>
              <w:rPr>
                <w:i/>
                <w:color w:val="000000"/>
                <w:sz w:val="16"/>
                <w:szCs w:val="16"/>
                <w:lang w:eastAsia="en-US"/>
              </w:rPr>
            </w:pPr>
            <w:r w:rsidRPr="00131EED">
              <w:rPr>
                <w:sz w:val="16"/>
                <w:szCs w:val="16"/>
              </w:rPr>
              <w:t>108</w:t>
            </w:r>
          </w:p>
        </w:tc>
        <w:tc>
          <w:tcPr>
            <w:tcW w:w="378" w:type="pct"/>
            <w:tcBorders>
              <w:top w:val="nil"/>
              <w:left w:val="nil"/>
              <w:bottom w:val="single" w:sz="4" w:space="0" w:color="auto"/>
              <w:right w:val="single" w:sz="4" w:space="0" w:color="auto"/>
            </w:tcBorders>
            <w:noWrap/>
            <w:hideMark/>
          </w:tcPr>
          <w:p w14:paraId="1FA27B33" w14:textId="77777777" w:rsidR="00F421F8" w:rsidRPr="00131EED" w:rsidRDefault="00F421F8">
            <w:pPr>
              <w:jc w:val="center"/>
              <w:rPr>
                <w:i/>
                <w:color w:val="000000"/>
                <w:sz w:val="16"/>
                <w:szCs w:val="16"/>
                <w:lang w:eastAsia="en-US"/>
              </w:rPr>
            </w:pPr>
            <w:r w:rsidRPr="00131EED">
              <w:rPr>
                <w:sz w:val="16"/>
                <w:szCs w:val="16"/>
              </w:rPr>
              <w:t>129</w:t>
            </w:r>
          </w:p>
        </w:tc>
        <w:tc>
          <w:tcPr>
            <w:tcW w:w="378" w:type="pct"/>
            <w:tcBorders>
              <w:top w:val="nil"/>
              <w:left w:val="nil"/>
              <w:bottom w:val="single" w:sz="4" w:space="0" w:color="auto"/>
              <w:right w:val="single" w:sz="4" w:space="0" w:color="auto"/>
            </w:tcBorders>
            <w:noWrap/>
            <w:hideMark/>
          </w:tcPr>
          <w:p w14:paraId="375D237A" w14:textId="77777777" w:rsidR="00F421F8" w:rsidRPr="00131EED" w:rsidRDefault="00F421F8">
            <w:pPr>
              <w:jc w:val="center"/>
              <w:rPr>
                <w:i/>
                <w:color w:val="000000"/>
                <w:sz w:val="16"/>
                <w:szCs w:val="16"/>
                <w:lang w:eastAsia="en-US"/>
              </w:rPr>
            </w:pPr>
            <w:r w:rsidRPr="00131EED">
              <w:rPr>
                <w:sz w:val="16"/>
                <w:szCs w:val="16"/>
              </w:rPr>
              <w:t>152</w:t>
            </w:r>
          </w:p>
        </w:tc>
        <w:tc>
          <w:tcPr>
            <w:tcW w:w="378" w:type="pct"/>
            <w:tcBorders>
              <w:top w:val="nil"/>
              <w:left w:val="nil"/>
              <w:bottom w:val="single" w:sz="4" w:space="0" w:color="auto"/>
              <w:right w:val="single" w:sz="4" w:space="0" w:color="auto"/>
            </w:tcBorders>
            <w:noWrap/>
            <w:hideMark/>
          </w:tcPr>
          <w:p w14:paraId="0B26D1E5" w14:textId="77777777" w:rsidR="00F421F8" w:rsidRPr="00131EED" w:rsidRDefault="00F421F8">
            <w:pPr>
              <w:jc w:val="center"/>
              <w:rPr>
                <w:i/>
                <w:color w:val="000000"/>
                <w:sz w:val="16"/>
                <w:szCs w:val="16"/>
                <w:lang w:eastAsia="en-US"/>
              </w:rPr>
            </w:pPr>
            <w:r w:rsidRPr="00131EED">
              <w:rPr>
                <w:sz w:val="16"/>
                <w:szCs w:val="16"/>
              </w:rPr>
              <w:t>176</w:t>
            </w:r>
          </w:p>
        </w:tc>
        <w:tc>
          <w:tcPr>
            <w:tcW w:w="378" w:type="pct"/>
            <w:tcBorders>
              <w:top w:val="nil"/>
              <w:left w:val="nil"/>
              <w:bottom w:val="single" w:sz="4" w:space="0" w:color="auto"/>
              <w:right w:val="single" w:sz="4" w:space="0" w:color="auto"/>
            </w:tcBorders>
            <w:noWrap/>
            <w:hideMark/>
          </w:tcPr>
          <w:p w14:paraId="6B4EF81C" w14:textId="77777777" w:rsidR="00F421F8" w:rsidRPr="00131EED" w:rsidRDefault="00F421F8">
            <w:pPr>
              <w:jc w:val="center"/>
              <w:rPr>
                <w:i/>
                <w:color w:val="000000"/>
                <w:sz w:val="16"/>
                <w:szCs w:val="16"/>
                <w:lang w:eastAsia="en-US"/>
              </w:rPr>
            </w:pPr>
            <w:r w:rsidRPr="00131EED">
              <w:rPr>
                <w:sz w:val="16"/>
                <w:szCs w:val="16"/>
              </w:rPr>
              <w:t>194</w:t>
            </w:r>
          </w:p>
        </w:tc>
        <w:tc>
          <w:tcPr>
            <w:tcW w:w="378" w:type="pct"/>
            <w:tcBorders>
              <w:top w:val="nil"/>
              <w:left w:val="nil"/>
              <w:bottom w:val="single" w:sz="4" w:space="0" w:color="auto"/>
              <w:right w:val="single" w:sz="4" w:space="0" w:color="auto"/>
            </w:tcBorders>
            <w:noWrap/>
            <w:hideMark/>
          </w:tcPr>
          <w:p w14:paraId="4F9133AC" w14:textId="77777777" w:rsidR="00F421F8" w:rsidRPr="00131EED" w:rsidRDefault="00F421F8">
            <w:pPr>
              <w:jc w:val="center"/>
              <w:rPr>
                <w:i/>
                <w:color w:val="000000"/>
                <w:sz w:val="16"/>
                <w:szCs w:val="16"/>
                <w:lang w:eastAsia="en-US"/>
              </w:rPr>
            </w:pPr>
            <w:r w:rsidRPr="00131EED">
              <w:rPr>
                <w:sz w:val="16"/>
                <w:szCs w:val="16"/>
              </w:rPr>
              <w:t>213</w:t>
            </w:r>
          </w:p>
        </w:tc>
        <w:tc>
          <w:tcPr>
            <w:tcW w:w="378" w:type="pct"/>
            <w:tcBorders>
              <w:top w:val="nil"/>
              <w:left w:val="nil"/>
              <w:bottom w:val="single" w:sz="4" w:space="0" w:color="auto"/>
              <w:right w:val="single" w:sz="4" w:space="0" w:color="auto"/>
            </w:tcBorders>
            <w:noWrap/>
            <w:hideMark/>
          </w:tcPr>
          <w:p w14:paraId="10781DBC" w14:textId="77777777" w:rsidR="00F421F8" w:rsidRPr="00131EED" w:rsidRDefault="00F421F8">
            <w:pPr>
              <w:jc w:val="center"/>
              <w:rPr>
                <w:i/>
                <w:color w:val="000000"/>
                <w:sz w:val="16"/>
                <w:szCs w:val="16"/>
                <w:lang w:eastAsia="en-US"/>
              </w:rPr>
            </w:pPr>
            <w:r w:rsidRPr="00131EED">
              <w:rPr>
                <w:sz w:val="16"/>
                <w:szCs w:val="16"/>
              </w:rPr>
              <w:t>236</w:t>
            </w:r>
          </w:p>
        </w:tc>
        <w:tc>
          <w:tcPr>
            <w:tcW w:w="378" w:type="pct"/>
            <w:tcBorders>
              <w:top w:val="nil"/>
              <w:left w:val="nil"/>
              <w:bottom w:val="single" w:sz="4" w:space="0" w:color="auto"/>
              <w:right w:val="single" w:sz="4" w:space="0" w:color="auto"/>
            </w:tcBorders>
            <w:noWrap/>
            <w:hideMark/>
          </w:tcPr>
          <w:p w14:paraId="6B197D60" w14:textId="77777777" w:rsidR="00F421F8" w:rsidRPr="00131EED" w:rsidRDefault="00F421F8">
            <w:pPr>
              <w:jc w:val="center"/>
              <w:rPr>
                <w:i/>
                <w:color w:val="000000"/>
                <w:sz w:val="16"/>
                <w:szCs w:val="16"/>
                <w:lang w:eastAsia="en-US"/>
              </w:rPr>
            </w:pPr>
            <w:r w:rsidRPr="00131EED">
              <w:rPr>
                <w:sz w:val="16"/>
                <w:szCs w:val="16"/>
              </w:rPr>
              <w:t>262</w:t>
            </w:r>
          </w:p>
        </w:tc>
        <w:tc>
          <w:tcPr>
            <w:tcW w:w="378" w:type="pct"/>
            <w:tcBorders>
              <w:top w:val="nil"/>
              <w:left w:val="nil"/>
              <w:bottom w:val="single" w:sz="4" w:space="0" w:color="auto"/>
              <w:right w:val="single" w:sz="4" w:space="0" w:color="auto"/>
            </w:tcBorders>
            <w:noWrap/>
            <w:hideMark/>
          </w:tcPr>
          <w:p w14:paraId="4BEBC209" w14:textId="77777777" w:rsidR="00F421F8" w:rsidRPr="00131EED" w:rsidRDefault="00F421F8">
            <w:pPr>
              <w:jc w:val="center"/>
              <w:rPr>
                <w:i/>
                <w:color w:val="000000"/>
                <w:sz w:val="16"/>
                <w:szCs w:val="16"/>
                <w:lang w:eastAsia="en-US"/>
              </w:rPr>
            </w:pPr>
            <w:r w:rsidRPr="00131EED">
              <w:rPr>
                <w:sz w:val="16"/>
                <w:szCs w:val="16"/>
              </w:rPr>
              <w:t>291</w:t>
            </w:r>
          </w:p>
        </w:tc>
        <w:tc>
          <w:tcPr>
            <w:tcW w:w="378" w:type="pct"/>
            <w:tcBorders>
              <w:top w:val="nil"/>
              <w:left w:val="nil"/>
              <w:bottom w:val="single" w:sz="4" w:space="0" w:color="auto"/>
              <w:right w:val="single" w:sz="4" w:space="0" w:color="auto"/>
            </w:tcBorders>
            <w:noWrap/>
            <w:hideMark/>
          </w:tcPr>
          <w:p w14:paraId="2E7FBE58" w14:textId="77777777" w:rsidR="00F421F8" w:rsidRPr="00131EED" w:rsidRDefault="00F421F8">
            <w:pPr>
              <w:jc w:val="center"/>
              <w:rPr>
                <w:i/>
                <w:color w:val="000000"/>
                <w:sz w:val="16"/>
                <w:szCs w:val="16"/>
                <w:lang w:eastAsia="en-US"/>
              </w:rPr>
            </w:pPr>
            <w:r w:rsidRPr="00131EED">
              <w:rPr>
                <w:sz w:val="16"/>
                <w:szCs w:val="16"/>
              </w:rPr>
              <w:t>327</w:t>
            </w:r>
          </w:p>
        </w:tc>
        <w:tc>
          <w:tcPr>
            <w:tcW w:w="378" w:type="pct"/>
            <w:tcBorders>
              <w:top w:val="nil"/>
              <w:left w:val="nil"/>
              <w:bottom w:val="single" w:sz="4" w:space="0" w:color="auto"/>
              <w:right w:val="single" w:sz="4" w:space="0" w:color="auto"/>
            </w:tcBorders>
            <w:noWrap/>
            <w:hideMark/>
          </w:tcPr>
          <w:p w14:paraId="75B5FF19" w14:textId="77777777" w:rsidR="00F421F8" w:rsidRPr="00131EED" w:rsidRDefault="00F421F8">
            <w:pPr>
              <w:jc w:val="center"/>
              <w:rPr>
                <w:i/>
                <w:color w:val="000000"/>
                <w:sz w:val="16"/>
                <w:szCs w:val="16"/>
                <w:lang w:eastAsia="en-US"/>
              </w:rPr>
            </w:pPr>
            <w:r w:rsidRPr="00131EED">
              <w:rPr>
                <w:sz w:val="16"/>
                <w:szCs w:val="16"/>
              </w:rPr>
              <w:t>333</w:t>
            </w:r>
          </w:p>
        </w:tc>
        <w:tc>
          <w:tcPr>
            <w:tcW w:w="378" w:type="pct"/>
            <w:tcBorders>
              <w:top w:val="nil"/>
              <w:left w:val="nil"/>
              <w:bottom w:val="single" w:sz="4" w:space="0" w:color="auto"/>
              <w:right w:val="single" w:sz="4" w:space="0" w:color="auto"/>
            </w:tcBorders>
            <w:noWrap/>
            <w:hideMark/>
          </w:tcPr>
          <w:p w14:paraId="620846B5" w14:textId="77777777" w:rsidR="00F421F8" w:rsidRPr="00131EED" w:rsidRDefault="00F421F8">
            <w:pPr>
              <w:jc w:val="center"/>
              <w:rPr>
                <w:i/>
                <w:color w:val="000000"/>
                <w:sz w:val="16"/>
                <w:szCs w:val="16"/>
                <w:lang w:eastAsia="en-US"/>
              </w:rPr>
            </w:pPr>
            <w:r w:rsidRPr="00131EED">
              <w:rPr>
                <w:sz w:val="16"/>
                <w:szCs w:val="16"/>
              </w:rPr>
              <w:t>350</w:t>
            </w:r>
          </w:p>
        </w:tc>
      </w:tr>
      <w:tr w:rsidR="00F421F8" w:rsidRPr="00131EED" w14:paraId="5C36D936"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3B3B454C" w14:textId="77777777" w:rsidR="00F421F8" w:rsidRPr="00131EED" w:rsidRDefault="00F421F8">
            <w:pPr>
              <w:jc w:val="center"/>
              <w:rPr>
                <w:b/>
                <w:i/>
                <w:color w:val="000000"/>
                <w:sz w:val="16"/>
                <w:szCs w:val="16"/>
                <w:lang w:eastAsia="en-US"/>
              </w:rPr>
            </w:pPr>
            <w:r w:rsidRPr="00131EED">
              <w:rPr>
                <w:b/>
                <w:i/>
                <w:color w:val="000000"/>
                <w:sz w:val="16"/>
                <w:szCs w:val="16"/>
                <w:lang w:eastAsia="en-US"/>
              </w:rPr>
              <w:t>Tenjo</w:t>
            </w:r>
          </w:p>
        </w:tc>
        <w:tc>
          <w:tcPr>
            <w:tcW w:w="378" w:type="pct"/>
            <w:tcBorders>
              <w:top w:val="nil"/>
              <w:left w:val="nil"/>
              <w:bottom w:val="single" w:sz="4" w:space="0" w:color="auto"/>
              <w:right w:val="single" w:sz="4" w:space="0" w:color="auto"/>
            </w:tcBorders>
            <w:noWrap/>
            <w:hideMark/>
          </w:tcPr>
          <w:p w14:paraId="6BDE4E72" w14:textId="77777777" w:rsidR="00F421F8" w:rsidRPr="00131EED" w:rsidRDefault="00F421F8">
            <w:pPr>
              <w:jc w:val="center"/>
              <w:rPr>
                <w:i/>
                <w:color w:val="000000"/>
                <w:sz w:val="16"/>
                <w:szCs w:val="16"/>
                <w:lang w:eastAsia="en-US"/>
              </w:rPr>
            </w:pPr>
            <w:r w:rsidRPr="00131EED">
              <w:rPr>
                <w:sz w:val="16"/>
                <w:szCs w:val="16"/>
              </w:rPr>
              <w:t>84</w:t>
            </w:r>
          </w:p>
        </w:tc>
        <w:tc>
          <w:tcPr>
            <w:tcW w:w="378" w:type="pct"/>
            <w:tcBorders>
              <w:top w:val="nil"/>
              <w:left w:val="nil"/>
              <w:bottom w:val="single" w:sz="4" w:space="0" w:color="auto"/>
              <w:right w:val="single" w:sz="4" w:space="0" w:color="auto"/>
            </w:tcBorders>
            <w:noWrap/>
            <w:hideMark/>
          </w:tcPr>
          <w:p w14:paraId="4A746373" w14:textId="77777777" w:rsidR="00F421F8" w:rsidRPr="00131EED" w:rsidRDefault="00F421F8">
            <w:pPr>
              <w:jc w:val="center"/>
              <w:rPr>
                <w:i/>
                <w:color w:val="000000"/>
                <w:sz w:val="16"/>
                <w:szCs w:val="16"/>
                <w:lang w:eastAsia="en-US"/>
              </w:rPr>
            </w:pPr>
            <w:r w:rsidRPr="00131EED">
              <w:rPr>
                <w:sz w:val="16"/>
                <w:szCs w:val="16"/>
              </w:rPr>
              <w:t>103</w:t>
            </w:r>
          </w:p>
        </w:tc>
        <w:tc>
          <w:tcPr>
            <w:tcW w:w="378" w:type="pct"/>
            <w:tcBorders>
              <w:top w:val="nil"/>
              <w:left w:val="nil"/>
              <w:bottom w:val="single" w:sz="4" w:space="0" w:color="auto"/>
              <w:right w:val="single" w:sz="4" w:space="0" w:color="auto"/>
            </w:tcBorders>
            <w:noWrap/>
            <w:hideMark/>
          </w:tcPr>
          <w:p w14:paraId="6E180C50" w14:textId="77777777" w:rsidR="00F421F8" w:rsidRPr="00131EED" w:rsidRDefault="00F421F8">
            <w:pPr>
              <w:jc w:val="center"/>
              <w:rPr>
                <w:i/>
                <w:color w:val="000000"/>
                <w:sz w:val="16"/>
                <w:szCs w:val="16"/>
                <w:lang w:eastAsia="en-US"/>
              </w:rPr>
            </w:pPr>
            <w:r w:rsidRPr="00131EED">
              <w:rPr>
                <w:sz w:val="16"/>
                <w:szCs w:val="16"/>
              </w:rPr>
              <w:t>124</w:t>
            </w:r>
          </w:p>
        </w:tc>
        <w:tc>
          <w:tcPr>
            <w:tcW w:w="378" w:type="pct"/>
            <w:tcBorders>
              <w:top w:val="nil"/>
              <w:left w:val="nil"/>
              <w:bottom w:val="single" w:sz="4" w:space="0" w:color="auto"/>
              <w:right w:val="single" w:sz="4" w:space="0" w:color="auto"/>
            </w:tcBorders>
            <w:noWrap/>
            <w:hideMark/>
          </w:tcPr>
          <w:p w14:paraId="2B9D5B97" w14:textId="77777777" w:rsidR="00F421F8" w:rsidRPr="00131EED" w:rsidRDefault="00F421F8">
            <w:pPr>
              <w:jc w:val="center"/>
              <w:rPr>
                <w:i/>
                <w:color w:val="000000"/>
                <w:sz w:val="16"/>
                <w:szCs w:val="16"/>
                <w:lang w:eastAsia="en-US"/>
              </w:rPr>
            </w:pPr>
            <w:r w:rsidRPr="00131EED">
              <w:rPr>
                <w:sz w:val="16"/>
                <w:szCs w:val="16"/>
              </w:rPr>
              <w:t>146</w:t>
            </w:r>
          </w:p>
        </w:tc>
        <w:tc>
          <w:tcPr>
            <w:tcW w:w="378" w:type="pct"/>
            <w:tcBorders>
              <w:top w:val="nil"/>
              <w:left w:val="nil"/>
              <w:bottom w:val="single" w:sz="4" w:space="0" w:color="auto"/>
              <w:right w:val="single" w:sz="4" w:space="0" w:color="auto"/>
            </w:tcBorders>
            <w:noWrap/>
            <w:hideMark/>
          </w:tcPr>
          <w:p w14:paraId="4ECF7384" w14:textId="77777777" w:rsidR="00F421F8" w:rsidRPr="00131EED" w:rsidRDefault="00F421F8">
            <w:pPr>
              <w:jc w:val="center"/>
              <w:rPr>
                <w:i/>
                <w:color w:val="000000"/>
                <w:sz w:val="16"/>
                <w:szCs w:val="16"/>
                <w:lang w:eastAsia="en-US"/>
              </w:rPr>
            </w:pPr>
            <w:r w:rsidRPr="00131EED">
              <w:rPr>
                <w:sz w:val="16"/>
                <w:szCs w:val="16"/>
              </w:rPr>
              <w:t>154</w:t>
            </w:r>
          </w:p>
        </w:tc>
        <w:tc>
          <w:tcPr>
            <w:tcW w:w="378" w:type="pct"/>
            <w:tcBorders>
              <w:top w:val="nil"/>
              <w:left w:val="nil"/>
              <w:bottom w:val="single" w:sz="4" w:space="0" w:color="auto"/>
              <w:right w:val="single" w:sz="4" w:space="0" w:color="auto"/>
            </w:tcBorders>
            <w:noWrap/>
            <w:hideMark/>
          </w:tcPr>
          <w:p w14:paraId="078F699F" w14:textId="77777777" w:rsidR="00F421F8" w:rsidRPr="00131EED" w:rsidRDefault="00F421F8">
            <w:pPr>
              <w:jc w:val="center"/>
              <w:rPr>
                <w:i/>
                <w:color w:val="000000"/>
                <w:sz w:val="16"/>
                <w:szCs w:val="16"/>
                <w:lang w:eastAsia="en-US"/>
              </w:rPr>
            </w:pPr>
            <w:r w:rsidRPr="00131EED">
              <w:rPr>
                <w:sz w:val="16"/>
                <w:szCs w:val="16"/>
              </w:rPr>
              <w:t>162</w:t>
            </w:r>
          </w:p>
        </w:tc>
        <w:tc>
          <w:tcPr>
            <w:tcW w:w="378" w:type="pct"/>
            <w:tcBorders>
              <w:top w:val="nil"/>
              <w:left w:val="nil"/>
              <w:bottom w:val="single" w:sz="4" w:space="0" w:color="auto"/>
              <w:right w:val="single" w:sz="4" w:space="0" w:color="auto"/>
            </w:tcBorders>
            <w:noWrap/>
            <w:hideMark/>
          </w:tcPr>
          <w:p w14:paraId="23D3A3FF" w14:textId="77777777" w:rsidR="00F421F8" w:rsidRPr="00131EED" w:rsidRDefault="00F421F8">
            <w:pPr>
              <w:jc w:val="center"/>
              <w:rPr>
                <w:i/>
                <w:color w:val="000000"/>
                <w:sz w:val="16"/>
                <w:szCs w:val="16"/>
                <w:lang w:eastAsia="en-US"/>
              </w:rPr>
            </w:pPr>
            <w:r w:rsidRPr="00131EED">
              <w:rPr>
                <w:sz w:val="16"/>
                <w:szCs w:val="16"/>
              </w:rPr>
              <w:t>177</w:t>
            </w:r>
          </w:p>
        </w:tc>
        <w:tc>
          <w:tcPr>
            <w:tcW w:w="378" w:type="pct"/>
            <w:tcBorders>
              <w:top w:val="nil"/>
              <w:left w:val="nil"/>
              <w:bottom w:val="single" w:sz="4" w:space="0" w:color="auto"/>
              <w:right w:val="single" w:sz="4" w:space="0" w:color="auto"/>
            </w:tcBorders>
            <w:noWrap/>
            <w:hideMark/>
          </w:tcPr>
          <w:p w14:paraId="09474010" w14:textId="77777777" w:rsidR="00F421F8" w:rsidRPr="00131EED" w:rsidRDefault="00F421F8">
            <w:pPr>
              <w:jc w:val="center"/>
              <w:rPr>
                <w:i/>
                <w:color w:val="000000"/>
                <w:sz w:val="16"/>
                <w:szCs w:val="16"/>
                <w:lang w:eastAsia="en-US"/>
              </w:rPr>
            </w:pPr>
            <w:r w:rsidRPr="00131EED">
              <w:rPr>
                <w:sz w:val="16"/>
                <w:szCs w:val="16"/>
              </w:rPr>
              <w:t>194</w:t>
            </w:r>
          </w:p>
        </w:tc>
        <w:tc>
          <w:tcPr>
            <w:tcW w:w="378" w:type="pct"/>
            <w:tcBorders>
              <w:top w:val="nil"/>
              <w:left w:val="nil"/>
              <w:bottom w:val="single" w:sz="4" w:space="0" w:color="auto"/>
              <w:right w:val="single" w:sz="4" w:space="0" w:color="auto"/>
            </w:tcBorders>
            <w:noWrap/>
            <w:hideMark/>
          </w:tcPr>
          <w:p w14:paraId="0D7151CC" w14:textId="77777777" w:rsidR="00F421F8" w:rsidRPr="00131EED" w:rsidRDefault="00F421F8">
            <w:pPr>
              <w:jc w:val="center"/>
              <w:rPr>
                <w:i/>
                <w:color w:val="000000"/>
                <w:sz w:val="16"/>
                <w:szCs w:val="16"/>
                <w:lang w:eastAsia="en-US"/>
              </w:rPr>
            </w:pPr>
            <w:r w:rsidRPr="00131EED">
              <w:rPr>
                <w:sz w:val="16"/>
                <w:szCs w:val="16"/>
              </w:rPr>
              <w:t>214</w:t>
            </w:r>
          </w:p>
        </w:tc>
        <w:tc>
          <w:tcPr>
            <w:tcW w:w="378" w:type="pct"/>
            <w:tcBorders>
              <w:top w:val="nil"/>
              <w:left w:val="nil"/>
              <w:bottom w:val="single" w:sz="4" w:space="0" w:color="auto"/>
              <w:right w:val="single" w:sz="4" w:space="0" w:color="auto"/>
            </w:tcBorders>
            <w:noWrap/>
            <w:hideMark/>
          </w:tcPr>
          <w:p w14:paraId="4F5BCA7D" w14:textId="77777777" w:rsidR="00F421F8" w:rsidRPr="00131EED" w:rsidRDefault="00F421F8">
            <w:pPr>
              <w:jc w:val="center"/>
              <w:rPr>
                <w:i/>
                <w:color w:val="000000"/>
                <w:sz w:val="16"/>
                <w:szCs w:val="16"/>
                <w:lang w:eastAsia="en-US"/>
              </w:rPr>
            </w:pPr>
            <w:r w:rsidRPr="00131EED">
              <w:rPr>
                <w:sz w:val="16"/>
                <w:szCs w:val="16"/>
              </w:rPr>
              <w:t>244</w:t>
            </w:r>
          </w:p>
        </w:tc>
        <w:tc>
          <w:tcPr>
            <w:tcW w:w="378" w:type="pct"/>
            <w:tcBorders>
              <w:top w:val="nil"/>
              <w:left w:val="nil"/>
              <w:bottom w:val="single" w:sz="4" w:space="0" w:color="auto"/>
              <w:right w:val="single" w:sz="4" w:space="0" w:color="auto"/>
            </w:tcBorders>
            <w:noWrap/>
            <w:hideMark/>
          </w:tcPr>
          <w:p w14:paraId="0F73ECEA" w14:textId="77777777" w:rsidR="00F421F8" w:rsidRPr="00131EED" w:rsidRDefault="00F421F8">
            <w:pPr>
              <w:jc w:val="center"/>
              <w:rPr>
                <w:i/>
                <w:color w:val="000000"/>
                <w:sz w:val="16"/>
                <w:szCs w:val="16"/>
                <w:lang w:eastAsia="en-US"/>
              </w:rPr>
            </w:pPr>
            <w:r w:rsidRPr="00131EED">
              <w:rPr>
                <w:sz w:val="16"/>
                <w:szCs w:val="16"/>
              </w:rPr>
              <w:t>254</w:t>
            </w:r>
          </w:p>
        </w:tc>
        <w:tc>
          <w:tcPr>
            <w:tcW w:w="378" w:type="pct"/>
            <w:tcBorders>
              <w:top w:val="nil"/>
              <w:left w:val="nil"/>
              <w:bottom w:val="single" w:sz="4" w:space="0" w:color="auto"/>
              <w:right w:val="single" w:sz="4" w:space="0" w:color="auto"/>
            </w:tcBorders>
            <w:noWrap/>
            <w:hideMark/>
          </w:tcPr>
          <w:p w14:paraId="6D5475C4" w14:textId="77777777" w:rsidR="00F421F8" w:rsidRPr="00131EED" w:rsidRDefault="00F421F8">
            <w:pPr>
              <w:jc w:val="center"/>
              <w:rPr>
                <w:i/>
                <w:color w:val="000000"/>
                <w:sz w:val="16"/>
                <w:szCs w:val="16"/>
                <w:lang w:eastAsia="en-US"/>
              </w:rPr>
            </w:pPr>
            <w:r w:rsidRPr="00131EED">
              <w:rPr>
                <w:sz w:val="16"/>
                <w:szCs w:val="16"/>
              </w:rPr>
              <w:t>265</w:t>
            </w:r>
          </w:p>
        </w:tc>
      </w:tr>
      <w:tr w:rsidR="00F421F8" w:rsidRPr="00131EED" w14:paraId="6DE942D7"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3F37D3F2" w14:textId="77777777" w:rsidR="00F421F8" w:rsidRPr="00131EED" w:rsidRDefault="00F421F8">
            <w:pPr>
              <w:jc w:val="center"/>
              <w:rPr>
                <w:b/>
                <w:i/>
                <w:color w:val="000000"/>
                <w:sz w:val="16"/>
                <w:szCs w:val="16"/>
                <w:lang w:eastAsia="en-US"/>
              </w:rPr>
            </w:pPr>
            <w:r w:rsidRPr="00131EED">
              <w:rPr>
                <w:b/>
                <w:i/>
                <w:color w:val="000000"/>
                <w:sz w:val="16"/>
                <w:szCs w:val="16"/>
                <w:lang w:eastAsia="en-US"/>
              </w:rPr>
              <w:t>El Rosal</w:t>
            </w:r>
          </w:p>
        </w:tc>
        <w:tc>
          <w:tcPr>
            <w:tcW w:w="378" w:type="pct"/>
            <w:tcBorders>
              <w:top w:val="nil"/>
              <w:left w:val="nil"/>
              <w:bottom w:val="single" w:sz="4" w:space="0" w:color="auto"/>
              <w:right w:val="single" w:sz="4" w:space="0" w:color="auto"/>
            </w:tcBorders>
            <w:noWrap/>
            <w:hideMark/>
          </w:tcPr>
          <w:p w14:paraId="5BCAB0E5" w14:textId="77777777" w:rsidR="00F421F8" w:rsidRPr="00131EED" w:rsidRDefault="00F421F8">
            <w:pPr>
              <w:jc w:val="center"/>
              <w:rPr>
                <w:i/>
                <w:color w:val="000000"/>
                <w:sz w:val="16"/>
                <w:szCs w:val="16"/>
                <w:lang w:eastAsia="en-US"/>
              </w:rPr>
            </w:pPr>
            <w:r w:rsidRPr="00131EED">
              <w:rPr>
                <w:sz w:val="16"/>
                <w:szCs w:val="16"/>
              </w:rPr>
              <w:t>89</w:t>
            </w:r>
          </w:p>
        </w:tc>
        <w:tc>
          <w:tcPr>
            <w:tcW w:w="378" w:type="pct"/>
            <w:tcBorders>
              <w:top w:val="nil"/>
              <w:left w:val="nil"/>
              <w:bottom w:val="single" w:sz="4" w:space="0" w:color="auto"/>
              <w:right w:val="single" w:sz="4" w:space="0" w:color="auto"/>
            </w:tcBorders>
            <w:noWrap/>
            <w:hideMark/>
          </w:tcPr>
          <w:p w14:paraId="09F1340F" w14:textId="77777777" w:rsidR="00F421F8" w:rsidRPr="00131EED" w:rsidRDefault="00F421F8">
            <w:pPr>
              <w:jc w:val="center"/>
              <w:rPr>
                <w:i/>
                <w:color w:val="000000"/>
                <w:sz w:val="16"/>
                <w:szCs w:val="16"/>
                <w:lang w:eastAsia="en-US"/>
              </w:rPr>
            </w:pPr>
            <w:r w:rsidRPr="00131EED">
              <w:rPr>
                <w:sz w:val="16"/>
                <w:szCs w:val="16"/>
              </w:rPr>
              <w:t>119</w:t>
            </w:r>
          </w:p>
        </w:tc>
        <w:tc>
          <w:tcPr>
            <w:tcW w:w="378" w:type="pct"/>
            <w:tcBorders>
              <w:top w:val="nil"/>
              <w:left w:val="nil"/>
              <w:bottom w:val="single" w:sz="4" w:space="0" w:color="auto"/>
              <w:right w:val="single" w:sz="4" w:space="0" w:color="auto"/>
            </w:tcBorders>
            <w:noWrap/>
            <w:hideMark/>
          </w:tcPr>
          <w:p w14:paraId="0566E863" w14:textId="77777777" w:rsidR="00F421F8" w:rsidRPr="00131EED" w:rsidRDefault="00F421F8">
            <w:pPr>
              <w:jc w:val="center"/>
              <w:rPr>
                <w:i/>
                <w:color w:val="000000"/>
                <w:sz w:val="16"/>
                <w:szCs w:val="16"/>
                <w:lang w:eastAsia="en-US"/>
              </w:rPr>
            </w:pPr>
            <w:r w:rsidRPr="00131EED">
              <w:rPr>
                <w:sz w:val="16"/>
                <w:szCs w:val="16"/>
              </w:rPr>
              <w:t>151</w:t>
            </w:r>
          </w:p>
        </w:tc>
        <w:tc>
          <w:tcPr>
            <w:tcW w:w="378" w:type="pct"/>
            <w:tcBorders>
              <w:top w:val="nil"/>
              <w:left w:val="nil"/>
              <w:bottom w:val="single" w:sz="4" w:space="0" w:color="auto"/>
              <w:right w:val="single" w:sz="4" w:space="0" w:color="auto"/>
            </w:tcBorders>
            <w:noWrap/>
            <w:hideMark/>
          </w:tcPr>
          <w:p w14:paraId="57EDD5A3" w14:textId="77777777" w:rsidR="00F421F8" w:rsidRPr="00131EED" w:rsidRDefault="00F421F8">
            <w:pPr>
              <w:jc w:val="center"/>
              <w:rPr>
                <w:i/>
                <w:color w:val="000000"/>
                <w:sz w:val="16"/>
                <w:szCs w:val="16"/>
                <w:lang w:eastAsia="en-US"/>
              </w:rPr>
            </w:pPr>
            <w:r w:rsidRPr="00131EED">
              <w:rPr>
                <w:sz w:val="16"/>
                <w:szCs w:val="16"/>
              </w:rPr>
              <w:t>184</w:t>
            </w:r>
          </w:p>
        </w:tc>
        <w:tc>
          <w:tcPr>
            <w:tcW w:w="378" w:type="pct"/>
            <w:tcBorders>
              <w:top w:val="nil"/>
              <w:left w:val="nil"/>
              <w:bottom w:val="single" w:sz="4" w:space="0" w:color="auto"/>
              <w:right w:val="single" w:sz="4" w:space="0" w:color="auto"/>
            </w:tcBorders>
            <w:noWrap/>
            <w:hideMark/>
          </w:tcPr>
          <w:p w14:paraId="5A29A67B" w14:textId="77777777" w:rsidR="00F421F8" w:rsidRPr="00131EED" w:rsidRDefault="00F421F8">
            <w:pPr>
              <w:jc w:val="center"/>
              <w:rPr>
                <w:i/>
                <w:color w:val="000000"/>
                <w:sz w:val="16"/>
                <w:szCs w:val="16"/>
                <w:lang w:eastAsia="en-US"/>
              </w:rPr>
            </w:pPr>
            <w:r w:rsidRPr="00131EED">
              <w:rPr>
                <w:sz w:val="16"/>
                <w:szCs w:val="16"/>
              </w:rPr>
              <w:t>196</w:t>
            </w:r>
          </w:p>
        </w:tc>
        <w:tc>
          <w:tcPr>
            <w:tcW w:w="378" w:type="pct"/>
            <w:tcBorders>
              <w:top w:val="nil"/>
              <w:left w:val="nil"/>
              <w:bottom w:val="single" w:sz="4" w:space="0" w:color="auto"/>
              <w:right w:val="single" w:sz="4" w:space="0" w:color="auto"/>
            </w:tcBorders>
            <w:noWrap/>
            <w:hideMark/>
          </w:tcPr>
          <w:p w14:paraId="0AE4957A" w14:textId="77777777" w:rsidR="00F421F8" w:rsidRPr="00131EED" w:rsidRDefault="00F421F8">
            <w:pPr>
              <w:jc w:val="center"/>
              <w:rPr>
                <w:i/>
                <w:color w:val="000000"/>
                <w:sz w:val="16"/>
                <w:szCs w:val="16"/>
                <w:lang w:eastAsia="en-US"/>
              </w:rPr>
            </w:pPr>
            <w:r w:rsidRPr="00131EED">
              <w:rPr>
                <w:sz w:val="16"/>
                <w:szCs w:val="16"/>
              </w:rPr>
              <w:t>209</w:t>
            </w:r>
          </w:p>
        </w:tc>
        <w:tc>
          <w:tcPr>
            <w:tcW w:w="378" w:type="pct"/>
            <w:tcBorders>
              <w:top w:val="nil"/>
              <w:left w:val="nil"/>
              <w:bottom w:val="single" w:sz="4" w:space="0" w:color="auto"/>
              <w:right w:val="single" w:sz="4" w:space="0" w:color="auto"/>
            </w:tcBorders>
            <w:noWrap/>
            <w:hideMark/>
          </w:tcPr>
          <w:p w14:paraId="7E472629" w14:textId="77777777" w:rsidR="00F421F8" w:rsidRPr="00131EED" w:rsidRDefault="00F421F8">
            <w:pPr>
              <w:jc w:val="center"/>
              <w:rPr>
                <w:i/>
                <w:color w:val="000000"/>
                <w:sz w:val="16"/>
                <w:szCs w:val="16"/>
                <w:lang w:eastAsia="en-US"/>
              </w:rPr>
            </w:pPr>
            <w:r w:rsidRPr="00131EED">
              <w:rPr>
                <w:sz w:val="16"/>
                <w:szCs w:val="16"/>
              </w:rPr>
              <w:t>220</w:t>
            </w:r>
          </w:p>
        </w:tc>
        <w:tc>
          <w:tcPr>
            <w:tcW w:w="378" w:type="pct"/>
            <w:tcBorders>
              <w:top w:val="nil"/>
              <w:left w:val="nil"/>
              <w:bottom w:val="single" w:sz="4" w:space="0" w:color="auto"/>
              <w:right w:val="single" w:sz="4" w:space="0" w:color="auto"/>
            </w:tcBorders>
            <w:noWrap/>
            <w:hideMark/>
          </w:tcPr>
          <w:p w14:paraId="0A8FDF9E" w14:textId="77777777" w:rsidR="00F421F8" w:rsidRPr="00131EED" w:rsidRDefault="00F421F8">
            <w:pPr>
              <w:jc w:val="center"/>
              <w:rPr>
                <w:i/>
                <w:color w:val="000000"/>
                <w:sz w:val="16"/>
                <w:szCs w:val="16"/>
                <w:lang w:eastAsia="en-US"/>
              </w:rPr>
            </w:pPr>
            <w:r w:rsidRPr="00131EED">
              <w:rPr>
                <w:sz w:val="16"/>
                <w:szCs w:val="16"/>
              </w:rPr>
              <w:t>231</w:t>
            </w:r>
          </w:p>
        </w:tc>
        <w:tc>
          <w:tcPr>
            <w:tcW w:w="378" w:type="pct"/>
            <w:tcBorders>
              <w:top w:val="nil"/>
              <w:left w:val="nil"/>
              <w:bottom w:val="single" w:sz="4" w:space="0" w:color="auto"/>
              <w:right w:val="single" w:sz="4" w:space="0" w:color="auto"/>
            </w:tcBorders>
            <w:noWrap/>
            <w:hideMark/>
          </w:tcPr>
          <w:p w14:paraId="4C827974" w14:textId="77777777" w:rsidR="00F421F8" w:rsidRPr="00131EED" w:rsidRDefault="00F421F8">
            <w:pPr>
              <w:jc w:val="center"/>
              <w:rPr>
                <w:i/>
                <w:color w:val="000000"/>
                <w:sz w:val="16"/>
                <w:szCs w:val="16"/>
                <w:lang w:eastAsia="en-US"/>
              </w:rPr>
            </w:pPr>
            <w:r w:rsidRPr="00131EED">
              <w:rPr>
                <w:sz w:val="16"/>
                <w:szCs w:val="16"/>
              </w:rPr>
              <w:t>242</w:t>
            </w:r>
          </w:p>
        </w:tc>
        <w:tc>
          <w:tcPr>
            <w:tcW w:w="378" w:type="pct"/>
            <w:tcBorders>
              <w:top w:val="nil"/>
              <w:left w:val="nil"/>
              <w:bottom w:val="single" w:sz="4" w:space="0" w:color="auto"/>
              <w:right w:val="single" w:sz="4" w:space="0" w:color="auto"/>
            </w:tcBorders>
            <w:noWrap/>
            <w:hideMark/>
          </w:tcPr>
          <w:p w14:paraId="447A34CD" w14:textId="77777777" w:rsidR="00F421F8" w:rsidRPr="00131EED" w:rsidRDefault="00F421F8">
            <w:pPr>
              <w:jc w:val="center"/>
              <w:rPr>
                <w:i/>
                <w:color w:val="000000"/>
                <w:sz w:val="16"/>
                <w:szCs w:val="16"/>
                <w:lang w:eastAsia="en-US"/>
              </w:rPr>
            </w:pPr>
            <w:r w:rsidRPr="00131EED">
              <w:rPr>
                <w:sz w:val="16"/>
                <w:szCs w:val="16"/>
              </w:rPr>
              <w:t>251</w:t>
            </w:r>
          </w:p>
        </w:tc>
        <w:tc>
          <w:tcPr>
            <w:tcW w:w="378" w:type="pct"/>
            <w:tcBorders>
              <w:top w:val="nil"/>
              <w:left w:val="nil"/>
              <w:bottom w:val="single" w:sz="4" w:space="0" w:color="auto"/>
              <w:right w:val="single" w:sz="4" w:space="0" w:color="auto"/>
            </w:tcBorders>
            <w:noWrap/>
            <w:hideMark/>
          </w:tcPr>
          <w:p w14:paraId="1F487843" w14:textId="77777777" w:rsidR="00F421F8" w:rsidRPr="00131EED" w:rsidRDefault="00F421F8">
            <w:pPr>
              <w:jc w:val="center"/>
              <w:rPr>
                <w:i/>
                <w:color w:val="000000"/>
                <w:sz w:val="16"/>
                <w:szCs w:val="16"/>
                <w:lang w:eastAsia="en-US"/>
              </w:rPr>
            </w:pPr>
            <w:r w:rsidRPr="00131EED">
              <w:rPr>
                <w:sz w:val="16"/>
                <w:szCs w:val="16"/>
              </w:rPr>
              <w:t>258</w:t>
            </w:r>
          </w:p>
        </w:tc>
        <w:tc>
          <w:tcPr>
            <w:tcW w:w="378" w:type="pct"/>
            <w:tcBorders>
              <w:top w:val="nil"/>
              <w:left w:val="nil"/>
              <w:bottom w:val="single" w:sz="4" w:space="0" w:color="auto"/>
              <w:right w:val="single" w:sz="4" w:space="0" w:color="auto"/>
            </w:tcBorders>
            <w:noWrap/>
            <w:hideMark/>
          </w:tcPr>
          <w:p w14:paraId="3A3A695F" w14:textId="77777777" w:rsidR="00F421F8" w:rsidRPr="00131EED" w:rsidRDefault="00F421F8">
            <w:pPr>
              <w:jc w:val="center"/>
              <w:rPr>
                <w:i/>
                <w:color w:val="000000"/>
                <w:sz w:val="16"/>
                <w:szCs w:val="16"/>
                <w:lang w:eastAsia="en-US"/>
              </w:rPr>
            </w:pPr>
            <w:r w:rsidRPr="00131EED">
              <w:rPr>
                <w:sz w:val="16"/>
                <w:szCs w:val="16"/>
              </w:rPr>
              <w:t>265</w:t>
            </w:r>
          </w:p>
        </w:tc>
      </w:tr>
      <w:tr w:rsidR="00F421F8" w:rsidRPr="00131EED" w14:paraId="1578EBA9"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28B63070" w14:textId="77777777" w:rsidR="00F421F8" w:rsidRPr="00131EED" w:rsidRDefault="00F421F8">
            <w:pPr>
              <w:jc w:val="center"/>
              <w:rPr>
                <w:b/>
                <w:i/>
                <w:color w:val="000000"/>
                <w:sz w:val="16"/>
                <w:szCs w:val="16"/>
                <w:lang w:eastAsia="en-US"/>
              </w:rPr>
            </w:pPr>
            <w:r w:rsidRPr="00131EED">
              <w:rPr>
                <w:b/>
                <w:i/>
                <w:color w:val="000000"/>
                <w:sz w:val="16"/>
                <w:szCs w:val="16"/>
                <w:lang w:eastAsia="en-US"/>
              </w:rPr>
              <w:t>La Calera</w:t>
            </w:r>
          </w:p>
        </w:tc>
        <w:tc>
          <w:tcPr>
            <w:tcW w:w="378" w:type="pct"/>
            <w:tcBorders>
              <w:top w:val="nil"/>
              <w:left w:val="nil"/>
              <w:bottom w:val="single" w:sz="4" w:space="0" w:color="auto"/>
              <w:right w:val="single" w:sz="4" w:space="0" w:color="auto"/>
            </w:tcBorders>
            <w:noWrap/>
            <w:hideMark/>
          </w:tcPr>
          <w:p w14:paraId="706CF5C0" w14:textId="77777777" w:rsidR="00F421F8" w:rsidRPr="00131EED" w:rsidRDefault="00F421F8">
            <w:pPr>
              <w:jc w:val="center"/>
              <w:rPr>
                <w:i/>
                <w:color w:val="000000"/>
                <w:sz w:val="16"/>
                <w:szCs w:val="16"/>
                <w:lang w:eastAsia="en-US"/>
              </w:rPr>
            </w:pPr>
            <w:r w:rsidRPr="00131EED">
              <w:rPr>
                <w:sz w:val="16"/>
                <w:szCs w:val="16"/>
              </w:rPr>
              <w:t>97</w:t>
            </w:r>
          </w:p>
        </w:tc>
        <w:tc>
          <w:tcPr>
            <w:tcW w:w="378" w:type="pct"/>
            <w:tcBorders>
              <w:top w:val="nil"/>
              <w:left w:val="nil"/>
              <w:bottom w:val="single" w:sz="4" w:space="0" w:color="auto"/>
              <w:right w:val="single" w:sz="4" w:space="0" w:color="auto"/>
            </w:tcBorders>
            <w:noWrap/>
            <w:hideMark/>
          </w:tcPr>
          <w:p w14:paraId="1F1CC861" w14:textId="77777777" w:rsidR="00F421F8" w:rsidRPr="00131EED" w:rsidRDefault="00F421F8">
            <w:pPr>
              <w:jc w:val="center"/>
              <w:rPr>
                <w:i/>
                <w:color w:val="000000"/>
                <w:sz w:val="16"/>
                <w:szCs w:val="16"/>
                <w:lang w:eastAsia="en-US"/>
              </w:rPr>
            </w:pPr>
            <w:r w:rsidRPr="00131EED">
              <w:rPr>
                <w:sz w:val="16"/>
                <w:szCs w:val="16"/>
              </w:rPr>
              <w:t>120</w:t>
            </w:r>
          </w:p>
        </w:tc>
        <w:tc>
          <w:tcPr>
            <w:tcW w:w="378" w:type="pct"/>
            <w:tcBorders>
              <w:top w:val="nil"/>
              <w:left w:val="nil"/>
              <w:bottom w:val="single" w:sz="4" w:space="0" w:color="auto"/>
              <w:right w:val="single" w:sz="4" w:space="0" w:color="auto"/>
            </w:tcBorders>
            <w:noWrap/>
            <w:hideMark/>
          </w:tcPr>
          <w:p w14:paraId="2E3FEE02" w14:textId="77777777" w:rsidR="00F421F8" w:rsidRPr="00131EED" w:rsidRDefault="00F421F8">
            <w:pPr>
              <w:jc w:val="center"/>
              <w:rPr>
                <w:i/>
                <w:color w:val="000000"/>
                <w:sz w:val="16"/>
                <w:szCs w:val="16"/>
                <w:lang w:eastAsia="en-US"/>
              </w:rPr>
            </w:pPr>
            <w:r w:rsidRPr="00131EED">
              <w:rPr>
                <w:sz w:val="16"/>
                <w:szCs w:val="16"/>
              </w:rPr>
              <w:t>144</w:t>
            </w:r>
          </w:p>
        </w:tc>
        <w:tc>
          <w:tcPr>
            <w:tcW w:w="378" w:type="pct"/>
            <w:tcBorders>
              <w:top w:val="nil"/>
              <w:left w:val="nil"/>
              <w:bottom w:val="single" w:sz="4" w:space="0" w:color="auto"/>
              <w:right w:val="single" w:sz="4" w:space="0" w:color="auto"/>
            </w:tcBorders>
            <w:noWrap/>
            <w:hideMark/>
          </w:tcPr>
          <w:p w14:paraId="659A821D" w14:textId="77777777" w:rsidR="00F421F8" w:rsidRPr="00131EED" w:rsidRDefault="00F421F8">
            <w:pPr>
              <w:jc w:val="center"/>
              <w:rPr>
                <w:i/>
                <w:color w:val="000000"/>
                <w:sz w:val="16"/>
                <w:szCs w:val="16"/>
                <w:lang w:eastAsia="en-US"/>
              </w:rPr>
            </w:pPr>
            <w:r w:rsidRPr="00131EED">
              <w:rPr>
                <w:sz w:val="16"/>
                <w:szCs w:val="16"/>
              </w:rPr>
              <w:t>169</w:t>
            </w:r>
          </w:p>
        </w:tc>
        <w:tc>
          <w:tcPr>
            <w:tcW w:w="378" w:type="pct"/>
            <w:tcBorders>
              <w:top w:val="nil"/>
              <w:left w:val="nil"/>
              <w:bottom w:val="single" w:sz="4" w:space="0" w:color="auto"/>
              <w:right w:val="single" w:sz="4" w:space="0" w:color="auto"/>
            </w:tcBorders>
            <w:noWrap/>
            <w:hideMark/>
          </w:tcPr>
          <w:p w14:paraId="737E85FF" w14:textId="77777777" w:rsidR="00F421F8" w:rsidRPr="00131EED" w:rsidRDefault="00F421F8">
            <w:pPr>
              <w:jc w:val="center"/>
              <w:rPr>
                <w:i/>
                <w:color w:val="000000"/>
                <w:sz w:val="16"/>
                <w:szCs w:val="16"/>
                <w:lang w:eastAsia="en-US"/>
              </w:rPr>
            </w:pPr>
            <w:r w:rsidRPr="00131EED">
              <w:rPr>
                <w:sz w:val="16"/>
                <w:szCs w:val="16"/>
              </w:rPr>
              <w:t>182</w:t>
            </w:r>
          </w:p>
        </w:tc>
        <w:tc>
          <w:tcPr>
            <w:tcW w:w="378" w:type="pct"/>
            <w:tcBorders>
              <w:top w:val="nil"/>
              <w:left w:val="nil"/>
              <w:bottom w:val="single" w:sz="4" w:space="0" w:color="auto"/>
              <w:right w:val="single" w:sz="4" w:space="0" w:color="auto"/>
            </w:tcBorders>
            <w:noWrap/>
            <w:hideMark/>
          </w:tcPr>
          <w:p w14:paraId="57E78451" w14:textId="77777777" w:rsidR="00F421F8" w:rsidRPr="00131EED" w:rsidRDefault="00F421F8">
            <w:pPr>
              <w:jc w:val="center"/>
              <w:rPr>
                <w:i/>
                <w:color w:val="000000"/>
                <w:sz w:val="16"/>
                <w:szCs w:val="16"/>
                <w:lang w:eastAsia="en-US"/>
              </w:rPr>
            </w:pPr>
            <w:r w:rsidRPr="00131EED">
              <w:rPr>
                <w:sz w:val="16"/>
                <w:szCs w:val="16"/>
              </w:rPr>
              <w:t>195</w:t>
            </w:r>
          </w:p>
        </w:tc>
        <w:tc>
          <w:tcPr>
            <w:tcW w:w="378" w:type="pct"/>
            <w:tcBorders>
              <w:top w:val="nil"/>
              <w:left w:val="nil"/>
              <w:bottom w:val="single" w:sz="4" w:space="0" w:color="auto"/>
              <w:right w:val="single" w:sz="4" w:space="0" w:color="auto"/>
            </w:tcBorders>
            <w:noWrap/>
            <w:hideMark/>
          </w:tcPr>
          <w:p w14:paraId="67CBFADB" w14:textId="77777777" w:rsidR="00F421F8" w:rsidRPr="00131EED" w:rsidRDefault="00F421F8">
            <w:pPr>
              <w:jc w:val="center"/>
              <w:rPr>
                <w:i/>
                <w:color w:val="000000"/>
                <w:sz w:val="16"/>
                <w:szCs w:val="16"/>
                <w:lang w:eastAsia="en-US"/>
              </w:rPr>
            </w:pPr>
            <w:r w:rsidRPr="00131EED">
              <w:rPr>
                <w:sz w:val="16"/>
                <w:szCs w:val="16"/>
              </w:rPr>
              <w:t>202</w:t>
            </w:r>
          </w:p>
        </w:tc>
        <w:tc>
          <w:tcPr>
            <w:tcW w:w="378" w:type="pct"/>
            <w:tcBorders>
              <w:top w:val="nil"/>
              <w:left w:val="nil"/>
              <w:bottom w:val="single" w:sz="4" w:space="0" w:color="auto"/>
              <w:right w:val="single" w:sz="4" w:space="0" w:color="auto"/>
            </w:tcBorders>
            <w:noWrap/>
            <w:hideMark/>
          </w:tcPr>
          <w:p w14:paraId="17637ED3" w14:textId="77777777" w:rsidR="00F421F8" w:rsidRPr="00131EED" w:rsidRDefault="00F421F8">
            <w:pPr>
              <w:jc w:val="center"/>
              <w:rPr>
                <w:i/>
                <w:color w:val="000000"/>
                <w:sz w:val="16"/>
                <w:szCs w:val="16"/>
                <w:lang w:eastAsia="en-US"/>
              </w:rPr>
            </w:pPr>
            <w:r w:rsidRPr="00131EED">
              <w:rPr>
                <w:sz w:val="16"/>
                <w:szCs w:val="16"/>
              </w:rPr>
              <w:t>210</w:t>
            </w:r>
          </w:p>
        </w:tc>
        <w:tc>
          <w:tcPr>
            <w:tcW w:w="378" w:type="pct"/>
            <w:tcBorders>
              <w:top w:val="nil"/>
              <w:left w:val="nil"/>
              <w:bottom w:val="single" w:sz="4" w:space="0" w:color="auto"/>
              <w:right w:val="single" w:sz="4" w:space="0" w:color="auto"/>
            </w:tcBorders>
            <w:noWrap/>
            <w:hideMark/>
          </w:tcPr>
          <w:p w14:paraId="5F052145" w14:textId="77777777" w:rsidR="00F421F8" w:rsidRPr="00131EED" w:rsidRDefault="00F421F8">
            <w:pPr>
              <w:jc w:val="center"/>
              <w:rPr>
                <w:i/>
                <w:color w:val="000000"/>
                <w:sz w:val="16"/>
                <w:szCs w:val="16"/>
                <w:lang w:eastAsia="en-US"/>
              </w:rPr>
            </w:pPr>
            <w:r w:rsidRPr="00131EED">
              <w:rPr>
                <w:sz w:val="16"/>
                <w:szCs w:val="16"/>
              </w:rPr>
              <w:t>218</w:t>
            </w:r>
          </w:p>
        </w:tc>
        <w:tc>
          <w:tcPr>
            <w:tcW w:w="378" w:type="pct"/>
            <w:tcBorders>
              <w:top w:val="nil"/>
              <w:left w:val="nil"/>
              <w:bottom w:val="single" w:sz="4" w:space="0" w:color="auto"/>
              <w:right w:val="single" w:sz="4" w:space="0" w:color="auto"/>
            </w:tcBorders>
            <w:noWrap/>
            <w:hideMark/>
          </w:tcPr>
          <w:p w14:paraId="62DA2BE1" w14:textId="77777777" w:rsidR="00F421F8" w:rsidRPr="00131EED" w:rsidRDefault="00F421F8">
            <w:pPr>
              <w:jc w:val="center"/>
              <w:rPr>
                <w:i/>
                <w:color w:val="000000"/>
                <w:sz w:val="16"/>
                <w:szCs w:val="16"/>
                <w:lang w:eastAsia="en-US"/>
              </w:rPr>
            </w:pPr>
            <w:r w:rsidRPr="00131EED">
              <w:rPr>
                <w:sz w:val="16"/>
                <w:szCs w:val="16"/>
              </w:rPr>
              <w:t>226</w:t>
            </w:r>
          </w:p>
        </w:tc>
        <w:tc>
          <w:tcPr>
            <w:tcW w:w="378" w:type="pct"/>
            <w:tcBorders>
              <w:top w:val="nil"/>
              <w:left w:val="nil"/>
              <w:bottom w:val="single" w:sz="4" w:space="0" w:color="auto"/>
              <w:right w:val="single" w:sz="4" w:space="0" w:color="auto"/>
            </w:tcBorders>
            <w:noWrap/>
            <w:hideMark/>
          </w:tcPr>
          <w:p w14:paraId="66D25271" w14:textId="77777777" w:rsidR="00F421F8" w:rsidRPr="00131EED" w:rsidRDefault="00F421F8">
            <w:pPr>
              <w:jc w:val="center"/>
              <w:rPr>
                <w:i/>
                <w:color w:val="000000"/>
                <w:sz w:val="16"/>
                <w:szCs w:val="16"/>
                <w:lang w:eastAsia="en-US"/>
              </w:rPr>
            </w:pPr>
            <w:r w:rsidRPr="00131EED">
              <w:rPr>
                <w:sz w:val="16"/>
                <w:szCs w:val="16"/>
              </w:rPr>
              <w:t>231</w:t>
            </w:r>
          </w:p>
        </w:tc>
        <w:tc>
          <w:tcPr>
            <w:tcW w:w="378" w:type="pct"/>
            <w:tcBorders>
              <w:top w:val="nil"/>
              <w:left w:val="nil"/>
              <w:bottom w:val="single" w:sz="4" w:space="0" w:color="auto"/>
              <w:right w:val="single" w:sz="4" w:space="0" w:color="auto"/>
            </w:tcBorders>
            <w:noWrap/>
            <w:hideMark/>
          </w:tcPr>
          <w:p w14:paraId="2DB1B4FC" w14:textId="77777777" w:rsidR="00F421F8" w:rsidRPr="00131EED" w:rsidRDefault="00F421F8">
            <w:pPr>
              <w:jc w:val="center"/>
              <w:rPr>
                <w:i/>
                <w:color w:val="000000"/>
                <w:sz w:val="16"/>
                <w:szCs w:val="16"/>
                <w:lang w:eastAsia="en-US"/>
              </w:rPr>
            </w:pPr>
            <w:r w:rsidRPr="00131EED">
              <w:rPr>
                <w:sz w:val="16"/>
                <w:szCs w:val="16"/>
              </w:rPr>
              <w:t>236</w:t>
            </w:r>
          </w:p>
        </w:tc>
      </w:tr>
      <w:tr w:rsidR="00F421F8" w:rsidRPr="00131EED" w14:paraId="0EAB15C1"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5AF56A24" w14:textId="77777777" w:rsidR="00F421F8" w:rsidRPr="00131EED" w:rsidRDefault="00F421F8">
            <w:pPr>
              <w:jc w:val="center"/>
              <w:rPr>
                <w:b/>
                <w:i/>
                <w:color w:val="000000"/>
                <w:sz w:val="16"/>
                <w:szCs w:val="16"/>
                <w:lang w:eastAsia="en-US"/>
              </w:rPr>
            </w:pPr>
            <w:r w:rsidRPr="00131EED">
              <w:rPr>
                <w:b/>
                <w:i/>
                <w:color w:val="000000"/>
                <w:sz w:val="16"/>
                <w:szCs w:val="16"/>
                <w:lang w:eastAsia="en-US"/>
              </w:rPr>
              <w:t>Tabio</w:t>
            </w:r>
          </w:p>
        </w:tc>
        <w:tc>
          <w:tcPr>
            <w:tcW w:w="378" w:type="pct"/>
            <w:tcBorders>
              <w:top w:val="nil"/>
              <w:left w:val="nil"/>
              <w:bottom w:val="single" w:sz="4" w:space="0" w:color="auto"/>
              <w:right w:val="single" w:sz="4" w:space="0" w:color="auto"/>
            </w:tcBorders>
            <w:noWrap/>
            <w:hideMark/>
          </w:tcPr>
          <w:p w14:paraId="13F5C651" w14:textId="77777777" w:rsidR="00F421F8" w:rsidRPr="00131EED" w:rsidRDefault="00F421F8">
            <w:pPr>
              <w:jc w:val="center"/>
              <w:rPr>
                <w:i/>
                <w:color w:val="000000"/>
                <w:sz w:val="16"/>
                <w:szCs w:val="16"/>
                <w:lang w:eastAsia="en-US"/>
              </w:rPr>
            </w:pPr>
            <w:r w:rsidRPr="00131EED">
              <w:rPr>
                <w:sz w:val="16"/>
                <w:szCs w:val="16"/>
              </w:rPr>
              <w:t>76</w:t>
            </w:r>
          </w:p>
        </w:tc>
        <w:tc>
          <w:tcPr>
            <w:tcW w:w="378" w:type="pct"/>
            <w:tcBorders>
              <w:top w:val="nil"/>
              <w:left w:val="nil"/>
              <w:bottom w:val="single" w:sz="4" w:space="0" w:color="auto"/>
              <w:right w:val="single" w:sz="4" w:space="0" w:color="auto"/>
            </w:tcBorders>
            <w:noWrap/>
            <w:hideMark/>
          </w:tcPr>
          <w:p w14:paraId="56C5BFBB" w14:textId="77777777" w:rsidR="00F421F8" w:rsidRPr="00131EED" w:rsidRDefault="00F421F8">
            <w:pPr>
              <w:jc w:val="center"/>
              <w:rPr>
                <w:i/>
                <w:color w:val="000000"/>
                <w:sz w:val="16"/>
                <w:szCs w:val="16"/>
                <w:lang w:eastAsia="en-US"/>
              </w:rPr>
            </w:pPr>
            <w:r w:rsidRPr="00131EED">
              <w:rPr>
                <w:sz w:val="16"/>
                <w:szCs w:val="16"/>
              </w:rPr>
              <w:t>98</w:t>
            </w:r>
          </w:p>
        </w:tc>
        <w:tc>
          <w:tcPr>
            <w:tcW w:w="378" w:type="pct"/>
            <w:tcBorders>
              <w:top w:val="nil"/>
              <w:left w:val="nil"/>
              <w:bottom w:val="single" w:sz="4" w:space="0" w:color="auto"/>
              <w:right w:val="single" w:sz="4" w:space="0" w:color="auto"/>
            </w:tcBorders>
            <w:noWrap/>
            <w:hideMark/>
          </w:tcPr>
          <w:p w14:paraId="7B594C83" w14:textId="77777777" w:rsidR="00F421F8" w:rsidRPr="00131EED" w:rsidRDefault="00F421F8">
            <w:pPr>
              <w:jc w:val="center"/>
              <w:rPr>
                <w:i/>
                <w:color w:val="000000"/>
                <w:sz w:val="16"/>
                <w:szCs w:val="16"/>
                <w:lang w:eastAsia="en-US"/>
              </w:rPr>
            </w:pPr>
            <w:r w:rsidRPr="00131EED">
              <w:rPr>
                <w:sz w:val="16"/>
                <w:szCs w:val="16"/>
              </w:rPr>
              <w:t>122</w:t>
            </w:r>
          </w:p>
        </w:tc>
        <w:tc>
          <w:tcPr>
            <w:tcW w:w="378" w:type="pct"/>
            <w:tcBorders>
              <w:top w:val="nil"/>
              <w:left w:val="nil"/>
              <w:bottom w:val="single" w:sz="4" w:space="0" w:color="auto"/>
              <w:right w:val="single" w:sz="4" w:space="0" w:color="auto"/>
            </w:tcBorders>
            <w:noWrap/>
            <w:hideMark/>
          </w:tcPr>
          <w:p w14:paraId="2BD926CA" w14:textId="77777777" w:rsidR="00F421F8" w:rsidRPr="00131EED" w:rsidRDefault="00F421F8">
            <w:pPr>
              <w:jc w:val="center"/>
              <w:rPr>
                <w:i/>
                <w:color w:val="000000"/>
                <w:sz w:val="16"/>
                <w:szCs w:val="16"/>
                <w:lang w:eastAsia="en-US"/>
              </w:rPr>
            </w:pPr>
            <w:r w:rsidRPr="00131EED">
              <w:rPr>
                <w:sz w:val="16"/>
                <w:szCs w:val="16"/>
              </w:rPr>
              <w:t>148</w:t>
            </w:r>
          </w:p>
        </w:tc>
        <w:tc>
          <w:tcPr>
            <w:tcW w:w="378" w:type="pct"/>
            <w:tcBorders>
              <w:top w:val="nil"/>
              <w:left w:val="nil"/>
              <w:bottom w:val="single" w:sz="4" w:space="0" w:color="auto"/>
              <w:right w:val="single" w:sz="4" w:space="0" w:color="auto"/>
            </w:tcBorders>
            <w:noWrap/>
            <w:hideMark/>
          </w:tcPr>
          <w:p w14:paraId="44B1EE1F" w14:textId="77777777" w:rsidR="00F421F8" w:rsidRPr="00131EED" w:rsidRDefault="00F421F8">
            <w:pPr>
              <w:jc w:val="center"/>
              <w:rPr>
                <w:i/>
                <w:color w:val="000000"/>
                <w:sz w:val="16"/>
                <w:szCs w:val="16"/>
                <w:lang w:eastAsia="en-US"/>
              </w:rPr>
            </w:pPr>
            <w:r w:rsidRPr="00131EED">
              <w:rPr>
                <w:sz w:val="16"/>
                <w:szCs w:val="16"/>
              </w:rPr>
              <w:t>155</w:t>
            </w:r>
          </w:p>
        </w:tc>
        <w:tc>
          <w:tcPr>
            <w:tcW w:w="378" w:type="pct"/>
            <w:tcBorders>
              <w:top w:val="nil"/>
              <w:left w:val="nil"/>
              <w:bottom w:val="single" w:sz="4" w:space="0" w:color="auto"/>
              <w:right w:val="single" w:sz="4" w:space="0" w:color="auto"/>
            </w:tcBorders>
            <w:noWrap/>
            <w:hideMark/>
          </w:tcPr>
          <w:p w14:paraId="7908F3D3" w14:textId="77777777" w:rsidR="00F421F8" w:rsidRPr="00131EED" w:rsidRDefault="00F421F8">
            <w:pPr>
              <w:jc w:val="center"/>
              <w:rPr>
                <w:i/>
                <w:color w:val="000000"/>
                <w:sz w:val="16"/>
                <w:szCs w:val="16"/>
                <w:lang w:eastAsia="en-US"/>
              </w:rPr>
            </w:pPr>
            <w:r w:rsidRPr="00131EED">
              <w:rPr>
                <w:sz w:val="16"/>
                <w:szCs w:val="16"/>
              </w:rPr>
              <w:t>162</w:t>
            </w:r>
          </w:p>
        </w:tc>
        <w:tc>
          <w:tcPr>
            <w:tcW w:w="378" w:type="pct"/>
            <w:tcBorders>
              <w:top w:val="nil"/>
              <w:left w:val="nil"/>
              <w:bottom w:val="single" w:sz="4" w:space="0" w:color="auto"/>
              <w:right w:val="single" w:sz="4" w:space="0" w:color="auto"/>
            </w:tcBorders>
            <w:noWrap/>
            <w:hideMark/>
          </w:tcPr>
          <w:p w14:paraId="677EDA50" w14:textId="77777777" w:rsidR="00F421F8" w:rsidRPr="00131EED" w:rsidRDefault="00F421F8">
            <w:pPr>
              <w:jc w:val="center"/>
              <w:rPr>
                <w:i/>
                <w:color w:val="000000"/>
                <w:sz w:val="16"/>
                <w:szCs w:val="16"/>
                <w:lang w:eastAsia="en-US"/>
              </w:rPr>
            </w:pPr>
            <w:r w:rsidRPr="00131EED">
              <w:rPr>
                <w:sz w:val="16"/>
                <w:szCs w:val="16"/>
              </w:rPr>
              <w:t>168</w:t>
            </w:r>
          </w:p>
        </w:tc>
        <w:tc>
          <w:tcPr>
            <w:tcW w:w="378" w:type="pct"/>
            <w:tcBorders>
              <w:top w:val="nil"/>
              <w:left w:val="nil"/>
              <w:bottom w:val="single" w:sz="4" w:space="0" w:color="auto"/>
              <w:right w:val="single" w:sz="4" w:space="0" w:color="auto"/>
            </w:tcBorders>
            <w:noWrap/>
            <w:hideMark/>
          </w:tcPr>
          <w:p w14:paraId="088A283A" w14:textId="77777777" w:rsidR="00F421F8" w:rsidRPr="00131EED" w:rsidRDefault="00F421F8">
            <w:pPr>
              <w:jc w:val="center"/>
              <w:rPr>
                <w:i/>
                <w:color w:val="000000"/>
                <w:sz w:val="16"/>
                <w:szCs w:val="16"/>
                <w:lang w:eastAsia="en-US"/>
              </w:rPr>
            </w:pPr>
            <w:r w:rsidRPr="00131EED">
              <w:rPr>
                <w:sz w:val="16"/>
                <w:szCs w:val="16"/>
              </w:rPr>
              <w:t>174</w:t>
            </w:r>
          </w:p>
        </w:tc>
        <w:tc>
          <w:tcPr>
            <w:tcW w:w="378" w:type="pct"/>
            <w:tcBorders>
              <w:top w:val="nil"/>
              <w:left w:val="nil"/>
              <w:bottom w:val="single" w:sz="4" w:space="0" w:color="auto"/>
              <w:right w:val="single" w:sz="4" w:space="0" w:color="auto"/>
            </w:tcBorders>
            <w:noWrap/>
            <w:hideMark/>
          </w:tcPr>
          <w:p w14:paraId="3735E188" w14:textId="77777777" w:rsidR="00F421F8" w:rsidRPr="00131EED" w:rsidRDefault="00F421F8">
            <w:pPr>
              <w:jc w:val="center"/>
              <w:rPr>
                <w:i/>
                <w:color w:val="000000"/>
                <w:sz w:val="16"/>
                <w:szCs w:val="16"/>
                <w:lang w:eastAsia="en-US"/>
              </w:rPr>
            </w:pPr>
            <w:r w:rsidRPr="00131EED">
              <w:rPr>
                <w:sz w:val="16"/>
                <w:szCs w:val="16"/>
              </w:rPr>
              <w:t>182</w:t>
            </w:r>
          </w:p>
        </w:tc>
        <w:tc>
          <w:tcPr>
            <w:tcW w:w="378" w:type="pct"/>
            <w:tcBorders>
              <w:top w:val="nil"/>
              <w:left w:val="nil"/>
              <w:bottom w:val="single" w:sz="4" w:space="0" w:color="auto"/>
              <w:right w:val="single" w:sz="4" w:space="0" w:color="auto"/>
            </w:tcBorders>
            <w:noWrap/>
            <w:hideMark/>
          </w:tcPr>
          <w:p w14:paraId="2919FB8B" w14:textId="77777777" w:rsidR="00F421F8" w:rsidRPr="00131EED" w:rsidRDefault="00F421F8">
            <w:pPr>
              <w:jc w:val="center"/>
              <w:rPr>
                <w:i/>
                <w:color w:val="000000"/>
                <w:sz w:val="16"/>
                <w:szCs w:val="16"/>
                <w:lang w:eastAsia="en-US"/>
              </w:rPr>
            </w:pPr>
            <w:r w:rsidRPr="00131EED">
              <w:rPr>
                <w:sz w:val="16"/>
                <w:szCs w:val="16"/>
              </w:rPr>
              <w:t>197</w:t>
            </w:r>
          </w:p>
        </w:tc>
        <w:tc>
          <w:tcPr>
            <w:tcW w:w="378" w:type="pct"/>
            <w:tcBorders>
              <w:top w:val="nil"/>
              <w:left w:val="nil"/>
              <w:bottom w:val="single" w:sz="4" w:space="0" w:color="auto"/>
              <w:right w:val="single" w:sz="4" w:space="0" w:color="auto"/>
            </w:tcBorders>
            <w:noWrap/>
            <w:hideMark/>
          </w:tcPr>
          <w:p w14:paraId="64D3D4DE" w14:textId="77777777" w:rsidR="00F421F8" w:rsidRPr="00131EED" w:rsidRDefault="00F421F8">
            <w:pPr>
              <w:jc w:val="center"/>
              <w:rPr>
                <w:i/>
                <w:color w:val="000000"/>
                <w:sz w:val="16"/>
                <w:szCs w:val="16"/>
                <w:lang w:eastAsia="en-US"/>
              </w:rPr>
            </w:pPr>
            <w:r w:rsidRPr="00131EED">
              <w:rPr>
                <w:sz w:val="16"/>
                <w:szCs w:val="16"/>
              </w:rPr>
              <w:t>198</w:t>
            </w:r>
          </w:p>
        </w:tc>
        <w:tc>
          <w:tcPr>
            <w:tcW w:w="378" w:type="pct"/>
            <w:tcBorders>
              <w:top w:val="nil"/>
              <w:left w:val="nil"/>
              <w:bottom w:val="single" w:sz="4" w:space="0" w:color="auto"/>
              <w:right w:val="single" w:sz="4" w:space="0" w:color="auto"/>
            </w:tcBorders>
            <w:noWrap/>
            <w:hideMark/>
          </w:tcPr>
          <w:p w14:paraId="2D9A2C88" w14:textId="77777777" w:rsidR="00F421F8" w:rsidRPr="00131EED" w:rsidRDefault="00F421F8">
            <w:pPr>
              <w:jc w:val="center"/>
              <w:rPr>
                <w:i/>
                <w:color w:val="000000"/>
                <w:sz w:val="16"/>
                <w:szCs w:val="16"/>
                <w:lang w:eastAsia="en-US"/>
              </w:rPr>
            </w:pPr>
            <w:r w:rsidRPr="00131EED">
              <w:rPr>
                <w:sz w:val="16"/>
                <w:szCs w:val="16"/>
              </w:rPr>
              <w:t>201</w:t>
            </w:r>
          </w:p>
        </w:tc>
      </w:tr>
      <w:tr w:rsidR="00F421F8" w:rsidRPr="00131EED" w14:paraId="4A7FF332"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546E575E" w14:textId="77777777" w:rsidR="00F421F8" w:rsidRPr="00131EED" w:rsidRDefault="00F421F8">
            <w:pPr>
              <w:jc w:val="center"/>
              <w:rPr>
                <w:b/>
                <w:i/>
                <w:color w:val="000000"/>
                <w:sz w:val="16"/>
                <w:szCs w:val="16"/>
                <w:lang w:eastAsia="en-US"/>
              </w:rPr>
            </w:pPr>
            <w:r w:rsidRPr="00131EED">
              <w:rPr>
                <w:b/>
                <w:i/>
                <w:color w:val="000000"/>
                <w:sz w:val="16"/>
                <w:szCs w:val="16"/>
                <w:lang w:eastAsia="en-US"/>
              </w:rPr>
              <w:t>Sopó</w:t>
            </w:r>
          </w:p>
        </w:tc>
        <w:tc>
          <w:tcPr>
            <w:tcW w:w="378" w:type="pct"/>
            <w:tcBorders>
              <w:top w:val="nil"/>
              <w:left w:val="nil"/>
              <w:bottom w:val="single" w:sz="4" w:space="0" w:color="auto"/>
              <w:right w:val="single" w:sz="4" w:space="0" w:color="auto"/>
            </w:tcBorders>
            <w:noWrap/>
            <w:hideMark/>
          </w:tcPr>
          <w:p w14:paraId="281A8B37" w14:textId="77777777" w:rsidR="00F421F8" w:rsidRPr="00131EED" w:rsidRDefault="00F421F8">
            <w:pPr>
              <w:jc w:val="center"/>
              <w:rPr>
                <w:i/>
                <w:color w:val="000000"/>
                <w:sz w:val="16"/>
                <w:szCs w:val="16"/>
                <w:lang w:eastAsia="en-US"/>
              </w:rPr>
            </w:pPr>
            <w:r w:rsidRPr="00131EED">
              <w:rPr>
                <w:sz w:val="16"/>
                <w:szCs w:val="16"/>
              </w:rPr>
              <w:t>77</w:t>
            </w:r>
          </w:p>
        </w:tc>
        <w:tc>
          <w:tcPr>
            <w:tcW w:w="378" w:type="pct"/>
            <w:tcBorders>
              <w:top w:val="nil"/>
              <w:left w:val="nil"/>
              <w:bottom w:val="single" w:sz="4" w:space="0" w:color="auto"/>
              <w:right w:val="single" w:sz="4" w:space="0" w:color="auto"/>
            </w:tcBorders>
            <w:noWrap/>
            <w:hideMark/>
          </w:tcPr>
          <w:p w14:paraId="1D5B7D32" w14:textId="77777777" w:rsidR="00F421F8" w:rsidRPr="00131EED" w:rsidRDefault="00F421F8">
            <w:pPr>
              <w:jc w:val="center"/>
              <w:rPr>
                <w:i/>
                <w:color w:val="000000"/>
                <w:sz w:val="16"/>
                <w:szCs w:val="16"/>
                <w:lang w:eastAsia="en-US"/>
              </w:rPr>
            </w:pPr>
            <w:r w:rsidRPr="00131EED">
              <w:rPr>
                <w:sz w:val="16"/>
                <w:szCs w:val="16"/>
              </w:rPr>
              <w:t>92</w:t>
            </w:r>
          </w:p>
        </w:tc>
        <w:tc>
          <w:tcPr>
            <w:tcW w:w="378" w:type="pct"/>
            <w:tcBorders>
              <w:top w:val="nil"/>
              <w:left w:val="nil"/>
              <w:bottom w:val="single" w:sz="4" w:space="0" w:color="auto"/>
              <w:right w:val="single" w:sz="4" w:space="0" w:color="auto"/>
            </w:tcBorders>
            <w:noWrap/>
            <w:hideMark/>
          </w:tcPr>
          <w:p w14:paraId="59DEB430" w14:textId="77777777" w:rsidR="00F421F8" w:rsidRPr="00131EED" w:rsidRDefault="00F421F8">
            <w:pPr>
              <w:jc w:val="center"/>
              <w:rPr>
                <w:i/>
                <w:color w:val="000000"/>
                <w:sz w:val="16"/>
                <w:szCs w:val="16"/>
                <w:lang w:eastAsia="en-US"/>
              </w:rPr>
            </w:pPr>
            <w:r w:rsidRPr="00131EED">
              <w:rPr>
                <w:sz w:val="16"/>
                <w:szCs w:val="16"/>
              </w:rPr>
              <w:t>109</w:t>
            </w:r>
          </w:p>
        </w:tc>
        <w:tc>
          <w:tcPr>
            <w:tcW w:w="378" w:type="pct"/>
            <w:tcBorders>
              <w:top w:val="nil"/>
              <w:left w:val="nil"/>
              <w:bottom w:val="single" w:sz="4" w:space="0" w:color="auto"/>
              <w:right w:val="single" w:sz="4" w:space="0" w:color="auto"/>
            </w:tcBorders>
            <w:noWrap/>
            <w:hideMark/>
          </w:tcPr>
          <w:p w14:paraId="4FB38B26" w14:textId="77777777" w:rsidR="00F421F8" w:rsidRPr="00131EED" w:rsidRDefault="00F421F8">
            <w:pPr>
              <w:jc w:val="center"/>
              <w:rPr>
                <w:i/>
                <w:color w:val="000000"/>
                <w:sz w:val="16"/>
                <w:szCs w:val="16"/>
                <w:lang w:eastAsia="en-US"/>
              </w:rPr>
            </w:pPr>
            <w:r w:rsidRPr="00131EED">
              <w:rPr>
                <w:sz w:val="16"/>
                <w:szCs w:val="16"/>
              </w:rPr>
              <w:t>126</w:t>
            </w:r>
          </w:p>
        </w:tc>
        <w:tc>
          <w:tcPr>
            <w:tcW w:w="378" w:type="pct"/>
            <w:tcBorders>
              <w:top w:val="nil"/>
              <w:left w:val="nil"/>
              <w:bottom w:val="single" w:sz="4" w:space="0" w:color="auto"/>
              <w:right w:val="single" w:sz="4" w:space="0" w:color="auto"/>
            </w:tcBorders>
            <w:noWrap/>
            <w:hideMark/>
          </w:tcPr>
          <w:p w14:paraId="35EE185B" w14:textId="77777777" w:rsidR="00F421F8" w:rsidRPr="00131EED" w:rsidRDefault="00F421F8">
            <w:pPr>
              <w:jc w:val="center"/>
              <w:rPr>
                <w:i/>
                <w:color w:val="000000"/>
                <w:sz w:val="16"/>
                <w:szCs w:val="16"/>
                <w:lang w:eastAsia="en-US"/>
              </w:rPr>
            </w:pPr>
            <w:r w:rsidRPr="00131EED">
              <w:rPr>
                <w:sz w:val="16"/>
                <w:szCs w:val="16"/>
              </w:rPr>
              <w:t>136</w:t>
            </w:r>
          </w:p>
        </w:tc>
        <w:tc>
          <w:tcPr>
            <w:tcW w:w="378" w:type="pct"/>
            <w:tcBorders>
              <w:top w:val="nil"/>
              <w:left w:val="nil"/>
              <w:bottom w:val="single" w:sz="4" w:space="0" w:color="auto"/>
              <w:right w:val="single" w:sz="4" w:space="0" w:color="auto"/>
            </w:tcBorders>
            <w:noWrap/>
            <w:hideMark/>
          </w:tcPr>
          <w:p w14:paraId="0A2935F3" w14:textId="77777777" w:rsidR="00F421F8" w:rsidRPr="00131EED" w:rsidRDefault="00F421F8">
            <w:pPr>
              <w:jc w:val="center"/>
              <w:rPr>
                <w:i/>
                <w:color w:val="000000"/>
                <w:sz w:val="16"/>
                <w:szCs w:val="16"/>
                <w:lang w:eastAsia="en-US"/>
              </w:rPr>
            </w:pPr>
            <w:r w:rsidRPr="00131EED">
              <w:rPr>
                <w:sz w:val="16"/>
                <w:szCs w:val="16"/>
              </w:rPr>
              <w:t>147</w:t>
            </w:r>
          </w:p>
        </w:tc>
        <w:tc>
          <w:tcPr>
            <w:tcW w:w="378" w:type="pct"/>
            <w:tcBorders>
              <w:top w:val="nil"/>
              <w:left w:val="nil"/>
              <w:bottom w:val="single" w:sz="4" w:space="0" w:color="auto"/>
              <w:right w:val="single" w:sz="4" w:space="0" w:color="auto"/>
            </w:tcBorders>
            <w:noWrap/>
            <w:hideMark/>
          </w:tcPr>
          <w:p w14:paraId="6A076B6A" w14:textId="77777777" w:rsidR="00F421F8" w:rsidRPr="00131EED" w:rsidRDefault="00F421F8">
            <w:pPr>
              <w:jc w:val="center"/>
              <w:rPr>
                <w:i/>
                <w:color w:val="000000"/>
                <w:sz w:val="16"/>
                <w:szCs w:val="16"/>
                <w:lang w:eastAsia="en-US"/>
              </w:rPr>
            </w:pPr>
            <w:r w:rsidRPr="00131EED">
              <w:rPr>
                <w:sz w:val="16"/>
                <w:szCs w:val="16"/>
              </w:rPr>
              <w:t>156</w:t>
            </w:r>
          </w:p>
        </w:tc>
        <w:tc>
          <w:tcPr>
            <w:tcW w:w="378" w:type="pct"/>
            <w:tcBorders>
              <w:top w:val="nil"/>
              <w:left w:val="nil"/>
              <w:bottom w:val="single" w:sz="4" w:space="0" w:color="auto"/>
              <w:right w:val="single" w:sz="4" w:space="0" w:color="auto"/>
            </w:tcBorders>
            <w:noWrap/>
            <w:hideMark/>
          </w:tcPr>
          <w:p w14:paraId="39B0ADEE" w14:textId="77777777" w:rsidR="00F421F8" w:rsidRPr="00131EED" w:rsidRDefault="00F421F8">
            <w:pPr>
              <w:jc w:val="center"/>
              <w:rPr>
                <w:i/>
                <w:color w:val="000000"/>
                <w:sz w:val="16"/>
                <w:szCs w:val="16"/>
                <w:lang w:eastAsia="en-US"/>
              </w:rPr>
            </w:pPr>
            <w:r w:rsidRPr="00131EED">
              <w:rPr>
                <w:sz w:val="16"/>
                <w:szCs w:val="16"/>
              </w:rPr>
              <w:t>166</w:t>
            </w:r>
          </w:p>
        </w:tc>
        <w:tc>
          <w:tcPr>
            <w:tcW w:w="378" w:type="pct"/>
            <w:tcBorders>
              <w:top w:val="nil"/>
              <w:left w:val="nil"/>
              <w:bottom w:val="single" w:sz="4" w:space="0" w:color="auto"/>
              <w:right w:val="single" w:sz="4" w:space="0" w:color="auto"/>
            </w:tcBorders>
            <w:noWrap/>
            <w:hideMark/>
          </w:tcPr>
          <w:p w14:paraId="4A0D56EE" w14:textId="77777777" w:rsidR="00F421F8" w:rsidRPr="00131EED" w:rsidRDefault="00F421F8">
            <w:pPr>
              <w:jc w:val="center"/>
              <w:rPr>
                <w:i/>
                <w:color w:val="000000"/>
                <w:sz w:val="16"/>
                <w:szCs w:val="16"/>
                <w:lang w:eastAsia="en-US"/>
              </w:rPr>
            </w:pPr>
            <w:r w:rsidRPr="00131EED">
              <w:rPr>
                <w:sz w:val="16"/>
                <w:szCs w:val="16"/>
              </w:rPr>
              <w:t>176</w:t>
            </w:r>
          </w:p>
        </w:tc>
        <w:tc>
          <w:tcPr>
            <w:tcW w:w="378" w:type="pct"/>
            <w:tcBorders>
              <w:top w:val="nil"/>
              <w:left w:val="nil"/>
              <w:bottom w:val="single" w:sz="4" w:space="0" w:color="auto"/>
              <w:right w:val="single" w:sz="4" w:space="0" w:color="auto"/>
            </w:tcBorders>
            <w:noWrap/>
            <w:hideMark/>
          </w:tcPr>
          <w:p w14:paraId="7CCCCFA2" w14:textId="77777777" w:rsidR="00F421F8" w:rsidRPr="00131EED" w:rsidRDefault="00F421F8">
            <w:pPr>
              <w:jc w:val="center"/>
              <w:rPr>
                <w:i/>
                <w:color w:val="000000"/>
                <w:sz w:val="16"/>
                <w:szCs w:val="16"/>
                <w:lang w:eastAsia="en-US"/>
              </w:rPr>
            </w:pPr>
            <w:r w:rsidRPr="00131EED">
              <w:rPr>
                <w:sz w:val="16"/>
                <w:szCs w:val="16"/>
              </w:rPr>
              <w:t>185</w:t>
            </w:r>
          </w:p>
        </w:tc>
        <w:tc>
          <w:tcPr>
            <w:tcW w:w="378" w:type="pct"/>
            <w:tcBorders>
              <w:top w:val="nil"/>
              <w:left w:val="nil"/>
              <w:bottom w:val="single" w:sz="4" w:space="0" w:color="auto"/>
              <w:right w:val="single" w:sz="4" w:space="0" w:color="auto"/>
            </w:tcBorders>
            <w:noWrap/>
            <w:hideMark/>
          </w:tcPr>
          <w:p w14:paraId="58467EA0" w14:textId="77777777" w:rsidR="00F421F8" w:rsidRPr="00131EED" w:rsidRDefault="00F421F8">
            <w:pPr>
              <w:jc w:val="center"/>
              <w:rPr>
                <w:i/>
                <w:color w:val="000000"/>
                <w:sz w:val="16"/>
                <w:szCs w:val="16"/>
                <w:lang w:eastAsia="en-US"/>
              </w:rPr>
            </w:pPr>
            <w:r w:rsidRPr="00131EED">
              <w:rPr>
                <w:sz w:val="16"/>
                <w:szCs w:val="16"/>
              </w:rPr>
              <w:t>186</w:t>
            </w:r>
          </w:p>
        </w:tc>
        <w:tc>
          <w:tcPr>
            <w:tcW w:w="378" w:type="pct"/>
            <w:tcBorders>
              <w:top w:val="nil"/>
              <w:left w:val="nil"/>
              <w:bottom w:val="single" w:sz="4" w:space="0" w:color="auto"/>
              <w:right w:val="single" w:sz="4" w:space="0" w:color="auto"/>
            </w:tcBorders>
            <w:noWrap/>
            <w:hideMark/>
          </w:tcPr>
          <w:p w14:paraId="237494DF" w14:textId="77777777" w:rsidR="00F421F8" w:rsidRPr="00131EED" w:rsidRDefault="00F421F8">
            <w:pPr>
              <w:jc w:val="center"/>
              <w:rPr>
                <w:i/>
                <w:color w:val="000000"/>
                <w:sz w:val="16"/>
                <w:szCs w:val="16"/>
                <w:lang w:eastAsia="en-US"/>
              </w:rPr>
            </w:pPr>
            <w:r w:rsidRPr="00131EED">
              <w:rPr>
                <w:sz w:val="16"/>
                <w:szCs w:val="16"/>
              </w:rPr>
              <w:t>195</w:t>
            </w:r>
          </w:p>
        </w:tc>
      </w:tr>
      <w:tr w:rsidR="00F421F8" w:rsidRPr="00131EED" w14:paraId="7B5777C9"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29A1AA3E" w14:textId="77777777" w:rsidR="00F421F8" w:rsidRPr="00131EED" w:rsidRDefault="00F421F8">
            <w:pPr>
              <w:jc w:val="center"/>
              <w:rPr>
                <w:b/>
                <w:i/>
                <w:color w:val="000000"/>
                <w:sz w:val="16"/>
                <w:szCs w:val="16"/>
                <w:lang w:eastAsia="en-US"/>
              </w:rPr>
            </w:pPr>
            <w:r w:rsidRPr="00131EED">
              <w:rPr>
                <w:b/>
                <w:i/>
                <w:color w:val="000000"/>
                <w:sz w:val="16"/>
                <w:szCs w:val="16"/>
                <w:lang w:eastAsia="en-US"/>
              </w:rPr>
              <w:t>Sibaté</w:t>
            </w:r>
          </w:p>
        </w:tc>
        <w:tc>
          <w:tcPr>
            <w:tcW w:w="378" w:type="pct"/>
            <w:tcBorders>
              <w:top w:val="nil"/>
              <w:left w:val="nil"/>
              <w:bottom w:val="single" w:sz="4" w:space="0" w:color="auto"/>
              <w:right w:val="single" w:sz="4" w:space="0" w:color="auto"/>
            </w:tcBorders>
            <w:noWrap/>
            <w:hideMark/>
          </w:tcPr>
          <w:p w14:paraId="3A0CE7A3" w14:textId="77777777" w:rsidR="00F421F8" w:rsidRPr="00131EED" w:rsidRDefault="00F421F8">
            <w:pPr>
              <w:jc w:val="center"/>
              <w:rPr>
                <w:i/>
                <w:color w:val="000000"/>
                <w:sz w:val="16"/>
                <w:szCs w:val="16"/>
                <w:lang w:eastAsia="en-US"/>
              </w:rPr>
            </w:pPr>
            <w:r w:rsidRPr="00131EED">
              <w:rPr>
                <w:sz w:val="16"/>
                <w:szCs w:val="16"/>
              </w:rPr>
              <w:t>97</w:t>
            </w:r>
          </w:p>
        </w:tc>
        <w:tc>
          <w:tcPr>
            <w:tcW w:w="378" w:type="pct"/>
            <w:tcBorders>
              <w:top w:val="nil"/>
              <w:left w:val="nil"/>
              <w:bottom w:val="single" w:sz="4" w:space="0" w:color="auto"/>
              <w:right w:val="single" w:sz="4" w:space="0" w:color="auto"/>
            </w:tcBorders>
            <w:noWrap/>
            <w:hideMark/>
          </w:tcPr>
          <w:p w14:paraId="1C1F2D43" w14:textId="77777777" w:rsidR="00F421F8" w:rsidRPr="00131EED" w:rsidRDefault="00F421F8">
            <w:pPr>
              <w:jc w:val="center"/>
              <w:rPr>
                <w:i/>
                <w:color w:val="000000"/>
                <w:sz w:val="16"/>
                <w:szCs w:val="16"/>
                <w:lang w:eastAsia="en-US"/>
              </w:rPr>
            </w:pPr>
            <w:r w:rsidRPr="00131EED">
              <w:rPr>
                <w:sz w:val="16"/>
                <w:szCs w:val="16"/>
              </w:rPr>
              <w:t>105</w:t>
            </w:r>
          </w:p>
        </w:tc>
        <w:tc>
          <w:tcPr>
            <w:tcW w:w="378" w:type="pct"/>
            <w:tcBorders>
              <w:top w:val="nil"/>
              <w:left w:val="nil"/>
              <w:bottom w:val="single" w:sz="4" w:space="0" w:color="auto"/>
              <w:right w:val="single" w:sz="4" w:space="0" w:color="auto"/>
            </w:tcBorders>
            <w:noWrap/>
            <w:hideMark/>
          </w:tcPr>
          <w:p w14:paraId="73181D08" w14:textId="77777777" w:rsidR="00F421F8" w:rsidRPr="00131EED" w:rsidRDefault="00F421F8">
            <w:pPr>
              <w:jc w:val="center"/>
              <w:rPr>
                <w:i/>
                <w:color w:val="000000"/>
                <w:sz w:val="16"/>
                <w:szCs w:val="16"/>
                <w:lang w:eastAsia="en-US"/>
              </w:rPr>
            </w:pPr>
            <w:r w:rsidRPr="00131EED">
              <w:rPr>
                <w:sz w:val="16"/>
                <w:szCs w:val="16"/>
              </w:rPr>
              <w:t>114</w:t>
            </w:r>
          </w:p>
        </w:tc>
        <w:tc>
          <w:tcPr>
            <w:tcW w:w="378" w:type="pct"/>
            <w:tcBorders>
              <w:top w:val="nil"/>
              <w:left w:val="nil"/>
              <w:bottom w:val="single" w:sz="4" w:space="0" w:color="auto"/>
              <w:right w:val="single" w:sz="4" w:space="0" w:color="auto"/>
            </w:tcBorders>
            <w:noWrap/>
            <w:hideMark/>
          </w:tcPr>
          <w:p w14:paraId="7F1EB6DC" w14:textId="77777777" w:rsidR="00F421F8" w:rsidRPr="00131EED" w:rsidRDefault="00F421F8">
            <w:pPr>
              <w:jc w:val="center"/>
              <w:rPr>
                <w:i/>
                <w:color w:val="000000"/>
                <w:sz w:val="16"/>
                <w:szCs w:val="16"/>
                <w:lang w:eastAsia="en-US"/>
              </w:rPr>
            </w:pPr>
            <w:r w:rsidRPr="00131EED">
              <w:rPr>
                <w:sz w:val="16"/>
                <w:szCs w:val="16"/>
              </w:rPr>
              <w:t>123</w:t>
            </w:r>
          </w:p>
        </w:tc>
        <w:tc>
          <w:tcPr>
            <w:tcW w:w="378" w:type="pct"/>
            <w:tcBorders>
              <w:top w:val="nil"/>
              <w:left w:val="nil"/>
              <w:bottom w:val="single" w:sz="4" w:space="0" w:color="auto"/>
              <w:right w:val="single" w:sz="4" w:space="0" w:color="auto"/>
            </w:tcBorders>
            <w:noWrap/>
            <w:hideMark/>
          </w:tcPr>
          <w:p w14:paraId="585A18F8" w14:textId="77777777" w:rsidR="00F421F8" w:rsidRPr="00131EED" w:rsidRDefault="00F421F8">
            <w:pPr>
              <w:jc w:val="center"/>
              <w:rPr>
                <w:i/>
                <w:color w:val="000000"/>
                <w:sz w:val="16"/>
                <w:szCs w:val="16"/>
                <w:lang w:eastAsia="en-US"/>
              </w:rPr>
            </w:pPr>
            <w:r w:rsidRPr="00131EED">
              <w:rPr>
                <w:sz w:val="16"/>
                <w:szCs w:val="16"/>
              </w:rPr>
              <w:t>129</w:t>
            </w:r>
          </w:p>
        </w:tc>
        <w:tc>
          <w:tcPr>
            <w:tcW w:w="378" w:type="pct"/>
            <w:tcBorders>
              <w:top w:val="nil"/>
              <w:left w:val="nil"/>
              <w:bottom w:val="single" w:sz="4" w:space="0" w:color="auto"/>
              <w:right w:val="single" w:sz="4" w:space="0" w:color="auto"/>
            </w:tcBorders>
            <w:noWrap/>
            <w:hideMark/>
          </w:tcPr>
          <w:p w14:paraId="137CD676" w14:textId="77777777" w:rsidR="00F421F8" w:rsidRPr="00131EED" w:rsidRDefault="00F421F8">
            <w:pPr>
              <w:jc w:val="center"/>
              <w:rPr>
                <w:i/>
                <w:color w:val="000000"/>
                <w:sz w:val="16"/>
                <w:szCs w:val="16"/>
                <w:lang w:eastAsia="en-US"/>
              </w:rPr>
            </w:pPr>
            <w:r w:rsidRPr="00131EED">
              <w:rPr>
                <w:sz w:val="16"/>
                <w:szCs w:val="16"/>
              </w:rPr>
              <w:t>136</w:t>
            </w:r>
          </w:p>
        </w:tc>
        <w:tc>
          <w:tcPr>
            <w:tcW w:w="378" w:type="pct"/>
            <w:tcBorders>
              <w:top w:val="nil"/>
              <w:left w:val="nil"/>
              <w:bottom w:val="single" w:sz="4" w:space="0" w:color="auto"/>
              <w:right w:val="single" w:sz="4" w:space="0" w:color="auto"/>
            </w:tcBorders>
            <w:noWrap/>
            <w:hideMark/>
          </w:tcPr>
          <w:p w14:paraId="373C23B7" w14:textId="77777777" w:rsidR="00F421F8" w:rsidRPr="00131EED" w:rsidRDefault="00F421F8">
            <w:pPr>
              <w:jc w:val="center"/>
              <w:rPr>
                <w:i/>
                <w:color w:val="000000"/>
                <w:sz w:val="16"/>
                <w:szCs w:val="16"/>
                <w:lang w:eastAsia="en-US"/>
              </w:rPr>
            </w:pPr>
            <w:r w:rsidRPr="00131EED">
              <w:rPr>
                <w:sz w:val="16"/>
                <w:szCs w:val="16"/>
              </w:rPr>
              <w:t>142</w:t>
            </w:r>
          </w:p>
        </w:tc>
        <w:tc>
          <w:tcPr>
            <w:tcW w:w="378" w:type="pct"/>
            <w:tcBorders>
              <w:top w:val="nil"/>
              <w:left w:val="nil"/>
              <w:bottom w:val="single" w:sz="4" w:space="0" w:color="auto"/>
              <w:right w:val="single" w:sz="4" w:space="0" w:color="auto"/>
            </w:tcBorders>
            <w:noWrap/>
            <w:hideMark/>
          </w:tcPr>
          <w:p w14:paraId="1932FBD3" w14:textId="77777777" w:rsidR="00F421F8" w:rsidRPr="00131EED" w:rsidRDefault="00F421F8">
            <w:pPr>
              <w:jc w:val="center"/>
              <w:rPr>
                <w:i/>
                <w:color w:val="000000"/>
                <w:sz w:val="16"/>
                <w:szCs w:val="16"/>
                <w:lang w:eastAsia="en-US"/>
              </w:rPr>
            </w:pPr>
            <w:r w:rsidRPr="00131EED">
              <w:rPr>
                <w:sz w:val="16"/>
                <w:szCs w:val="16"/>
              </w:rPr>
              <w:t>149</w:t>
            </w:r>
          </w:p>
        </w:tc>
        <w:tc>
          <w:tcPr>
            <w:tcW w:w="378" w:type="pct"/>
            <w:tcBorders>
              <w:top w:val="nil"/>
              <w:left w:val="nil"/>
              <w:bottom w:val="single" w:sz="4" w:space="0" w:color="auto"/>
              <w:right w:val="single" w:sz="4" w:space="0" w:color="auto"/>
            </w:tcBorders>
            <w:noWrap/>
            <w:hideMark/>
          </w:tcPr>
          <w:p w14:paraId="53F3870C" w14:textId="77777777" w:rsidR="00F421F8" w:rsidRPr="00131EED" w:rsidRDefault="00F421F8">
            <w:pPr>
              <w:jc w:val="center"/>
              <w:rPr>
                <w:i/>
                <w:color w:val="000000"/>
                <w:sz w:val="16"/>
                <w:szCs w:val="16"/>
                <w:lang w:eastAsia="en-US"/>
              </w:rPr>
            </w:pPr>
            <w:r w:rsidRPr="00131EED">
              <w:rPr>
                <w:sz w:val="16"/>
                <w:szCs w:val="16"/>
              </w:rPr>
              <w:t>156</w:t>
            </w:r>
          </w:p>
        </w:tc>
        <w:tc>
          <w:tcPr>
            <w:tcW w:w="378" w:type="pct"/>
            <w:tcBorders>
              <w:top w:val="nil"/>
              <w:left w:val="nil"/>
              <w:bottom w:val="single" w:sz="4" w:space="0" w:color="auto"/>
              <w:right w:val="single" w:sz="4" w:space="0" w:color="auto"/>
            </w:tcBorders>
            <w:noWrap/>
            <w:hideMark/>
          </w:tcPr>
          <w:p w14:paraId="4090B672" w14:textId="77777777" w:rsidR="00F421F8" w:rsidRPr="00131EED" w:rsidRDefault="00F421F8">
            <w:pPr>
              <w:jc w:val="center"/>
              <w:rPr>
                <w:i/>
                <w:color w:val="000000"/>
                <w:sz w:val="16"/>
                <w:szCs w:val="16"/>
                <w:lang w:eastAsia="en-US"/>
              </w:rPr>
            </w:pPr>
            <w:r w:rsidRPr="00131EED">
              <w:rPr>
                <w:sz w:val="16"/>
                <w:szCs w:val="16"/>
              </w:rPr>
              <w:t>163</w:t>
            </w:r>
          </w:p>
        </w:tc>
        <w:tc>
          <w:tcPr>
            <w:tcW w:w="378" w:type="pct"/>
            <w:tcBorders>
              <w:top w:val="nil"/>
              <w:left w:val="nil"/>
              <w:bottom w:val="single" w:sz="4" w:space="0" w:color="auto"/>
              <w:right w:val="single" w:sz="4" w:space="0" w:color="auto"/>
            </w:tcBorders>
            <w:noWrap/>
            <w:hideMark/>
          </w:tcPr>
          <w:p w14:paraId="0AB3FA26" w14:textId="77777777" w:rsidR="00F421F8" w:rsidRPr="00131EED" w:rsidRDefault="00F421F8">
            <w:pPr>
              <w:jc w:val="center"/>
              <w:rPr>
                <w:i/>
                <w:color w:val="000000"/>
                <w:sz w:val="16"/>
                <w:szCs w:val="16"/>
                <w:lang w:eastAsia="en-US"/>
              </w:rPr>
            </w:pPr>
            <w:r w:rsidRPr="00131EED">
              <w:rPr>
                <w:sz w:val="16"/>
                <w:szCs w:val="16"/>
              </w:rPr>
              <w:t>167</w:t>
            </w:r>
          </w:p>
        </w:tc>
        <w:tc>
          <w:tcPr>
            <w:tcW w:w="378" w:type="pct"/>
            <w:tcBorders>
              <w:top w:val="nil"/>
              <w:left w:val="nil"/>
              <w:bottom w:val="single" w:sz="4" w:space="0" w:color="auto"/>
              <w:right w:val="single" w:sz="4" w:space="0" w:color="auto"/>
            </w:tcBorders>
            <w:noWrap/>
            <w:hideMark/>
          </w:tcPr>
          <w:p w14:paraId="35904944" w14:textId="77777777" w:rsidR="00F421F8" w:rsidRPr="00131EED" w:rsidRDefault="00F421F8">
            <w:pPr>
              <w:jc w:val="center"/>
              <w:rPr>
                <w:i/>
                <w:color w:val="000000"/>
                <w:sz w:val="16"/>
                <w:szCs w:val="16"/>
                <w:lang w:eastAsia="en-US"/>
              </w:rPr>
            </w:pPr>
            <w:r w:rsidRPr="00131EED">
              <w:rPr>
                <w:sz w:val="16"/>
                <w:szCs w:val="16"/>
              </w:rPr>
              <w:t>169</w:t>
            </w:r>
          </w:p>
        </w:tc>
      </w:tr>
      <w:tr w:rsidR="00F421F8" w:rsidRPr="00131EED" w14:paraId="20BE7342"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659B622A" w14:textId="77777777" w:rsidR="00F421F8" w:rsidRPr="00131EED" w:rsidRDefault="00F421F8">
            <w:pPr>
              <w:jc w:val="center"/>
              <w:rPr>
                <w:b/>
                <w:i/>
                <w:color w:val="000000"/>
                <w:sz w:val="16"/>
                <w:szCs w:val="16"/>
                <w:lang w:eastAsia="en-US"/>
              </w:rPr>
            </w:pPr>
            <w:r w:rsidRPr="00131EED">
              <w:rPr>
                <w:b/>
                <w:i/>
                <w:color w:val="000000"/>
                <w:sz w:val="16"/>
                <w:szCs w:val="16"/>
                <w:lang w:eastAsia="en-US"/>
              </w:rPr>
              <w:t>Cogua</w:t>
            </w:r>
          </w:p>
        </w:tc>
        <w:tc>
          <w:tcPr>
            <w:tcW w:w="378" w:type="pct"/>
            <w:tcBorders>
              <w:top w:val="nil"/>
              <w:left w:val="nil"/>
              <w:bottom w:val="single" w:sz="4" w:space="0" w:color="auto"/>
              <w:right w:val="single" w:sz="4" w:space="0" w:color="auto"/>
            </w:tcBorders>
            <w:noWrap/>
            <w:hideMark/>
          </w:tcPr>
          <w:p w14:paraId="1511C0C0" w14:textId="77777777" w:rsidR="00F421F8" w:rsidRPr="00131EED" w:rsidRDefault="00F421F8">
            <w:pPr>
              <w:jc w:val="center"/>
              <w:rPr>
                <w:i/>
                <w:color w:val="000000"/>
                <w:sz w:val="16"/>
                <w:szCs w:val="16"/>
                <w:lang w:eastAsia="en-US"/>
              </w:rPr>
            </w:pPr>
            <w:r w:rsidRPr="00131EED">
              <w:rPr>
                <w:sz w:val="16"/>
                <w:szCs w:val="16"/>
              </w:rPr>
              <w:t>63</w:t>
            </w:r>
          </w:p>
        </w:tc>
        <w:tc>
          <w:tcPr>
            <w:tcW w:w="378" w:type="pct"/>
            <w:tcBorders>
              <w:top w:val="nil"/>
              <w:left w:val="nil"/>
              <w:bottom w:val="single" w:sz="4" w:space="0" w:color="auto"/>
              <w:right w:val="single" w:sz="4" w:space="0" w:color="auto"/>
            </w:tcBorders>
            <w:noWrap/>
            <w:hideMark/>
          </w:tcPr>
          <w:p w14:paraId="651C30E8" w14:textId="77777777" w:rsidR="00F421F8" w:rsidRPr="00131EED" w:rsidRDefault="00F421F8">
            <w:pPr>
              <w:jc w:val="center"/>
              <w:rPr>
                <w:i/>
                <w:color w:val="000000"/>
                <w:sz w:val="16"/>
                <w:szCs w:val="16"/>
                <w:lang w:eastAsia="en-US"/>
              </w:rPr>
            </w:pPr>
            <w:r w:rsidRPr="00131EED">
              <w:rPr>
                <w:sz w:val="16"/>
                <w:szCs w:val="16"/>
              </w:rPr>
              <w:t>80</w:t>
            </w:r>
          </w:p>
        </w:tc>
        <w:tc>
          <w:tcPr>
            <w:tcW w:w="378" w:type="pct"/>
            <w:tcBorders>
              <w:top w:val="nil"/>
              <w:left w:val="nil"/>
              <w:bottom w:val="single" w:sz="4" w:space="0" w:color="auto"/>
              <w:right w:val="single" w:sz="4" w:space="0" w:color="auto"/>
            </w:tcBorders>
            <w:noWrap/>
            <w:hideMark/>
          </w:tcPr>
          <w:p w14:paraId="058D261A" w14:textId="77777777" w:rsidR="00F421F8" w:rsidRPr="00131EED" w:rsidRDefault="00F421F8">
            <w:pPr>
              <w:jc w:val="center"/>
              <w:rPr>
                <w:i/>
                <w:color w:val="000000"/>
                <w:sz w:val="16"/>
                <w:szCs w:val="16"/>
                <w:lang w:eastAsia="en-US"/>
              </w:rPr>
            </w:pPr>
            <w:r w:rsidRPr="00131EED">
              <w:rPr>
                <w:sz w:val="16"/>
                <w:szCs w:val="16"/>
              </w:rPr>
              <w:t>98</w:t>
            </w:r>
          </w:p>
        </w:tc>
        <w:tc>
          <w:tcPr>
            <w:tcW w:w="378" w:type="pct"/>
            <w:tcBorders>
              <w:top w:val="nil"/>
              <w:left w:val="nil"/>
              <w:bottom w:val="single" w:sz="4" w:space="0" w:color="auto"/>
              <w:right w:val="single" w:sz="4" w:space="0" w:color="auto"/>
            </w:tcBorders>
            <w:noWrap/>
            <w:hideMark/>
          </w:tcPr>
          <w:p w14:paraId="12FB638D" w14:textId="77777777" w:rsidR="00F421F8" w:rsidRPr="00131EED" w:rsidRDefault="00F421F8">
            <w:pPr>
              <w:jc w:val="center"/>
              <w:rPr>
                <w:i/>
                <w:color w:val="000000"/>
                <w:sz w:val="16"/>
                <w:szCs w:val="16"/>
                <w:lang w:eastAsia="en-US"/>
              </w:rPr>
            </w:pPr>
            <w:r w:rsidRPr="00131EED">
              <w:rPr>
                <w:sz w:val="16"/>
                <w:szCs w:val="16"/>
              </w:rPr>
              <w:t>117</w:t>
            </w:r>
          </w:p>
        </w:tc>
        <w:tc>
          <w:tcPr>
            <w:tcW w:w="378" w:type="pct"/>
            <w:tcBorders>
              <w:top w:val="nil"/>
              <w:left w:val="nil"/>
              <w:bottom w:val="single" w:sz="4" w:space="0" w:color="auto"/>
              <w:right w:val="single" w:sz="4" w:space="0" w:color="auto"/>
            </w:tcBorders>
            <w:noWrap/>
            <w:hideMark/>
          </w:tcPr>
          <w:p w14:paraId="5126E33A" w14:textId="77777777" w:rsidR="00F421F8" w:rsidRPr="00131EED" w:rsidRDefault="00F421F8">
            <w:pPr>
              <w:jc w:val="center"/>
              <w:rPr>
                <w:i/>
                <w:color w:val="000000"/>
                <w:sz w:val="16"/>
                <w:szCs w:val="16"/>
                <w:lang w:eastAsia="en-US"/>
              </w:rPr>
            </w:pPr>
            <w:r w:rsidRPr="00131EED">
              <w:rPr>
                <w:sz w:val="16"/>
                <w:szCs w:val="16"/>
              </w:rPr>
              <w:t>123</w:t>
            </w:r>
          </w:p>
        </w:tc>
        <w:tc>
          <w:tcPr>
            <w:tcW w:w="378" w:type="pct"/>
            <w:tcBorders>
              <w:top w:val="nil"/>
              <w:left w:val="nil"/>
              <w:bottom w:val="single" w:sz="4" w:space="0" w:color="auto"/>
              <w:right w:val="single" w:sz="4" w:space="0" w:color="auto"/>
            </w:tcBorders>
            <w:noWrap/>
            <w:hideMark/>
          </w:tcPr>
          <w:p w14:paraId="5BE7FB17" w14:textId="77777777" w:rsidR="00F421F8" w:rsidRPr="00131EED" w:rsidRDefault="00F421F8">
            <w:pPr>
              <w:jc w:val="center"/>
              <w:rPr>
                <w:i/>
                <w:color w:val="000000"/>
                <w:sz w:val="16"/>
                <w:szCs w:val="16"/>
                <w:lang w:eastAsia="en-US"/>
              </w:rPr>
            </w:pPr>
            <w:r w:rsidRPr="00131EED">
              <w:rPr>
                <w:sz w:val="16"/>
                <w:szCs w:val="16"/>
              </w:rPr>
              <w:t>129</w:t>
            </w:r>
          </w:p>
        </w:tc>
        <w:tc>
          <w:tcPr>
            <w:tcW w:w="378" w:type="pct"/>
            <w:tcBorders>
              <w:top w:val="nil"/>
              <w:left w:val="nil"/>
              <w:bottom w:val="single" w:sz="4" w:space="0" w:color="auto"/>
              <w:right w:val="single" w:sz="4" w:space="0" w:color="auto"/>
            </w:tcBorders>
            <w:noWrap/>
            <w:hideMark/>
          </w:tcPr>
          <w:p w14:paraId="6D988515" w14:textId="77777777" w:rsidR="00F421F8" w:rsidRPr="00131EED" w:rsidRDefault="00F421F8">
            <w:pPr>
              <w:jc w:val="center"/>
              <w:rPr>
                <w:i/>
                <w:color w:val="000000"/>
                <w:sz w:val="16"/>
                <w:szCs w:val="16"/>
                <w:lang w:eastAsia="en-US"/>
              </w:rPr>
            </w:pPr>
            <w:r w:rsidRPr="00131EED">
              <w:rPr>
                <w:sz w:val="16"/>
                <w:szCs w:val="16"/>
              </w:rPr>
              <w:t>135</w:t>
            </w:r>
          </w:p>
        </w:tc>
        <w:tc>
          <w:tcPr>
            <w:tcW w:w="378" w:type="pct"/>
            <w:tcBorders>
              <w:top w:val="nil"/>
              <w:left w:val="nil"/>
              <w:bottom w:val="single" w:sz="4" w:space="0" w:color="auto"/>
              <w:right w:val="single" w:sz="4" w:space="0" w:color="auto"/>
            </w:tcBorders>
            <w:noWrap/>
            <w:hideMark/>
          </w:tcPr>
          <w:p w14:paraId="0F366DC5" w14:textId="77777777" w:rsidR="00F421F8" w:rsidRPr="00131EED" w:rsidRDefault="00F421F8">
            <w:pPr>
              <w:jc w:val="center"/>
              <w:rPr>
                <w:i/>
                <w:color w:val="000000"/>
                <w:sz w:val="16"/>
                <w:szCs w:val="16"/>
                <w:lang w:eastAsia="en-US"/>
              </w:rPr>
            </w:pPr>
            <w:r w:rsidRPr="00131EED">
              <w:rPr>
                <w:sz w:val="16"/>
                <w:szCs w:val="16"/>
              </w:rPr>
              <w:t>141</w:t>
            </w:r>
          </w:p>
        </w:tc>
        <w:tc>
          <w:tcPr>
            <w:tcW w:w="378" w:type="pct"/>
            <w:tcBorders>
              <w:top w:val="nil"/>
              <w:left w:val="nil"/>
              <w:bottom w:val="single" w:sz="4" w:space="0" w:color="auto"/>
              <w:right w:val="single" w:sz="4" w:space="0" w:color="auto"/>
            </w:tcBorders>
            <w:noWrap/>
            <w:hideMark/>
          </w:tcPr>
          <w:p w14:paraId="361DCADA" w14:textId="77777777" w:rsidR="00F421F8" w:rsidRPr="00131EED" w:rsidRDefault="00F421F8">
            <w:pPr>
              <w:jc w:val="center"/>
              <w:rPr>
                <w:i/>
                <w:color w:val="000000"/>
                <w:sz w:val="16"/>
                <w:szCs w:val="16"/>
                <w:lang w:eastAsia="en-US"/>
              </w:rPr>
            </w:pPr>
            <w:r w:rsidRPr="00131EED">
              <w:rPr>
                <w:sz w:val="16"/>
                <w:szCs w:val="16"/>
              </w:rPr>
              <w:t>147</w:t>
            </w:r>
          </w:p>
        </w:tc>
        <w:tc>
          <w:tcPr>
            <w:tcW w:w="378" w:type="pct"/>
            <w:tcBorders>
              <w:top w:val="nil"/>
              <w:left w:val="nil"/>
              <w:bottom w:val="single" w:sz="4" w:space="0" w:color="auto"/>
              <w:right w:val="single" w:sz="4" w:space="0" w:color="auto"/>
            </w:tcBorders>
            <w:noWrap/>
            <w:hideMark/>
          </w:tcPr>
          <w:p w14:paraId="2FFBCE16" w14:textId="77777777" w:rsidR="00F421F8" w:rsidRPr="00131EED" w:rsidRDefault="00F421F8">
            <w:pPr>
              <w:jc w:val="center"/>
              <w:rPr>
                <w:i/>
                <w:color w:val="000000"/>
                <w:sz w:val="16"/>
                <w:szCs w:val="16"/>
                <w:lang w:eastAsia="en-US"/>
              </w:rPr>
            </w:pPr>
            <w:r w:rsidRPr="00131EED">
              <w:rPr>
                <w:sz w:val="16"/>
                <w:szCs w:val="16"/>
              </w:rPr>
              <w:t>152</w:t>
            </w:r>
          </w:p>
        </w:tc>
        <w:tc>
          <w:tcPr>
            <w:tcW w:w="378" w:type="pct"/>
            <w:tcBorders>
              <w:top w:val="nil"/>
              <w:left w:val="nil"/>
              <w:bottom w:val="single" w:sz="4" w:space="0" w:color="auto"/>
              <w:right w:val="single" w:sz="4" w:space="0" w:color="auto"/>
            </w:tcBorders>
            <w:noWrap/>
            <w:hideMark/>
          </w:tcPr>
          <w:p w14:paraId="6A1DE101" w14:textId="77777777" w:rsidR="00F421F8" w:rsidRPr="00131EED" w:rsidRDefault="00F421F8">
            <w:pPr>
              <w:jc w:val="center"/>
              <w:rPr>
                <w:i/>
                <w:color w:val="000000"/>
                <w:sz w:val="16"/>
                <w:szCs w:val="16"/>
                <w:lang w:eastAsia="en-US"/>
              </w:rPr>
            </w:pPr>
            <w:r w:rsidRPr="00131EED">
              <w:rPr>
                <w:sz w:val="16"/>
                <w:szCs w:val="16"/>
              </w:rPr>
              <w:t>153</w:t>
            </w:r>
          </w:p>
        </w:tc>
        <w:tc>
          <w:tcPr>
            <w:tcW w:w="378" w:type="pct"/>
            <w:tcBorders>
              <w:top w:val="nil"/>
              <w:left w:val="nil"/>
              <w:bottom w:val="single" w:sz="4" w:space="0" w:color="auto"/>
              <w:right w:val="single" w:sz="4" w:space="0" w:color="auto"/>
            </w:tcBorders>
            <w:noWrap/>
            <w:hideMark/>
          </w:tcPr>
          <w:p w14:paraId="174DDA5A" w14:textId="77777777" w:rsidR="00F421F8" w:rsidRPr="00131EED" w:rsidRDefault="00F421F8">
            <w:pPr>
              <w:jc w:val="center"/>
              <w:rPr>
                <w:i/>
                <w:color w:val="000000"/>
                <w:sz w:val="16"/>
                <w:szCs w:val="16"/>
                <w:lang w:eastAsia="en-US"/>
              </w:rPr>
            </w:pPr>
            <w:r w:rsidRPr="00131EED">
              <w:rPr>
                <w:sz w:val="16"/>
                <w:szCs w:val="16"/>
              </w:rPr>
              <w:t>159</w:t>
            </w:r>
          </w:p>
        </w:tc>
      </w:tr>
      <w:tr w:rsidR="00F421F8" w:rsidRPr="00131EED" w14:paraId="4A4B308A"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4558662B" w14:textId="77777777" w:rsidR="00F421F8" w:rsidRPr="00131EED" w:rsidRDefault="00F421F8">
            <w:pPr>
              <w:jc w:val="center"/>
              <w:rPr>
                <w:b/>
                <w:i/>
                <w:color w:val="000000"/>
                <w:sz w:val="16"/>
                <w:szCs w:val="16"/>
                <w:lang w:eastAsia="en-US"/>
              </w:rPr>
            </w:pPr>
            <w:r w:rsidRPr="00131EED">
              <w:rPr>
                <w:b/>
                <w:i/>
                <w:color w:val="000000"/>
                <w:sz w:val="16"/>
                <w:szCs w:val="16"/>
                <w:lang w:eastAsia="en-US"/>
              </w:rPr>
              <w:t>Guasca</w:t>
            </w:r>
          </w:p>
        </w:tc>
        <w:tc>
          <w:tcPr>
            <w:tcW w:w="378" w:type="pct"/>
            <w:tcBorders>
              <w:top w:val="nil"/>
              <w:left w:val="nil"/>
              <w:bottom w:val="single" w:sz="4" w:space="0" w:color="auto"/>
              <w:right w:val="single" w:sz="4" w:space="0" w:color="auto"/>
            </w:tcBorders>
            <w:noWrap/>
            <w:hideMark/>
          </w:tcPr>
          <w:p w14:paraId="6B546C7D" w14:textId="77777777" w:rsidR="00F421F8" w:rsidRPr="00131EED" w:rsidRDefault="00F421F8">
            <w:pPr>
              <w:jc w:val="center"/>
              <w:rPr>
                <w:i/>
                <w:color w:val="000000"/>
                <w:sz w:val="16"/>
                <w:szCs w:val="16"/>
                <w:lang w:eastAsia="en-US"/>
              </w:rPr>
            </w:pPr>
            <w:r w:rsidRPr="00131EED">
              <w:rPr>
                <w:sz w:val="16"/>
                <w:szCs w:val="16"/>
              </w:rPr>
              <w:t>53</w:t>
            </w:r>
          </w:p>
        </w:tc>
        <w:tc>
          <w:tcPr>
            <w:tcW w:w="378" w:type="pct"/>
            <w:tcBorders>
              <w:top w:val="nil"/>
              <w:left w:val="nil"/>
              <w:bottom w:val="single" w:sz="4" w:space="0" w:color="auto"/>
              <w:right w:val="single" w:sz="4" w:space="0" w:color="auto"/>
            </w:tcBorders>
            <w:noWrap/>
            <w:hideMark/>
          </w:tcPr>
          <w:p w14:paraId="20D2F4B1" w14:textId="77777777" w:rsidR="00F421F8" w:rsidRPr="00131EED" w:rsidRDefault="00F421F8">
            <w:pPr>
              <w:jc w:val="center"/>
              <w:rPr>
                <w:i/>
                <w:color w:val="000000"/>
                <w:sz w:val="16"/>
                <w:szCs w:val="16"/>
                <w:lang w:eastAsia="en-US"/>
              </w:rPr>
            </w:pPr>
            <w:r w:rsidRPr="00131EED">
              <w:rPr>
                <w:sz w:val="16"/>
                <w:szCs w:val="16"/>
              </w:rPr>
              <w:t>65</w:t>
            </w:r>
          </w:p>
        </w:tc>
        <w:tc>
          <w:tcPr>
            <w:tcW w:w="378" w:type="pct"/>
            <w:tcBorders>
              <w:top w:val="nil"/>
              <w:left w:val="nil"/>
              <w:bottom w:val="single" w:sz="4" w:space="0" w:color="auto"/>
              <w:right w:val="single" w:sz="4" w:space="0" w:color="auto"/>
            </w:tcBorders>
            <w:noWrap/>
            <w:hideMark/>
          </w:tcPr>
          <w:p w14:paraId="5801F8C0" w14:textId="77777777" w:rsidR="00F421F8" w:rsidRPr="00131EED" w:rsidRDefault="00F421F8">
            <w:pPr>
              <w:jc w:val="center"/>
              <w:rPr>
                <w:i/>
                <w:color w:val="000000"/>
                <w:sz w:val="16"/>
                <w:szCs w:val="16"/>
                <w:lang w:eastAsia="en-US"/>
              </w:rPr>
            </w:pPr>
            <w:r w:rsidRPr="00131EED">
              <w:rPr>
                <w:sz w:val="16"/>
                <w:szCs w:val="16"/>
              </w:rPr>
              <w:t>78</w:t>
            </w:r>
          </w:p>
        </w:tc>
        <w:tc>
          <w:tcPr>
            <w:tcW w:w="378" w:type="pct"/>
            <w:tcBorders>
              <w:top w:val="nil"/>
              <w:left w:val="nil"/>
              <w:bottom w:val="single" w:sz="4" w:space="0" w:color="auto"/>
              <w:right w:val="single" w:sz="4" w:space="0" w:color="auto"/>
            </w:tcBorders>
            <w:noWrap/>
            <w:hideMark/>
          </w:tcPr>
          <w:p w14:paraId="5EB0BE68" w14:textId="77777777" w:rsidR="00F421F8" w:rsidRPr="00131EED" w:rsidRDefault="00F421F8">
            <w:pPr>
              <w:jc w:val="center"/>
              <w:rPr>
                <w:i/>
                <w:color w:val="000000"/>
                <w:sz w:val="16"/>
                <w:szCs w:val="16"/>
                <w:lang w:eastAsia="en-US"/>
              </w:rPr>
            </w:pPr>
            <w:r w:rsidRPr="00131EED">
              <w:rPr>
                <w:sz w:val="16"/>
                <w:szCs w:val="16"/>
              </w:rPr>
              <w:t>91</w:t>
            </w:r>
          </w:p>
        </w:tc>
        <w:tc>
          <w:tcPr>
            <w:tcW w:w="378" w:type="pct"/>
            <w:tcBorders>
              <w:top w:val="nil"/>
              <w:left w:val="nil"/>
              <w:bottom w:val="single" w:sz="4" w:space="0" w:color="auto"/>
              <w:right w:val="single" w:sz="4" w:space="0" w:color="auto"/>
            </w:tcBorders>
            <w:noWrap/>
            <w:hideMark/>
          </w:tcPr>
          <w:p w14:paraId="3D8581C2" w14:textId="77777777" w:rsidR="00F421F8" w:rsidRPr="00131EED" w:rsidRDefault="00F421F8">
            <w:pPr>
              <w:jc w:val="center"/>
              <w:rPr>
                <w:i/>
                <w:color w:val="000000"/>
                <w:sz w:val="16"/>
                <w:szCs w:val="16"/>
                <w:lang w:eastAsia="en-US"/>
              </w:rPr>
            </w:pPr>
            <w:r w:rsidRPr="00131EED">
              <w:rPr>
                <w:sz w:val="16"/>
                <w:szCs w:val="16"/>
              </w:rPr>
              <w:t>96</w:t>
            </w:r>
          </w:p>
        </w:tc>
        <w:tc>
          <w:tcPr>
            <w:tcW w:w="378" w:type="pct"/>
            <w:tcBorders>
              <w:top w:val="nil"/>
              <w:left w:val="nil"/>
              <w:bottom w:val="single" w:sz="4" w:space="0" w:color="auto"/>
              <w:right w:val="single" w:sz="4" w:space="0" w:color="auto"/>
            </w:tcBorders>
            <w:noWrap/>
            <w:hideMark/>
          </w:tcPr>
          <w:p w14:paraId="45CFD17C" w14:textId="77777777" w:rsidR="00F421F8" w:rsidRPr="00131EED" w:rsidRDefault="00F421F8">
            <w:pPr>
              <w:jc w:val="center"/>
              <w:rPr>
                <w:i/>
                <w:color w:val="000000"/>
                <w:sz w:val="16"/>
                <w:szCs w:val="16"/>
                <w:lang w:eastAsia="en-US"/>
              </w:rPr>
            </w:pPr>
            <w:r w:rsidRPr="00131EED">
              <w:rPr>
                <w:sz w:val="16"/>
                <w:szCs w:val="16"/>
              </w:rPr>
              <w:t>100</w:t>
            </w:r>
          </w:p>
        </w:tc>
        <w:tc>
          <w:tcPr>
            <w:tcW w:w="378" w:type="pct"/>
            <w:tcBorders>
              <w:top w:val="nil"/>
              <w:left w:val="nil"/>
              <w:bottom w:val="single" w:sz="4" w:space="0" w:color="auto"/>
              <w:right w:val="single" w:sz="4" w:space="0" w:color="auto"/>
            </w:tcBorders>
            <w:noWrap/>
            <w:hideMark/>
          </w:tcPr>
          <w:p w14:paraId="50A44C00" w14:textId="77777777" w:rsidR="00F421F8" w:rsidRPr="00131EED" w:rsidRDefault="00F421F8">
            <w:pPr>
              <w:jc w:val="center"/>
              <w:rPr>
                <w:i/>
                <w:color w:val="000000"/>
                <w:sz w:val="16"/>
                <w:szCs w:val="16"/>
                <w:lang w:eastAsia="en-US"/>
              </w:rPr>
            </w:pPr>
            <w:r w:rsidRPr="00131EED">
              <w:rPr>
                <w:sz w:val="16"/>
                <w:szCs w:val="16"/>
              </w:rPr>
              <w:t>103</w:t>
            </w:r>
          </w:p>
        </w:tc>
        <w:tc>
          <w:tcPr>
            <w:tcW w:w="378" w:type="pct"/>
            <w:tcBorders>
              <w:top w:val="nil"/>
              <w:left w:val="nil"/>
              <w:bottom w:val="single" w:sz="4" w:space="0" w:color="auto"/>
              <w:right w:val="single" w:sz="4" w:space="0" w:color="auto"/>
            </w:tcBorders>
            <w:noWrap/>
            <w:hideMark/>
          </w:tcPr>
          <w:p w14:paraId="4A04808E" w14:textId="77777777" w:rsidR="00F421F8" w:rsidRPr="00131EED" w:rsidRDefault="00F421F8">
            <w:pPr>
              <w:jc w:val="center"/>
              <w:rPr>
                <w:i/>
                <w:color w:val="000000"/>
                <w:sz w:val="16"/>
                <w:szCs w:val="16"/>
                <w:lang w:eastAsia="en-US"/>
              </w:rPr>
            </w:pPr>
            <w:r w:rsidRPr="00131EED">
              <w:rPr>
                <w:sz w:val="16"/>
                <w:szCs w:val="16"/>
              </w:rPr>
              <w:t>106</w:t>
            </w:r>
          </w:p>
        </w:tc>
        <w:tc>
          <w:tcPr>
            <w:tcW w:w="378" w:type="pct"/>
            <w:tcBorders>
              <w:top w:val="nil"/>
              <w:left w:val="nil"/>
              <w:bottom w:val="single" w:sz="4" w:space="0" w:color="auto"/>
              <w:right w:val="single" w:sz="4" w:space="0" w:color="auto"/>
            </w:tcBorders>
            <w:noWrap/>
            <w:hideMark/>
          </w:tcPr>
          <w:p w14:paraId="29C49849" w14:textId="77777777" w:rsidR="00F421F8" w:rsidRPr="00131EED" w:rsidRDefault="00F421F8">
            <w:pPr>
              <w:jc w:val="center"/>
              <w:rPr>
                <w:i/>
                <w:color w:val="000000"/>
                <w:sz w:val="16"/>
                <w:szCs w:val="16"/>
                <w:lang w:eastAsia="en-US"/>
              </w:rPr>
            </w:pPr>
            <w:r w:rsidRPr="00131EED">
              <w:rPr>
                <w:sz w:val="16"/>
                <w:szCs w:val="16"/>
              </w:rPr>
              <w:t>110</w:t>
            </w:r>
          </w:p>
        </w:tc>
        <w:tc>
          <w:tcPr>
            <w:tcW w:w="378" w:type="pct"/>
            <w:tcBorders>
              <w:top w:val="nil"/>
              <w:left w:val="nil"/>
              <w:bottom w:val="single" w:sz="4" w:space="0" w:color="auto"/>
              <w:right w:val="single" w:sz="4" w:space="0" w:color="auto"/>
            </w:tcBorders>
            <w:noWrap/>
            <w:hideMark/>
          </w:tcPr>
          <w:p w14:paraId="7612F40B" w14:textId="77777777" w:rsidR="00F421F8" w:rsidRPr="00131EED" w:rsidRDefault="00F421F8">
            <w:pPr>
              <w:jc w:val="center"/>
              <w:rPr>
                <w:i/>
                <w:color w:val="000000"/>
                <w:sz w:val="16"/>
                <w:szCs w:val="16"/>
                <w:lang w:eastAsia="en-US"/>
              </w:rPr>
            </w:pPr>
            <w:r w:rsidRPr="00131EED">
              <w:rPr>
                <w:sz w:val="16"/>
                <w:szCs w:val="16"/>
              </w:rPr>
              <w:t>114</w:t>
            </w:r>
          </w:p>
        </w:tc>
        <w:tc>
          <w:tcPr>
            <w:tcW w:w="378" w:type="pct"/>
            <w:tcBorders>
              <w:top w:val="nil"/>
              <w:left w:val="nil"/>
              <w:bottom w:val="single" w:sz="4" w:space="0" w:color="auto"/>
              <w:right w:val="single" w:sz="4" w:space="0" w:color="auto"/>
            </w:tcBorders>
            <w:noWrap/>
            <w:hideMark/>
          </w:tcPr>
          <w:p w14:paraId="50294DCB" w14:textId="77777777" w:rsidR="00F421F8" w:rsidRPr="00131EED" w:rsidRDefault="00F421F8">
            <w:pPr>
              <w:jc w:val="center"/>
              <w:rPr>
                <w:i/>
                <w:color w:val="000000"/>
                <w:sz w:val="16"/>
                <w:szCs w:val="16"/>
                <w:lang w:eastAsia="en-US"/>
              </w:rPr>
            </w:pPr>
            <w:r w:rsidRPr="00131EED">
              <w:rPr>
                <w:sz w:val="16"/>
                <w:szCs w:val="16"/>
              </w:rPr>
              <w:t>115</w:t>
            </w:r>
          </w:p>
        </w:tc>
        <w:tc>
          <w:tcPr>
            <w:tcW w:w="378" w:type="pct"/>
            <w:tcBorders>
              <w:top w:val="nil"/>
              <w:left w:val="nil"/>
              <w:bottom w:val="single" w:sz="4" w:space="0" w:color="auto"/>
              <w:right w:val="single" w:sz="4" w:space="0" w:color="auto"/>
            </w:tcBorders>
            <w:noWrap/>
            <w:hideMark/>
          </w:tcPr>
          <w:p w14:paraId="5B9A5211" w14:textId="77777777" w:rsidR="00F421F8" w:rsidRPr="00131EED" w:rsidRDefault="00F421F8">
            <w:pPr>
              <w:jc w:val="center"/>
              <w:rPr>
                <w:i/>
                <w:color w:val="000000"/>
                <w:sz w:val="16"/>
                <w:szCs w:val="16"/>
                <w:lang w:eastAsia="en-US"/>
              </w:rPr>
            </w:pPr>
            <w:r w:rsidRPr="00131EED">
              <w:rPr>
                <w:sz w:val="16"/>
                <w:szCs w:val="16"/>
              </w:rPr>
              <w:t>117</w:t>
            </w:r>
          </w:p>
        </w:tc>
      </w:tr>
      <w:tr w:rsidR="00F421F8" w:rsidRPr="00131EED" w14:paraId="1CD532F9"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4191FA38" w14:textId="77777777" w:rsidR="00F421F8" w:rsidRPr="00131EED" w:rsidRDefault="00F421F8">
            <w:pPr>
              <w:jc w:val="center"/>
              <w:rPr>
                <w:b/>
                <w:i/>
                <w:color w:val="000000"/>
                <w:sz w:val="16"/>
                <w:szCs w:val="16"/>
                <w:lang w:eastAsia="en-US"/>
              </w:rPr>
            </w:pPr>
            <w:r w:rsidRPr="00131EED">
              <w:rPr>
                <w:b/>
                <w:i/>
                <w:color w:val="000000"/>
                <w:sz w:val="16"/>
                <w:szCs w:val="16"/>
                <w:lang w:eastAsia="en-US"/>
              </w:rPr>
              <w:t>Gachancipá</w:t>
            </w:r>
          </w:p>
        </w:tc>
        <w:tc>
          <w:tcPr>
            <w:tcW w:w="378" w:type="pct"/>
            <w:tcBorders>
              <w:top w:val="nil"/>
              <w:left w:val="nil"/>
              <w:bottom w:val="single" w:sz="4" w:space="0" w:color="auto"/>
              <w:right w:val="single" w:sz="4" w:space="0" w:color="auto"/>
            </w:tcBorders>
            <w:noWrap/>
            <w:hideMark/>
          </w:tcPr>
          <w:p w14:paraId="18391940" w14:textId="77777777" w:rsidR="00F421F8" w:rsidRPr="00131EED" w:rsidRDefault="00F421F8">
            <w:pPr>
              <w:jc w:val="center"/>
              <w:rPr>
                <w:i/>
                <w:color w:val="000000"/>
                <w:sz w:val="16"/>
                <w:szCs w:val="16"/>
                <w:lang w:eastAsia="en-US"/>
              </w:rPr>
            </w:pPr>
            <w:r w:rsidRPr="00131EED">
              <w:rPr>
                <w:sz w:val="16"/>
                <w:szCs w:val="16"/>
              </w:rPr>
              <w:t>39</w:t>
            </w:r>
          </w:p>
        </w:tc>
        <w:tc>
          <w:tcPr>
            <w:tcW w:w="378" w:type="pct"/>
            <w:tcBorders>
              <w:top w:val="nil"/>
              <w:left w:val="nil"/>
              <w:bottom w:val="single" w:sz="4" w:space="0" w:color="auto"/>
              <w:right w:val="single" w:sz="4" w:space="0" w:color="auto"/>
            </w:tcBorders>
            <w:noWrap/>
            <w:hideMark/>
          </w:tcPr>
          <w:p w14:paraId="618A7D19" w14:textId="77777777" w:rsidR="00F421F8" w:rsidRPr="00131EED" w:rsidRDefault="00F421F8">
            <w:pPr>
              <w:jc w:val="center"/>
              <w:rPr>
                <w:i/>
                <w:color w:val="000000"/>
                <w:sz w:val="16"/>
                <w:szCs w:val="16"/>
                <w:lang w:eastAsia="en-US"/>
              </w:rPr>
            </w:pPr>
            <w:r w:rsidRPr="00131EED">
              <w:rPr>
                <w:sz w:val="16"/>
                <w:szCs w:val="16"/>
              </w:rPr>
              <w:t>49</w:t>
            </w:r>
          </w:p>
        </w:tc>
        <w:tc>
          <w:tcPr>
            <w:tcW w:w="378" w:type="pct"/>
            <w:tcBorders>
              <w:top w:val="nil"/>
              <w:left w:val="nil"/>
              <w:bottom w:val="single" w:sz="4" w:space="0" w:color="auto"/>
              <w:right w:val="single" w:sz="4" w:space="0" w:color="auto"/>
            </w:tcBorders>
            <w:noWrap/>
            <w:hideMark/>
          </w:tcPr>
          <w:p w14:paraId="18EE018D" w14:textId="77777777" w:rsidR="00F421F8" w:rsidRPr="00131EED" w:rsidRDefault="00F421F8">
            <w:pPr>
              <w:jc w:val="center"/>
              <w:rPr>
                <w:i/>
                <w:color w:val="000000"/>
                <w:sz w:val="16"/>
                <w:szCs w:val="16"/>
                <w:lang w:eastAsia="en-US"/>
              </w:rPr>
            </w:pPr>
            <w:r w:rsidRPr="00131EED">
              <w:rPr>
                <w:sz w:val="16"/>
                <w:szCs w:val="16"/>
              </w:rPr>
              <w:t>61</w:t>
            </w:r>
          </w:p>
        </w:tc>
        <w:tc>
          <w:tcPr>
            <w:tcW w:w="378" w:type="pct"/>
            <w:tcBorders>
              <w:top w:val="nil"/>
              <w:left w:val="nil"/>
              <w:bottom w:val="single" w:sz="4" w:space="0" w:color="auto"/>
              <w:right w:val="single" w:sz="4" w:space="0" w:color="auto"/>
            </w:tcBorders>
            <w:noWrap/>
            <w:hideMark/>
          </w:tcPr>
          <w:p w14:paraId="7DBE2D0D" w14:textId="77777777" w:rsidR="00F421F8" w:rsidRPr="00131EED" w:rsidRDefault="00F421F8">
            <w:pPr>
              <w:jc w:val="center"/>
              <w:rPr>
                <w:i/>
                <w:color w:val="000000"/>
                <w:sz w:val="16"/>
                <w:szCs w:val="16"/>
                <w:lang w:eastAsia="en-US"/>
              </w:rPr>
            </w:pPr>
            <w:r w:rsidRPr="00131EED">
              <w:rPr>
                <w:sz w:val="16"/>
                <w:szCs w:val="16"/>
              </w:rPr>
              <w:t>72</w:t>
            </w:r>
          </w:p>
        </w:tc>
        <w:tc>
          <w:tcPr>
            <w:tcW w:w="378" w:type="pct"/>
            <w:tcBorders>
              <w:top w:val="nil"/>
              <w:left w:val="nil"/>
              <w:bottom w:val="single" w:sz="4" w:space="0" w:color="auto"/>
              <w:right w:val="single" w:sz="4" w:space="0" w:color="auto"/>
            </w:tcBorders>
            <w:noWrap/>
            <w:hideMark/>
          </w:tcPr>
          <w:p w14:paraId="03D339B9" w14:textId="77777777" w:rsidR="00F421F8" w:rsidRPr="00131EED" w:rsidRDefault="00F421F8">
            <w:pPr>
              <w:jc w:val="center"/>
              <w:rPr>
                <w:i/>
                <w:color w:val="000000"/>
                <w:sz w:val="16"/>
                <w:szCs w:val="16"/>
                <w:lang w:eastAsia="en-US"/>
              </w:rPr>
            </w:pPr>
            <w:r w:rsidRPr="00131EED">
              <w:rPr>
                <w:sz w:val="16"/>
                <w:szCs w:val="16"/>
              </w:rPr>
              <w:t>76</w:t>
            </w:r>
          </w:p>
        </w:tc>
        <w:tc>
          <w:tcPr>
            <w:tcW w:w="378" w:type="pct"/>
            <w:tcBorders>
              <w:top w:val="nil"/>
              <w:left w:val="nil"/>
              <w:bottom w:val="single" w:sz="4" w:space="0" w:color="auto"/>
              <w:right w:val="single" w:sz="4" w:space="0" w:color="auto"/>
            </w:tcBorders>
            <w:noWrap/>
            <w:hideMark/>
          </w:tcPr>
          <w:p w14:paraId="595A1432" w14:textId="77777777" w:rsidR="00F421F8" w:rsidRPr="00131EED" w:rsidRDefault="00F421F8">
            <w:pPr>
              <w:jc w:val="center"/>
              <w:rPr>
                <w:i/>
                <w:color w:val="000000"/>
                <w:sz w:val="16"/>
                <w:szCs w:val="16"/>
                <w:lang w:eastAsia="en-US"/>
              </w:rPr>
            </w:pPr>
            <w:r w:rsidRPr="00131EED">
              <w:rPr>
                <w:sz w:val="16"/>
                <w:szCs w:val="16"/>
              </w:rPr>
              <w:t>80</w:t>
            </w:r>
          </w:p>
        </w:tc>
        <w:tc>
          <w:tcPr>
            <w:tcW w:w="378" w:type="pct"/>
            <w:tcBorders>
              <w:top w:val="nil"/>
              <w:left w:val="nil"/>
              <w:bottom w:val="single" w:sz="4" w:space="0" w:color="auto"/>
              <w:right w:val="single" w:sz="4" w:space="0" w:color="auto"/>
            </w:tcBorders>
            <w:noWrap/>
            <w:hideMark/>
          </w:tcPr>
          <w:p w14:paraId="6FC59F86" w14:textId="77777777" w:rsidR="00F421F8" w:rsidRPr="00131EED" w:rsidRDefault="00F421F8">
            <w:pPr>
              <w:jc w:val="center"/>
              <w:rPr>
                <w:i/>
                <w:color w:val="000000"/>
                <w:sz w:val="16"/>
                <w:szCs w:val="16"/>
                <w:lang w:eastAsia="en-US"/>
              </w:rPr>
            </w:pPr>
            <w:r w:rsidRPr="00131EED">
              <w:rPr>
                <w:sz w:val="16"/>
                <w:szCs w:val="16"/>
              </w:rPr>
              <w:t>85</w:t>
            </w:r>
          </w:p>
        </w:tc>
        <w:tc>
          <w:tcPr>
            <w:tcW w:w="378" w:type="pct"/>
            <w:tcBorders>
              <w:top w:val="nil"/>
              <w:left w:val="nil"/>
              <w:bottom w:val="single" w:sz="4" w:space="0" w:color="auto"/>
              <w:right w:val="single" w:sz="4" w:space="0" w:color="auto"/>
            </w:tcBorders>
            <w:noWrap/>
            <w:hideMark/>
          </w:tcPr>
          <w:p w14:paraId="0B85BDF6" w14:textId="77777777" w:rsidR="00F421F8" w:rsidRPr="00131EED" w:rsidRDefault="00F421F8">
            <w:pPr>
              <w:jc w:val="center"/>
              <w:rPr>
                <w:i/>
                <w:color w:val="000000"/>
                <w:sz w:val="16"/>
                <w:szCs w:val="16"/>
                <w:lang w:eastAsia="en-US"/>
              </w:rPr>
            </w:pPr>
            <w:r w:rsidRPr="00131EED">
              <w:rPr>
                <w:sz w:val="16"/>
                <w:szCs w:val="16"/>
              </w:rPr>
              <w:t>91</w:t>
            </w:r>
          </w:p>
        </w:tc>
        <w:tc>
          <w:tcPr>
            <w:tcW w:w="378" w:type="pct"/>
            <w:tcBorders>
              <w:top w:val="nil"/>
              <w:left w:val="nil"/>
              <w:bottom w:val="single" w:sz="4" w:space="0" w:color="auto"/>
              <w:right w:val="single" w:sz="4" w:space="0" w:color="auto"/>
            </w:tcBorders>
            <w:noWrap/>
            <w:hideMark/>
          </w:tcPr>
          <w:p w14:paraId="24D53799" w14:textId="77777777" w:rsidR="00F421F8" w:rsidRPr="00131EED" w:rsidRDefault="00F421F8">
            <w:pPr>
              <w:jc w:val="center"/>
              <w:rPr>
                <w:i/>
                <w:color w:val="000000"/>
                <w:sz w:val="16"/>
                <w:szCs w:val="16"/>
                <w:lang w:eastAsia="en-US"/>
              </w:rPr>
            </w:pPr>
            <w:r w:rsidRPr="00131EED">
              <w:rPr>
                <w:sz w:val="16"/>
                <w:szCs w:val="16"/>
              </w:rPr>
              <w:t>97</w:t>
            </w:r>
          </w:p>
        </w:tc>
        <w:tc>
          <w:tcPr>
            <w:tcW w:w="378" w:type="pct"/>
            <w:tcBorders>
              <w:top w:val="nil"/>
              <w:left w:val="nil"/>
              <w:bottom w:val="single" w:sz="4" w:space="0" w:color="auto"/>
              <w:right w:val="single" w:sz="4" w:space="0" w:color="auto"/>
            </w:tcBorders>
            <w:noWrap/>
            <w:hideMark/>
          </w:tcPr>
          <w:p w14:paraId="22C2A906" w14:textId="77777777" w:rsidR="00F421F8" w:rsidRPr="00131EED" w:rsidRDefault="00F421F8">
            <w:pPr>
              <w:jc w:val="center"/>
              <w:rPr>
                <w:i/>
                <w:color w:val="000000"/>
                <w:sz w:val="16"/>
                <w:szCs w:val="16"/>
                <w:lang w:eastAsia="en-US"/>
              </w:rPr>
            </w:pPr>
            <w:r w:rsidRPr="00131EED">
              <w:rPr>
                <w:sz w:val="16"/>
                <w:szCs w:val="16"/>
              </w:rPr>
              <w:t>105</w:t>
            </w:r>
          </w:p>
        </w:tc>
        <w:tc>
          <w:tcPr>
            <w:tcW w:w="378" w:type="pct"/>
            <w:tcBorders>
              <w:top w:val="nil"/>
              <w:left w:val="nil"/>
              <w:bottom w:val="single" w:sz="4" w:space="0" w:color="auto"/>
              <w:right w:val="single" w:sz="4" w:space="0" w:color="auto"/>
            </w:tcBorders>
            <w:noWrap/>
            <w:hideMark/>
          </w:tcPr>
          <w:p w14:paraId="20DB06C0" w14:textId="77777777" w:rsidR="00F421F8" w:rsidRPr="00131EED" w:rsidRDefault="00F421F8">
            <w:pPr>
              <w:jc w:val="center"/>
              <w:rPr>
                <w:i/>
                <w:color w:val="000000"/>
                <w:sz w:val="16"/>
                <w:szCs w:val="16"/>
                <w:lang w:eastAsia="en-US"/>
              </w:rPr>
            </w:pPr>
            <w:r w:rsidRPr="00131EED">
              <w:rPr>
                <w:sz w:val="16"/>
                <w:szCs w:val="16"/>
              </w:rPr>
              <w:t>106</w:t>
            </w:r>
          </w:p>
        </w:tc>
        <w:tc>
          <w:tcPr>
            <w:tcW w:w="378" w:type="pct"/>
            <w:tcBorders>
              <w:top w:val="nil"/>
              <w:left w:val="nil"/>
              <w:bottom w:val="single" w:sz="4" w:space="0" w:color="auto"/>
              <w:right w:val="single" w:sz="4" w:space="0" w:color="auto"/>
            </w:tcBorders>
            <w:noWrap/>
            <w:hideMark/>
          </w:tcPr>
          <w:p w14:paraId="0D9EB6BD" w14:textId="77777777" w:rsidR="00F421F8" w:rsidRPr="00131EED" w:rsidRDefault="00F421F8">
            <w:pPr>
              <w:jc w:val="center"/>
              <w:rPr>
                <w:i/>
                <w:color w:val="000000"/>
                <w:sz w:val="16"/>
                <w:szCs w:val="16"/>
                <w:lang w:eastAsia="en-US"/>
              </w:rPr>
            </w:pPr>
            <w:r w:rsidRPr="00131EED">
              <w:rPr>
                <w:sz w:val="16"/>
                <w:szCs w:val="16"/>
              </w:rPr>
              <w:t>111</w:t>
            </w:r>
          </w:p>
        </w:tc>
      </w:tr>
      <w:tr w:rsidR="00F421F8" w:rsidRPr="00131EED" w14:paraId="21614EA3"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3A114AC8" w14:textId="77777777" w:rsidR="00F421F8" w:rsidRPr="00131EED" w:rsidRDefault="00F421F8">
            <w:pPr>
              <w:jc w:val="center"/>
              <w:rPr>
                <w:b/>
                <w:i/>
                <w:color w:val="000000"/>
                <w:sz w:val="16"/>
                <w:szCs w:val="16"/>
                <w:lang w:eastAsia="en-US"/>
              </w:rPr>
            </w:pPr>
            <w:r w:rsidRPr="00131EED">
              <w:rPr>
                <w:b/>
                <w:i/>
                <w:color w:val="000000"/>
                <w:sz w:val="16"/>
                <w:szCs w:val="16"/>
                <w:lang w:eastAsia="en-US"/>
              </w:rPr>
              <w:t>Chocontá</w:t>
            </w:r>
          </w:p>
        </w:tc>
        <w:tc>
          <w:tcPr>
            <w:tcW w:w="378" w:type="pct"/>
            <w:tcBorders>
              <w:top w:val="nil"/>
              <w:left w:val="nil"/>
              <w:bottom w:val="single" w:sz="4" w:space="0" w:color="auto"/>
              <w:right w:val="single" w:sz="4" w:space="0" w:color="auto"/>
            </w:tcBorders>
            <w:noWrap/>
            <w:hideMark/>
          </w:tcPr>
          <w:p w14:paraId="446EA9B5" w14:textId="77777777" w:rsidR="00F421F8" w:rsidRPr="00131EED" w:rsidRDefault="00F421F8">
            <w:pPr>
              <w:jc w:val="center"/>
              <w:rPr>
                <w:i/>
                <w:color w:val="000000"/>
                <w:sz w:val="16"/>
                <w:szCs w:val="16"/>
                <w:lang w:eastAsia="en-US"/>
              </w:rPr>
            </w:pPr>
            <w:r w:rsidRPr="00131EED">
              <w:rPr>
                <w:sz w:val="16"/>
                <w:szCs w:val="16"/>
              </w:rPr>
              <w:t>52</w:t>
            </w:r>
          </w:p>
        </w:tc>
        <w:tc>
          <w:tcPr>
            <w:tcW w:w="378" w:type="pct"/>
            <w:tcBorders>
              <w:top w:val="nil"/>
              <w:left w:val="nil"/>
              <w:bottom w:val="single" w:sz="4" w:space="0" w:color="auto"/>
              <w:right w:val="single" w:sz="4" w:space="0" w:color="auto"/>
            </w:tcBorders>
            <w:noWrap/>
            <w:hideMark/>
          </w:tcPr>
          <w:p w14:paraId="6471506E" w14:textId="77777777" w:rsidR="00F421F8" w:rsidRPr="00131EED" w:rsidRDefault="00F421F8">
            <w:pPr>
              <w:jc w:val="center"/>
              <w:rPr>
                <w:i/>
                <w:color w:val="000000"/>
                <w:sz w:val="16"/>
                <w:szCs w:val="16"/>
                <w:lang w:eastAsia="en-US"/>
              </w:rPr>
            </w:pPr>
            <w:r w:rsidRPr="00131EED">
              <w:rPr>
                <w:sz w:val="16"/>
                <w:szCs w:val="16"/>
              </w:rPr>
              <w:t>62</w:t>
            </w:r>
          </w:p>
        </w:tc>
        <w:tc>
          <w:tcPr>
            <w:tcW w:w="378" w:type="pct"/>
            <w:tcBorders>
              <w:top w:val="nil"/>
              <w:left w:val="nil"/>
              <w:bottom w:val="single" w:sz="4" w:space="0" w:color="auto"/>
              <w:right w:val="single" w:sz="4" w:space="0" w:color="auto"/>
            </w:tcBorders>
            <w:noWrap/>
            <w:hideMark/>
          </w:tcPr>
          <w:p w14:paraId="6A277755" w14:textId="77777777" w:rsidR="00F421F8" w:rsidRPr="00131EED" w:rsidRDefault="00F421F8">
            <w:pPr>
              <w:jc w:val="center"/>
              <w:rPr>
                <w:i/>
                <w:color w:val="000000"/>
                <w:sz w:val="16"/>
                <w:szCs w:val="16"/>
                <w:lang w:eastAsia="en-US"/>
              </w:rPr>
            </w:pPr>
            <w:r w:rsidRPr="00131EED">
              <w:rPr>
                <w:sz w:val="16"/>
                <w:szCs w:val="16"/>
              </w:rPr>
              <w:t>73</w:t>
            </w:r>
          </w:p>
        </w:tc>
        <w:tc>
          <w:tcPr>
            <w:tcW w:w="378" w:type="pct"/>
            <w:tcBorders>
              <w:top w:val="nil"/>
              <w:left w:val="nil"/>
              <w:bottom w:val="single" w:sz="4" w:space="0" w:color="auto"/>
              <w:right w:val="single" w:sz="4" w:space="0" w:color="auto"/>
            </w:tcBorders>
            <w:noWrap/>
            <w:hideMark/>
          </w:tcPr>
          <w:p w14:paraId="0719DCE3" w14:textId="77777777" w:rsidR="00F421F8" w:rsidRPr="00131EED" w:rsidRDefault="00F421F8">
            <w:pPr>
              <w:jc w:val="center"/>
              <w:rPr>
                <w:i/>
                <w:color w:val="000000"/>
                <w:sz w:val="16"/>
                <w:szCs w:val="16"/>
                <w:lang w:eastAsia="en-US"/>
              </w:rPr>
            </w:pPr>
            <w:r w:rsidRPr="00131EED">
              <w:rPr>
                <w:sz w:val="16"/>
                <w:szCs w:val="16"/>
              </w:rPr>
              <w:t>85</w:t>
            </w:r>
          </w:p>
        </w:tc>
        <w:tc>
          <w:tcPr>
            <w:tcW w:w="378" w:type="pct"/>
            <w:tcBorders>
              <w:top w:val="nil"/>
              <w:left w:val="nil"/>
              <w:bottom w:val="single" w:sz="4" w:space="0" w:color="auto"/>
              <w:right w:val="single" w:sz="4" w:space="0" w:color="auto"/>
            </w:tcBorders>
            <w:noWrap/>
            <w:hideMark/>
          </w:tcPr>
          <w:p w14:paraId="063B9E40" w14:textId="77777777" w:rsidR="00F421F8" w:rsidRPr="00131EED" w:rsidRDefault="00F421F8">
            <w:pPr>
              <w:jc w:val="center"/>
              <w:rPr>
                <w:i/>
                <w:color w:val="000000"/>
                <w:sz w:val="16"/>
                <w:szCs w:val="16"/>
                <w:lang w:eastAsia="en-US"/>
              </w:rPr>
            </w:pPr>
            <w:r w:rsidRPr="00131EED">
              <w:rPr>
                <w:sz w:val="16"/>
                <w:szCs w:val="16"/>
              </w:rPr>
              <w:t>89</w:t>
            </w:r>
          </w:p>
        </w:tc>
        <w:tc>
          <w:tcPr>
            <w:tcW w:w="378" w:type="pct"/>
            <w:tcBorders>
              <w:top w:val="nil"/>
              <w:left w:val="nil"/>
              <w:bottom w:val="single" w:sz="4" w:space="0" w:color="auto"/>
              <w:right w:val="single" w:sz="4" w:space="0" w:color="auto"/>
            </w:tcBorders>
            <w:noWrap/>
            <w:hideMark/>
          </w:tcPr>
          <w:p w14:paraId="3832B00D" w14:textId="77777777" w:rsidR="00F421F8" w:rsidRPr="00131EED" w:rsidRDefault="00F421F8">
            <w:pPr>
              <w:jc w:val="center"/>
              <w:rPr>
                <w:i/>
                <w:color w:val="000000"/>
                <w:sz w:val="16"/>
                <w:szCs w:val="16"/>
                <w:lang w:eastAsia="en-US"/>
              </w:rPr>
            </w:pPr>
            <w:r w:rsidRPr="00131EED">
              <w:rPr>
                <w:sz w:val="16"/>
                <w:szCs w:val="16"/>
              </w:rPr>
              <w:t>94</w:t>
            </w:r>
          </w:p>
        </w:tc>
        <w:tc>
          <w:tcPr>
            <w:tcW w:w="378" w:type="pct"/>
            <w:tcBorders>
              <w:top w:val="nil"/>
              <w:left w:val="nil"/>
              <w:bottom w:val="single" w:sz="4" w:space="0" w:color="auto"/>
              <w:right w:val="single" w:sz="4" w:space="0" w:color="auto"/>
            </w:tcBorders>
            <w:noWrap/>
            <w:hideMark/>
          </w:tcPr>
          <w:p w14:paraId="0B98C269" w14:textId="77777777" w:rsidR="00F421F8" w:rsidRPr="00131EED" w:rsidRDefault="00F421F8">
            <w:pPr>
              <w:jc w:val="center"/>
              <w:rPr>
                <w:i/>
                <w:color w:val="000000"/>
                <w:sz w:val="16"/>
                <w:szCs w:val="16"/>
                <w:lang w:eastAsia="en-US"/>
              </w:rPr>
            </w:pPr>
            <w:r w:rsidRPr="00131EED">
              <w:rPr>
                <w:sz w:val="16"/>
                <w:szCs w:val="16"/>
              </w:rPr>
              <w:t>97</w:t>
            </w:r>
          </w:p>
        </w:tc>
        <w:tc>
          <w:tcPr>
            <w:tcW w:w="378" w:type="pct"/>
            <w:tcBorders>
              <w:top w:val="nil"/>
              <w:left w:val="nil"/>
              <w:bottom w:val="single" w:sz="4" w:space="0" w:color="auto"/>
              <w:right w:val="single" w:sz="4" w:space="0" w:color="auto"/>
            </w:tcBorders>
            <w:noWrap/>
            <w:hideMark/>
          </w:tcPr>
          <w:p w14:paraId="7E66E7E5" w14:textId="77777777" w:rsidR="00F421F8" w:rsidRPr="00131EED" w:rsidRDefault="00F421F8">
            <w:pPr>
              <w:jc w:val="center"/>
              <w:rPr>
                <w:i/>
                <w:color w:val="000000"/>
                <w:sz w:val="16"/>
                <w:szCs w:val="16"/>
                <w:lang w:eastAsia="en-US"/>
              </w:rPr>
            </w:pPr>
            <w:r w:rsidRPr="00131EED">
              <w:rPr>
                <w:sz w:val="16"/>
                <w:szCs w:val="16"/>
              </w:rPr>
              <w:t>100</w:t>
            </w:r>
          </w:p>
        </w:tc>
        <w:tc>
          <w:tcPr>
            <w:tcW w:w="378" w:type="pct"/>
            <w:tcBorders>
              <w:top w:val="nil"/>
              <w:left w:val="nil"/>
              <w:bottom w:val="single" w:sz="4" w:space="0" w:color="auto"/>
              <w:right w:val="single" w:sz="4" w:space="0" w:color="auto"/>
            </w:tcBorders>
            <w:noWrap/>
            <w:hideMark/>
          </w:tcPr>
          <w:p w14:paraId="4CDB2D68" w14:textId="77777777" w:rsidR="00F421F8" w:rsidRPr="00131EED" w:rsidRDefault="00F421F8">
            <w:pPr>
              <w:jc w:val="center"/>
              <w:rPr>
                <w:i/>
                <w:color w:val="000000"/>
                <w:sz w:val="16"/>
                <w:szCs w:val="16"/>
                <w:lang w:eastAsia="en-US"/>
              </w:rPr>
            </w:pPr>
            <w:r w:rsidRPr="00131EED">
              <w:rPr>
                <w:sz w:val="16"/>
                <w:szCs w:val="16"/>
              </w:rPr>
              <w:t>103</w:t>
            </w:r>
          </w:p>
        </w:tc>
        <w:tc>
          <w:tcPr>
            <w:tcW w:w="378" w:type="pct"/>
            <w:tcBorders>
              <w:top w:val="nil"/>
              <w:left w:val="nil"/>
              <w:bottom w:val="single" w:sz="4" w:space="0" w:color="auto"/>
              <w:right w:val="single" w:sz="4" w:space="0" w:color="auto"/>
            </w:tcBorders>
            <w:noWrap/>
            <w:hideMark/>
          </w:tcPr>
          <w:p w14:paraId="0F69DA4E" w14:textId="77777777" w:rsidR="00F421F8" w:rsidRPr="00131EED" w:rsidRDefault="00F421F8">
            <w:pPr>
              <w:jc w:val="center"/>
              <w:rPr>
                <w:i/>
                <w:color w:val="000000"/>
                <w:sz w:val="16"/>
                <w:szCs w:val="16"/>
                <w:lang w:eastAsia="en-US"/>
              </w:rPr>
            </w:pPr>
            <w:r w:rsidRPr="00131EED">
              <w:rPr>
                <w:sz w:val="16"/>
                <w:szCs w:val="16"/>
              </w:rPr>
              <w:t>107</w:t>
            </w:r>
          </w:p>
        </w:tc>
        <w:tc>
          <w:tcPr>
            <w:tcW w:w="378" w:type="pct"/>
            <w:tcBorders>
              <w:top w:val="nil"/>
              <w:left w:val="nil"/>
              <w:bottom w:val="single" w:sz="4" w:space="0" w:color="auto"/>
              <w:right w:val="single" w:sz="4" w:space="0" w:color="auto"/>
            </w:tcBorders>
            <w:noWrap/>
            <w:hideMark/>
          </w:tcPr>
          <w:p w14:paraId="6AE8AEE9" w14:textId="77777777" w:rsidR="00F421F8" w:rsidRPr="00131EED" w:rsidRDefault="00F421F8">
            <w:pPr>
              <w:jc w:val="center"/>
              <w:rPr>
                <w:i/>
                <w:color w:val="000000"/>
                <w:sz w:val="16"/>
                <w:szCs w:val="16"/>
                <w:lang w:eastAsia="en-US"/>
              </w:rPr>
            </w:pPr>
            <w:r w:rsidRPr="00131EED">
              <w:rPr>
                <w:sz w:val="16"/>
                <w:szCs w:val="16"/>
              </w:rPr>
              <w:t>107</w:t>
            </w:r>
          </w:p>
        </w:tc>
        <w:tc>
          <w:tcPr>
            <w:tcW w:w="378" w:type="pct"/>
            <w:tcBorders>
              <w:top w:val="nil"/>
              <w:left w:val="nil"/>
              <w:bottom w:val="single" w:sz="4" w:space="0" w:color="auto"/>
              <w:right w:val="single" w:sz="4" w:space="0" w:color="auto"/>
            </w:tcBorders>
            <w:noWrap/>
            <w:hideMark/>
          </w:tcPr>
          <w:p w14:paraId="7B8B12E8" w14:textId="77777777" w:rsidR="00F421F8" w:rsidRPr="00131EED" w:rsidRDefault="00F421F8">
            <w:pPr>
              <w:jc w:val="center"/>
              <w:rPr>
                <w:i/>
                <w:color w:val="000000"/>
                <w:sz w:val="16"/>
                <w:szCs w:val="16"/>
                <w:lang w:eastAsia="en-US"/>
              </w:rPr>
            </w:pPr>
            <w:r w:rsidRPr="00131EED">
              <w:rPr>
                <w:sz w:val="16"/>
                <w:szCs w:val="16"/>
              </w:rPr>
              <w:t>108</w:t>
            </w:r>
          </w:p>
        </w:tc>
      </w:tr>
      <w:tr w:rsidR="00F421F8" w:rsidRPr="00131EED" w14:paraId="19DB2B20"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2D127C89" w14:textId="77777777" w:rsidR="00F421F8" w:rsidRPr="00131EED" w:rsidRDefault="00F421F8">
            <w:pPr>
              <w:jc w:val="center"/>
              <w:rPr>
                <w:b/>
                <w:i/>
                <w:color w:val="000000"/>
                <w:sz w:val="16"/>
                <w:szCs w:val="16"/>
                <w:lang w:eastAsia="en-US"/>
              </w:rPr>
            </w:pPr>
            <w:r w:rsidRPr="00131EED">
              <w:rPr>
                <w:b/>
                <w:i/>
                <w:color w:val="000000"/>
                <w:sz w:val="16"/>
                <w:szCs w:val="16"/>
                <w:lang w:eastAsia="en-US"/>
              </w:rPr>
              <w:t>Subachoque</w:t>
            </w:r>
          </w:p>
        </w:tc>
        <w:tc>
          <w:tcPr>
            <w:tcW w:w="378" w:type="pct"/>
            <w:tcBorders>
              <w:top w:val="nil"/>
              <w:left w:val="nil"/>
              <w:bottom w:val="single" w:sz="4" w:space="0" w:color="auto"/>
              <w:right w:val="single" w:sz="4" w:space="0" w:color="auto"/>
            </w:tcBorders>
            <w:noWrap/>
            <w:hideMark/>
          </w:tcPr>
          <w:p w14:paraId="39406BE3" w14:textId="77777777" w:rsidR="00F421F8" w:rsidRPr="00131EED" w:rsidRDefault="00F421F8">
            <w:pPr>
              <w:jc w:val="center"/>
              <w:rPr>
                <w:i/>
                <w:color w:val="000000"/>
                <w:sz w:val="16"/>
                <w:szCs w:val="16"/>
                <w:lang w:eastAsia="en-US"/>
              </w:rPr>
            </w:pPr>
            <w:r w:rsidRPr="00131EED">
              <w:rPr>
                <w:sz w:val="16"/>
                <w:szCs w:val="16"/>
              </w:rPr>
              <w:t>47</w:t>
            </w:r>
          </w:p>
        </w:tc>
        <w:tc>
          <w:tcPr>
            <w:tcW w:w="378" w:type="pct"/>
            <w:tcBorders>
              <w:top w:val="nil"/>
              <w:left w:val="nil"/>
              <w:bottom w:val="single" w:sz="4" w:space="0" w:color="auto"/>
              <w:right w:val="single" w:sz="4" w:space="0" w:color="auto"/>
            </w:tcBorders>
            <w:noWrap/>
            <w:hideMark/>
          </w:tcPr>
          <w:p w14:paraId="7777AE51" w14:textId="77777777" w:rsidR="00F421F8" w:rsidRPr="00131EED" w:rsidRDefault="00F421F8">
            <w:pPr>
              <w:jc w:val="center"/>
              <w:rPr>
                <w:i/>
                <w:color w:val="000000"/>
                <w:sz w:val="16"/>
                <w:szCs w:val="16"/>
                <w:lang w:eastAsia="en-US"/>
              </w:rPr>
            </w:pPr>
            <w:r w:rsidRPr="00131EED">
              <w:rPr>
                <w:sz w:val="16"/>
                <w:szCs w:val="16"/>
              </w:rPr>
              <w:t>57</w:t>
            </w:r>
          </w:p>
        </w:tc>
        <w:tc>
          <w:tcPr>
            <w:tcW w:w="378" w:type="pct"/>
            <w:tcBorders>
              <w:top w:val="nil"/>
              <w:left w:val="nil"/>
              <w:bottom w:val="single" w:sz="4" w:space="0" w:color="auto"/>
              <w:right w:val="single" w:sz="4" w:space="0" w:color="auto"/>
            </w:tcBorders>
            <w:noWrap/>
            <w:hideMark/>
          </w:tcPr>
          <w:p w14:paraId="456744DF" w14:textId="77777777" w:rsidR="00F421F8" w:rsidRPr="00131EED" w:rsidRDefault="00F421F8">
            <w:pPr>
              <w:jc w:val="center"/>
              <w:rPr>
                <w:i/>
                <w:color w:val="000000"/>
                <w:sz w:val="16"/>
                <w:szCs w:val="16"/>
                <w:lang w:eastAsia="en-US"/>
              </w:rPr>
            </w:pPr>
            <w:r w:rsidRPr="00131EED">
              <w:rPr>
                <w:sz w:val="16"/>
                <w:szCs w:val="16"/>
              </w:rPr>
              <w:t>68</w:t>
            </w:r>
          </w:p>
        </w:tc>
        <w:tc>
          <w:tcPr>
            <w:tcW w:w="378" w:type="pct"/>
            <w:tcBorders>
              <w:top w:val="nil"/>
              <w:left w:val="nil"/>
              <w:bottom w:val="single" w:sz="4" w:space="0" w:color="auto"/>
              <w:right w:val="single" w:sz="4" w:space="0" w:color="auto"/>
            </w:tcBorders>
            <w:noWrap/>
            <w:hideMark/>
          </w:tcPr>
          <w:p w14:paraId="25CA0B23" w14:textId="77777777" w:rsidR="00F421F8" w:rsidRPr="00131EED" w:rsidRDefault="00F421F8">
            <w:pPr>
              <w:jc w:val="center"/>
              <w:rPr>
                <w:i/>
                <w:color w:val="000000"/>
                <w:sz w:val="16"/>
                <w:szCs w:val="16"/>
                <w:lang w:eastAsia="en-US"/>
              </w:rPr>
            </w:pPr>
            <w:r w:rsidRPr="00131EED">
              <w:rPr>
                <w:sz w:val="16"/>
                <w:szCs w:val="16"/>
              </w:rPr>
              <w:t>79</w:t>
            </w:r>
          </w:p>
        </w:tc>
        <w:tc>
          <w:tcPr>
            <w:tcW w:w="378" w:type="pct"/>
            <w:tcBorders>
              <w:top w:val="nil"/>
              <w:left w:val="nil"/>
              <w:bottom w:val="single" w:sz="4" w:space="0" w:color="auto"/>
              <w:right w:val="single" w:sz="4" w:space="0" w:color="auto"/>
            </w:tcBorders>
            <w:noWrap/>
            <w:hideMark/>
          </w:tcPr>
          <w:p w14:paraId="5319F550" w14:textId="77777777" w:rsidR="00F421F8" w:rsidRPr="00131EED" w:rsidRDefault="00F421F8">
            <w:pPr>
              <w:jc w:val="center"/>
              <w:rPr>
                <w:i/>
                <w:color w:val="000000"/>
                <w:sz w:val="16"/>
                <w:szCs w:val="16"/>
                <w:lang w:eastAsia="en-US"/>
              </w:rPr>
            </w:pPr>
            <w:r w:rsidRPr="00131EED">
              <w:rPr>
                <w:sz w:val="16"/>
                <w:szCs w:val="16"/>
              </w:rPr>
              <w:t>84</w:t>
            </w:r>
          </w:p>
        </w:tc>
        <w:tc>
          <w:tcPr>
            <w:tcW w:w="378" w:type="pct"/>
            <w:tcBorders>
              <w:top w:val="nil"/>
              <w:left w:val="nil"/>
              <w:bottom w:val="single" w:sz="4" w:space="0" w:color="auto"/>
              <w:right w:val="single" w:sz="4" w:space="0" w:color="auto"/>
            </w:tcBorders>
            <w:noWrap/>
            <w:hideMark/>
          </w:tcPr>
          <w:p w14:paraId="25E4CF5D" w14:textId="77777777" w:rsidR="00F421F8" w:rsidRPr="00131EED" w:rsidRDefault="00F421F8">
            <w:pPr>
              <w:jc w:val="center"/>
              <w:rPr>
                <w:i/>
                <w:color w:val="000000"/>
                <w:sz w:val="16"/>
                <w:szCs w:val="16"/>
                <w:lang w:eastAsia="en-US"/>
              </w:rPr>
            </w:pPr>
            <w:r w:rsidRPr="00131EED">
              <w:rPr>
                <w:sz w:val="16"/>
                <w:szCs w:val="16"/>
              </w:rPr>
              <w:t>89</w:t>
            </w:r>
          </w:p>
        </w:tc>
        <w:tc>
          <w:tcPr>
            <w:tcW w:w="378" w:type="pct"/>
            <w:tcBorders>
              <w:top w:val="nil"/>
              <w:left w:val="nil"/>
              <w:bottom w:val="single" w:sz="4" w:space="0" w:color="auto"/>
              <w:right w:val="single" w:sz="4" w:space="0" w:color="auto"/>
            </w:tcBorders>
            <w:noWrap/>
            <w:hideMark/>
          </w:tcPr>
          <w:p w14:paraId="55F3D955" w14:textId="77777777" w:rsidR="00F421F8" w:rsidRPr="00131EED" w:rsidRDefault="00F421F8">
            <w:pPr>
              <w:jc w:val="center"/>
              <w:rPr>
                <w:i/>
                <w:color w:val="000000"/>
                <w:sz w:val="16"/>
                <w:szCs w:val="16"/>
                <w:lang w:eastAsia="en-US"/>
              </w:rPr>
            </w:pPr>
            <w:r w:rsidRPr="00131EED">
              <w:rPr>
                <w:sz w:val="16"/>
                <w:szCs w:val="16"/>
              </w:rPr>
              <w:t>93</w:t>
            </w:r>
          </w:p>
        </w:tc>
        <w:tc>
          <w:tcPr>
            <w:tcW w:w="378" w:type="pct"/>
            <w:tcBorders>
              <w:top w:val="nil"/>
              <w:left w:val="nil"/>
              <w:bottom w:val="single" w:sz="4" w:space="0" w:color="auto"/>
              <w:right w:val="single" w:sz="4" w:space="0" w:color="auto"/>
            </w:tcBorders>
            <w:noWrap/>
            <w:hideMark/>
          </w:tcPr>
          <w:p w14:paraId="06E574B7" w14:textId="77777777" w:rsidR="00F421F8" w:rsidRPr="00131EED" w:rsidRDefault="00F421F8">
            <w:pPr>
              <w:jc w:val="center"/>
              <w:rPr>
                <w:i/>
                <w:color w:val="000000"/>
                <w:sz w:val="16"/>
                <w:szCs w:val="16"/>
                <w:lang w:eastAsia="en-US"/>
              </w:rPr>
            </w:pPr>
            <w:r w:rsidRPr="00131EED">
              <w:rPr>
                <w:sz w:val="16"/>
                <w:szCs w:val="16"/>
              </w:rPr>
              <w:t>96</w:t>
            </w:r>
          </w:p>
        </w:tc>
        <w:tc>
          <w:tcPr>
            <w:tcW w:w="378" w:type="pct"/>
            <w:tcBorders>
              <w:top w:val="nil"/>
              <w:left w:val="nil"/>
              <w:bottom w:val="single" w:sz="4" w:space="0" w:color="auto"/>
              <w:right w:val="single" w:sz="4" w:space="0" w:color="auto"/>
            </w:tcBorders>
            <w:noWrap/>
            <w:hideMark/>
          </w:tcPr>
          <w:p w14:paraId="2BBB3400" w14:textId="77777777" w:rsidR="00F421F8" w:rsidRPr="00131EED" w:rsidRDefault="00F421F8">
            <w:pPr>
              <w:jc w:val="center"/>
              <w:rPr>
                <w:i/>
                <w:color w:val="000000"/>
                <w:sz w:val="16"/>
                <w:szCs w:val="16"/>
                <w:lang w:eastAsia="en-US"/>
              </w:rPr>
            </w:pPr>
            <w:r w:rsidRPr="00131EED">
              <w:rPr>
                <w:sz w:val="16"/>
                <w:szCs w:val="16"/>
              </w:rPr>
              <w:t>100</w:t>
            </w:r>
          </w:p>
        </w:tc>
        <w:tc>
          <w:tcPr>
            <w:tcW w:w="378" w:type="pct"/>
            <w:tcBorders>
              <w:top w:val="nil"/>
              <w:left w:val="nil"/>
              <w:bottom w:val="single" w:sz="4" w:space="0" w:color="auto"/>
              <w:right w:val="single" w:sz="4" w:space="0" w:color="auto"/>
            </w:tcBorders>
            <w:noWrap/>
            <w:hideMark/>
          </w:tcPr>
          <w:p w14:paraId="47C69B39" w14:textId="77777777" w:rsidR="00F421F8" w:rsidRPr="00131EED" w:rsidRDefault="00F421F8">
            <w:pPr>
              <w:jc w:val="center"/>
              <w:rPr>
                <w:i/>
                <w:color w:val="000000"/>
                <w:sz w:val="16"/>
                <w:szCs w:val="16"/>
                <w:lang w:eastAsia="en-US"/>
              </w:rPr>
            </w:pPr>
            <w:r w:rsidRPr="00131EED">
              <w:rPr>
                <w:sz w:val="16"/>
                <w:szCs w:val="16"/>
              </w:rPr>
              <w:t>102</w:t>
            </w:r>
          </w:p>
        </w:tc>
        <w:tc>
          <w:tcPr>
            <w:tcW w:w="378" w:type="pct"/>
            <w:tcBorders>
              <w:top w:val="nil"/>
              <w:left w:val="nil"/>
              <w:bottom w:val="single" w:sz="4" w:space="0" w:color="auto"/>
              <w:right w:val="single" w:sz="4" w:space="0" w:color="auto"/>
            </w:tcBorders>
            <w:noWrap/>
            <w:hideMark/>
          </w:tcPr>
          <w:p w14:paraId="293DAE87" w14:textId="77777777" w:rsidR="00F421F8" w:rsidRPr="00131EED" w:rsidRDefault="00F421F8">
            <w:pPr>
              <w:jc w:val="center"/>
              <w:rPr>
                <w:i/>
                <w:color w:val="000000"/>
                <w:sz w:val="16"/>
                <w:szCs w:val="16"/>
                <w:lang w:eastAsia="en-US"/>
              </w:rPr>
            </w:pPr>
            <w:r w:rsidRPr="00131EED">
              <w:rPr>
                <w:sz w:val="16"/>
                <w:szCs w:val="16"/>
              </w:rPr>
              <w:t>102</w:t>
            </w:r>
          </w:p>
        </w:tc>
        <w:tc>
          <w:tcPr>
            <w:tcW w:w="378" w:type="pct"/>
            <w:tcBorders>
              <w:top w:val="nil"/>
              <w:left w:val="nil"/>
              <w:bottom w:val="single" w:sz="4" w:space="0" w:color="auto"/>
              <w:right w:val="single" w:sz="4" w:space="0" w:color="auto"/>
            </w:tcBorders>
            <w:noWrap/>
            <w:hideMark/>
          </w:tcPr>
          <w:p w14:paraId="3E5D3C32" w14:textId="77777777" w:rsidR="00F421F8" w:rsidRPr="00131EED" w:rsidRDefault="00F421F8">
            <w:pPr>
              <w:jc w:val="center"/>
              <w:rPr>
                <w:i/>
                <w:color w:val="000000"/>
                <w:sz w:val="16"/>
                <w:szCs w:val="16"/>
                <w:lang w:eastAsia="en-US"/>
              </w:rPr>
            </w:pPr>
            <w:r w:rsidRPr="00131EED">
              <w:rPr>
                <w:sz w:val="16"/>
                <w:szCs w:val="16"/>
              </w:rPr>
              <w:t>104</w:t>
            </w:r>
          </w:p>
        </w:tc>
      </w:tr>
      <w:tr w:rsidR="00F421F8" w:rsidRPr="00131EED" w14:paraId="437DBE5F"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08121FC1" w14:textId="77777777" w:rsidR="00F421F8" w:rsidRPr="00131EED" w:rsidRDefault="00F421F8">
            <w:pPr>
              <w:jc w:val="center"/>
              <w:rPr>
                <w:b/>
                <w:i/>
                <w:color w:val="000000"/>
                <w:sz w:val="16"/>
                <w:szCs w:val="16"/>
                <w:lang w:eastAsia="en-US"/>
              </w:rPr>
            </w:pPr>
            <w:r w:rsidRPr="00131EED">
              <w:rPr>
                <w:b/>
                <w:i/>
                <w:color w:val="000000"/>
                <w:sz w:val="16"/>
                <w:szCs w:val="16"/>
                <w:lang w:eastAsia="en-US"/>
              </w:rPr>
              <w:t>Suesca</w:t>
            </w:r>
          </w:p>
        </w:tc>
        <w:tc>
          <w:tcPr>
            <w:tcW w:w="378" w:type="pct"/>
            <w:tcBorders>
              <w:top w:val="nil"/>
              <w:left w:val="nil"/>
              <w:bottom w:val="single" w:sz="4" w:space="0" w:color="auto"/>
              <w:right w:val="single" w:sz="4" w:space="0" w:color="auto"/>
            </w:tcBorders>
            <w:noWrap/>
            <w:hideMark/>
          </w:tcPr>
          <w:p w14:paraId="3A58DA46" w14:textId="77777777" w:rsidR="00F421F8" w:rsidRPr="00131EED" w:rsidRDefault="00F421F8">
            <w:pPr>
              <w:jc w:val="center"/>
              <w:rPr>
                <w:i/>
                <w:color w:val="000000"/>
                <w:sz w:val="16"/>
                <w:szCs w:val="16"/>
                <w:lang w:eastAsia="en-US"/>
              </w:rPr>
            </w:pPr>
            <w:r w:rsidRPr="00131EED">
              <w:rPr>
                <w:sz w:val="16"/>
                <w:szCs w:val="16"/>
              </w:rPr>
              <w:t>45</w:t>
            </w:r>
          </w:p>
        </w:tc>
        <w:tc>
          <w:tcPr>
            <w:tcW w:w="378" w:type="pct"/>
            <w:tcBorders>
              <w:top w:val="nil"/>
              <w:left w:val="nil"/>
              <w:bottom w:val="single" w:sz="4" w:space="0" w:color="auto"/>
              <w:right w:val="single" w:sz="4" w:space="0" w:color="auto"/>
            </w:tcBorders>
            <w:noWrap/>
            <w:hideMark/>
          </w:tcPr>
          <w:p w14:paraId="7DBA7AE1" w14:textId="77777777" w:rsidR="00F421F8" w:rsidRPr="00131EED" w:rsidRDefault="00F421F8">
            <w:pPr>
              <w:jc w:val="center"/>
              <w:rPr>
                <w:i/>
                <w:color w:val="000000"/>
                <w:sz w:val="16"/>
                <w:szCs w:val="16"/>
                <w:lang w:eastAsia="en-US"/>
              </w:rPr>
            </w:pPr>
            <w:r w:rsidRPr="00131EED">
              <w:rPr>
                <w:sz w:val="16"/>
                <w:szCs w:val="16"/>
              </w:rPr>
              <w:t>53</w:t>
            </w:r>
          </w:p>
        </w:tc>
        <w:tc>
          <w:tcPr>
            <w:tcW w:w="378" w:type="pct"/>
            <w:tcBorders>
              <w:top w:val="nil"/>
              <w:left w:val="nil"/>
              <w:bottom w:val="single" w:sz="4" w:space="0" w:color="auto"/>
              <w:right w:val="single" w:sz="4" w:space="0" w:color="auto"/>
            </w:tcBorders>
            <w:noWrap/>
            <w:hideMark/>
          </w:tcPr>
          <w:p w14:paraId="76090691" w14:textId="77777777" w:rsidR="00F421F8" w:rsidRPr="00131EED" w:rsidRDefault="00F421F8">
            <w:pPr>
              <w:jc w:val="center"/>
              <w:rPr>
                <w:i/>
                <w:color w:val="000000"/>
                <w:sz w:val="16"/>
                <w:szCs w:val="16"/>
                <w:lang w:eastAsia="en-US"/>
              </w:rPr>
            </w:pPr>
            <w:r w:rsidRPr="00131EED">
              <w:rPr>
                <w:sz w:val="16"/>
                <w:szCs w:val="16"/>
              </w:rPr>
              <w:t>62</w:t>
            </w:r>
          </w:p>
        </w:tc>
        <w:tc>
          <w:tcPr>
            <w:tcW w:w="378" w:type="pct"/>
            <w:tcBorders>
              <w:top w:val="nil"/>
              <w:left w:val="nil"/>
              <w:bottom w:val="single" w:sz="4" w:space="0" w:color="auto"/>
              <w:right w:val="single" w:sz="4" w:space="0" w:color="auto"/>
            </w:tcBorders>
            <w:noWrap/>
            <w:hideMark/>
          </w:tcPr>
          <w:p w14:paraId="534DDA31" w14:textId="77777777" w:rsidR="00F421F8" w:rsidRPr="00131EED" w:rsidRDefault="00F421F8">
            <w:pPr>
              <w:jc w:val="center"/>
              <w:rPr>
                <w:i/>
                <w:color w:val="000000"/>
                <w:sz w:val="16"/>
                <w:szCs w:val="16"/>
                <w:lang w:eastAsia="en-US"/>
              </w:rPr>
            </w:pPr>
            <w:r w:rsidRPr="00131EED">
              <w:rPr>
                <w:sz w:val="16"/>
                <w:szCs w:val="16"/>
              </w:rPr>
              <w:t>71</w:t>
            </w:r>
          </w:p>
        </w:tc>
        <w:tc>
          <w:tcPr>
            <w:tcW w:w="378" w:type="pct"/>
            <w:tcBorders>
              <w:top w:val="nil"/>
              <w:left w:val="nil"/>
              <w:bottom w:val="single" w:sz="4" w:space="0" w:color="auto"/>
              <w:right w:val="single" w:sz="4" w:space="0" w:color="auto"/>
            </w:tcBorders>
            <w:noWrap/>
            <w:hideMark/>
          </w:tcPr>
          <w:p w14:paraId="6CB86AD5" w14:textId="77777777" w:rsidR="00F421F8" w:rsidRPr="00131EED" w:rsidRDefault="00F421F8">
            <w:pPr>
              <w:jc w:val="center"/>
              <w:rPr>
                <w:i/>
                <w:color w:val="000000"/>
                <w:sz w:val="16"/>
                <w:szCs w:val="16"/>
                <w:lang w:eastAsia="en-US"/>
              </w:rPr>
            </w:pPr>
            <w:r w:rsidRPr="00131EED">
              <w:rPr>
                <w:sz w:val="16"/>
                <w:szCs w:val="16"/>
              </w:rPr>
              <w:t>76</w:t>
            </w:r>
          </w:p>
        </w:tc>
        <w:tc>
          <w:tcPr>
            <w:tcW w:w="378" w:type="pct"/>
            <w:tcBorders>
              <w:top w:val="nil"/>
              <w:left w:val="nil"/>
              <w:bottom w:val="single" w:sz="4" w:space="0" w:color="auto"/>
              <w:right w:val="single" w:sz="4" w:space="0" w:color="auto"/>
            </w:tcBorders>
            <w:noWrap/>
            <w:hideMark/>
          </w:tcPr>
          <w:p w14:paraId="79E74FD5" w14:textId="77777777" w:rsidR="00F421F8" w:rsidRPr="00131EED" w:rsidRDefault="00F421F8">
            <w:pPr>
              <w:jc w:val="center"/>
              <w:rPr>
                <w:i/>
                <w:color w:val="000000"/>
                <w:sz w:val="16"/>
                <w:szCs w:val="16"/>
                <w:lang w:eastAsia="en-US"/>
              </w:rPr>
            </w:pPr>
            <w:r w:rsidRPr="00131EED">
              <w:rPr>
                <w:sz w:val="16"/>
                <w:szCs w:val="16"/>
              </w:rPr>
              <w:t>80</w:t>
            </w:r>
          </w:p>
        </w:tc>
        <w:tc>
          <w:tcPr>
            <w:tcW w:w="378" w:type="pct"/>
            <w:tcBorders>
              <w:top w:val="nil"/>
              <w:left w:val="nil"/>
              <w:bottom w:val="single" w:sz="4" w:space="0" w:color="auto"/>
              <w:right w:val="single" w:sz="4" w:space="0" w:color="auto"/>
            </w:tcBorders>
            <w:noWrap/>
            <w:hideMark/>
          </w:tcPr>
          <w:p w14:paraId="39EE924B" w14:textId="77777777" w:rsidR="00F421F8" w:rsidRPr="00131EED" w:rsidRDefault="00F421F8">
            <w:pPr>
              <w:jc w:val="center"/>
              <w:rPr>
                <w:i/>
                <w:color w:val="000000"/>
                <w:sz w:val="16"/>
                <w:szCs w:val="16"/>
                <w:lang w:eastAsia="en-US"/>
              </w:rPr>
            </w:pPr>
            <w:r w:rsidRPr="00131EED">
              <w:rPr>
                <w:sz w:val="16"/>
                <w:szCs w:val="16"/>
              </w:rPr>
              <w:t>85</w:t>
            </w:r>
          </w:p>
        </w:tc>
        <w:tc>
          <w:tcPr>
            <w:tcW w:w="378" w:type="pct"/>
            <w:tcBorders>
              <w:top w:val="nil"/>
              <w:left w:val="nil"/>
              <w:bottom w:val="single" w:sz="4" w:space="0" w:color="auto"/>
              <w:right w:val="single" w:sz="4" w:space="0" w:color="auto"/>
            </w:tcBorders>
            <w:noWrap/>
            <w:hideMark/>
          </w:tcPr>
          <w:p w14:paraId="106F2117" w14:textId="77777777" w:rsidR="00F421F8" w:rsidRPr="00131EED" w:rsidRDefault="00F421F8">
            <w:pPr>
              <w:jc w:val="center"/>
              <w:rPr>
                <w:i/>
                <w:color w:val="000000"/>
                <w:sz w:val="16"/>
                <w:szCs w:val="16"/>
                <w:lang w:eastAsia="en-US"/>
              </w:rPr>
            </w:pPr>
            <w:r w:rsidRPr="00131EED">
              <w:rPr>
                <w:sz w:val="16"/>
                <w:szCs w:val="16"/>
              </w:rPr>
              <w:t>89</w:t>
            </w:r>
          </w:p>
        </w:tc>
        <w:tc>
          <w:tcPr>
            <w:tcW w:w="378" w:type="pct"/>
            <w:tcBorders>
              <w:top w:val="nil"/>
              <w:left w:val="nil"/>
              <w:bottom w:val="single" w:sz="4" w:space="0" w:color="auto"/>
              <w:right w:val="single" w:sz="4" w:space="0" w:color="auto"/>
            </w:tcBorders>
            <w:noWrap/>
            <w:hideMark/>
          </w:tcPr>
          <w:p w14:paraId="12551AAB" w14:textId="77777777" w:rsidR="00F421F8" w:rsidRPr="00131EED" w:rsidRDefault="00F421F8">
            <w:pPr>
              <w:jc w:val="center"/>
              <w:rPr>
                <w:i/>
                <w:color w:val="000000"/>
                <w:sz w:val="16"/>
                <w:szCs w:val="16"/>
                <w:lang w:eastAsia="en-US"/>
              </w:rPr>
            </w:pPr>
            <w:r w:rsidRPr="00131EED">
              <w:rPr>
                <w:sz w:val="16"/>
                <w:szCs w:val="16"/>
              </w:rPr>
              <w:t>93</w:t>
            </w:r>
          </w:p>
        </w:tc>
        <w:tc>
          <w:tcPr>
            <w:tcW w:w="378" w:type="pct"/>
            <w:tcBorders>
              <w:top w:val="nil"/>
              <w:left w:val="nil"/>
              <w:bottom w:val="single" w:sz="4" w:space="0" w:color="auto"/>
              <w:right w:val="single" w:sz="4" w:space="0" w:color="auto"/>
            </w:tcBorders>
            <w:noWrap/>
            <w:hideMark/>
          </w:tcPr>
          <w:p w14:paraId="65ECC525" w14:textId="77777777" w:rsidR="00F421F8" w:rsidRPr="00131EED" w:rsidRDefault="00F421F8">
            <w:pPr>
              <w:jc w:val="center"/>
              <w:rPr>
                <w:i/>
                <w:color w:val="000000"/>
                <w:sz w:val="16"/>
                <w:szCs w:val="16"/>
                <w:lang w:eastAsia="en-US"/>
              </w:rPr>
            </w:pPr>
            <w:r w:rsidRPr="00131EED">
              <w:rPr>
                <w:sz w:val="16"/>
                <w:szCs w:val="16"/>
              </w:rPr>
              <w:t>97</w:t>
            </w:r>
          </w:p>
        </w:tc>
        <w:tc>
          <w:tcPr>
            <w:tcW w:w="378" w:type="pct"/>
            <w:tcBorders>
              <w:top w:val="nil"/>
              <w:left w:val="nil"/>
              <w:bottom w:val="single" w:sz="4" w:space="0" w:color="auto"/>
              <w:right w:val="single" w:sz="4" w:space="0" w:color="auto"/>
            </w:tcBorders>
            <w:noWrap/>
            <w:hideMark/>
          </w:tcPr>
          <w:p w14:paraId="47541108" w14:textId="77777777" w:rsidR="00F421F8" w:rsidRPr="00131EED" w:rsidRDefault="00F421F8">
            <w:pPr>
              <w:jc w:val="center"/>
              <w:rPr>
                <w:i/>
                <w:color w:val="000000"/>
                <w:sz w:val="16"/>
                <w:szCs w:val="16"/>
                <w:lang w:eastAsia="en-US"/>
              </w:rPr>
            </w:pPr>
            <w:r w:rsidRPr="00131EED">
              <w:rPr>
                <w:sz w:val="16"/>
                <w:szCs w:val="16"/>
              </w:rPr>
              <w:t>97</w:t>
            </w:r>
          </w:p>
        </w:tc>
        <w:tc>
          <w:tcPr>
            <w:tcW w:w="378" w:type="pct"/>
            <w:tcBorders>
              <w:top w:val="nil"/>
              <w:left w:val="nil"/>
              <w:bottom w:val="single" w:sz="4" w:space="0" w:color="auto"/>
              <w:right w:val="single" w:sz="4" w:space="0" w:color="auto"/>
            </w:tcBorders>
            <w:noWrap/>
            <w:hideMark/>
          </w:tcPr>
          <w:p w14:paraId="7F1E2BA8" w14:textId="77777777" w:rsidR="00F421F8" w:rsidRPr="00131EED" w:rsidRDefault="00F421F8">
            <w:pPr>
              <w:jc w:val="center"/>
              <w:rPr>
                <w:i/>
                <w:color w:val="000000"/>
                <w:sz w:val="16"/>
                <w:szCs w:val="16"/>
                <w:lang w:eastAsia="en-US"/>
              </w:rPr>
            </w:pPr>
            <w:r w:rsidRPr="00131EED">
              <w:rPr>
                <w:sz w:val="16"/>
                <w:szCs w:val="16"/>
              </w:rPr>
              <w:t>99</w:t>
            </w:r>
          </w:p>
        </w:tc>
      </w:tr>
      <w:tr w:rsidR="00F421F8" w:rsidRPr="00131EED" w14:paraId="7E05D186"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49FD238B" w14:textId="77777777" w:rsidR="00F421F8" w:rsidRPr="00131EED" w:rsidRDefault="00F421F8">
            <w:pPr>
              <w:jc w:val="center"/>
              <w:rPr>
                <w:b/>
                <w:i/>
                <w:color w:val="000000"/>
                <w:sz w:val="16"/>
                <w:szCs w:val="16"/>
                <w:lang w:eastAsia="en-US"/>
              </w:rPr>
            </w:pPr>
            <w:r w:rsidRPr="00131EED">
              <w:rPr>
                <w:b/>
                <w:i/>
                <w:color w:val="000000"/>
                <w:sz w:val="16"/>
                <w:szCs w:val="16"/>
                <w:lang w:eastAsia="en-US"/>
              </w:rPr>
              <w:t>Nemocón</w:t>
            </w:r>
          </w:p>
        </w:tc>
        <w:tc>
          <w:tcPr>
            <w:tcW w:w="378" w:type="pct"/>
            <w:tcBorders>
              <w:top w:val="nil"/>
              <w:left w:val="nil"/>
              <w:bottom w:val="single" w:sz="4" w:space="0" w:color="auto"/>
              <w:right w:val="single" w:sz="4" w:space="0" w:color="auto"/>
            </w:tcBorders>
            <w:noWrap/>
            <w:hideMark/>
          </w:tcPr>
          <w:p w14:paraId="0F496DF5" w14:textId="77777777" w:rsidR="00F421F8" w:rsidRPr="00131EED" w:rsidRDefault="00F421F8">
            <w:pPr>
              <w:jc w:val="center"/>
              <w:rPr>
                <w:i/>
                <w:color w:val="000000"/>
                <w:sz w:val="16"/>
                <w:szCs w:val="16"/>
                <w:lang w:eastAsia="en-US"/>
              </w:rPr>
            </w:pPr>
            <w:r w:rsidRPr="00131EED">
              <w:rPr>
                <w:sz w:val="16"/>
                <w:szCs w:val="16"/>
              </w:rPr>
              <w:t>36</w:t>
            </w:r>
          </w:p>
        </w:tc>
        <w:tc>
          <w:tcPr>
            <w:tcW w:w="378" w:type="pct"/>
            <w:tcBorders>
              <w:top w:val="nil"/>
              <w:left w:val="nil"/>
              <w:bottom w:val="single" w:sz="4" w:space="0" w:color="auto"/>
              <w:right w:val="single" w:sz="4" w:space="0" w:color="auto"/>
            </w:tcBorders>
            <w:noWrap/>
            <w:hideMark/>
          </w:tcPr>
          <w:p w14:paraId="0F0BF70B" w14:textId="77777777" w:rsidR="00F421F8" w:rsidRPr="00131EED" w:rsidRDefault="00F421F8">
            <w:pPr>
              <w:jc w:val="center"/>
              <w:rPr>
                <w:i/>
                <w:color w:val="000000"/>
                <w:sz w:val="16"/>
                <w:szCs w:val="16"/>
                <w:lang w:eastAsia="en-US"/>
              </w:rPr>
            </w:pPr>
            <w:r w:rsidRPr="00131EED">
              <w:rPr>
                <w:sz w:val="16"/>
                <w:szCs w:val="16"/>
              </w:rPr>
              <w:t>45</w:t>
            </w:r>
          </w:p>
        </w:tc>
        <w:tc>
          <w:tcPr>
            <w:tcW w:w="378" w:type="pct"/>
            <w:tcBorders>
              <w:top w:val="nil"/>
              <w:left w:val="nil"/>
              <w:bottom w:val="single" w:sz="4" w:space="0" w:color="auto"/>
              <w:right w:val="single" w:sz="4" w:space="0" w:color="auto"/>
            </w:tcBorders>
            <w:noWrap/>
            <w:hideMark/>
          </w:tcPr>
          <w:p w14:paraId="59112CD3" w14:textId="77777777" w:rsidR="00F421F8" w:rsidRPr="00131EED" w:rsidRDefault="00F421F8">
            <w:pPr>
              <w:jc w:val="center"/>
              <w:rPr>
                <w:i/>
                <w:color w:val="000000"/>
                <w:sz w:val="16"/>
                <w:szCs w:val="16"/>
                <w:lang w:eastAsia="en-US"/>
              </w:rPr>
            </w:pPr>
            <w:r w:rsidRPr="00131EED">
              <w:rPr>
                <w:sz w:val="16"/>
                <w:szCs w:val="16"/>
              </w:rPr>
              <w:t>55</w:t>
            </w:r>
          </w:p>
        </w:tc>
        <w:tc>
          <w:tcPr>
            <w:tcW w:w="378" w:type="pct"/>
            <w:tcBorders>
              <w:top w:val="nil"/>
              <w:left w:val="nil"/>
              <w:bottom w:val="single" w:sz="4" w:space="0" w:color="auto"/>
              <w:right w:val="single" w:sz="4" w:space="0" w:color="auto"/>
            </w:tcBorders>
            <w:noWrap/>
            <w:hideMark/>
          </w:tcPr>
          <w:p w14:paraId="02F16D9A" w14:textId="77777777" w:rsidR="00F421F8" w:rsidRPr="00131EED" w:rsidRDefault="00F421F8">
            <w:pPr>
              <w:jc w:val="center"/>
              <w:rPr>
                <w:i/>
                <w:color w:val="000000"/>
                <w:sz w:val="16"/>
                <w:szCs w:val="16"/>
                <w:lang w:eastAsia="en-US"/>
              </w:rPr>
            </w:pPr>
            <w:r w:rsidRPr="00131EED">
              <w:rPr>
                <w:sz w:val="16"/>
                <w:szCs w:val="16"/>
              </w:rPr>
              <w:t>66</w:t>
            </w:r>
          </w:p>
        </w:tc>
        <w:tc>
          <w:tcPr>
            <w:tcW w:w="378" w:type="pct"/>
            <w:tcBorders>
              <w:top w:val="nil"/>
              <w:left w:val="nil"/>
              <w:bottom w:val="single" w:sz="4" w:space="0" w:color="auto"/>
              <w:right w:val="single" w:sz="4" w:space="0" w:color="auto"/>
            </w:tcBorders>
            <w:noWrap/>
            <w:hideMark/>
          </w:tcPr>
          <w:p w14:paraId="03066359" w14:textId="77777777" w:rsidR="00F421F8" w:rsidRPr="00131EED" w:rsidRDefault="00F421F8">
            <w:pPr>
              <w:jc w:val="center"/>
              <w:rPr>
                <w:i/>
                <w:color w:val="000000"/>
                <w:sz w:val="16"/>
                <w:szCs w:val="16"/>
                <w:lang w:eastAsia="en-US"/>
              </w:rPr>
            </w:pPr>
            <w:r w:rsidRPr="00131EED">
              <w:rPr>
                <w:sz w:val="16"/>
                <w:szCs w:val="16"/>
              </w:rPr>
              <w:t>70</w:t>
            </w:r>
          </w:p>
        </w:tc>
        <w:tc>
          <w:tcPr>
            <w:tcW w:w="378" w:type="pct"/>
            <w:tcBorders>
              <w:top w:val="nil"/>
              <w:left w:val="nil"/>
              <w:bottom w:val="single" w:sz="4" w:space="0" w:color="auto"/>
              <w:right w:val="single" w:sz="4" w:space="0" w:color="auto"/>
            </w:tcBorders>
            <w:noWrap/>
            <w:hideMark/>
          </w:tcPr>
          <w:p w14:paraId="271DFBDE" w14:textId="77777777" w:rsidR="00F421F8" w:rsidRPr="00131EED" w:rsidRDefault="00F421F8">
            <w:pPr>
              <w:jc w:val="center"/>
              <w:rPr>
                <w:i/>
                <w:color w:val="000000"/>
                <w:sz w:val="16"/>
                <w:szCs w:val="16"/>
                <w:lang w:eastAsia="en-US"/>
              </w:rPr>
            </w:pPr>
            <w:r w:rsidRPr="00131EED">
              <w:rPr>
                <w:sz w:val="16"/>
                <w:szCs w:val="16"/>
              </w:rPr>
              <w:t>74</w:t>
            </w:r>
          </w:p>
        </w:tc>
        <w:tc>
          <w:tcPr>
            <w:tcW w:w="378" w:type="pct"/>
            <w:tcBorders>
              <w:top w:val="nil"/>
              <w:left w:val="nil"/>
              <w:bottom w:val="single" w:sz="4" w:space="0" w:color="auto"/>
              <w:right w:val="single" w:sz="4" w:space="0" w:color="auto"/>
            </w:tcBorders>
            <w:noWrap/>
            <w:hideMark/>
          </w:tcPr>
          <w:p w14:paraId="44543668" w14:textId="77777777" w:rsidR="00F421F8" w:rsidRPr="00131EED" w:rsidRDefault="00F421F8">
            <w:pPr>
              <w:jc w:val="center"/>
              <w:rPr>
                <w:i/>
                <w:color w:val="000000"/>
                <w:sz w:val="16"/>
                <w:szCs w:val="16"/>
                <w:lang w:eastAsia="en-US"/>
              </w:rPr>
            </w:pPr>
            <w:r w:rsidRPr="00131EED">
              <w:rPr>
                <w:sz w:val="16"/>
                <w:szCs w:val="16"/>
              </w:rPr>
              <w:t>76</w:t>
            </w:r>
          </w:p>
        </w:tc>
        <w:tc>
          <w:tcPr>
            <w:tcW w:w="378" w:type="pct"/>
            <w:tcBorders>
              <w:top w:val="nil"/>
              <w:left w:val="nil"/>
              <w:bottom w:val="single" w:sz="4" w:space="0" w:color="auto"/>
              <w:right w:val="single" w:sz="4" w:space="0" w:color="auto"/>
            </w:tcBorders>
            <w:noWrap/>
            <w:hideMark/>
          </w:tcPr>
          <w:p w14:paraId="6DB7FFE8" w14:textId="77777777" w:rsidR="00F421F8" w:rsidRPr="00131EED" w:rsidRDefault="00F421F8">
            <w:pPr>
              <w:jc w:val="center"/>
              <w:rPr>
                <w:i/>
                <w:color w:val="000000"/>
                <w:sz w:val="16"/>
                <w:szCs w:val="16"/>
                <w:lang w:eastAsia="en-US"/>
              </w:rPr>
            </w:pPr>
            <w:r w:rsidRPr="00131EED">
              <w:rPr>
                <w:sz w:val="16"/>
                <w:szCs w:val="16"/>
              </w:rPr>
              <w:t>78</w:t>
            </w:r>
          </w:p>
        </w:tc>
        <w:tc>
          <w:tcPr>
            <w:tcW w:w="378" w:type="pct"/>
            <w:tcBorders>
              <w:top w:val="nil"/>
              <w:left w:val="nil"/>
              <w:bottom w:val="single" w:sz="4" w:space="0" w:color="auto"/>
              <w:right w:val="single" w:sz="4" w:space="0" w:color="auto"/>
            </w:tcBorders>
            <w:noWrap/>
            <w:hideMark/>
          </w:tcPr>
          <w:p w14:paraId="46E1561A" w14:textId="77777777" w:rsidR="00F421F8" w:rsidRPr="00131EED" w:rsidRDefault="00F421F8">
            <w:pPr>
              <w:jc w:val="center"/>
              <w:rPr>
                <w:i/>
                <w:color w:val="000000"/>
                <w:sz w:val="16"/>
                <w:szCs w:val="16"/>
                <w:lang w:eastAsia="en-US"/>
              </w:rPr>
            </w:pPr>
            <w:r w:rsidRPr="00131EED">
              <w:rPr>
                <w:sz w:val="16"/>
                <w:szCs w:val="16"/>
              </w:rPr>
              <w:t>80</w:t>
            </w:r>
          </w:p>
        </w:tc>
        <w:tc>
          <w:tcPr>
            <w:tcW w:w="378" w:type="pct"/>
            <w:tcBorders>
              <w:top w:val="nil"/>
              <w:left w:val="nil"/>
              <w:bottom w:val="single" w:sz="4" w:space="0" w:color="auto"/>
              <w:right w:val="single" w:sz="4" w:space="0" w:color="auto"/>
            </w:tcBorders>
            <w:noWrap/>
            <w:hideMark/>
          </w:tcPr>
          <w:p w14:paraId="4DB0EFCC" w14:textId="77777777" w:rsidR="00F421F8" w:rsidRPr="00131EED" w:rsidRDefault="00F421F8">
            <w:pPr>
              <w:jc w:val="center"/>
              <w:rPr>
                <w:i/>
                <w:color w:val="000000"/>
                <w:sz w:val="16"/>
                <w:szCs w:val="16"/>
                <w:lang w:eastAsia="en-US"/>
              </w:rPr>
            </w:pPr>
            <w:r w:rsidRPr="00131EED">
              <w:rPr>
                <w:sz w:val="16"/>
                <w:szCs w:val="16"/>
              </w:rPr>
              <w:t>83</w:t>
            </w:r>
          </w:p>
        </w:tc>
        <w:tc>
          <w:tcPr>
            <w:tcW w:w="378" w:type="pct"/>
            <w:tcBorders>
              <w:top w:val="nil"/>
              <w:left w:val="nil"/>
              <w:bottom w:val="single" w:sz="4" w:space="0" w:color="auto"/>
              <w:right w:val="single" w:sz="4" w:space="0" w:color="auto"/>
            </w:tcBorders>
            <w:noWrap/>
            <w:hideMark/>
          </w:tcPr>
          <w:p w14:paraId="17EC4279" w14:textId="77777777" w:rsidR="00F421F8" w:rsidRPr="00131EED" w:rsidRDefault="00F421F8">
            <w:pPr>
              <w:jc w:val="center"/>
              <w:rPr>
                <w:i/>
                <w:color w:val="000000"/>
                <w:sz w:val="16"/>
                <w:szCs w:val="16"/>
                <w:lang w:eastAsia="en-US"/>
              </w:rPr>
            </w:pPr>
            <w:r w:rsidRPr="00131EED">
              <w:rPr>
                <w:sz w:val="16"/>
                <w:szCs w:val="16"/>
              </w:rPr>
              <w:t>83</w:t>
            </w:r>
          </w:p>
        </w:tc>
        <w:tc>
          <w:tcPr>
            <w:tcW w:w="378" w:type="pct"/>
            <w:tcBorders>
              <w:top w:val="nil"/>
              <w:left w:val="nil"/>
              <w:bottom w:val="single" w:sz="4" w:space="0" w:color="auto"/>
              <w:right w:val="single" w:sz="4" w:space="0" w:color="auto"/>
            </w:tcBorders>
            <w:noWrap/>
            <w:hideMark/>
          </w:tcPr>
          <w:p w14:paraId="5DBEDBDF" w14:textId="77777777" w:rsidR="00F421F8" w:rsidRPr="00131EED" w:rsidRDefault="00F421F8">
            <w:pPr>
              <w:jc w:val="center"/>
              <w:rPr>
                <w:i/>
                <w:color w:val="000000"/>
                <w:sz w:val="16"/>
                <w:szCs w:val="16"/>
                <w:lang w:eastAsia="en-US"/>
              </w:rPr>
            </w:pPr>
            <w:r w:rsidRPr="00131EED">
              <w:rPr>
                <w:sz w:val="16"/>
                <w:szCs w:val="16"/>
              </w:rPr>
              <w:t>89</w:t>
            </w:r>
          </w:p>
        </w:tc>
      </w:tr>
      <w:tr w:rsidR="00F421F8" w:rsidRPr="00131EED" w14:paraId="7DC96384"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404407E0" w14:textId="77777777" w:rsidR="00F421F8" w:rsidRPr="00131EED" w:rsidRDefault="00F421F8">
            <w:pPr>
              <w:jc w:val="center"/>
              <w:rPr>
                <w:b/>
                <w:i/>
                <w:color w:val="000000"/>
                <w:sz w:val="16"/>
                <w:szCs w:val="16"/>
                <w:lang w:eastAsia="en-US"/>
              </w:rPr>
            </w:pPr>
            <w:r w:rsidRPr="00131EED">
              <w:rPr>
                <w:b/>
                <w:i/>
                <w:color w:val="000000"/>
                <w:sz w:val="16"/>
                <w:szCs w:val="16"/>
                <w:lang w:eastAsia="en-US"/>
              </w:rPr>
              <w:t>Bojacá</w:t>
            </w:r>
          </w:p>
        </w:tc>
        <w:tc>
          <w:tcPr>
            <w:tcW w:w="378" w:type="pct"/>
            <w:tcBorders>
              <w:top w:val="nil"/>
              <w:left w:val="nil"/>
              <w:bottom w:val="single" w:sz="4" w:space="0" w:color="auto"/>
              <w:right w:val="single" w:sz="4" w:space="0" w:color="auto"/>
            </w:tcBorders>
            <w:noWrap/>
            <w:hideMark/>
          </w:tcPr>
          <w:p w14:paraId="0CEF0281" w14:textId="77777777" w:rsidR="00F421F8" w:rsidRPr="00131EED" w:rsidRDefault="00F421F8">
            <w:pPr>
              <w:jc w:val="center"/>
              <w:rPr>
                <w:i/>
                <w:color w:val="000000"/>
                <w:sz w:val="16"/>
                <w:szCs w:val="16"/>
                <w:lang w:eastAsia="en-US"/>
              </w:rPr>
            </w:pPr>
            <w:r w:rsidRPr="00131EED">
              <w:rPr>
                <w:sz w:val="16"/>
                <w:szCs w:val="16"/>
              </w:rPr>
              <w:t>35</w:t>
            </w:r>
          </w:p>
        </w:tc>
        <w:tc>
          <w:tcPr>
            <w:tcW w:w="378" w:type="pct"/>
            <w:tcBorders>
              <w:top w:val="nil"/>
              <w:left w:val="nil"/>
              <w:bottom w:val="single" w:sz="4" w:space="0" w:color="auto"/>
              <w:right w:val="single" w:sz="4" w:space="0" w:color="auto"/>
            </w:tcBorders>
            <w:noWrap/>
            <w:hideMark/>
          </w:tcPr>
          <w:p w14:paraId="483FD871" w14:textId="77777777" w:rsidR="00F421F8" w:rsidRPr="00131EED" w:rsidRDefault="00F421F8">
            <w:pPr>
              <w:jc w:val="center"/>
              <w:rPr>
                <w:i/>
                <w:color w:val="000000"/>
                <w:sz w:val="16"/>
                <w:szCs w:val="16"/>
                <w:lang w:eastAsia="en-US"/>
              </w:rPr>
            </w:pPr>
            <w:r w:rsidRPr="00131EED">
              <w:rPr>
                <w:sz w:val="16"/>
                <w:szCs w:val="16"/>
              </w:rPr>
              <w:t>43</w:t>
            </w:r>
          </w:p>
        </w:tc>
        <w:tc>
          <w:tcPr>
            <w:tcW w:w="378" w:type="pct"/>
            <w:tcBorders>
              <w:top w:val="nil"/>
              <w:left w:val="nil"/>
              <w:bottom w:val="single" w:sz="4" w:space="0" w:color="auto"/>
              <w:right w:val="single" w:sz="4" w:space="0" w:color="auto"/>
            </w:tcBorders>
            <w:noWrap/>
            <w:hideMark/>
          </w:tcPr>
          <w:p w14:paraId="545F4F20" w14:textId="77777777" w:rsidR="00F421F8" w:rsidRPr="00131EED" w:rsidRDefault="00F421F8">
            <w:pPr>
              <w:jc w:val="center"/>
              <w:rPr>
                <w:i/>
                <w:color w:val="000000"/>
                <w:sz w:val="16"/>
                <w:szCs w:val="16"/>
                <w:lang w:eastAsia="en-US"/>
              </w:rPr>
            </w:pPr>
            <w:r w:rsidRPr="00131EED">
              <w:rPr>
                <w:sz w:val="16"/>
                <w:szCs w:val="16"/>
              </w:rPr>
              <w:t>53</w:t>
            </w:r>
          </w:p>
        </w:tc>
        <w:tc>
          <w:tcPr>
            <w:tcW w:w="378" w:type="pct"/>
            <w:tcBorders>
              <w:top w:val="nil"/>
              <w:left w:val="nil"/>
              <w:bottom w:val="single" w:sz="4" w:space="0" w:color="auto"/>
              <w:right w:val="single" w:sz="4" w:space="0" w:color="auto"/>
            </w:tcBorders>
            <w:noWrap/>
            <w:hideMark/>
          </w:tcPr>
          <w:p w14:paraId="676B63ED" w14:textId="77777777" w:rsidR="00F421F8" w:rsidRPr="00131EED" w:rsidRDefault="00F421F8">
            <w:pPr>
              <w:jc w:val="center"/>
              <w:rPr>
                <w:i/>
                <w:color w:val="000000"/>
                <w:sz w:val="16"/>
                <w:szCs w:val="16"/>
                <w:lang w:eastAsia="en-US"/>
              </w:rPr>
            </w:pPr>
            <w:r w:rsidRPr="00131EED">
              <w:rPr>
                <w:sz w:val="16"/>
                <w:szCs w:val="16"/>
              </w:rPr>
              <w:t>62</w:t>
            </w:r>
          </w:p>
        </w:tc>
        <w:tc>
          <w:tcPr>
            <w:tcW w:w="378" w:type="pct"/>
            <w:tcBorders>
              <w:top w:val="nil"/>
              <w:left w:val="nil"/>
              <w:bottom w:val="single" w:sz="4" w:space="0" w:color="auto"/>
              <w:right w:val="single" w:sz="4" w:space="0" w:color="auto"/>
            </w:tcBorders>
            <w:noWrap/>
            <w:hideMark/>
          </w:tcPr>
          <w:p w14:paraId="1DE56B1E" w14:textId="77777777" w:rsidR="00F421F8" w:rsidRPr="00131EED" w:rsidRDefault="00F421F8">
            <w:pPr>
              <w:jc w:val="center"/>
              <w:rPr>
                <w:i/>
                <w:color w:val="000000"/>
                <w:sz w:val="16"/>
                <w:szCs w:val="16"/>
                <w:lang w:eastAsia="en-US"/>
              </w:rPr>
            </w:pPr>
            <w:r w:rsidRPr="00131EED">
              <w:rPr>
                <w:sz w:val="16"/>
                <w:szCs w:val="16"/>
              </w:rPr>
              <w:t>64</w:t>
            </w:r>
          </w:p>
        </w:tc>
        <w:tc>
          <w:tcPr>
            <w:tcW w:w="378" w:type="pct"/>
            <w:tcBorders>
              <w:top w:val="nil"/>
              <w:left w:val="nil"/>
              <w:bottom w:val="single" w:sz="4" w:space="0" w:color="auto"/>
              <w:right w:val="single" w:sz="4" w:space="0" w:color="auto"/>
            </w:tcBorders>
            <w:noWrap/>
            <w:hideMark/>
          </w:tcPr>
          <w:p w14:paraId="054B2695" w14:textId="77777777" w:rsidR="00F421F8" w:rsidRPr="00131EED" w:rsidRDefault="00F421F8">
            <w:pPr>
              <w:jc w:val="center"/>
              <w:rPr>
                <w:i/>
                <w:color w:val="000000"/>
                <w:sz w:val="16"/>
                <w:szCs w:val="16"/>
                <w:lang w:eastAsia="en-US"/>
              </w:rPr>
            </w:pPr>
            <w:r w:rsidRPr="00131EED">
              <w:rPr>
                <w:sz w:val="16"/>
                <w:szCs w:val="16"/>
              </w:rPr>
              <w:t>67</w:t>
            </w:r>
          </w:p>
        </w:tc>
        <w:tc>
          <w:tcPr>
            <w:tcW w:w="378" w:type="pct"/>
            <w:tcBorders>
              <w:top w:val="nil"/>
              <w:left w:val="nil"/>
              <w:bottom w:val="single" w:sz="4" w:space="0" w:color="auto"/>
              <w:right w:val="single" w:sz="4" w:space="0" w:color="auto"/>
            </w:tcBorders>
            <w:noWrap/>
            <w:hideMark/>
          </w:tcPr>
          <w:p w14:paraId="2F13DCF3" w14:textId="77777777" w:rsidR="00F421F8" w:rsidRPr="00131EED" w:rsidRDefault="00F421F8">
            <w:pPr>
              <w:jc w:val="center"/>
              <w:rPr>
                <w:i/>
                <w:color w:val="000000"/>
                <w:sz w:val="16"/>
                <w:szCs w:val="16"/>
                <w:lang w:eastAsia="en-US"/>
              </w:rPr>
            </w:pPr>
            <w:r w:rsidRPr="00131EED">
              <w:rPr>
                <w:sz w:val="16"/>
                <w:szCs w:val="16"/>
              </w:rPr>
              <w:t>70</w:t>
            </w:r>
          </w:p>
        </w:tc>
        <w:tc>
          <w:tcPr>
            <w:tcW w:w="378" w:type="pct"/>
            <w:tcBorders>
              <w:top w:val="nil"/>
              <w:left w:val="nil"/>
              <w:bottom w:val="single" w:sz="4" w:space="0" w:color="auto"/>
              <w:right w:val="single" w:sz="4" w:space="0" w:color="auto"/>
            </w:tcBorders>
            <w:noWrap/>
            <w:hideMark/>
          </w:tcPr>
          <w:p w14:paraId="2810204F" w14:textId="77777777" w:rsidR="00F421F8" w:rsidRPr="00131EED" w:rsidRDefault="00F421F8">
            <w:pPr>
              <w:jc w:val="center"/>
              <w:rPr>
                <w:i/>
                <w:color w:val="000000"/>
                <w:sz w:val="16"/>
                <w:szCs w:val="16"/>
                <w:lang w:eastAsia="en-US"/>
              </w:rPr>
            </w:pPr>
            <w:r w:rsidRPr="00131EED">
              <w:rPr>
                <w:sz w:val="16"/>
                <w:szCs w:val="16"/>
              </w:rPr>
              <w:t>74</w:t>
            </w:r>
          </w:p>
        </w:tc>
        <w:tc>
          <w:tcPr>
            <w:tcW w:w="378" w:type="pct"/>
            <w:tcBorders>
              <w:top w:val="nil"/>
              <w:left w:val="nil"/>
              <w:bottom w:val="single" w:sz="4" w:space="0" w:color="auto"/>
              <w:right w:val="single" w:sz="4" w:space="0" w:color="auto"/>
            </w:tcBorders>
            <w:noWrap/>
            <w:hideMark/>
          </w:tcPr>
          <w:p w14:paraId="0DB43BDD" w14:textId="77777777" w:rsidR="00F421F8" w:rsidRPr="00131EED" w:rsidRDefault="00F421F8">
            <w:pPr>
              <w:jc w:val="center"/>
              <w:rPr>
                <w:i/>
                <w:color w:val="000000"/>
                <w:sz w:val="16"/>
                <w:szCs w:val="16"/>
                <w:lang w:eastAsia="en-US"/>
              </w:rPr>
            </w:pPr>
            <w:r w:rsidRPr="00131EED">
              <w:rPr>
                <w:sz w:val="16"/>
                <w:szCs w:val="16"/>
              </w:rPr>
              <w:t>78</w:t>
            </w:r>
          </w:p>
        </w:tc>
        <w:tc>
          <w:tcPr>
            <w:tcW w:w="378" w:type="pct"/>
            <w:tcBorders>
              <w:top w:val="nil"/>
              <w:left w:val="nil"/>
              <w:bottom w:val="single" w:sz="4" w:space="0" w:color="auto"/>
              <w:right w:val="single" w:sz="4" w:space="0" w:color="auto"/>
            </w:tcBorders>
            <w:noWrap/>
            <w:hideMark/>
          </w:tcPr>
          <w:p w14:paraId="5669337F" w14:textId="77777777" w:rsidR="00F421F8" w:rsidRPr="00131EED" w:rsidRDefault="00F421F8">
            <w:pPr>
              <w:jc w:val="center"/>
              <w:rPr>
                <w:i/>
                <w:color w:val="000000"/>
                <w:sz w:val="16"/>
                <w:szCs w:val="16"/>
                <w:lang w:eastAsia="en-US"/>
              </w:rPr>
            </w:pPr>
            <w:r w:rsidRPr="00131EED">
              <w:rPr>
                <w:sz w:val="16"/>
                <w:szCs w:val="16"/>
              </w:rPr>
              <w:t>80</w:t>
            </w:r>
          </w:p>
        </w:tc>
        <w:tc>
          <w:tcPr>
            <w:tcW w:w="378" w:type="pct"/>
            <w:tcBorders>
              <w:top w:val="nil"/>
              <w:left w:val="nil"/>
              <w:bottom w:val="single" w:sz="4" w:space="0" w:color="auto"/>
              <w:right w:val="single" w:sz="4" w:space="0" w:color="auto"/>
            </w:tcBorders>
            <w:noWrap/>
            <w:hideMark/>
          </w:tcPr>
          <w:p w14:paraId="1CE98168" w14:textId="77777777" w:rsidR="00F421F8" w:rsidRPr="00131EED" w:rsidRDefault="00F421F8">
            <w:pPr>
              <w:jc w:val="center"/>
              <w:rPr>
                <w:i/>
                <w:color w:val="000000"/>
                <w:sz w:val="16"/>
                <w:szCs w:val="16"/>
                <w:lang w:eastAsia="en-US"/>
              </w:rPr>
            </w:pPr>
            <w:r w:rsidRPr="00131EED">
              <w:rPr>
                <w:sz w:val="16"/>
                <w:szCs w:val="16"/>
              </w:rPr>
              <w:t>82</w:t>
            </w:r>
          </w:p>
        </w:tc>
        <w:tc>
          <w:tcPr>
            <w:tcW w:w="378" w:type="pct"/>
            <w:tcBorders>
              <w:top w:val="nil"/>
              <w:left w:val="nil"/>
              <w:bottom w:val="single" w:sz="4" w:space="0" w:color="auto"/>
              <w:right w:val="single" w:sz="4" w:space="0" w:color="auto"/>
            </w:tcBorders>
            <w:noWrap/>
            <w:hideMark/>
          </w:tcPr>
          <w:p w14:paraId="45162655" w14:textId="77777777" w:rsidR="00F421F8" w:rsidRPr="00131EED" w:rsidRDefault="00F421F8">
            <w:pPr>
              <w:jc w:val="center"/>
              <w:rPr>
                <w:i/>
                <w:color w:val="000000"/>
                <w:sz w:val="16"/>
                <w:szCs w:val="16"/>
                <w:lang w:eastAsia="en-US"/>
              </w:rPr>
            </w:pPr>
            <w:r w:rsidRPr="00131EED">
              <w:rPr>
                <w:sz w:val="16"/>
                <w:szCs w:val="16"/>
              </w:rPr>
              <w:t>84</w:t>
            </w:r>
          </w:p>
        </w:tc>
      </w:tr>
      <w:tr w:rsidR="00F421F8" w:rsidRPr="00131EED" w14:paraId="05F40640"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31FBBA96" w14:textId="77777777" w:rsidR="00F421F8" w:rsidRPr="00131EED" w:rsidRDefault="00F421F8">
            <w:pPr>
              <w:jc w:val="center"/>
              <w:rPr>
                <w:b/>
                <w:i/>
                <w:color w:val="000000"/>
                <w:sz w:val="16"/>
                <w:szCs w:val="16"/>
                <w:lang w:eastAsia="en-US"/>
              </w:rPr>
            </w:pPr>
            <w:r w:rsidRPr="00131EED">
              <w:rPr>
                <w:b/>
                <w:i/>
                <w:color w:val="000000"/>
                <w:sz w:val="16"/>
                <w:szCs w:val="16"/>
                <w:lang w:eastAsia="en-US"/>
              </w:rPr>
              <w:t>Sesquilé</w:t>
            </w:r>
          </w:p>
        </w:tc>
        <w:tc>
          <w:tcPr>
            <w:tcW w:w="378" w:type="pct"/>
            <w:tcBorders>
              <w:top w:val="nil"/>
              <w:left w:val="nil"/>
              <w:bottom w:val="single" w:sz="4" w:space="0" w:color="auto"/>
              <w:right w:val="single" w:sz="4" w:space="0" w:color="auto"/>
            </w:tcBorders>
            <w:noWrap/>
            <w:hideMark/>
          </w:tcPr>
          <w:p w14:paraId="2131DB3E" w14:textId="77777777" w:rsidR="00F421F8" w:rsidRPr="00131EED" w:rsidRDefault="00F421F8">
            <w:pPr>
              <w:jc w:val="center"/>
              <w:rPr>
                <w:i/>
                <w:color w:val="000000"/>
                <w:sz w:val="16"/>
                <w:szCs w:val="16"/>
                <w:lang w:eastAsia="en-US"/>
              </w:rPr>
            </w:pPr>
            <w:r w:rsidRPr="00131EED">
              <w:rPr>
                <w:sz w:val="16"/>
                <w:szCs w:val="16"/>
              </w:rPr>
              <w:t>32</w:t>
            </w:r>
          </w:p>
        </w:tc>
        <w:tc>
          <w:tcPr>
            <w:tcW w:w="378" w:type="pct"/>
            <w:tcBorders>
              <w:top w:val="nil"/>
              <w:left w:val="nil"/>
              <w:bottom w:val="single" w:sz="4" w:space="0" w:color="auto"/>
              <w:right w:val="single" w:sz="4" w:space="0" w:color="auto"/>
            </w:tcBorders>
            <w:noWrap/>
            <w:hideMark/>
          </w:tcPr>
          <w:p w14:paraId="10B4AFB2" w14:textId="77777777" w:rsidR="00F421F8" w:rsidRPr="00131EED" w:rsidRDefault="00F421F8">
            <w:pPr>
              <w:jc w:val="center"/>
              <w:rPr>
                <w:i/>
                <w:color w:val="000000"/>
                <w:sz w:val="16"/>
                <w:szCs w:val="16"/>
                <w:lang w:eastAsia="en-US"/>
              </w:rPr>
            </w:pPr>
            <w:r w:rsidRPr="00131EED">
              <w:rPr>
                <w:sz w:val="16"/>
                <w:szCs w:val="16"/>
              </w:rPr>
              <w:t>40</w:t>
            </w:r>
          </w:p>
        </w:tc>
        <w:tc>
          <w:tcPr>
            <w:tcW w:w="378" w:type="pct"/>
            <w:tcBorders>
              <w:top w:val="nil"/>
              <w:left w:val="nil"/>
              <w:bottom w:val="single" w:sz="4" w:space="0" w:color="auto"/>
              <w:right w:val="single" w:sz="4" w:space="0" w:color="auto"/>
            </w:tcBorders>
            <w:noWrap/>
            <w:hideMark/>
          </w:tcPr>
          <w:p w14:paraId="7EC4EECA" w14:textId="77777777" w:rsidR="00F421F8" w:rsidRPr="00131EED" w:rsidRDefault="00F421F8">
            <w:pPr>
              <w:jc w:val="center"/>
              <w:rPr>
                <w:i/>
                <w:color w:val="000000"/>
                <w:sz w:val="16"/>
                <w:szCs w:val="16"/>
                <w:lang w:eastAsia="en-US"/>
              </w:rPr>
            </w:pPr>
            <w:r w:rsidRPr="00131EED">
              <w:rPr>
                <w:sz w:val="16"/>
                <w:szCs w:val="16"/>
              </w:rPr>
              <w:t>49</w:t>
            </w:r>
          </w:p>
        </w:tc>
        <w:tc>
          <w:tcPr>
            <w:tcW w:w="378" w:type="pct"/>
            <w:tcBorders>
              <w:top w:val="nil"/>
              <w:left w:val="nil"/>
              <w:bottom w:val="single" w:sz="4" w:space="0" w:color="auto"/>
              <w:right w:val="single" w:sz="4" w:space="0" w:color="auto"/>
            </w:tcBorders>
            <w:noWrap/>
            <w:hideMark/>
          </w:tcPr>
          <w:p w14:paraId="6409C540" w14:textId="77777777" w:rsidR="00F421F8" w:rsidRPr="00131EED" w:rsidRDefault="00F421F8">
            <w:pPr>
              <w:jc w:val="center"/>
              <w:rPr>
                <w:i/>
                <w:color w:val="000000"/>
                <w:sz w:val="16"/>
                <w:szCs w:val="16"/>
                <w:lang w:eastAsia="en-US"/>
              </w:rPr>
            </w:pPr>
            <w:r w:rsidRPr="00131EED">
              <w:rPr>
                <w:sz w:val="16"/>
                <w:szCs w:val="16"/>
              </w:rPr>
              <w:t>59</w:t>
            </w:r>
          </w:p>
        </w:tc>
        <w:tc>
          <w:tcPr>
            <w:tcW w:w="378" w:type="pct"/>
            <w:tcBorders>
              <w:top w:val="nil"/>
              <w:left w:val="nil"/>
              <w:bottom w:val="single" w:sz="4" w:space="0" w:color="auto"/>
              <w:right w:val="single" w:sz="4" w:space="0" w:color="auto"/>
            </w:tcBorders>
            <w:noWrap/>
            <w:hideMark/>
          </w:tcPr>
          <w:p w14:paraId="65E10A7B" w14:textId="77777777" w:rsidR="00F421F8" w:rsidRPr="00131EED" w:rsidRDefault="00F421F8">
            <w:pPr>
              <w:jc w:val="center"/>
              <w:rPr>
                <w:i/>
                <w:color w:val="000000"/>
                <w:sz w:val="16"/>
                <w:szCs w:val="16"/>
                <w:lang w:eastAsia="en-US"/>
              </w:rPr>
            </w:pPr>
            <w:r w:rsidRPr="00131EED">
              <w:rPr>
                <w:sz w:val="16"/>
                <w:szCs w:val="16"/>
              </w:rPr>
              <w:t>61</w:t>
            </w:r>
          </w:p>
        </w:tc>
        <w:tc>
          <w:tcPr>
            <w:tcW w:w="378" w:type="pct"/>
            <w:tcBorders>
              <w:top w:val="nil"/>
              <w:left w:val="nil"/>
              <w:bottom w:val="single" w:sz="4" w:space="0" w:color="auto"/>
              <w:right w:val="single" w:sz="4" w:space="0" w:color="auto"/>
            </w:tcBorders>
            <w:noWrap/>
            <w:hideMark/>
          </w:tcPr>
          <w:p w14:paraId="055BEF8C" w14:textId="77777777" w:rsidR="00F421F8" w:rsidRPr="00131EED" w:rsidRDefault="00F421F8">
            <w:pPr>
              <w:jc w:val="center"/>
              <w:rPr>
                <w:i/>
                <w:color w:val="000000"/>
                <w:sz w:val="16"/>
                <w:szCs w:val="16"/>
                <w:lang w:eastAsia="en-US"/>
              </w:rPr>
            </w:pPr>
            <w:r w:rsidRPr="00131EED">
              <w:rPr>
                <w:sz w:val="16"/>
                <w:szCs w:val="16"/>
              </w:rPr>
              <w:t>63</w:t>
            </w:r>
          </w:p>
        </w:tc>
        <w:tc>
          <w:tcPr>
            <w:tcW w:w="378" w:type="pct"/>
            <w:tcBorders>
              <w:top w:val="nil"/>
              <w:left w:val="nil"/>
              <w:bottom w:val="single" w:sz="4" w:space="0" w:color="auto"/>
              <w:right w:val="single" w:sz="4" w:space="0" w:color="auto"/>
            </w:tcBorders>
            <w:noWrap/>
            <w:hideMark/>
          </w:tcPr>
          <w:p w14:paraId="33017FB0" w14:textId="77777777" w:rsidR="00F421F8" w:rsidRPr="00131EED" w:rsidRDefault="00F421F8">
            <w:pPr>
              <w:jc w:val="center"/>
              <w:rPr>
                <w:i/>
                <w:color w:val="000000"/>
                <w:sz w:val="16"/>
                <w:szCs w:val="16"/>
                <w:lang w:eastAsia="en-US"/>
              </w:rPr>
            </w:pPr>
            <w:r w:rsidRPr="00131EED">
              <w:rPr>
                <w:sz w:val="16"/>
                <w:szCs w:val="16"/>
              </w:rPr>
              <w:t>66</w:t>
            </w:r>
          </w:p>
        </w:tc>
        <w:tc>
          <w:tcPr>
            <w:tcW w:w="378" w:type="pct"/>
            <w:tcBorders>
              <w:top w:val="nil"/>
              <w:left w:val="nil"/>
              <w:bottom w:val="single" w:sz="4" w:space="0" w:color="auto"/>
              <w:right w:val="single" w:sz="4" w:space="0" w:color="auto"/>
            </w:tcBorders>
            <w:noWrap/>
            <w:hideMark/>
          </w:tcPr>
          <w:p w14:paraId="5B8C54C2" w14:textId="77777777" w:rsidR="00F421F8" w:rsidRPr="00131EED" w:rsidRDefault="00F421F8">
            <w:pPr>
              <w:jc w:val="center"/>
              <w:rPr>
                <w:i/>
                <w:color w:val="000000"/>
                <w:sz w:val="16"/>
                <w:szCs w:val="16"/>
                <w:lang w:eastAsia="en-US"/>
              </w:rPr>
            </w:pPr>
            <w:r w:rsidRPr="00131EED">
              <w:rPr>
                <w:sz w:val="16"/>
                <w:szCs w:val="16"/>
              </w:rPr>
              <w:t>68</w:t>
            </w:r>
          </w:p>
        </w:tc>
        <w:tc>
          <w:tcPr>
            <w:tcW w:w="378" w:type="pct"/>
            <w:tcBorders>
              <w:top w:val="nil"/>
              <w:left w:val="nil"/>
              <w:bottom w:val="single" w:sz="4" w:space="0" w:color="auto"/>
              <w:right w:val="single" w:sz="4" w:space="0" w:color="auto"/>
            </w:tcBorders>
            <w:noWrap/>
            <w:hideMark/>
          </w:tcPr>
          <w:p w14:paraId="319C7DCE" w14:textId="77777777" w:rsidR="00F421F8" w:rsidRPr="00131EED" w:rsidRDefault="00F421F8">
            <w:pPr>
              <w:jc w:val="center"/>
              <w:rPr>
                <w:i/>
                <w:color w:val="000000"/>
                <w:sz w:val="16"/>
                <w:szCs w:val="16"/>
                <w:lang w:eastAsia="en-US"/>
              </w:rPr>
            </w:pPr>
            <w:r w:rsidRPr="00131EED">
              <w:rPr>
                <w:sz w:val="16"/>
                <w:szCs w:val="16"/>
              </w:rPr>
              <w:t>71</w:t>
            </w:r>
          </w:p>
        </w:tc>
        <w:tc>
          <w:tcPr>
            <w:tcW w:w="378" w:type="pct"/>
            <w:tcBorders>
              <w:top w:val="nil"/>
              <w:left w:val="nil"/>
              <w:bottom w:val="single" w:sz="4" w:space="0" w:color="auto"/>
              <w:right w:val="single" w:sz="4" w:space="0" w:color="auto"/>
            </w:tcBorders>
            <w:noWrap/>
            <w:hideMark/>
          </w:tcPr>
          <w:p w14:paraId="5B930DD1" w14:textId="77777777" w:rsidR="00F421F8" w:rsidRPr="00131EED" w:rsidRDefault="00F421F8">
            <w:pPr>
              <w:jc w:val="center"/>
              <w:rPr>
                <w:i/>
                <w:color w:val="000000"/>
                <w:sz w:val="16"/>
                <w:szCs w:val="16"/>
                <w:lang w:eastAsia="en-US"/>
              </w:rPr>
            </w:pPr>
            <w:r w:rsidRPr="00131EED">
              <w:rPr>
                <w:sz w:val="16"/>
                <w:szCs w:val="16"/>
              </w:rPr>
              <w:t>74</w:t>
            </w:r>
          </w:p>
        </w:tc>
        <w:tc>
          <w:tcPr>
            <w:tcW w:w="378" w:type="pct"/>
            <w:tcBorders>
              <w:top w:val="nil"/>
              <w:left w:val="nil"/>
              <w:bottom w:val="single" w:sz="4" w:space="0" w:color="auto"/>
              <w:right w:val="single" w:sz="4" w:space="0" w:color="auto"/>
            </w:tcBorders>
            <w:noWrap/>
            <w:hideMark/>
          </w:tcPr>
          <w:p w14:paraId="3385FDCB" w14:textId="77777777" w:rsidR="00F421F8" w:rsidRPr="00131EED" w:rsidRDefault="00F421F8">
            <w:pPr>
              <w:jc w:val="center"/>
              <w:rPr>
                <w:i/>
                <w:color w:val="000000"/>
                <w:sz w:val="16"/>
                <w:szCs w:val="16"/>
                <w:lang w:eastAsia="en-US"/>
              </w:rPr>
            </w:pPr>
            <w:r w:rsidRPr="00131EED">
              <w:rPr>
                <w:sz w:val="16"/>
                <w:szCs w:val="16"/>
              </w:rPr>
              <w:t>74</w:t>
            </w:r>
          </w:p>
        </w:tc>
        <w:tc>
          <w:tcPr>
            <w:tcW w:w="378" w:type="pct"/>
            <w:tcBorders>
              <w:top w:val="nil"/>
              <w:left w:val="nil"/>
              <w:bottom w:val="single" w:sz="4" w:space="0" w:color="auto"/>
              <w:right w:val="single" w:sz="4" w:space="0" w:color="auto"/>
            </w:tcBorders>
            <w:noWrap/>
            <w:hideMark/>
          </w:tcPr>
          <w:p w14:paraId="366619AE" w14:textId="77777777" w:rsidR="00F421F8" w:rsidRPr="00131EED" w:rsidRDefault="00F421F8">
            <w:pPr>
              <w:jc w:val="center"/>
              <w:rPr>
                <w:i/>
                <w:color w:val="000000"/>
                <w:sz w:val="16"/>
                <w:szCs w:val="16"/>
                <w:lang w:eastAsia="en-US"/>
              </w:rPr>
            </w:pPr>
            <w:r w:rsidRPr="00131EED">
              <w:rPr>
                <w:sz w:val="16"/>
                <w:szCs w:val="16"/>
              </w:rPr>
              <w:t>79</w:t>
            </w:r>
          </w:p>
        </w:tc>
      </w:tr>
      <w:tr w:rsidR="00F421F8" w:rsidRPr="00131EED" w14:paraId="506A62EA"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7DA07726" w14:textId="77777777" w:rsidR="00F421F8" w:rsidRPr="00131EED" w:rsidRDefault="00F421F8">
            <w:pPr>
              <w:jc w:val="center"/>
              <w:rPr>
                <w:b/>
                <w:i/>
                <w:color w:val="000000"/>
                <w:sz w:val="16"/>
                <w:szCs w:val="16"/>
                <w:lang w:eastAsia="en-US"/>
              </w:rPr>
            </w:pPr>
            <w:r w:rsidRPr="00131EED">
              <w:rPr>
                <w:b/>
                <w:i/>
                <w:color w:val="000000"/>
                <w:sz w:val="16"/>
                <w:szCs w:val="16"/>
                <w:lang w:eastAsia="en-US"/>
              </w:rPr>
              <w:t>Villapinzón</w:t>
            </w:r>
          </w:p>
        </w:tc>
        <w:tc>
          <w:tcPr>
            <w:tcW w:w="378" w:type="pct"/>
            <w:tcBorders>
              <w:top w:val="nil"/>
              <w:left w:val="nil"/>
              <w:bottom w:val="single" w:sz="4" w:space="0" w:color="auto"/>
              <w:right w:val="single" w:sz="4" w:space="0" w:color="auto"/>
            </w:tcBorders>
            <w:noWrap/>
            <w:hideMark/>
          </w:tcPr>
          <w:p w14:paraId="1007EBF6" w14:textId="77777777" w:rsidR="00F421F8" w:rsidRPr="00131EED" w:rsidRDefault="00F421F8">
            <w:pPr>
              <w:jc w:val="center"/>
              <w:rPr>
                <w:i/>
                <w:color w:val="000000"/>
                <w:sz w:val="16"/>
                <w:szCs w:val="16"/>
                <w:lang w:eastAsia="en-US"/>
              </w:rPr>
            </w:pPr>
            <w:r w:rsidRPr="00131EED">
              <w:rPr>
                <w:sz w:val="16"/>
                <w:szCs w:val="16"/>
              </w:rPr>
              <w:t>34</w:t>
            </w:r>
          </w:p>
        </w:tc>
        <w:tc>
          <w:tcPr>
            <w:tcW w:w="378" w:type="pct"/>
            <w:tcBorders>
              <w:top w:val="nil"/>
              <w:left w:val="nil"/>
              <w:bottom w:val="single" w:sz="4" w:space="0" w:color="auto"/>
              <w:right w:val="single" w:sz="4" w:space="0" w:color="auto"/>
            </w:tcBorders>
            <w:noWrap/>
            <w:hideMark/>
          </w:tcPr>
          <w:p w14:paraId="1AF3F949" w14:textId="77777777" w:rsidR="00F421F8" w:rsidRPr="00131EED" w:rsidRDefault="00F421F8">
            <w:pPr>
              <w:jc w:val="center"/>
              <w:rPr>
                <w:i/>
                <w:color w:val="000000"/>
                <w:sz w:val="16"/>
                <w:szCs w:val="16"/>
                <w:lang w:eastAsia="en-US"/>
              </w:rPr>
            </w:pPr>
            <w:r w:rsidRPr="00131EED">
              <w:rPr>
                <w:sz w:val="16"/>
                <w:szCs w:val="16"/>
              </w:rPr>
              <w:t>42</w:t>
            </w:r>
          </w:p>
        </w:tc>
        <w:tc>
          <w:tcPr>
            <w:tcW w:w="378" w:type="pct"/>
            <w:tcBorders>
              <w:top w:val="nil"/>
              <w:left w:val="nil"/>
              <w:bottom w:val="single" w:sz="4" w:space="0" w:color="auto"/>
              <w:right w:val="single" w:sz="4" w:space="0" w:color="auto"/>
            </w:tcBorders>
            <w:noWrap/>
            <w:hideMark/>
          </w:tcPr>
          <w:p w14:paraId="1CAF32D9" w14:textId="77777777" w:rsidR="00F421F8" w:rsidRPr="00131EED" w:rsidRDefault="00F421F8">
            <w:pPr>
              <w:jc w:val="center"/>
              <w:rPr>
                <w:i/>
                <w:color w:val="000000"/>
                <w:sz w:val="16"/>
                <w:szCs w:val="16"/>
                <w:lang w:eastAsia="en-US"/>
              </w:rPr>
            </w:pPr>
            <w:r w:rsidRPr="00131EED">
              <w:rPr>
                <w:sz w:val="16"/>
                <w:szCs w:val="16"/>
              </w:rPr>
              <w:t>50</w:t>
            </w:r>
          </w:p>
        </w:tc>
        <w:tc>
          <w:tcPr>
            <w:tcW w:w="378" w:type="pct"/>
            <w:tcBorders>
              <w:top w:val="nil"/>
              <w:left w:val="nil"/>
              <w:bottom w:val="single" w:sz="4" w:space="0" w:color="auto"/>
              <w:right w:val="single" w:sz="4" w:space="0" w:color="auto"/>
            </w:tcBorders>
            <w:noWrap/>
            <w:hideMark/>
          </w:tcPr>
          <w:p w14:paraId="083E73B2" w14:textId="77777777" w:rsidR="00F421F8" w:rsidRPr="00131EED" w:rsidRDefault="00F421F8">
            <w:pPr>
              <w:jc w:val="center"/>
              <w:rPr>
                <w:i/>
                <w:color w:val="000000"/>
                <w:sz w:val="16"/>
                <w:szCs w:val="16"/>
                <w:lang w:eastAsia="en-US"/>
              </w:rPr>
            </w:pPr>
            <w:r w:rsidRPr="00131EED">
              <w:rPr>
                <w:sz w:val="16"/>
                <w:szCs w:val="16"/>
              </w:rPr>
              <w:t>59</w:t>
            </w:r>
          </w:p>
        </w:tc>
        <w:tc>
          <w:tcPr>
            <w:tcW w:w="378" w:type="pct"/>
            <w:tcBorders>
              <w:top w:val="nil"/>
              <w:left w:val="nil"/>
              <w:bottom w:val="single" w:sz="4" w:space="0" w:color="auto"/>
              <w:right w:val="single" w:sz="4" w:space="0" w:color="auto"/>
            </w:tcBorders>
            <w:noWrap/>
            <w:hideMark/>
          </w:tcPr>
          <w:p w14:paraId="5EE9245E" w14:textId="77777777" w:rsidR="00F421F8" w:rsidRPr="00131EED" w:rsidRDefault="00F421F8">
            <w:pPr>
              <w:jc w:val="center"/>
              <w:rPr>
                <w:i/>
                <w:color w:val="000000"/>
                <w:sz w:val="16"/>
                <w:szCs w:val="16"/>
                <w:lang w:eastAsia="en-US"/>
              </w:rPr>
            </w:pPr>
            <w:r w:rsidRPr="00131EED">
              <w:rPr>
                <w:sz w:val="16"/>
                <w:szCs w:val="16"/>
              </w:rPr>
              <w:t>61</w:t>
            </w:r>
          </w:p>
        </w:tc>
        <w:tc>
          <w:tcPr>
            <w:tcW w:w="378" w:type="pct"/>
            <w:tcBorders>
              <w:top w:val="nil"/>
              <w:left w:val="nil"/>
              <w:bottom w:val="single" w:sz="4" w:space="0" w:color="auto"/>
              <w:right w:val="single" w:sz="4" w:space="0" w:color="auto"/>
            </w:tcBorders>
            <w:noWrap/>
            <w:hideMark/>
          </w:tcPr>
          <w:p w14:paraId="31250689" w14:textId="77777777" w:rsidR="00F421F8" w:rsidRPr="00131EED" w:rsidRDefault="00F421F8">
            <w:pPr>
              <w:jc w:val="center"/>
              <w:rPr>
                <w:i/>
                <w:color w:val="000000"/>
                <w:sz w:val="16"/>
                <w:szCs w:val="16"/>
                <w:lang w:eastAsia="en-US"/>
              </w:rPr>
            </w:pPr>
            <w:r w:rsidRPr="00131EED">
              <w:rPr>
                <w:sz w:val="16"/>
                <w:szCs w:val="16"/>
              </w:rPr>
              <w:t>63</w:t>
            </w:r>
          </w:p>
        </w:tc>
        <w:tc>
          <w:tcPr>
            <w:tcW w:w="378" w:type="pct"/>
            <w:tcBorders>
              <w:top w:val="nil"/>
              <w:left w:val="nil"/>
              <w:bottom w:val="single" w:sz="4" w:space="0" w:color="auto"/>
              <w:right w:val="single" w:sz="4" w:space="0" w:color="auto"/>
            </w:tcBorders>
            <w:noWrap/>
            <w:hideMark/>
          </w:tcPr>
          <w:p w14:paraId="74788E2F" w14:textId="77777777" w:rsidR="00F421F8" w:rsidRPr="00131EED" w:rsidRDefault="00F421F8">
            <w:pPr>
              <w:jc w:val="center"/>
              <w:rPr>
                <w:i/>
                <w:color w:val="000000"/>
                <w:sz w:val="16"/>
                <w:szCs w:val="16"/>
                <w:lang w:eastAsia="en-US"/>
              </w:rPr>
            </w:pPr>
            <w:r w:rsidRPr="00131EED">
              <w:rPr>
                <w:sz w:val="16"/>
                <w:szCs w:val="16"/>
              </w:rPr>
              <w:t>64</w:t>
            </w:r>
          </w:p>
        </w:tc>
        <w:tc>
          <w:tcPr>
            <w:tcW w:w="378" w:type="pct"/>
            <w:tcBorders>
              <w:top w:val="nil"/>
              <w:left w:val="nil"/>
              <w:bottom w:val="single" w:sz="4" w:space="0" w:color="auto"/>
              <w:right w:val="single" w:sz="4" w:space="0" w:color="auto"/>
            </w:tcBorders>
            <w:noWrap/>
            <w:hideMark/>
          </w:tcPr>
          <w:p w14:paraId="4FF387CD" w14:textId="77777777" w:rsidR="00F421F8" w:rsidRPr="00131EED" w:rsidRDefault="00F421F8">
            <w:pPr>
              <w:jc w:val="center"/>
              <w:rPr>
                <w:i/>
                <w:color w:val="000000"/>
                <w:sz w:val="16"/>
                <w:szCs w:val="16"/>
                <w:lang w:eastAsia="en-US"/>
              </w:rPr>
            </w:pPr>
            <w:r w:rsidRPr="00131EED">
              <w:rPr>
                <w:sz w:val="16"/>
                <w:szCs w:val="16"/>
              </w:rPr>
              <w:t>66</w:t>
            </w:r>
          </w:p>
        </w:tc>
        <w:tc>
          <w:tcPr>
            <w:tcW w:w="378" w:type="pct"/>
            <w:tcBorders>
              <w:top w:val="nil"/>
              <w:left w:val="nil"/>
              <w:bottom w:val="single" w:sz="4" w:space="0" w:color="auto"/>
              <w:right w:val="single" w:sz="4" w:space="0" w:color="auto"/>
            </w:tcBorders>
            <w:noWrap/>
            <w:hideMark/>
          </w:tcPr>
          <w:p w14:paraId="4CAD9E83" w14:textId="77777777" w:rsidR="00F421F8" w:rsidRPr="00131EED" w:rsidRDefault="00F421F8">
            <w:pPr>
              <w:jc w:val="center"/>
              <w:rPr>
                <w:i/>
                <w:color w:val="000000"/>
                <w:sz w:val="16"/>
                <w:szCs w:val="16"/>
                <w:lang w:eastAsia="en-US"/>
              </w:rPr>
            </w:pPr>
            <w:r w:rsidRPr="00131EED">
              <w:rPr>
                <w:sz w:val="16"/>
                <w:szCs w:val="16"/>
              </w:rPr>
              <w:t>67</w:t>
            </w:r>
          </w:p>
        </w:tc>
        <w:tc>
          <w:tcPr>
            <w:tcW w:w="378" w:type="pct"/>
            <w:tcBorders>
              <w:top w:val="nil"/>
              <w:left w:val="nil"/>
              <w:bottom w:val="single" w:sz="4" w:space="0" w:color="auto"/>
              <w:right w:val="single" w:sz="4" w:space="0" w:color="auto"/>
            </w:tcBorders>
            <w:noWrap/>
            <w:hideMark/>
          </w:tcPr>
          <w:p w14:paraId="3BA6D5AA" w14:textId="77777777" w:rsidR="00F421F8" w:rsidRPr="00131EED" w:rsidRDefault="00F421F8">
            <w:pPr>
              <w:jc w:val="center"/>
              <w:rPr>
                <w:i/>
                <w:color w:val="000000"/>
                <w:sz w:val="16"/>
                <w:szCs w:val="16"/>
                <w:lang w:eastAsia="en-US"/>
              </w:rPr>
            </w:pPr>
            <w:r w:rsidRPr="00131EED">
              <w:rPr>
                <w:sz w:val="16"/>
                <w:szCs w:val="16"/>
              </w:rPr>
              <w:t>69</w:t>
            </w:r>
          </w:p>
        </w:tc>
        <w:tc>
          <w:tcPr>
            <w:tcW w:w="378" w:type="pct"/>
            <w:tcBorders>
              <w:top w:val="nil"/>
              <w:left w:val="nil"/>
              <w:bottom w:val="single" w:sz="4" w:space="0" w:color="auto"/>
              <w:right w:val="single" w:sz="4" w:space="0" w:color="auto"/>
            </w:tcBorders>
            <w:noWrap/>
            <w:hideMark/>
          </w:tcPr>
          <w:p w14:paraId="0A5FBEF1" w14:textId="77777777" w:rsidR="00F421F8" w:rsidRPr="00131EED" w:rsidRDefault="00F421F8">
            <w:pPr>
              <w:jc w:val="center"/>
              <w:rPr>
                <w:i/>
                <w:color w:val="000000"/>
                <w:sz w:val="16"/>
                <w:szCs w:val="16"/>
                <w:lang w:eastAsia="en-US"/>
              </w:rPr>
            </w:pPr>
            <w:r w:rsidRPr="00131EED">
              <w:rPr>
                <w:sz w:val="16"/>
                <w:szCs w:val="16"/>
              </w:rPr>
              <w:t>69</w:t>
            </w:r>
          </w:p>
        </w:tc>
        <w:tc>
          <w:tcPr>
            <w:tcW w:w="378" w:type="pct"/>
            <w:tcBorders>
              <w:top w:val="nil"/>
              <w:left w:val="nil"/>
              <w:bottom w:val="single" w:sz="4" w:space="0" w:color="auto"/>
              <w:right w:val="single" w:sz="4" w:space="0" w:color="auto"/>
            </w:tcBorders>
            <w:noWrap/>
            <w:hideMark/>
          </w:tcPr>
          <w:p w14:paraId="162CD169" w14:textId="77777777" w:rsidR="00F421F8" w:rsidRPr="00131EED" w:rsidRDefault="00F421F8">
            <w:pPr>
              <w:jc w:val="center"/>
              <w:rPr>
                <w:i/>
                <w:color w:val="000000"/>
                <w:sz w:val="16"/>
                <w:szCs w:val="16"/>
                <w:lang w:eastAsia="en-US"/>
              </w:rPr>
            </w:pPr>
            <w:r w:rsidRPr="00131EED">
              <w:rPr>
                <w:sz w:val="16"/>
                <w:szCs w:val="16"/>
              </w:rPr>
              <w:t>71</w:t>
            </w:r>
          </w:p>
        </w:tc>
      </w:tr>
      <w:tr w:rsidR="00F421F8" w:rsidRPr="00131EED" w14:paraId="3E27C1E7"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1C618693" w14:textId="77777777" w:rsidR="00F421F8" w:rsidRPr="00131EED" w:rsidRDefault="00F421F8">
            <w:pPr>
              <w:jc w:val="center"/>
              <w:rPr>
                <w:b/>
                <w:i/>
                <w:color w:val="000000"/>
                <w:sz w:val="16"/>
                <w:szCs w:val="16"/>
                <w:lang w:eastAsia="en-US"/>
              </w:rPr>
            </w:pPr>
            <w:r w:rsidRPr="00131EED">
              <w:rPr>
                <w:b/>
                <w:i/>
                <w:color w:val="000000"/>
                <w:sz w:val="16"/>
                <w:szCs w:val="16"/>
                <w:lang w:eastAsia="en-US"/>
              </w:rPr>
              <w:t>Tausa</w:t>
            </w:r>
          </w:p>
        </w:tc>
        <w:tc>
          <w:tcPr>
            <w:tcW w:w="378" w:type="pct"/>
            <w:tcBorders>
              <w:top w:val="nil"/>
              <w:left w:val="nil"/>
              <w:bottom w:val="single" w:sz="4" w:space="0" w:color="auto"/>
              <w:right w:val="single" w:sz="4" w:space="0" w:color="auto"/>
            </w:tcBorders>
            <w:noWrap/>
            <w:hideMark/>
          </w:tcPr>
          <w:p w14:paraId="64746787" w14:textId="77777777" w:rsidR="00F421F8" w:rsidRPr="00131EED" w:rsidRDefault="00F421F8">
            <w:pPr>
              <w:jc w:val="center"/>
              <w:rPr>
                <w:i/>
                <w:color w:val="000000"/>
                <w:sz w:val="16"/>
                <w:szCs w:val="16"/>
                <w:lang w:eastAsia="en-US"/>
              </w:rPr>
            </w:pPr>
            <w:r w:rsidRPr="00131EED">
              <w:rPr>
                <w:sz w:val="16"/>
                <w:szCs w:val="16"/>
              </w:rPr>
              <w:t>15</w:t>
            </w:r>
          </w:p>
        </w:tc>
        <w:tc>
          <w:tcPr>
            <w:tcW w:w="378" w:type="pct"/>
            <w:tcBorders>
              <w:top w:val="nil"/>
              <w:left w:val="nil"/>
              <w:bottom w:val="single" w:sz="4" w:space="0" w:color="auto"/>
              <w:right w:val="single" w:sz="4" w:space="0" w:color="auto"/>
            </w:tcBorders>
            <w:noWrap/>
            <w:hideMark/>
          </w:tcPr>
          <w:p w14:paraId="60B493BC" w14:textId="77777777" w:rsidR="00F421F8" w:rsidRPr="00131EED" w:rsidRDefault="00F421F8">
            <w:pPr>
              <w:jc w:val="center"/>
              <w:rPr>
                <w:i/>
                <w:color w:val="000000"/>
                <w:sz w:val="16"/>
                <w:szCs w:val="16"/>
                <w:lang w:eastAsia="en-US"/>
              </w:rPr>
            </w:pPr>
            <w:r w:rsidRPr="00131EED">
              <w:rPr>
                <w:sz w:val="16"/>
                <w:szCs w:val="16"/>
              </w:rPr>
              <w:t>19</w:t>
            </w:r>
          </w:p>
        </w:tc>
        <w:tc>
          <w:tcPr>
            <w:tcW w:w="378" w:type="pct"/>
            <w:tcBorders>
              <w:top w:val="nil"/>
              <w:left w:val="nil"/>
              <w:bottom w:val="single" w:sz="4" w:space="0" w:color="auto"/>
              <w:right w:val="single" w:sz="4" w:space="0" w:color="auto"/>
            </w:tcBorders>
            <w:noWrap/>
            <w:hideMark/>
          </w:tcPr>
          <w:p w14:paraId="0A949081" w14:textId="77777777" w:rsidR="00F421F8" w:rsidRPr="00131EED" w:rsidRDefault="00F421F8">
            <w:pPr>
              <w:jc w:val="center"/>
              <w:rPr>
                <w:i/>
                <w:color w:val="000000"/>
                <w:sz w:val="16"/>
                <w:szCs w:val="16"/>
                <w:lang w:eastAsia="en-US"/>
              </w:rPr>
            </w:pPr>
            <w:r w:rsidRPr="00131EED">
              <w:rPr>
                <w:sz w:val="16"/>
                <w:szCs w:val="16"/>
              </w:rPr>
              <w:t>22</w:t>
            </w:r>
          </w:p>
        </w:tc>
        <w:tc>
          <w:tcPr>
            <w:tcW w:w="378" w:type="pct"/>
            <w:tcBorders>
              <w:top w:val="nil"/>
              <w:left w:val="nil"/>
              <w:bottom w:val="single" w:sz="4" w:space="0" w:color="auto"/>
              <w:right w:val="single" w:sz="4" w:space="0" w:color="auto"/>
            </w:tcBorders>
            <w:noWrap/>
            <w:hideMark/>
          </w:tcPr>
          <w:p w14:paraId="00786C59" w14:textId="77777777" w:rsidR="00F421F8" w:rsidRPr="00131EED" w:rsidRDefault="00F421F8">
            <w:pPr>
              <w:jc w:val="center"/>
              <w:rPr>
                <w:i/>
                <w:color w:val="000000"/>
                <w:sz w:val="16"/>
                <w:szCs w:val="16"/>
                <w:lang w:eastAsia="en-US"/>
              </w:rPr>
            </w:pPr>
            <w:r w:rsidRPr="00131EED">
              <w:rPr>
                <w:sz w:val="16"/>
                <w:szCs w:val="16"/>
              </w:rPr>
              <w:t>26</w:t>
            </w:r>
          </w:p>
        </w:tc>
        <w:tc>
          <w:tcPr>
            <w:tcW w:w="378" w:type="pct"/>
            <w:tcBorders>
              <w:top w:val="nil"/>
              <w:left w:val="nil"/>
              <w:bottom w:val="single" w:sz="4" w:space="0" w:color="auto"/>
              <w:right w:val="single" w:sz="4" w:space="0" w:color="auto"/>
            </w:tcBorders>
            <w:noWrap/>
            <w:hideMark/>
          </w:tcPr>
          <w:p w14:paraId="26E150C0" w14:textId="77777777" w:rsidR="00F421F8" w:rsidRPr="00131EED" w:rsidRDefault="00F421F8">
            <w:pPr>
              <w:jc w:val="center"/>
              <w:rPr>
                <w:i/>
                <w:color w:val="000000"/>
                <w:sz w:val="16"/>
                <w:szCs w:val="16"/>
                <w:lang w:eastAsia="en-US"/>
              </w:rPr>
            </w:pPr>
            <w:r w:rsidRPr="00131EED">
              <w:rPr>
                <w:sz w:val="16"/>
                <w:szCs w:val="16"/>
              </w:rPr>
              <w:t>28</w:t>
            </w:r>
          </w:p>
        </w:tc>
        <w:tc>
          <w:tcPr>
            <w:tcW w:w="378" w:type="pct"/>
            <w:tcBorders>
              <w:top w:val="nil"/>
              <w:left w:val="nil"/>
              <w:bottom w:val="single" w:sz="4" w:space="0" w:color="auto"/>
              <w:right w:val="single" w:sz="4" w:space="0" w:color="auto"/>
            </w:tcBorders>
            <w:noWrap/>
            <w:hideMark/>
          </w:tcPr>
          <w:p w14:paraId="2CE394FE" w14:textId="77777777" w:rsidR="00F421F8" w:rsidRPr="00131EED" w:rsidRDefault="00F421F8">
            <w:pPr>
              <w:jc w:val="center"/>
              <w:rPr>
                <w:i/>
                <w:color w:val="000000"/>
                <w:sz w:val="16"/>
                <w:szCs w:val="16"/>
                <w:lang w:eastAsia="en-US"/>
              </w:rPr>
            </w:pPr>
            <w:r w:rsidRPr="00131EED">
              <w:rPr>
                <w:sz w:val="16"/>
                <w:szCs w:val="16"/>
              </w:rPr>
              <w:t>30</w:t>
            </w:r>
          </w:p>
        </w:tc>
        <w:tc>
          <w:tcPr>
            <w:tcW w:w="378" w:type="pct"/>
            <w:tcBorders>
              <w:top w:val="nil"/>
              <w:left w:val="nil"/>
              <w:bottom w:val="single" w:sz="4" w:space="0" w:color="auto"/>
              <w:right w:val="single" w:sz="4" w:space="0" w:color="auto"/>
            </w:tcBorders>
            <w:noWrap/>
            <w:hideMark/>
          </w:tcPr>
          <w:p w14:paraId="31D79EF1" w14:textId="77777777" w:rsidR="00F421F8" w:rsidRPr="00131EED" w:rsidRDefault="00F421F8">
            <w:pPr>
              <w:jc w:val="center"/>
              <w:rPr>
                <w:i/>
                <w:color w:val="000000"/>
                <w:sz w:val="16"/>
                <w:szCs w:val="16"/>
                <w:lang w:eastAsia="en-US"/>
              </w:rPr>
            </w:pPr>
            <w:r w:rsidRPr="00131EED">
              <w:rPr>
                <w:sz w:val="16"/>
                <w:szCs w:val="16"/>
              </w:rPr>
              <w:t>31</w:t>
            </w:r>
          </w:p>
        </w:tc>
        <w:tc>
          <w:tcPr>
            <w:tcW w:w="378" w:type="pct"/>
            <w:tcBorders>
              <w:top w:val="nil"/>
              <w:left w:val="nil"/>
              <w:bottom w:val="single" w:sz="4" w:space="0" w:color="auto"/>
              <w:right w:val="single" w:sz="4" w:space="0" w:color="auto"/>
            </w:tcBorders>
            <w:noWrap/>
            <w:hideMark/>
          </w:tcPr>
          <w:p w14:paraId="37F94A65" w14:textId="77777777" w:rsidR="00F421F8" w:rsidRPr="00131EED" w:rsidRDefault="00F421F8">
            <w:pPr>
              <w:jc w:val="center"/>
              <w:rPr>
                <w:i/>
                <w:color w:val="000000"/>
                <w:sz w:val="16"/>
                <w:szCs w:val="16"/>
                <w:lang w:eastAsia="en-US"/>
              </w:rPr>
            </w:pPr>
            <w:r w:rsidRPr="00131EED">
              <w:rPr>
                <w:sz w:val="16"/>
                <w:szCs w:val="16"/>
              </w:rPr>
              <w:t>32</w:t>
            </w:r>
          </w:p>
        </w:tc>
        <w:tc>
          <w:tcPr>
            <w:tcW w:w="378" w:type="pct"/>
            <w:tcBorders>
              <w:top w:val="nil"/>
              <w:left w:val="nil"/>
              <w:bottom w:val="single" w:sz="4" w:space="0" w:color="auto"/>
              <w:right w:val="single" w:sz="4" w:space="0" w:color="auto"/>
            </w:tcBorders>
            <w:noWrap/>
            <w:hideMark/>
          </w:tcPr>
          <w:p w14:paraId="71A7E7C8" w14:textId="77777777" w:rsidR="00F421F8" w:rsidRPr="00131EED" w:rsidRDefault="00F421F8">
            <w:pPr>
              <w:jc w:val="center"/>
              <w:rPr>
                <w:i/>
                <w:color w:val="000000"/>
                <w:sz w:val="16"/>
                <w:szCs w:val="16"/>
                <w:lang w:eastAsia="en-US"/>
              </w:rPr>
            </w:pPr>
            <w:r w:rsidRPr="00131EED">
              <w:rPr>
                <w:sz w:val="16"/>
                <w:szCs w:val="16"/>
              </w:rPr>
              <w:t>33</w:t>
            </w:r>
          </w:p>
        </w:tc>
        <w:tc>
          <w:tcPr>
            <w:tcW w:w="378" w:type="pct"/>
            <w:tcBorders>
              <w:top w:val="nil"/>
              <w:left w:val="nil"/>
              <w:bottom w:val="single" w:sz="4" w:space="0" w:color="auto"/>
              <w:right w:val="single" w:sz="4" w:space="0" w:color="auto"/>
            </w:tcBorders>
            <w:noWrap/>
            <w:hideMark/>
          </w:tcPr>
          <w:p w14:paraId="5173D925" w14:textId="77777777" w:rsidR="00F421F8" w:rsidRPr="00131EED" w:rsidRDefault="00F421F8">
            <w:pPr>
              <w:jc w:val="center"/>
              <w:rPr>
                <w:i/>
                <w:color w:val="000000"/>
                <w:sz w:val="16"/>
                <w:szCs w:val="16"/>
                <w:lang w:eastAsia="en-US"/>
              </w:rPr>
            </w:pPr>
            <w:r w:rsidRPr="00131EED">
              <w:rPr>
                <w:sz w:val="16"/>
                <w:szCs w:val="16"/>
              </w:rPr>
              <w:t>35</w:t>
            </w:r>
          </w:p>
        </w:tc>
        <w:tc>
          <w:tcPr>
            <w:tcW w:w="378" w:type="pct"/>
            <w:tcBorders>
              <w:top w:val="nil"/>
              <w:left w:val="nil"/>
              <w:bottom w:val="single" w:sz="4" w:space="0" w:color="auto"/>
              <w:right w:val="single" w:sz="4" w:space="0" w:color="auto"/>
            </w:tcBorders>
            <w:noWrap/>
            <w:hideMark/>
          </w:tcPr>
          <w:p w14:paraId="645E3316" w14:textId="77777777" w:rsidR="00F421F8" w:rsidRPr="00131EED" w:rsidRDefault="00F421F8">
            <w:pPr>
              <w:jc w:val="center"/>
              <w:rPr>
                <w:i/>
                <w:color w:val="000000"/>
                <w:sz w:val="16"/>
                <w:szCs w:val="16"/>
                <w:lang w:eastAsia="en-US"/>
              </w:rPr>
            </w:pPr>
            <w:r w:rsidRPr="00131EED">
              <w:rPr>
                <w:sz w:val="16"/>
                <w:szCs w:val="16"/>
              </w:rPr>
              <w:t>35</w:t>
            </w:r>
          </w:p>
        </w:tc>
        <w:tc>
          <w:tcPr>
            <w:tcW w:w="378" w:type="pct"/>
            <w:tcBorders>
              <w:top w:val="nil"/>
              <w:left w:val="nil"/>
              <w:bottom w:val="single" w:sz="4" w:space="0" w:color="auto"/>
              <w:right w:val="single" w:sz="4" w:space="0" w:color="auto"/>
            </w:tcBorders>
            <w:noWrap/>
            <w:hideMark/>
          </w:tcPr>
          <w:p w14:paraId="0CDABA3F" w14:textId="77777777" w:rsidR="00F421F8" w:rsidRPr="00131EED" w:rsidRDefault="00F421F8">
            <w:pPr>
              <w:jc w:val="center"/>
              <w:rPr>
                <w:i/>
                <w:color w:val="000000"/>
                <w:sz w:val="16"/>
                <w:szCs w:val="16"/>
                <w:lang w:eastAsia="en-US"/>
              </w:rPr>
            </w:pPr>
            <w:r w:rsidRPr="00131EED">
              <w:rPr>
                <w:sz w:val="16"/>
                <w:szCs w:val="16"/>
              </w:rPr>
              <w:t>36</w:t>
            </w:r>
          </w:p>
        </w:tc>
      </w:tr>
      <w:tr w:rsidR="00F421F8" w:rsidRPr="00131EED" w14:paraId="40310931"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16468B8B" w14:textId="77777777" w:rsidR="00F421F8" w:rsidRPr="00131EED" w:rsidRDefault="00F421F8">
            <w:pPr>
              <w:jc w:val="center"/>
              <w:rPr>
                <w:b/>
                <w:i/>
                <w:color w:val="000000"/>
                <w:sz w:val="16"/>
                <w:szCs w:val="16"/>
                <w:lang w:eastAsia="en-US"/>
              </w:rPr>
            </w:pPr>
            <w:r w:rsidRPr="00131EED">
              <w:rPr>
                <w:b/>
                <w:i/>
                <w:color w:val="000000"/>
                <w:sz w:val="16"/>
                <w:szCs w:val="16"/>
                <w:lang w:eastAsia="en-US"/>
              </w:rPr>
              <w:t>Guatavita</w:t>
            </w:r>
          </w:p>
        </w:tc>
        <w:tc>
          <w:tcPr>
            <w:tcW w:w="378" w:type="pct"/>
            <w:tcBorders>
              <w:top w:val="nil"/>
              <w:left w:val="nil"/>
              <w:bottom w:val="single" w:sz="4" w:space="0" w:color="auto"/>
              <w:right w:val="single" w:sz="4" w:space="0" w:color="auto"/>
            </w:tcBorders>
            <w:noWrap/>
            <w:hideMark/>
          </w:tcPr>
          <w:p w14:paraId="2B64180F" w14:textId="77777777" w:rsidR="00F421F8" w:rsidRPr="00131EED" w:rsidRDefault="00F421F8">
            <w:pPr>
              <w:jc w:val="center"/>
              <w:rPr>
                <w:i/>
                <w:color w:val="000000"/>
                <w:sz w:val="16"/>
                <w:szCs w:val="16"/>
                <w:lang w:eastAsia="en-US"/>
              </w:rPr>
            </w:pPr>
            <w:r w:rsidRPr="00131EED">
              <w:rPr>
                <w:sz w:val="16"/>
                <w:szCs w:val="16"/>
              </w:rPr>
              <w:t>16</w:t>
            </w:r>
          </w:p>
        </w:tc>
        <w:tc>
          <w:tcPr>
            <w:tcW w:w="378" w:type="pct"/>
            <w:tcBorders>
              <w:top w:val="nil"/>
              <w:left w:val="nil"/>
              <w:bottom w:val="single" w:sz="4" w:space="0" w:color="auto"/>
              <w:right w:val="single" w:sz="4" w:space="0" w:color="auto"/>
            </w:tcBorders>
            <w:noWrap/>
            <w:hideMark/>
          </w:tcPr>
          <w:p w14:paraId="39FBB2A5" w14:textId="77777777" w:rsidR="00F421F8" w:rsidRPr="00131EED" w:rsidRDefault="00F421F8">
            <w:pPr>
              <w:jc w:val="center"/>
              <w:rPr>
                <w:i/>
                <w:color w:val="000000"/>
                <w:sz w:val="16"/>
                <w:szCs w:val="16"/>
                <w:lang w:eastAsia="en-US"/>
              </w:rPr>
            </w:pPr>
            <w:r w:rsidRPr="00131EED">
              <w:rPr>
                <w:sz w:val="16"/>
                <w:szCs w:val="16"/>
              </w:rPr>
              <w:t>20</w:t>
            </w:r>
          </w:p>
        </w:tc>
        <w:tc>
          <w:tcPr>
            <w:tcW w:w="378" w:type="pct"/>
            <w:tcBorders>
              <w:top w:val="nil"/>
              <w:left w:val="nil"/>
              <w:bottom w:val="single" w:sz="4" w:space="0" w:color="auto"/>
              <w:right w:val="single" w:sz="4" w:space="0" w:color="auto"/>
            </w:tcBorders>
            <w:noWrap/>
            <w:hideMark/>
          </w:tcPr>
          <w:p w14:paraId="08012A74" w14:textId="77777777" w:rsidR="00F421F8" w:rsidRPr="00131EED" w:rsidRDefault="00F421F8">
            <w:pPr>
              <w:jc w:val="center"/>
              <w:rPr>
                <w:i/>
                <w:color w:val="000000"/>
                <w:sz w:val="16"/>
                <w:szCs w:val="16"/>
                <w:lang w:eastAsia="en-US"/>
              </w:rPr>
            </w:pPr>
            <w:r w:rsidRPr="00131EED">
              <w:rPr>
                <w:sz w:val="16"/>
                <w:szCs w:val="16"/>
              </w:rPr>
              <w:t>23</w:t>
            </w:r>
          </w:p>
        </w:tc>
        <w:tc>
          <w:tcPr>
            <w:tcW w:w="378" w:type="pct"/>
            <w:tcBorders>
              <w:top w:val="nil"/>
              <w:left w:val="nil"/>
              <w:bottom w:val="single" w:sz="4" w:space="0" w:color="auto"/>
              <w:right w:val="single" w:sz="4" w:space="0" w:color="auto"/>
            </w:tcBorders>
            <w:noWrap/>
            <w:hideMark/>
          </w:tcPr>
          <w:p w14:paraId="2FC654B2" w14:textId="77777777" w:rsidR="00F421F8" w:rsidRPr="00131EED" w:rsidRDefault="00F421F8">
            <w:pPr>
              <w:jc w:val="center"/>
              <w:rPr>
                <w:i/>
                <w:color w:val="000000"/>
                <w:sz w:val="16"/>
                <w:szCs w:val="16"/>
                <w:lang w:eastAsia="en-US"/>
              </w:rPr>
            </w:pPr>
            <w:r w:rsidRPr="00131EED">
              <w:rPr>
                <w:sz w:val="16"/>
                <w:szCs w:val="16"/>
              </w:rPr>
              <w:t>27</w:t>
            </w:r>
          </w:p>
        </w:tc>
        <w:tc>
          <w:tcPr>
            <w:tcW w:w="378" w:type="pct"/>
            <w:tcBorders>
              <w:top w:val="nil"/>
              <w:left w:val="nil"/>
              <w:bottom w:val="single" w:sz="4" w:space="0" w:color="auto"/>
              <w:right w:val="single" w:sz="4" w:space="0" w:color="auto"/>
            </w:tcBorders>
            <w:noWrap/>
            <w:hideMark/>
          </w:tcPr>
          <w:p w14:paraId="66ABFF1D" w14:textId="77777777" w:rsidR="00F421F8" w:rsidRPr="00131EED" w:rsidRDefault="00F421F8">
            <w:pPr>
              <w:jc w:val="center"/>
              <w:rPr>
                <w:i/>
                <w:color w:val="000000"/>
                <w:sz w:val="16"/>
                <w:szCs w:val="16"/>
                <w:lang w:eastAsia="en-US"/>
              </w:rPr>
            </w:pPr>
            <w:r w:rsidRPr="00131EED">
              <w:rPr>
                <w:sz w:val="16"/>
                <w:szCs w:val="16"/>
              </w:rPr>
              <w:t>29</w:t>
            </w:r>
          </w:p>
        </w:tc>
        <w:tc>
          <w:tcPr>
            <w:tcW w:w="378" w:type="pct"/>
            <w:tcBorders>
              <w:top w:val="nil"/>
              <w:left w:val="nil"/>
              <w:bottom w:val="single" w:sz="4" w:space="0" w:color="auto"/>
              <w:right w:val="single" w:sz="4" w:space="0" w:color="auto"/>
            </w:tcBorders>
            <w:noWrap/>
            <w:hideMark/>
          </w:tcPr>
          <w:p w14:paraId="6F66DC31" w14:textId="77777777" w:rsidR="00F421F8" w:rsidRPr="00131EED" w:rsidRDefault="00F421F8">
            <w:pPr>
              <w:jc w:val="center"/>
              <w:rPr>
                <w:i/>
                <w:color w:val="000000"/>
                <w:sz w:val="16"/>
                <w:szCs w:val="16"/>
                <w:lang w:eastAsia="en-US"/>
              </w:rPr>
            </w:pPr>
            <w:r w:rsidRPr="00131EED">
              <w:rPr>
                <w:sz w:val="16"/>
                <w:szCs w:val="16"/>
              </w:rPr>
              <w:t>30</w:t>
            </w:r>
          </w:p>
        </w:tc>
        <w:tc>
          <w:tcPr>
            <w:tcW w:w="378" w:type="pct"/>
            <w:tcBorders>
              <w:top w:val="nil"/>
              <w:left w:val="nil"/>
              <w:bottom w:val="single" w:sz="4" w:space="0" w:color="auto"/>
              <w:right w:val="single" w:sz="4" w:space="0" w:color="auto"/>
            </w:tcBorders>
            <w:noWrap/>
            <w:hideMark/>
          </w:tcPr>
          <w:p w14:paraId="581A29C7" w14:textId="77777777" w:rsidR="00F421F8" w:rsidRPr="00131EED" w:rsidRDefault="00F421F8">
            <w:pPr>
              <w:jc w:val="center"/>
              <w:rPr>
                <w:i/>
                <w:color w:val="000000"/>
                <w:sz w:val="16"/>
                <w:szCs w:val="16"/>
                <w:lang w:eastAsia="en-US"/>
              </w:rPr>
            </w:pPr>
            <w:r w:rsidRPr="00131EED">
              <w:rPr>
                <w:sz w:val="16"/>
                <w:szCs w:val="16"/>
              </w:rPr>
              <w:t>31</w:t>
            </w:r>
          </w:p>
        </w:tc>
        <w:tc>
          <w:tcPr>
            <w:tcW w:w="378" w:type="pct"/>
            <w:tcBorders>
              <w:top w:val="nil"/>
              <w:left w:val="nil"/>
              <w:bottom w:val="single" w:sz="4" w:space="0" w:color="auto"/>
              <w:right w:val="single" w:sz="4" w:space="0" w:color="auto"/>
            </w:tcBorders>
            <w:noWrap/>
            <w:hideMark/>
          </w:tcPr>
          <w:p w14:paraId="7EC1995F" w14:textId="77777777" w:rsidR="00F421F8" w:rsidRPr="00131EED" w:rsidRDefault="00F421F8">
            <w:pPr>
              <w:jc w:val="center"/>
              <w:rPr>
                <w:i/>
                <w:color w:val="000000"/>
                <w:sz w:val="16"/>
                <w:szCs w:val="16"/>
                <w:lang w:eastAsia="en-US"/>
              </w:rPr>
            </w:pPr>
            <w:r w:rsidRPr="00131EED">
              <w:rPr>
                <w:sz w:val="16"/>
                <w:szCs w:val="16"/>
              </w:rPr>
              <w:t>31</w:t>
            </w:r>
          </w:p>
        </w:tc>
        <w:tc>
          <w:tcPr>
            <w:tcW w:w="378" w:type="pct"/>
            <w:tcBorders>
              <w:top w:val="nil"/>
              <w:left w:val="nil"/>
              <w:bottom w:val="single" w:sz="4" w:space="0" w:color="auto"/>
              <w:right w:val="single" w:sz="4" w:space="0" w:color="auto"/>
            </w:tcBorders>
            <w:noWrap/>
            <w:hideMark/>
          </w:tcPr>
          <w:p w14:paraId="6425C8CC" w14:textId="77777777" w:rsidR="00F421F8" w:rsidRPr="00131EED" w:rsidRDefault="00F421F8">
            <w:pPr>
              <w:jc w:val="center"/>
              <w:rPr>
                <w:i/>
                <w:color w:val="000000"/>
                <w:sz w:val="16"/>
                <w:szCs w:val="16"/>
                <w:lang w:eastAsia="en-US"/>
              </w:rPr>
            </w:pPr>
            <w:r w:rsidRPr="00131EED">
              <w:rPr>
                <w:sz w:val="16"/>
                <w:szCs w:val="16"/>
              </w:rPr>
              <w:t>32</w:t>
            </w:r>
          </w:p>
        </w:tc>
        <w:tc>
          <w:tcPr>
            <w:tcW w:w="378" w:type="pct"/>
            <w:tcBorders>
              <w:top w:val="nil"/>
              <w:left w:val="nil"/>
              <w:bottom w:val="single" w:sz="4" w:space="0" w:color="auto"/>
              <w:right w:val="single" w:sz="4" w:space="0" w:color="auto"/>
            </w:tcBorders>
            <w:noWrap/>
            <w:hideMark/>
          </w:tcPr>
          <w:p w14:paraId="18951A8B" w14:textId="77777777" w:rsidR="00F421F8" w:rsidRPr="00131EED" w:rsidRDefault="00F421F8">
            <w:pPr>
              <w:jc w:val="center"/>
              <w:rPr>
                <w:i/>
                <w:color w:val="000000"/>
                <w:sz w:val="16"/>
                <w:szCs w:val="16"/>
                <w:lang w:eastAsia="en-US"/>
              </w:rPr>
            </w:pPr>
            <w:r w:rsidRPr="00131EED">
              <w:rPr>
                <w:sz w:val="16"/>
                <w:szCs w:val="16"/>
              </w:rPr>
              <w:t>34</w:t>
            </w:r>
          </w:p>
        </w:tc>
        <w:tc>
          <w:tcPr>
            <w:tcW w:w="378" w:type="pct"/>
            <w:tcBorders>
              <w:top w:val="nil"/>
              <w:left w:val="nil"/>
              <w:bottom w:val="single" w:sz="4" w:space="0" w:color="auto"/>
              <w:right w:val="single" w:sz="4" w:space="0" w:color="auto"/>
            </w:tcBorders>
            <w:noWrap/>
            <w:hideMark/>
          </w:tcPr>
          <w:p w14:paraId="2B281792" w14:textId="77777777" w:rsidR="00F421F8" w:rsidRPr="00131EED" w:rsidRDefault="00F421F8">
            <w:pPr>
              <w:jc w:val="center"/>
              <w:rPr>
                <w:i/>
                <w:color w:val="000000"/>
                <w:sz w:val="16"/>
                <w:szCs w:val="16"/>
                <w:lang w:eastAsia="en-US"/>
              </w:rPr>
            </w:pPr>
            <w:r w:rsidRPr="00131EED">
              <w:rPr>
                <w:sz w:val="16"/>
                <w:szCs w:val="16"/>
              </w:rPr>
              <w:t>34</w:t>
            </w:r>
          </w:p>
        </w:tc>
        <w:tc>
          <w:tcPr>
            <w:tcW w:w="378" w:type="pct"/>
            <w:tcBorders>
              <w:top w:val="nil"/>
              <w:left w:val="nil"/>
              <w:bottom w:val="single" w:sz="4" w:space="0" w:color="auto"/>
              <w:right w:val="single" w:sz="4" w:space="0" w:color="auto"/>
            </w:tcBorders>
            <w:noWrap/>
            <w:hideMark/>
          </w:tcPr>
          <w:p w14:paraId="3C1D040C" w14:textId="77777777" w:rsidR="00F421F8" w:rsidRPr="00131EED" w:rsidRDefault="00F421F8">
            <w:pPr>
              <w:jc w:val="center"/>
              <w:rPr>
                <w:i/>
                <w:color w:val="000000"/>
                <w:sz w:val="16"/>
                <w:szCs w:val="16"/>
                <w:lang w:eastAsia="en-US"/>
              </w:rPr>
            </w:pPr>
            <w:r w:rsidRPr="00131EED">
              <w:rPr>
                <w:sz w:val="16"/>
                <w:szCs w:val="16"/>
              </w:rPr>
              <w:t>34</w:t>
            </w:r>
          </w:p>
        </w:tc>
      </w:tr>
      <w:tr w:rsidR="00F421F8" w:rsidRPr="00131EED" w14:paraId="126201F3"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343A658F" w14:textId="77777777" w:rsidR="00F421F8" w:rsidRPr="00131EED" w:rsidRDefault="00F421F8">
            <w:pPr>
              <w:jc w:val="center"/>
              <w:rPr>
                <w:b/>
                <w:i/>
                <w:color w:val="000000"/>
                <w:sz w:val="16"/>
                <w:szCs w:val="16"/>
                <w:lang w:eastAsia="en-US"/>
              </w:rPr>
            </w:pPr>
            <w:r w:rsidRPr="00131EED">
              <w:rPr>
                <w:b/>
                <w:i/>
                <w:color w:val="000000"/>
                <w:sz w:val="16"/>
                <w:szCs w:val="16"/>
                <w:lang w:eastAsia="en-US"/>
              </w:rPr>
              <w:t>Cucunubá</w:t>
            </w:r>
          </w:p>
        </w:tc>
        <w:tc>
          <w:tcPr>
            <w:tcW w:w="378" w:type="pct"/>
            <w:tcBorders>
              <w:top w:val="nil"/>
              <w:left w:val="nil"/>
              <w:bottom w:val="single" w:sz="4" w:space="0" w:color="auto"/>
              <w:right w:val="single" w:sz="4" w:space="0" w:color="auto"/>
            </w:tcBorders>
            <w:noWrap/>
            <w:hideMark/>
          </w:tcPr>
          <w:p w14:paraId="3F56E0BD" w14:textId="77777777" w:rsidR="00F421F8" w:rsidRPr="00131EED" w:rsidRDefault="00F421F8">
            <w:pPr>
              <w:jc w:val="center"/>
              <w:rPr>
                <w:i/>
                <w:color w:val="000000"/>
                <w:sz w:val="16"/>
                <w:szCs w:val="16"/>
                <w:lang w:eastAsia="en-US"/>
              </w:rPr>
            </w:pPr>
            <w:r w:rsidRPr="00131EED">
              <w:rPr>
                <w:sz w:val="16"/>
                <w:szCs w:val="16"/>
              </w:rPr>
              <w:t>2</w:t>
            </w:r>
          </w:p>
        </w:tc>
        <w:tc>
          <w:tcPr>
            <w:tcW w:w="378" w:type="pct"/>
            <w:tcBorders>
              <w:top w:val="nil"/>
              <w:left w:val="nil"/>
              <w:bottom w:val="single" w:sz="4" w:space="0" w:color="auto"/>
              <w:right w:val="single" w:sz="4" w:space="0" w:color="auto"/>
            </w:tcBorders>
            <w:noWrap/>
            <w:hideMark/>
          </w:tcPr>
          <w:p w14:paraId="02F87893" w14:textId="77777777" w:rsidR="00F421F8" w:rsidRPr="00131EED" w:rsidRDefault="00F421F8">
            <w:pPr>
              <w:jc w:val="center"/>
              <w:rPr>
                <w:i/>
                <w:color w:val="000000"/>
                <w:sz w:val="16"/>
                <w:szCs w:val="16"/>
                <w:lang w:eastAsia="en-US"/>
              </w:rPr>
            </w:pPr>
            <w:r w:rsidRPr="00131EED">
              <w:rPr>
                <w:sz w:val="16"/>
                <w:szCs w:val="16"/>
              </w:rPr>
              <w:t>3</w:t>
            </w:r>
          </w:p>
        </w:tc>
        <w:tc>
          <w:tcPr>
            <w:tcW w:w="378" w:type="pct"/>
            <w:tcBorders>
              <w:top w:val="nil"/>
              <w:left w:val="nil"/>
              <w:bottom w:val="single" w:sz="4" w:space="0" w:color="auto"/>
              <w:right w:val="single" w:sz="4" w:space="0" w:color="auto"/>
            </w:tcBorders>
            <w:noWrap/>
            <w:hideMark/>
          </w:tcPr>
          <w:p w14:paraId="11363E93" w14:textId="77777777" w:rsidR="00F421F8" w:rsidRPr="00131EED" w:rsidRDefault="00F421F8">
            <w:pPr>
              <w:jc w:val="center"/>
              <w:rPr>
                <w:i/>
                <w:color w:val="000000"/>
                <w:sz w:val="16"/>
                <w:szCs w:val="16"/>
                <w:lang w:eastAsia="en-US"/>
              </w:rPr>
            </w:pPr>
            <w:r w:rsidRPr="00131EED">
              <w:rPr>
                <w:sz w:val="16"/>
                <w:szCs w:val="16"/>
              </w:rPr>
              <w:t>4</w:t>
            </w:r>
          </w:p>
        </w:tc>
        <w:tc>
          <w:tcPr>
            <w:tcW w:w="378" w:type="pct"/>
            <w:tcBorders>
              <w:top w:val="nil"/>
              <w:left w:val="nil"/>
              <w:bottom w:val="single" w:sz="4" w:space="0" w:color="auto"/>
              <w:right w:val="single" w:sz="4" w:space="0" w:color="auto"/>
            </w:tcBorders>
            <w:noWrap/>
            <w:hideMark/>
          </w:tcPr>
          <w:p w14:paraId="690B5675" w14:textId="77777777" w:rsidR="00F421F8" w:rsidRPr="00131EED" w:rsidRDefault="00F421F8">
            <w:pPr>
              <w:jc w:val="center"/>
              <w:rPr>
                <w:i/>
                <w:color w:val="000000"/>
                <w:sz w:val="16"/>
                <w:szCs w:val="16"/>
                <w:lang w:eastAsia="en-US"/>
              </w:rPr>
            </w:pPr>
            <w:r w:rsidRPr="00131EED">
              <w:rPr>
                <w:sz w:val="16"/>
                <w:szCs w:val="16"/>
              </w:rPr>
              <w:t>5</w:t>
            </w:r>
          </w:p>
        </w:tc>
        <w:tc>
          <w:tcPr>
            <w:tcW w:w="378" w:type="pct"/>
            <w:tcBorders>
              <w:top w:val="nil"/>
              <w:left w:val="nil"/>
              <w:bottom w:val="single" w:sz="4" w:space="0" w:color="auto"/>
              <w:right w:val="single" w:sz="4" w:space="0" w:color="auto"/>
            </w:tcBorders>
            <w:noWrap/>
            <w:hideMark/>
          </w:tcPr>
          <w:p w14:paraId="7300BB2A" w14:textId="77777777" w:rsidR="00F421F8" w:rsidRPr="00131EED" w:rsidRDefault="00F421F8">
            <w:pPr>
              <w:jc w:val="center"/>
              <w:rPr>
                <w:i/>
                <w:color w:val="000000"/>
                <w:sz w:val="16"/>
                <w:szCs w:val="16"/>
                <w:lang w:eastAsia="en-US"/>
              </w:rPr>
            </w:pPr>
            <w:r w:rsidRPr="00131EED">
              <w:rPr>
                <w:sz w:val="16"/>
                <w:szCs w:val="16"/>
              </w:rPr>
              <w:t>5</w:t>
            </w:r>
          </w:p>
        </w:tc>
        <w:tc>
          <w:tcPr>
            <w:tcW w:w="378" w:type="pct"/>
            <w:tcBorders>
              <w:top w:val="nil"/>
              <w:left w:val="nil"/>
              <w:bottom w:val="single" w:sz="4" w:space="0" w:color="auto"/>
              <w:right w:val="single" w:sz="4" w:space="0" w:color="auto"/>
            </w:tcBorders>
            <w:noWrap/>
            <w:hideMark/>
          </w:tcPr>
          <w:p w14:paraId="7E193357" w14:textId="77777777" w:rsidR="00F421F8" w:rsidRPr="00131EED" w:rsidRDefault="00F421F8">
            <w:pPr>
              <w:jc w:val="center"/>
              <w:rPr>
                <w:i/>
                <w:color w:val="000000"/>
                <w:sz w:val="16"/>
                <w:szCs w:val="16"/>
                <w:lang w:eastAsia="en-US"/>
              </w:rPr>
            </w:pPr>
            <w:r w:rsidRPr="00131EED">
              <w:rPr>
                <w:sz w:val="16"/>
                <w:szCs w:val="16"/>
              </w:rPr>
              <w:t>5</w:t>
            </w:r>
          </w:p>
        </w:tc>
        <w:tc>
          <w:tcPr>
            <w:tcW w:w="378" w:type="pct"/>
            <w:tcBorders>
              <w:top w:val="nil"/>
              <w:left w:val="nil"/>
              <w:bottom w:val="single" w:sz="4" w:space="0" w:color="auto"/>
              <w:right w:val="single" w:sz="4" w:space="0" w:color="auto"/>
            </w:tcBorders>
            <w:noWrap/>
            <w:hideMark/>
          </w:tcPr>
          <w:p w14:paraId="27D37ED4" w14:textId="77777777" w:rsidR="00F421F8" w:rsidRPr="00131EED" w:rsidRDefault="00F421F8">
            <w:pPr>
              <w:jc w:val="center"/>
              <w:rPr>
                <w:i/>
                <w:color w:val="000000"/>
                <w:sz w:val="16"/>
                <w:szCs w:val="16"/>
                <w:lang w:eastAsia="en-US"/>
              </w:rPr>
            </w:pPr>
            <w:r w:rsidRPr="00131EED">
              <w:rPr>
                <w:sz w:val="16"/>
                <w:szCs w:val="16"/>
              </w:rPr>
              <w:t>5</w:t>
            </w:r>
          </w:p>
        </w:tc>
        <w:tc>
          <w:tcPr>
            <w:tcW w:w="378" w:type="pct"/>
            <w:tcBorders>
              <w:top w:val="nil"/>
              <w:left w:val="nil"/>
              <w:bottom w:val="single" w:sz="4" w:space="0" w:color="auto"/>
              <w:right w:val="single" w:sz="4" w:space="0" w:color="auto"/>
            </w:tcBorders>
            <w:noWrap/>
            <w:hideMark/>
          </w:tcPr>
          <w:p w14:paraId="77B545FB" w14:textId="77777777" w:rsidR="00F421F8" w:rsidRPr="00131EED" w:rsidRDefault="00F421F8">
            <w:pPr>
              <w:jc w:val="center"/>
              <w:rPr>
                <w:i/>
                <w:color w:val="000000"/>
                <w:sz w:val="16"/>
                <w:szCs w:val="16"/>
                <w:lang w:eastAsia="en-US"/>
              </w:rPr>
            </w:pPr>
            <w:r w:rsidRPr="00131EED">
              <w:rPr>
                <w:sz w:val="16"/>
                <w:szCs w:val="16"/>
              </w:rPr>
              <w:t>5</w:t>
            </w:r>
          </w:p>
        </w:tc>
        <w:tc>
          <w:tcPr>
            <w:tcW w:w="378" w:type="pct"/>
            <w:tcBorders>
              <w:top w:val="nil"/>
              <w:left w:val="nil"/>
              <w:bottom w:val="single" w:sz="4" w:space="0" w:color="auto"/>
              <w:right w:val="single" w:sz="4" w:space="0" w:color="auto"/>
            </w:tcBorders>
            <w:noWrap/>
            <w:hideMark/>
          </w:tcPr>
          <w:p w14:paraId="004AAC84" w14:textId="77777777" w:rsidR="00F421F8" w:rsidRPr="00131EED" w:rsidRDefault="00F421F8">
            <w:pPr>
              <w:jc w:val="center"/>
              <w:rPr>
                <w:i/>
                <w:color w:val="000000"/>
                <w:sz w:val="16"/>
                <w:szCs w:val="16"/>
                <w:lang w:eastAsia="en-US"/>
              </w:rPr>
            </w:pPr>
            <w:r w:rsidRPr="00131EED">
              <w:rPr>
                <w:sz w:val="16"/>
                <w:szCs w:val="16"/>
              </w:rPr>
              <w:t>5</w:t>
            </w:r>
          </w:p>
        </w:tc>
        <w:tc>
          <w:tcPr>
            <w:tcW w:w="378" w:type="pct"/>
            <w:tcBorders>
              <w:top w:val="nil"/>
              <w:left w:val="nil"/>
              <w:bottom w:val="single" w:sz="4" w:space="0" w:color="auto"/>
              <w:right w:val="single" w:sz="4" w:space="0" w:color="auto"/>
            </w:tcBorders>
            <w:noWrap/>
            <w:hideMark/>
          </w:tcPr>
          <w:p w14:paraId="4BC90105" w14:textId="77777777" w:rsidR="00F421F8" w:rsidRPr="00131EED" w:rsidRDefault="00F421F8">
            <w:pPr>
              <w:jc w:val="center"/>
              <w:rPr>
                <w:i/>
                <w:color w:val="000000"/>
                <w:sz w:val="16"/>
                <w:szCs w:val="16"/>
                <w:lang w:eastAsia="en-US"/>
              </w:rPr>
            </w:pPr>
            <w:r w:rsidRPr="00131EED">
              <w:rPr>
                <w:sz w:val="16"/>
                <w:szCs w:val="16"/>
              </w:rPr>
              <w:t>5</w:t>
            </w:r>
          </w:p>
        </w:tc>
        <w:tc>
          <w:tcPr>
            <w:tcW w:w="378" w:type="pct"/>
            <w:tcBorders>
              <w:top w:val="nil"/>
              <w:left w:val="nil"/>
              <w:bottom w:val="single" w:sz="4" w:space="0" w:color="auto"/>
              <w:right w:val="single" w:sz="4" w:space="0" w:color="auto"/>
            </w:tcBorders>
            <w:noWrap/>
            <w:hideMark/>
          </w:tcPr>
          <w:p w14:paraId="7938F814" w14:textId="77777777" w:rsidR="00F421F8" w:rsidRPr="00131EED" w:rsidRDefault="00F421F8">
            <w:pPr>
              <w:jc w:val="center"/>
              <w:rPr>
                <w:i/>
                <w:color w:val="000000"/>
                <w:sz w:val="16"/>
                <w:szCs w:val="16"/>
                <w:lang w:eastAsia="en-US"/>
              </w:rPr>
            </w:pPr>
            <w:r w:rsidRPr="00131EED">
              <w:rPr>
                <w:sz w:val="16"/>
                <w:szCs w:val="16"/>
              </w:rPr>
              <w:t>5</w:t>
            </w:r>
          </w:p>
        </w:tc>
        <w:tc>
          <w:tcPr>
            <w:tcW w:w="378" w:type="pct"/>
            <w:tcBorders>
              <w:top w:val="nil"/>
              <w:left w:val="nil"/>
              <w:bottom w:val="single" w:sz="4" w:space="0" w:color="auto"/>
              <w:right w:val="single" w:sz="4" w:space="0" w:color="auto"/>
            </w:tcBorders>
            <w:noWrap/>
            <w:hideMark/>
          </w:tcPr>
          <w:p w14:paraId="199208A3" w14:textId="77777777" w:rsidR="00F421F8" w:rsidRPr="00131EED" w:rsidRDefault="00F421F8">
            <w:pPr>
              <w:jc w:val="center"/>
              <w:rPr>
                <w:i/>
                <w:color w:val="000000"/>
                <w:sz w:val="16"/>
                <w:szCs w:val="16"/>
                <w:lang w:eastAsia="en-US"/>
              </w:rPr>
            </w:pPr>
            <w:r w:rsidRPr="00131EED">
              <w:rPr>
                <w:sz w:val="16"/>
                <w:szCs w:val="16"/>
              </w:rPr>
              <w:t>5</w:t>
            </w:r>
          </w:p>
        </w:tc>
      </w:tr>
      <w:tr w:rsidR="00F421F8" w:rsidRPr="00131EED" w14:paraId="2AA9699C" w14:textId="77777777">
        <w:trPr>
          <w:trHeight w:val="288"/>
          <w:jc w:val="center"/>
        </w:trPr>
        <w:tc>
          <w:tcPr>
            <w:tcW w:w="460" w:type="pct"/>
            <w:tcBorders>
              <w:top w:val="nil"/>
              <w:left w:val="single" w:sz="4" w:space="0" w:color="auto"/>
              <w:bottom w:val="single" w:sz="4" w:space="0" w:color="auto"/>
              <w:right w:val="single" w:sz="4" w:space="0" w:color="auto"/>
            </w:tcBorders>
            <w:noWrap/>
            <w:vAlign w:val="center"/>
            <w:hideMark/>
          </w:tcPr>
          <w:p w14:paraId="54F18B9C" w14:textId="77777777" w:rsidR="00F421F8" w:rsidRPr="00131EED" w:rsidRDefault="00F421F8">
            <w:pPr>
              <w:jc w:val="center"/>
              <w:rPr>
                <w:b/>
                <w:i/>
                <w:color w:val="000000"/>
                <w:sz w:val="16"/>
                <w:szCs w:val="16"/>
                <w:lang w:eastAsia="en-US"/>
              </w:rPr>
            </w:pPr>
            <w:r w:rsidRPr="00131EED">
              <w:rPr>
                <w:b/>
                <w:i/>
                <w:color w:val="000000"/>
                <w:sz w:val="16"/>
                <w:szCs w:val="16"/>
                <w:lang w:eastAsia="en-US"/>
              </w:rPr>
              <w:t>Chipaque</w:t>
            </w:r>
          </w:p>
        </w:tc>
        <w:tc>
          <w:tcPr>
            <w:tcW w:w="378" w:type="pct"/>
            <w:tcBorders>
              <w:top w:val="nil"/>
              <w:left w:val="nil"/>
              <w:bottom w:val="single" w:sz="4" w:space="0" w:color="auto"/>
              <w:right w:val="single" w:sz="4" w:space="0" w:color="auto"/>
            </w:tcBorders>
            <w:noWrap/>
            <w:hideMark/>
          </w:tcPr>
          <w:p w14:paraId="5185D2B0" w14:textId="77777777" w:rsidR="00F421F8" w:rsidRPr="00131EED" w:rsidRDefault="00F421F8">
            <w:pPr>
              <w:jc w:val="center"/>
              <w:rPr>
                <w:i/>
                <w:color w:val="000000"/>
                <w:sz w:val="16"/>
                <w:szCs w:val="16"/>
                <w:lang w:eastAsia="en-US"/>
              </w:rPr>
            </w:pPr>
            <w:r w:rsidRPr="00131EED">
              <w:rPr>
                <w:sz w:val="16"/>
                <w:szCs w:val="16"/>
              </w:rPr>
              <w:t>0</w:t>
            </w:r>
          </w:p>
        </w:tc>
        <w:tc>
          <w:tcPr>
            <w:tcW w:w="378" w:type="pct"/>
            <w:tcBorders>
              <w:top w:val="nil"/>
              <w:left w:val="nil"/>
              <w:bottom w:val="single" w:sz="4" w:space="0" w:color="auto"/>
              <w:right w:val="single" w:sz="4" w:space="0" w:color="auto"/>
            </w:tcBorders>
            <w:noWrap/>
            <w:hideMark/>
          </w:tcPr>
          <w:p w14:paraId="15F07CD0" w14:textId="77777777" w:rsidR="00F421F8" w:rsidRPr="00131EED" w:rsidRDefault="00F421F8">
            <w:pPr>
              <w:jc w:val="center"/>
              <w:rPr>
                <w:i/>
                <w:color w:val="000000"/>
                <w:sz w:val="16"/>
                <w:szCs w:val="16"/>
                <w:lang w:eastAsia="en-US"/>
              </w:rPr>
            </w:pPr>
            <w:r w:rsidRPr="00131EED">
              <w:rPr>
                <w:sz w:val="16"/>
                <w:szCs w:val="16"/>
              </w:rPr>
              <w:t>0</w:t>
            </w:r>
          </w:p>
        </w:tc>
        <w:tc>
          <w:tcPr>
            <w:tcW w:w="378" w:type="pct"/>
            <w:tcBorders>
              <w:top w:val="nil"/>
              <w:left w:val="nil"/>
              <w:bottom w:val="single" w:sz="4" w:space="0" w:color="auto"/>
              <w:right w:val="single" w:sz="4" w:space="0" w:color="auto"/>
            </w:tcBorders>
            <w:noWrap/>
            <w:hideMark/>
          </w:tcPr>
          <w:p w14:paraId="45F0E6FE" w14:textId="77777777" w:rsidR="00F421F8" w:rsidRPr="00131EED" w:rsidRDefault="00F421F8">
            <w:pPr>
              <w:jc w:val="center"/>
              <w:rPr>
                <w:i/>
                <w:color w:val="000000"/>
                <w:sz w:val="16"/>
                <w:szCs w:val="16"/>
                <w:lang w:eastAsia="en-US"/>
              </w:rPr>
            </w:pPr>
            <w:r w:rsidRPr="00131EED">
              <w:rPr>
                <w:sz w:val="16"/>
                <w:szCs w:val="16"/>
              </w:rPr>
              <w:t>0</w:t>
            </w:r>
          </w:p>
        </w:tc>
        <w:tc>
          <w:tcPr>
            <w:tcW w:w="378" w:type="pct"/>
            <w:tcBorders>
              <w:top w:val="nil"/>
              <w:left w:val="nil"/>
              <w:bottom w:val="single" w:sz="4" w:space="0" w:color="auto"/>
              <w:right w:val="single" w:sz="4" w:space="0" w:color="auto"/>
            </w:tcBorders>
            <w:noWrap/>
            <w:hideMark/>
          </w:tcPr>
          <w:p w14:paraId="45DA774A" w14:textId="77777777" w:rsidR="00F421F8" w:rsidRPr="00131EED" w:rsidRDefault="00F421F8">
            <w:pPr>
              <w:jc w:val="center"/>
              <w:rPr>
                <w:i/>
                <w:color w:val="000000"/>
                <w:sz w:val="16"/>
                <w:szCs w:val="16"/>
                <w:lang w:eastAsia="en-US"/>
              </w:rPr>
            </w:pPr>
            <w:r w:rsidRPr="00131EED">
              <w:rPr>
                <w:sz w:val="16"/>
                <w:szCs w:val="16"/>
              </w:rPr>
              <w:t>0</w:t>
            </w:r>
          </w:p>
        </w:tc>
        <w:tc>
          <w:tcPr>
            <w:tcW w:w="378" w:type="pct"/>
            <w:tcBorders>
              <w:top w:val="nil"/>
              <w:left w:val="nil"/>
              <w:bottom w:val="single" w:sz="4" w:space="0" w:color="auto"/>
              <w:right w:val="single" w:sz="4" w:space="0" w:color="auto"/>
            </w:tcBorders>
            <w:noWrap/>
            <w:hideMark/>
          </w:tcPr>
          <w:p w14:paraId="691F23A1" w14:textId="77777777" w:rsidR="00F421F8" w:rsidRPr="00131EED" w:rsidRDefault="00F421F8">
            <w:pPr>
              <w:jc w:val="center"/>
              <w:rPr>
                <w:i/>
                <w:color w:val="000000"/>
                <w:sz w:val="16"/>
                <w:szCs w:val="16"/>
                <w:lang w:eastAsia="en-US"/>
              </w:rPr>
            </w:pPr>
            <w:r w:rsidRPr="00131EED">
              <w:rPr>
                <w:sz w:val="16"/>
                <w:szCs w:val="16"/>
              </w:rPr>
              <w:t>0</w:t>
            </w:r>
          </w:p>
        </w:tc>
        <w:tc>
          <w:tcPr>
            <w:tcW w:w="378" w:type="pct"/>
            <w:tcBorders>
              <w:top w:val="nil"/>
              <w:left w:val="nil"/>
              <w:bottom w:val="single" w:sz="4" w:space="0" w:color="auto"/>
              <w:right w:val="single" w:sz="4" w:space="0" w:color="auto"/>
            </w:tcBorders>
            <w:noWrap/>
            <w:hideMark/>
          </w:tcPr>
          <w:p w14:paraId="6AA6B7D8" w14:textId="77777777" w:rsidR="00F421F8" w:rsidRPr="00131EED" w:rsidRDefault="00F421F8">
            <w:pPr>
              <w:jc w:val="center"/>
              <w:rPr>
                <w:i/>
                <w:color w:val="000000"/>
                <w:sz w:val="16"/>
                <w:szCs w:val="16"/>
                <w:lang w:eastAsia="en-US"/>
              </w:rPr>
            </w:pPr>
            <w:r w:rsidRPr="00131EED">
              <w:rPr>
                <w:sz w:val="16"/>
                <w:szCs w:val="16"/>
              </w:rPr>
              <w:t>0</w:t>
            </w:r>
          </w:p>
        </w:tc>
        <w:tc>
          <w:tcPr>
            <w:tcW w:w="378" w:type="pct"/>
            <w:tcBorders>
              <w:top w:val="nil"/>
              <w:left w:val="nil"/>
              <w:bottom w:val="single" w:sz="4" w:space="0" w:color="auto"/>
              <w:right w:val="single" w:sz="4" w:space="0" w:color="auto"/>
            </w:tcBorders>
            <w:noWrap/>
            <w:hideMark/>
          </w:tcPr>
          <w:p w14:paraId="18E7C9F0" w14:textId="77777777" w:rsidR="00F421F8" w:rsidRPr="00131EED" w:rsidRDefault="00F421F8">
            <w:pPr>
              <w:jc w:val="center"/>
              <w:rPr>
                <w:i/>
                <w:color w:val="000000"/>
                <w:sz w:val="16"/>
                <w:szCs w:val="16"/>
                <w:lang w:eastAsia="en-US"/>
              </w:rPr>
            </w:pPr>
            <w:r w:rsidRPr="00131EED">
              <w:rPr>
                <w:sz w:val="16"/>
                <w:szCs w:val="16"/>
              </w:rPr>
              <w:t>0</w:t>
            </w:r>
          </w:p>
        </w:tc>
        <w:tc>
          <w:tcPr>
            <w:tcW w:w="378" w:type="pct"/>
            <w:tcBorders>
              <w:top w:val="nil"/>
              <w:left w:val="nil"/>
              <w:bottom w:val="single" w:sz="4" w:space="0" w:color="auto"/>
              <w:right w:val="single" w:sz="4" w:space="0" w:color="auto"/>
            </w:tcBorders>
            <w:noWrap/>
            <w:hideMark/>
          </w:tcPr>
          <w:p w14:paraId="0F3AC851" w14:textId="77777777" w:rsidR="00F421F8" w:rsidRPr="00131EED" w:rsidRDefault="00F421F8">
            <w:pPr>
              <w:jc w:val="center"/>
              <w:rPr>
                <w:i/>
                <w:color w:val="000000"/>
                <w:sz w:val="16"/>
                <w:szCs w:val="16"/>
                <w:lang w:eastAsia="en-US"/>
              </w:rPr>
            </w:pPr>
            <w:r w:rsidRPr="00131EED">
              <w:rPr>
                <w:sz w:val="16"/>
                <w:szCs w:val="16"/>
              </w:rPr>
              <w:t>0</w:t>
            </w:r>
          </w:p>
        </w:tc>
        <w:tc>
          <w:tcPr>
            <w:tcW w:w="378" w:type="pct"/>
            <w:tcBorders>
              <w:top w:val="nil"/>
              <w:left w:val="nil"/>
              <w:bottom w:val="single" w:sz="4" w:space="0" w:color="auto"/>
              <w:right w:val="single" w:sz="4" w:space="0" w:color="auto"/>
            </w:tcBorders>
            <w:noWrap/>
            <w:hideMark/>
          </w:tcPr>
          <w:p w14:paraId="5D2393E1" w14:textId="77777777" w:rsidR="00F421F8" w:rsidRPr="00131EED" w:rsidRDefault="00F421F8">
            <w:pPr>
              <w:jc w:val="center"/>
              <w:rPr>
                <w:i/>
                <w:color w:val="000000"/>
                <w:sz w:val="16"/>
                <w:szCs w:val="16"/>
                <w:lang w:eastAsia="en-US"/>
              </w:rPr>
            </w:pPr>
            <w:r w:rsidRPr="00131EED">
              <w:rPr>
                <w:sz w:val="16"/>
                <w:szCs w:val="16"/>
              </w:rPr>
              <w:t>0</w:t>
            </w:r>
          </w:p>
        </w:tc>
        <w:tc>
          <w:tcPr>
            <w:tcW w:w="378" w:type="pct"/>
            <w:tcBorders>
              <w:top w:val="nil"/>
              <w:left w:val="nil"/>
              <w:bottom w:val="single" w:sz="4" w:space="0" w:color="auto"/>
              <w:right w:val="single" w:sz="4" w:space="0" w:color="auto"/>
            </w:tcBorders>
            <w:noWrap/>
            <w:hideMark/>
          </w:tcPr>
          <w:p w14:paraId="38ED1161" w14:textId="77777777" w:rsidR="00F421F8" w:rsidRPr="00131EED" w:rsidRDefault="00F421F8">
            <w:pPr>
              <w:jc w:val="center"/>
              <w:rPr>
                <w:i/>
                <w:color w:val="000000"/>
                <w:sz w:val="16"/>
                <w:szCs w:val="16"/>
                <w:lang w:eastAsia="en-US"/>
              </w:rPr>
            </w:pPr>
            <w:r w:rsidRPr="00131EED">
              <w:rPr>
                <w:sz w:val="16"/>
                <w:szCs w:val="16"/>
              </w:rPr>
              <w:t>0</w:t>
            </w:r>
          </w:p>
        </w:tc>
        <w:tc>
          <w:tcPr>
            <w:tcW w:w="378" w:type="pct"/>
            <w:tcBorders>
              <w:top w:val="nil"/>
              <w:left w:val="nil"/>
              <w:bottom w:val="single" w:sz="4" w:space="0" w:color="auto"/>
              <w:right w:val="single" w:sz="4" w:space="0" w:color="auto"/>
            </w:tcBorders>
            <w:noWrap/>
            <w:hideMark/>
          </w:tcPr>
          <w:p w14:paraId="79C08CA1" w14:textId="77777777" w:rsidR="00F421F8" w:rsidRPr="00131EED" w:rsidRDefault="00F421F8">
            <w:pPr>
              <w:jc w:val="center"/>
              <w:rPr>
                <w:i/>
                <w:color w:val="000000"/>
                <w:sz w:val="16"/>
                <w:szCs w:val="16"/>
                <w:lang w:eastAsia="en-US"/>
              </w:rPr>
            </w:pPr>
            <w:r w:rsidRPr="00131EED">
              <w:rPr>
                <w:sz w:val="16"/>
                <w:szCs w:val="16"/>
              </w:rPr>
              <w:t>0</w:t>
            </w:r>
          </w:p>
        </w:tc>
        <w:tc>
          <w:tcPr>
            <w:tcW w:w="378" w:type="pct"/>
            <w:tcBorders>
              <w:top w:val="nil"/>
              <w:left w:val="nil"/>
              <w:bottom w:val="single" w:sz="4" w:space="0" w:color="auto"/>
              <w:right w:val="single" w:sz="4" w:space="0" w:color="auto"/>
            </w:tcBorders>
            <w:noWrap/>
            <w:hideMark/>
          </w:tcPr>
          <w:p w14:paraId="6ADFE6E2" w14:textId="77777777" w:rsidR="00F421F8" w:rsidRPr="00131EED" w:rsidRDefault="00F421F8">
            <w:pPr>
              <w:jc w:val="center"/>
              <w:rPr>
                <w:i/>
                <w:color w:val="000000"/>
                <w:sz w:val="16"/>
                <w:szCs w:val="16"/>
                <w:lang w:eastAsia="en-US"/>
              </w:rPr>
            </w:pPr>
            <w:r w:rsidRPr="00131EED">
              <w:rPr>
                <w:sz w:val="16"/>
                <w:szCs w:val="16"/>
              </w:rPr>
              <w:t>0</w:t>
            </w:r>
          </w:p>
        </w:tc>
      </w:tr>
    </w:tbl>
    <w:p w14:paraId="404542BD" w14:textId="77777777" w:rsidR="00F421F8" w:rsidRPr="00131EED" w:rsidRDefault="00F421F8" w:rsidP="00F421F8">
      <w:pPr>
        <w:pStyle w:val="Caption"/>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Fuente: MinAmbiente con información de GHSL de Google (2013).</w:t>
      </w:r>
    </w:p>
    <w:p w14:paraId="3C1E27EC" w14:textId="77777777" w:rsidR="00F421F8" w:rsidRPr="00131EED" w:rsidRDefault="00F421F8" w:rsidP="00F421F8">
      <w:r w:rsidRPr="00131EED">
        <w:t>Con base en la tabla anterior, es posible identificar que entre los municipios de la sabana que han presentado mayor área construida a lo largo del tiempo, se encuentra en primer lugar el Distrito Capital de Bogotá, seguido por los municipios de Soacha, Madrid, Chía y Facatativá.</w:t>
      </w:r>
    </w:p>
    <w:p w14:paraId="6BEE6BB6" w14:textId="77777777" w:rsidR="00F421F8" w:rsidRPr="00131EED" w:rsidRDefault="00F421F8" w:rsidP="00F421F8"/>
    <w:p w14:paraId="34A7234C" w14:textId="1CF6B8D1" w:rsidR="00F421F8" w:rsidRPr="00131EED" w:rsidRDefault="00F421F8" w:rsidP="00F421F8">
      <w:pPr>
        <w:pStyle w:val="Caption"/>
        <w:jc w:val="center"/>
      </w:pPr>
      <w:bookmarkStart w:id="279" w:name="_Toc216468954"/>
      <w:r w:rsidRPr="00131EED">
        <w:t xml:space="preserve">Tabla </w:t>
      </w:r>
      <w:fldSimple w:instr=" SEQ Tabla \* ARABIC ">
        <w:r w:rsidR="00CE096F">
          <w:rPr>
            <w:noProof/>
          </w:rPr>
          <w:t>44</w:t>
        </w:r>
      </w:fldSimple>
      <w:r w:rsidRPr="00131EED">
        <w:t>. Municipios con mayor área construida estimada en el periodo 1975 - 2023.</w:t>
      </w:r>
      <w:bookmarkEnd w:id="279"/>
    </w:p>
    <w:tbl>
      <w:tblPr>
        <w:tblW w:w="8860" w:type="dxa"/>
        <w:tblLook w:val="04A0" w:firstRow="1" w:lastRow="0" w:firstColumn="1" w:lastColumn="0" w:noHBand="0" w:noVBand="1"/>
      </w:tblPr>
      <w:tblGrid>
        <w:gridCol w:w="1540"/>
        <w:gridCol w:w="1480"/>
        <w:gridCol w:w="1480"/>
        <w:gridCol w:w="1480"/>
        <w:gridCol w:w="1480"/>
        <w:gridCol w:w="1400"/>
      </w:tblGrid>
      <w:tr w:rsidR="00F421F8" w:rsidRPr="00131EED" w14:paraId="20834E36" w14:textId="77777777">
        <w:trPr>
          <w:trHeight w:val="288"/>
          <w:tblHeader/>
        </w:trPr>
        <w:tc>
          <w:tcPr>
            <w:tcW w:w="1540" w:type="dxa"/>
            <w:tcBorders>
              <w:top w:val="single" w:sz="4" w:space="0" w:color="auto"/>
              <w:left w:val="single" w:sz="4" w:space="0" w:color="auto"/>
              <w:bottom w:val="single" w:sz="4" w:space="0" w:color="auto"/>
              <w:right w:val="single" w:sz="4" w:space="0" w:color="auto"/>
            </w:tcBorders>
            <w:noWrap/>
            <w:vAlign w:val="center"/>
            <w:hideMark/>
          </w:tcPr>
          <w:p w14:paraId="0B01EFF5" w14:textId="77777777" w:rsidR="00F421F8" w:rsidRPr="00131EED" w:rsidRDefault="00F421F8">
            <w:pPr>
              <w:jc w:val="center"/>
              <w:rPr>
                <w:b/>
                <w:color w:val="000000"/>
                <w:sz w:val="20"/>
                <w:szCs w:val="20"/>
              </w:rPr>
            </w:pPr>
            <w:r w:rsidRPr="00131EED">
              <w:rPr>
                <w:b/>
                <w:color w:val="000000"/>
                <w:sz w:val="20"/>
                <w:szCs w:val="20"/>
              </w:rPr>
              <w:t>Municipio</w:t>
            </w:r>
          </w:p>
        </w:tc>
        <w:tc>
          <w:tcPr>
            <w:tcW w:w="1480" w:type="dxa"/>
            <w:tcBorders>
              <w:top w:val="single" w:sz="4" w:space="0" w:color="auto"/>
              <w:left w:val="nil"/>
              <w:bottom w:val="single" w:sz="4" w:space="0" w:color="auto"/>
              <w:right w:val="single" w:sz="4" w:space="0" w:color="auto"/>
            </w:tcBorders>
            <w:noWrap/>
            <w:vAlign w:val="center"/>
            <w:hideMark/>
          </w:tcPr>
          <w:p w14:paraId="645F3935" w14:textId="77777777" w:rsidR="00F421F8" w:rsidRPr="00131EED" w:rsidRDefault="00F421F8">
            <w:pPr>
              <w:jc w:val="center"/>
              <w:rPr>
                <w:b/>
                <w:color w:val="000000"/>
                <w:sz w:val="20"/>
                <w:szCs w:val="20"/>
              </w:rPr>
            </w:pPr>
            <w:r w:rsidRPr="00131EED">
              <w:rPr>
                <w:b/>
                <w:color w:val="000000"/>
                <w:sz w:val="20"/>
                <w:szCs w:val="20"/>
              </w:rPr>
              <w:t>Bogotá, D.C.</w:t>
            </w:r>
          </w:p>
        </w:tc>
        <w:tc>
          <w:tcPr>
            <w:tcW w:w="1480" w:type="dxa"/>
            <w:tcBorders>
              <w:top w:val="single" w:sz="4" w:space="0" w:color="auto"/>
              <w:left w:val="nil"/>
              <w:bottom w:val="single" w:sz="4" w:space="0" w:color="auto"/>
              <w:right w:val="single" w:sz="4" w:space="0" w:color="auto"/>
            </w:tcBorders>
            <w:noWrap/>
            <w:vAlign w:val="center"/>
            <w:hideMark/>
          </w:tcPr>
          <w:p w14:paraId="342290BA" w14:textId="77777777" w:rsidR="00F421F8" w:rsidRPr="00131EED" w:rsidRDefault="00F421F8">
            <w:pPr>
              <w:jc w:val="center"/>
              <w:rPr>
                <w:b/>
                <w:color w:val="000000"/>
                <w:sz w:val="20"/>
                <w:szCs w:val="20"/>
              </w:rPr>
            </w:pPr>
            <w:r w:rsidRPr="00131EED">
              <w:rPr>
                <w:b/>
                <w:color w:val="000000"/>
                <w:sz w:val="20"/>
                <w:szCs w:val="20"/>
              </w:rPr>
              <w:t>Soacha</w:t>
            </w:r>
          </w:p>
        </w:tc>
        <w:tc>
          <w:tcPr>
            <w:tcW w:w="1480" w:type="dxa"/>
            <w:tcBorders>
              <w:top w:val="single" w:sz="4" w:space="0" w:color="auto"/>
              <w:left w:val="nil"/>
              <w:bottom w:val="single" w:sz="4" w:space="0" w:color="auto"/>
              <w:right w:val="single" w:sz="4" w:space="0" w:color="auto"/>
            </w:tcBorders>
            <w:noWrap/>
            <w:vAlign w:val="center"/>
            <w:hideMark/>
          </w:tcPr>
          <w:p w14:paraId="2D170DAF" w14:textId="77777777" w:rsidR="00F421F8" w:rsidRPr="00131EED" w:rsidRDefault="00F421F8">
            <w:pPr>
              <w:jc w:val="center"/>
              <w:rPr>
                <w:b/>
                <w:color w:val="000000"/>
                <w:sz w:val="20"/>
                <w:szCs w:val="20"/>
              </w:rPr>
            </w:pPr>
            <w:r w:rsidRPr="00131EED">
              <w:rPr>
                <w:b/>
                <w:color w:val="000000"/>
                <w:sz w:val="20"/>
                <w:szCs w:val="20"/>
              </w:rPr>
              <w:t>Madrid</w:t>
            </w:r>
          </w:p>
        </w:tc>
        <w:tc>
          <w:tcPr>
            <w:tcW w:w="1480" w:type="dxa"/>
            <w:tcBorders>
              <w:top w:val="single" w:sz="4" w:space="0" w:color="auto"/>
              <w:left w:val="nil"/>
              <w:bottom w:val="single" w:sz="4" w:space="0" w:color="auto"/>
              <w:right w:val="single" w:sz="4" w:space="0" w:color="auto"/>
            </w:tcBorders>
            <w:noWrap/>
            <w:vAlign w:val="center"/>
            <w:hideMark/>
          </w:tcPr>
          <w:p w14:paraId="6874AB71" w14:textId="77777777" w:rsidR="00F421F8" w:rsidRPr="00131EED" w:rsidRDefault="00F421F8">
            <w:pPr>
              <w:jc w:val="center"/>
              <w:rPr>
                <w:b/>
                <w:color w:val="000000"/>
                <w:sz w:val="20"/>
                <w:szCs w:val="20"/>
              </w:rPr>
            </w:pPr>
            <w:r w:rsidRPr="00131EED">
              <w:rPr>
                <w:b/>
                <w:color w:val="000000"/>
                <w:sz w:val="20"/>
                <w:szCs w:val="20"/>
              </w:rPr>
              <w:t>Chía</w:t>
            </w:r>
          </w:p>
        </w:tc>
        <w:tc>
          <w:tcPr>
            <w:tcW w:w="1400" w:type="dxa"/>
            <w:tcBorders>
              <w:top w:val="single" w:sz="4" w:space="0" w:color="auto"/>
              <w:left w:val="nil"/>
              <w:bottom w:val="single" w:sz="4" w:space="0" w:color="auto"/>
              <w:right w:val="single" w:sz="4" w:space="0" w:color="auto"/>
            </w:tcBorders>
            <w:noWrap/>
            <w:vAlign w:val="center"/>
            <w:hideMark/>
          </w:tcPr>
          <w:p w14:paraId="5EE20915" w14:textId="77777777" w:rsidR="00F421F8" w:rsidRPr="00131EED" w:rsidRDefault="00F421F8">
            <w:pPr>
              <w:jc w:val="center"/>
              <w:rPr>
                <w:b/>
                <w:color w:val="000000"/>
                <w:sz w:val="20"/>
                <w:szCs w:val="20"/>
              </w:rPr>
            </w:pPr>
            <w:r w:rsidRPr="00131EED">
              <w:rPr>
                <w:b/>
                <w:color w:val="000000"/>
                <w:sz w:val="20"/>
                <w:szCs w:val="20"/>
              </w:rPr>
              <w:t>Facatativá</w:t>
            </w:r>
          </w:p>
        </w:tc>
      </w:tr>
      <w:tr w:rsidR="00F421F8" w:rsidRPr="00131EED" w14:paraId="18CBA341"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685C3073" w14:textId="77777777" w:rsidR="00F421F8" w:rsidRPr="00131EED" w:rsidRDefault="00F421F8">
            <w:pPr>
              <w:jc w:val="center"/>
              <w:rPr>
                <w:b/>
                <w:color w:val="000000"/>
                <w:sz w:val="20"/>
                <w:szCs w:val="20"/>
              </w:rPr>
            </w:pPr>
            <w:r w:rsidRPr="00131EED">
              <w:rPr>
                <w:b/>
                <w:color w:val="000000"/>
                <w:sz w:val="20"/>
                <w:szCs w:val="20"/>
              </w:rPr>
              <w:t>1975</w:t>
            </w:r>
          </w:p>
        </w:tc>
        <w:tc>
          <w:tcPr>
            <w:tcW w:w="1480" w:type="dxa"/>
            <w:tcBorders>
              <w:top w:val="nil"/>
              <w:left w:val="nil"/>
              <w:bottom w:val="single" w:sz="4" w:space="0" w:color="auto"/>
              <w:right w:val="single" w:sz="4" w:space="0" w:color="auto"/>
            </w:tcBorders>
            <w:noWrap/>
            <w:vAlign w:val="bottom"/>
            <w:hideMark/>
          </w:tcPr>
          <w:p w14:paraId="33BBACE1" w14:textId="77777777" w:rsidR="00F421F8" w:rsidRPr="00131EED" w:rsidRDefault="00F421F8">
            <w:pPr>
              <w:jc w:val="center"/>
              <w:rPr>
                <w:color w:val="000000"/>
                <w:sz w:val="20"/>
                <w:szCs w:val="20"/>
              </w:rPr>
            </w:pPr>
            <w:r w:rsidRPr="00131EED">
              <w:rPr>
                <w:color w:val="000000"/>
                <w:sz w:val="20"/>
                <w:szCs w:val="20"/>
              </w:rPr>
              <w:t>102.77</w:t>
            </w:r>
          </w:p>
        </w:tc>
        <w:tc>
          <w:tcPr>
            <w:tcW w:w="1480" w:type="dxa"/>
            <w:tcBorders>
              <w:top w:val="nil"/>
              <w:left w:val="nil"/>
              <w:bottom w:val="single" w:sz="4" w:space="0" w:color="auto"/>
              <w:right w:val="single" w:sz="4" w:space="0" w:color="auto"/>
            </w:tcBorders>
            <w:noWrap/>
            <w:vAlign w:val="bottom"/>
            <w:hideMark/>
          </w:tcPr>
          <w:p w14:paraId="41E40C4E" w14:textId="77777777" w:rsidR="00F421F8" w:rsidRPr="00131EED" w:rsidRDefault="00F421F8">
            <w:pPr>
              <w:jc w:val="center"/>
              <w:rPr>
                <w:color w:val="000000"/>
                <w:sz w:val="20"/>
                <w:szCs w:val="20"/>
              </w:rPr>
            </w:pPr>
            <w:r w:rsidRPr="00131EED">
              <w:rPr>
                <w:color w:val="000000"/>
                <w:sz w:val="20"/>
                <w:szCs w:val="20"/>
              </w:rPr>
              <w:t>6.31</w:t>
            </w:r>
          </w:p>
        </w:tc>
        <w:tc>
          <w:tcPr>
            <w:tcW w:w="1480" w:type="dxa"/>
            <w:tcBorders>
              <w:top w:val="nil"/>
              <w:left w:val="nil"/>
              <w:bottom w:val="single" w:sz="4" w:space="0" w:color="auto"/>
              <w:right w:val="single" w:sz="4" w:space="0" w:color="auto"/>
            </w:tcBorders>
            <w:noWrap/>
            <w:vAlign w:val="bottom"/>
            <w:hideMark/>
          </w:tcPr>
          <w:p w14:paraId="64B8DAA2" w14:textId="77777777" w:rsidR="00F421F8" w:rsidRPr="00131EED" w:rsidRDefault="00F421F8">
            <w:pPr>
              <w:jc w:val="center"/>
              <w:rPr>
                <w:color w:val="000000"/>
                <w:sz w:val="20"/>
                <w:szCs w:val="20"/>
              </w:rPr>
            </w:pPr>
            <w:r w:rsidRPr="00131EED">
              <w:rPr>
                <w:color w:val="000000"/>
                <w:sz w:val="20"/>
                <w:szCs w:val="20"/>
              </w:rPr>
              <w:t>4.35</w:t>
            </w:r>
          </w:p>
        </w:tc>
        <w:tc>
          <w:tcPr>
            <w:tcW w:w="1480" w:type="dxa"/>
            <w:tcBorders>
              <w:top w:val="nil"/>
              <w:left w:val="nil"/>
              <w:bottom w:val="single" w:sz="4" w:space="0" w:color="auto"/>
              <w:right w:val="single" w:sz="4" w:space="0" w:color="auto"/>
            </w:tcBorders>
            <w:noWrap/>
            <w:vAlign w:val="bottom"/>
            <w:hideMark/>
          </w:tcPr>
          <w:p w14:paraId="22A871F0" w14:textId="77777777" w:rsidR="00F421F8" w:rsidRPr="00131EED" w:rsidRDefault="00F421F8">
            <w:pPr>
              <w:jc w:val="center"/>
              <w:rPr>
                <w:color w:val="000000"/>
                <w:sz w:val="20"/>
                <w:szCs w:val="20"/>
              </w:rPr>
            </w:pPr>
            <w:r w:rsidRPr="00131EED">
              <w:rPr>
                <w:color w:val="000000"/>
                <w:sz w:val="20"/>
                <w:szCs w:val="20"/>
              </w:rPr>
              <w:t>3.69</w:t>
            </w:r>
          </w:p>
        </w:tc>
        <w:tc>
          <w:tcPr>
            <w:tcW w:w="1400" w:type="dxa"/>
            <w:tcBorders>
              <w:top w:val="nil"/>
              <w:left w:val="nil"/>
              <w:bottom w:val="single" w:sz="4" w:space="0" w:color="auto"/>
              <w:right w:val="single" w:sz="4" w:space="0" w:color="auto"/>
            </w:tcBorders>
            <w:noWrap/>
            <w:vAlign w:val="bottom"/>
            <w:hideMark/>
          </w:tcPr>
          <w:p w14:paraId="3327CC0B" w14:textId="77777777" w:rsidR="00F421F8" w:rsidRPr="00131EED" w:rsidRDefault="00F421F8">
            <w:pPr>
              <w:jc w:val="center"/>
              <w:rPr>
                <w:color w:val="000000"/>
                <w:sz w:val="20"/>
                <w:szCs w:val="20"/>
              </w:rPr>
            </w:pPr>
            <w:r w:rsidRPr="00131EED">
              <w:rPr>
                <w:color w:val="000000"/>
                <w:sz w:val="20"/>
                <w:szCs w:val="20"/>
              </w:rPr>
              <w:t>2.41</w:t>
            </w:r>
          </w:p>
        </w:tc>
      </w:tr>
      <w:tr w:rsidR="00F421F8" w:rsidRPr="00131EED" w14:paraId="6FCADF58"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5742C59C" w14:textId="77777777" w:rsidR="00F421F8" w:rsidRPr="00131EED" w:rsidRDefault="00F421F8">
            <w:pPr>
              <w:jc w:val="center"/>
              <w:rPr>
                <w:b/>
                <w:color w:val="000000"/>
                <w:sz w:val="20"/>
                <w:szCs w:val="20"/>
              </w:rPr>
            </w:pPr>
            <w:r w:rsidRPr="00131EED">
              <w:rPr>
                <w:b/>
                <w:color w:val="000000"/>
                <w:sz w:val="20"/>
                <w:szCs w:val="20"/>
              </w:rPr>
              <w:t>1980</w:t>
            </w:r>
          </w:p>
        </w:tc>
        <w:tc>
          <w:tcPr>
            <w:tcW w:w="1480" w:type="dxa"/>
            <w:tcBorders>
              <w:top w:val="nil"/>
              <w:left w:val="nil"/>
              <w:bottom w:val="single" w:sz="4" w:space="0" w:color="auto"/>
              <w:right w:val="single" w:sz="4" w:space="0" w:color="auto"/>
            </w:tcBorders>
            <w:noWrap/>
            <w:vAlign w:val="bottom"/>
            <w:hideMark/>
          </w:tcPr>
          <w:p w14:paraId="37A3D913" w14:textId="77777777" w:rsidR="00F421F8" w:rsidRPr="00131EED" w:rsidRDefault="00F421F8">
            <w:pPr>
              <w:jc w:val="center"/>
              <w:rPr>
                <w:color w:val="000000"/>
                <w:sz w:val="20"/>
                <w:szCs w:val="20"/>
              </w:rPr>
            </w:pPr>
            <w:r w:rsidRPr="00131EED">
              <w:rPr>
                <w:color w:val="000000"/>
                <w:sz w:val="20"/>
                <w:szCs w:val="20"/>
              </w:rPr>
              <w:t>103.85</w:t>
            </w:r>
          </w:p>
        </w:tc>
        <w:tc>
          <w:tcPr>
            <w:tcW w:w="1480" w:type="dxa"/>
            <w:tcBorders>
              <w:top w:val="nil"/>
              <w:left w:val="nil"/>
              <w:bottom w:val="single" w:sz="4" w:space="0" w:color="auto"/>
              <w:right w:val="single" w:sz="4" w:space="0" w:color="auto"/>
            </w:tcBorders>
            <w:noWrap/>
            <w:vAlign w:val="bottom"/>
            <w:hideMark/>
          </w:tcPr>
          <w:p w14:paraId="23CB7ADB" w14:textId="77777777" w:rsidR="00F421F8" w:rsidRPr="00131EED" w:rsidRDefault="00F421F8">
            <w:pPr>
              <w:jc w:val="center"/>
              <w:rPr>
                <w:color w:val="000000"/>
                <w:sz w:val="20"/>
                <w:szCs w:val="20"/>
              </w:rPr>
            </w:pPr>
            <w:r w:rsidRPr="00131EED">
              <w:rPr>
                <w:color w:val="000000"/>
                <w:sz w:val="20"/>
                <w:szCs w:val="20"/>
              </w:rPr>
              <w:t>6.44</w:t>
            </w:r>
          </w:p>
        </w:tc>
        <w:tc>
          <w:tcPr>
            <w:tcW w:w="1480" w:type="dxa"/>
            <w:tcBorders>
              <w:top w:val="nil"/>
              <w:left w:val="nil"/>
              <w:bottom w:val="single" w:sz="4" w:space="0" w:color="auto"/>
              <w:right w:val="single" w:sz="4" w:space="0" w:color="auto"/>
            </w:tcBorders>
            <w:noWrap/>
            <w:vAlign w:val="bottom"/>
            <w:hideMark/>
          </w:tcPr>
          <w:p w14:paraId="5034EBF0" w14:textId="77777777" w:rsidR="00F421F8" w:rsidRPr="00131EED" w:rsidRDefault="00F421F8">
            <w:pPr>
              <w:jc w:val="center"/>
              <w:rPr>
                <w:color w:val="000000"/>
                <w:sz w:val="20"/>
                <w:szCs w:val="20"/>
              </w:rPr>
            </w:pPr>
            <w:r w:rsidRPr="00131EED">
              <w:rPr>
                <w:color w:val="000000"/>
                <w:sz w:val="20"/>
                <w:szCs w:val="20"/>
              </w:rPr>
              <w:t>5.40</w:t>
            </w:r>
          </w:p>
        </w:tc>
        <w:tc>
          <w:tcPr>
            <w:tcW w:w="1480" w:type="dxa"/>
            <w:tcBorders>
              <w:top w:val="nil"/>
              <w:left w:val="nil"/>
              <w:bottom w:val="single" w:sz="4" w:space="0" w:color="auto"/>
              <w:right w:val="single" w:sz="4" w:space="0" w:color="auto"/>
            </w:tcBorders>
            <w:noWrap/>
            <w:vAlign w:val="bottom"/>
            <w:hideMark/>
          </w:tcPr>
          <w:p w14:paraId="194C41DD" w14:textId="77777777" w:rsidR="00F421F8" w:rsidRPr="00131EED" w:rsidRDefault="00F421F8">
            <w:pPr>
              <w:jc w:val="center"/>
              <w:rPr>
                <w:color w:val="000000"/>
                <w:sz w:val="20"/>
                <w:szCs w:val="20"/>
              </w:rPr>
            </w:pPr>
            <w:r w:rsidRPr="00131EED">
              <w:rPr>
                <w:color w:val="000000"/>
                <w:sz w:val="20"/>
                <w:szCs w:val="20"/>
              </w:rPr>
              <w:t>4.24</w:t>
            </w:r>
          </w:p>
        </w:tc>
        <w:tc>
          <w:tcPr>
            <w:tcW w:w="1400" w:type="dxa"/>
            <w:tcBorders>
              <w:top w:val="nil"/>
              <w:left w:val="nil"/>
              <w:bottom w:val="single" w:sz="4" w:space="0" w:color="auto"/>
              <w:right w:val="single" w:sz="4" w:space="0" w:color="auto"/>
            </w:tcBorders>
            <w:noWrap/>
            <w:vAlign w:val="bottom"/>
            <w:hideMark/>
          </w:tcPr>
          <w:p w14:paraId="1D876F70" w14:textId="77777777" w:rsidR="00F421F8" w:rsidRPr="00131EED" w:rsidRDefault="00F421F8">
            <w:pPr>
              <w:jc w:val="center"/>
              <w:rPr>
                <w:color w:val="000000"/>
                <w:sz w:val="20"/>
                <w:szCs w:val="20"/>
              </w:rPr>
            </w:pPr>
            <w:r w:rsidRPr="00131EED">
              <w:rPr>
                <w:color w:val="000000"/>
                <w:sz w:val="20"/>
                <w:szCs w:val="20"/>
              </w:rPr>
              <w:t>2.79</w:t>
            </w:r>
          </w:p>
        </w:tc>
      </w:tr>
      <w:tr w:rsidR="00F421F8" w:rsidRPr="00131EED" w14:paraId="3ECDF8F2"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54E733FF" w14:textId="77777777" w:rsidR="00F421F8" w:rsidRPr="00131EED" w:rsidRDefault="00F421F8">
            <w:pPr>
              <w:jc w:val="center"/>
              <w:rPr>
                <w:b/>
                <w:color w:val="000000"/>
                <w:sz w:val="20"/>
                <w:szCs w:val="20"/>
              </w:rPr>
            </w:pPr>
            <w:r w:rsidRPr="00131EED">
              <w:rPr>
                <w:b/>
                <w:color w:val="000000"/>
                <w:sz w:val="20"/>
                <w:szCs w:val="20"/>
              </w:rPr>
              <w:t>1985</w:t>
            </w:r>
          </w:p>
        </w:tc>
        <w:tc>
          <w:tcPr>
            <w:tcW w:w="1480" w:type="dxa"/>
            <w:tcBorders>
              <w:top w:val="nil"/>
              <w:left w:val="nil"/>
              <w:bottom w:val="single" w:sz="4" w:space="0" w:color="auto"/>
              <w:right w:val="single" w:sz="4" w:space="0" w:color="auto"/>
            </w:tcBorders>
            <w:noWrap/>
            <w:vAlign w:val="bottom"/>
            <w:hideMark/>
          </w:tcPr>
          <w:p w14:paraId="44C28F62" w14:textId="77777777" w:rsidR="00F421F8" w:rsidRPr="00131EED" w:rsidRDefault="00F421F8">
            <w:pPr>
              <w:jc w:val="center"/>
              <w:rPr>
                <w:color w:val="000000"/>
                <w:sz w:val="20"/>
                <w:szCs w:val="20"/>
              </w:rPr>
            </w:pPr>
            <w:r w:rsidRPr="00131EED">
              <w:rPr>
                <w:color w:val="000000"/>
                <w:sz w:val="20"/>
                <w:szCs w:val="20"/>
              </w:rPr>
              <w:t>104.97</w:t>
            </w:r>
          </w:p>
        </w:tc>
        <w:tc>
          <w:tcPr>
            <w:tcW w:w="1480" w:type="dxa"/>
            <w:tcBorders>
              <w:top w:val="nil"/>
              <w:left w:val="nil"/>
              <w:bottom w:val="single" w:sz="4" w:space="0" w:color="auto"/>
              <w:right w:val="single" w:sz="4" w:space="0" w:color="auto"/>
            </w:tcBorders>
            <w:noWrap/>
            <w:vAlign w:val="bottom"/>
            <w:hideMark/>
          </w:tcPr>
          <w:p w14:paraId="770382F5" w14:textId="77777777" w:rsidR="00F421F8" w:rsidRPr="00131EED" w:rsidRDefault="00F421F8">
            <w:pPr>
              <w:jc w:val="center"/>
              <w:rPr>
                <w:color w:val="000000"/>
                <w:sz w:val="20"/>
                <w:szCs w:val="20"/>
              </w:rPr>
            </w:pPr>
            <w:r w:rsidRPr="00131EED">
              <w:rPr>
                <w:color w:val="000000"/>
                <w:sz w:val="20"/>
                <w:szCs w:val="20"/>
              </w:rPr>
              <w:t>6.58</w:t>
            </w:r>
          </w:p>
        </w:tc>
        <w:tc>
          <w:tcPr>
            <w:tcW w:w="1480" w:type="dxa"/>
            <w:tcBorders>
              <w:top w:val="nil"/>
              <w:left w:val="nil"/>
              <w:bottom w:val="single" w:sz="4" w:space="0" w:color="auto"/>
              <w:right w:val="single" w:sz="4" w:space="0" w:color="auto"/>
            </w:tcBorders>
            <w:noWrap/>
            <w:vAlign w:val="bottom"/>
            <w:hideMark/>
          </w:tcPr>
          <w:p w14:paraId="5CC3E178" w14:textId="77777777" w:rsidR="00F421F8" w:rsidRPr="00131EED" w:rsidRDefault="00F421F8">
            <w:pPr>
              <w:jc w:val="center"/>
              <w:rPr>
                <w:color w:val="000000"/>
                <w:sz w:val="20"/>
                <w:szCs w:val="20"/>
              </w:rPr>
            </w:pPr>
            <w:r w:rsidRPr="00131EED">
              <w:rPr>
                <w:color w:val="000000"/>
                <w:sz w:val="20"/>
                <w:szCs w:val="20"/>
              </w:rPr>
              <w:t>6.50</w:t>
            </w:r>
          </w:p>
        </w:tc>
        <w:tc>
          <w:tcPr>
            <w:tcW w:w="1480" w:type="dxa"/>
            <w:tcBorders>
              <w:top w:val="nil"/>
              <w:left w:val="nil"/>
              <w:bottom w:val="single" w:sz="4" w:space="0" w:color="auto"/>
              <w:right w:val="single" w:sz="4" w:space="0" w:color="auto"/>
            </w:tcBorders>
            <w:noWrap/>
            <w:vAlign w:val="bottom"/>
            <w:hideMark/>
          </w:tcPr>
          <w:p w14:paraId="61ADAB28" w14:textId="77777777" w:rsidR="00F421F8" w:rsidRPr="00131EED" w:rsidRDefault="00F421F8">
            <w:pPr>
              <w:jc w:val="center"/>
              <w:rPr>
                <w:color w:val="000000"/>
                <w:sz w:val="20"/>
                <w:szCs w:val="20"/>
              </w:rPr>
            </w:pPr>
            <w:r w:rsidRPr="00131EED">
              <w:rPr>
                <w:color w:val="000000"/>
                <w:sz w:val="20"/>
                <w:szCs w:val="20"/>
              </w:rPr>
              <w:t>4.82</w:t>
            </w:r>
          </w:p>
        </w:tc>
        <w:tc>
          <w:tcPr>
            <w:tcW w:w="1400" w:type="dxa"/>
            <w:tcBorders>
              <w:top w:val="nil"/>
              <w:left w:val="nil"/>
              <w:bottom w:val="single" w:sz="4" w:space="0" w:color="auto"/>
              <w:right w:val="single" w:sz="4" w:space="0" w:color="auto"/>
            </w:tcBorders>
            <w:noWrap/>
            <w:vAlign w:val="bottom"/>
            <w:hideMark/>
          </w:tcPr>
          <w:p w14:paraId="5E8C1351" w14:textId="77777777" w:rsidR="00F421F8" w:rsidRPr="00131EED" w:rsidRDefault="00F421F8">
            <w:pPr>
              <w:jc w:val="center"/>
              <w:rPr>
                <w:color w:val="000000"/>
                <w:sz w:val="20"/>
                <w:szCs w:val="20"/>
              </w:rPr>
            </w:pPr>
            <w:r w:rsidRPr="00131EED">
              <w:rPr>
                <w:color w:val="000000"/>
                <w:sz w:val="20"/>
                <w:szCs w:val="20"/>
              </w:rPr>
              <w:t>3.19</w:t>
            </w:r>
          </w:p>
        </w:tc>
      </w:tr>
      <w:tr w:rsidR="00F421F8" w:rsidRPr="00131EED" w14:paraId="03CF0901"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7ED432AD" w14:textId="77777777" w:rsidR="00F421F8" w:rsidRPr="00131EED" w:rsidRDefault="00F421F8">
            <w:pPr>
              <w:jc w:val="center"/>
              <w:rPr>
                <w:b/>
                <w:color w:val="000000"/>
                <w:sz w:val="20"/>
                <w:szCs w:val="20"/>
              </w:rPr>
            </w:pPr>
            <w:r w:rsidRPr="00131EED">
              <w:rPr>
                <w:b/>
                <w:color w:val="000000"/>
                <w:sz w:val="20"/>
                <w:szCs w:val="20"/>
              </w:rPr>
              <w:t>1990</w:t>
            </w:r>
          </w:p>
        </w:tc>
        <w:tc>
          <w:tcPr>
            <w:tcW w:w="1480" w:type="dxa"/>
            <w:tcBorders>
              <w:top w:val="nil"/>
              <w:left w:val="nil"/>
              <w:bottom w:val="single" w:sz="4" w:space="0" w:color="auto"/>
              <w:right w:val="single" w:sz="4" w:space="0" w:color="auto"/>
            </w:tcBorders>
            <w:noWrap/>
            <w:vAlign w:val="bottom"/>
            <w:hideMark/>
          </w:tcPr>
          <w:p w14:paraId="2DA92417" w14:textId="77777777" w:rsidR="00F421F8" w:rsidRPr="00131EED" w:rsidRDefault="00F421F8">
            <w:pPr>
              <w:jc w:val="center"/>
              <w:rPr>
                <w:color w:val="000000"/>
                <w:sz w:val="20"/>
                <w:szCs w:val="20"/>
              </w:rPr>
            </w:pPr>
            <w:r w:rsidRPr="00131EED">
              <w:rPr>
                <w:color w:val="000000"/>
                <w:sz w:val="20"/>
                <w:szCs w:val="20"/>
              </w:rPr>
              <w:t>106.12</w:t>
            </w:r>
          </w:p>
        </w:tc>
        <w:tc>
          <w:tcPr>
            <w:tcW w:w="1480" w:type="dxa"/>
            <w:tcBorders>
              <w:top w:val="nil"/>
              <w:left w:val="nil"/>
              <w:bottom w:val="single" w:sz="4" w:space="0" w:color="auto"/>
              <w:right w:val="single" w:sz="4" w:space="0" w:color="auto"/>
            </w:tcBorders>
            <w:noWrap/>
            <w:vAlign w:val="bottom"/>
            <w:hideMark/>
          </w:tcPr>
          <w:p w14:paraId="4CDA48F7" w14:textId="77777777" w:rsidR="00F421F8" w:rsidRPr="00131EED" w:rsidRDefault="00F421F8">
            <w:pPr>
              <w:jc w:val="center"/>
              <w:rPr>
                <w:color w:val="000000"/>
                <w:sz w:val="20"/>
                <w:szCs w:val="20"/>
              </w:rPr>
            </w:pPr>
            <w:r w:rsidRPr="00131EED">
              <w:rPr>
                <w:color w:val="000000"/>
                <w:sz w:val="20"/>
                <w:szCs w:val="20"/>
              </w:rPr>
              <w:t>6.72</w:t>
            </w:r>
          </w:p>
        </w:tc>
        <w:tc>
          <w:tcPr>
            <w:tcW w:w="1480" w:type="dxa"/>
            <w:tcBorders>
              <w:top w:val="nil"/>
              <w:left w:val="nil"/>
              <w:bottom w:val="single" w:sz="4" w:space="0" w:color="auto"/>
              <w:right w:val="single" w:sz="4" w:space="0" w:color="auto"/>
            </w:tcBorders>
            <w:noWrap/>
            <w:vAlign w:val="bottom"/>
            <w:hideMark/>
          </w:tcPr>
          <w:p w14:paraId="6D2E17ED" w14:textId="77777777" w:rsidR="00F421F8" w:rsidRPr="00131EED" w:rsidRDefault="00F421F8">
            <w:pPr>
              <w:jc w:val="center"/>
              <w:rPr>
                <w:color w:val="000000"/>
                <w:sz w:val="20"/>
                <w:szCs w:val="20"/>
              </w:rPr>
            </w:pPr>
            <w:r w:rsidRPr="00131EED">
              <w:rPr>
                <w:color w:val="000000"/>
                <w:sz w:val="20"/>
                <w:szCs w:val="20"/>
              </w:rPr>
              <w:t>7.64</w:t>
            </w:r>
          </w:p>
        </w:tc>
        <w:tc>
          <w:tcPr>
            <w:tcW w:w="1480" w:type="dxa"/>
            <w:tcBorders>
              <w:top w:val="nil"/>
              <w:left w:val="nil"/>
              <w:bottom w:val="single" w:sz="4" w:space="0" w:color="auto"/>
              <w:right w:val="single" w:sz="4" w:space="0" w:color="auto"/>
            </w:tcBorders>
            <w:noWrap/>
            <w:vAlign w:val="bottom"/>
            <w:hideMark/>
          </w:tcPr>
          <w:p w14:paraId="1C58C407" w14:textId="77777777" w:rsidR="00F421F8" w:rsidRPr="00131EED" w:rsidRDefault="00F421F8">
            <w:pPr>
              <w:jc w:val="center"/>
              <w:rPr>
                <w:color w:val="000000"/>
                <w:sz w:val="20"/>
                <w:szCs w:val="20"/>
              </w:rPr>
            </w:pPr>
            <w:r w:rsidRPr="00131EED">
              <w:rPr>
                <w:color w:val="000000"/>
                <w:sz w:val="20"/>
                <w:szCs w:val="20"/>
              </w:rPr>
              <w:t>5.43</w:t>
            </w:r>
          </w:p>
        </w:tc>
        <w:tc>
          <w:tcPr>
            <w:tcW w:w="1400" w:type="dxa"/>
            <w:tcBorders>
              <w:top w:val="nil"/>
              <w:left w:val="nil"/>
              <w:bottom w:val="single" w:sz="4" w:space="0" w:color="auto"/>
              <w:right w:val="single" w:sz="4" w:space="0" w:color="auto"/>
            </w:tcBorders>
            <w:noWrap/>
            <w:vAlign w:val="bottom"/>
            <w:hideMark/>
          </w:tcPr>
          <w:p w14:paraId="14650DCC" w14:textId="77777777" w:rsidR="00F421F8" w:rsidRPr="00131EED" w:rsidRDefault="00F421F8">
            <w:pPr>
              <w:jc w:val="center"/>
              <w:rPr>
                <w:color w:val="000000"/>
                <w:sz w:val="20"/>
                <w:szCs w:val="20"/>
              </w:rPr>
            </w:pPr>
            <w:r w:rsidRPr="00131EED">
              <w:rPr>
                <w:color w:val="000000"/>
                <w:sz w:val="20"/>
                <w:szCs w:val="20"/>
              </w:rPr>
              <w:t>3.60</w:t>
            </w:r>
          </w:p>
        </w:tc>
      </w:tr>
      <w:tr w:rsidR="00F421F8" w:rsidRPr="00131EED" w14:paraId="1CFE3E06"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38992030" w14:textId="77777777" w:rsidR="00F421F8" w:rsidRPr="00131EED" w:rsidRDefault="00F421F8">
            <w:pPr>
              <w:jc w:val="center"/>
              <w:rPr>
                <w:b/>
                <w:color w:val="000000"/>
                <w:sz w:val="20"/>
                <w:szCs w:val="20"/>
              </w:rPr>
            </w:pPr>
            <w:r w:rsidRPr="00131EED">
              <w:rPr>
                <w:b/>
                <w:color w:val="000000"/>
                <w:sz w:val="20"/>
                <w:szCs w:val="20"/>
              </w:rPr>
              <w:t>1995</w:t>
            </w:r>
          </w:p>
        </w:tc>
        <w:tc>
          <w:tcPr>
            <w:tcW w:w="1480" w:type="dxa"/>
            <w:tcBorders>
              <w:top w:val="nil"/>
              <w:left w:val="nil"/>
              <w:bottom w:val="single" w:sz="4" w:space="0" w:color="auto"/>
              <w:right w:val="single" w:sz="4" w:space="0" w:color="auto"/>
            </w:tcBorders>
            <w:noWrap/>
            <w:vAlign w:val="bottom"/>
            <w:hideMark/>
          </w:tcPr>
          <w:p w14:paraId="6574AD73" w14:textId="77777777" w:rsidR="00F421F8" w:rsidRPr="00131EED" w:rsidRDefault="00F421F8">
            <w:pPr>
              <w:jc w:val="center"/>
              <w:rPr>
                <w:color w:val="000000"/>
                <w:sz w:val="20"/>
                <w:szCs w:val="20"/>
              </w:rPr>
            </w:pPr>
            <w:r w:rsidRPr="00131EED">
              <w:rPr>
                <w:color w:val="000000"/>
                <w:sz w:val="20"/>
                <w:szCs w:val="20"/>
              </w:rPr>
              <w:t>111.92</w:t>
            </w:r>
          </w:p>
        </w:tc>
        <w:tc>
          <w:tcPr>
            <w:tcW w:w="1480" w:type="dxa"/>
            <w:tcBorders>
              <w:top w:val="nil"/>
              <w:left w:val="nil"/>
              <w:bottom w:val="single" w:sz="4" w:space="0" w:color="auto"/>
              <w:right w:val="single" w:sz="4" w:space="0" w:color="auto"/>
            </w:tcBorders>
            <w:noWrap/>
            <w:vAlign w:val="bottom"/>
            <w:hideMark/>
          </w:tcPr>
          <w:p w14:paraId="482EF0B7" w14:textId="77777777" w:rsidR="00F421F8" w:rsidRPr="00131EED" w:rsidRDefault="00F421F8">
            <w:pPr>
              <w:jc w:val="center"/>
              <w:rPr>
                <w:color w:val="000000"/>
                <w:sz w:val="20"/>
                <w:szCs w:val="20"/>
              </w:rPr>
            </w:pPr>
            <w:r w:rsidRPr="00131EED">
              <w:rPr>
                <w:color w:val="000000"/>
                <w:sz w:val="20"/>
                <w:szCs w:val="20"/>
              </w:rPr>
              <w:t>6.94</w:t>
            </w:r>
          </w:p>
        </w:tc>
        <w:tc>
          <w:tcPr>
            <w:tcW w:w="1480" w:type="dxa"/>
            <w:tcBorders>
              <w:top w:val="nil"/>
              <w:left w:val="nil"/>
              <w:bottom w:val="single" w:sz="4" w:space="0" w:color="auto"/>
              <w:right w:val="single" w:sz="4" w:space="0" w:color="auto"/>
            </w:tcBorders>
            <w:noWrap/>
            <w:vAlign w:val="bottom"/>
            <w:hideMark/>
          </w:tcPr>
          <w:p w14:paraId="4BD57173" w14:textId="77777777" w:rsidR="00F421F8" w:rsidRPr="00131EED" w:rsidRDefault="00F421F8">
            <w:pPr>
              <w:jc w:val="center"/>
              <w:rPr>
                <w:color w:val="000000"/>
                <w:sz w:val="20"/>
                <w:szCs w:val="20"/>
              </w:rPr>
            </w:pPr>
            <w:r w:rsidRPr="00131EED">
              <w:rPr>
                <w:color w:val="000000"/>
                <w:sz w:val="20"/>
                <w:szCs w:val="20"/>
              </w:rPr>
              <w:t>7.81</w:t>
            </w:r>
          </w:p>
        </w:tc>
        <w:tc>
          <w:tcPr>
            <w:tcW w:w="1480" w:type="dxa"/>
            <w:tcBorders>
              <w:top w:val="nil"/>
              <w:left w:val="nil"/>
              <w:bottom w:val="single" w:sz="4" w:space="0" w:color="auto"/>
              <w:right w:val="single" w:sz="4" w:space="0" w:color="auto"/>
            </w:tcBorders>
            <w:noWrap/>
            <w:vAlign w:val="bottom"/>
            <w:hideMark/>
          </w:tcPr>
          <w:p w14:paraId="566E21DE" w14:textId="77777777" w:rsidR="00F421F8" w:rsidRPr="00131EED" w:rsidRDefault="00F421F8">
            <w:pPr>
              <w:jc w:val="center"/>
              <w:rPr>
                <w:color w:val="000000"/>
                <w:sz w:val="20"/>
                <w:szCs w:val="20"/>
              </w:rPr>
            </w:pPr>
            <w:r w:rsidRPr="00131EED">
              <w:rPr>
                <w:color w:val="000000"/>
                <w:sz w:val="20"/>
                <w:szCs w:val="20"/>
              </w:rPr>
              <w:t>5.95</w:t>
            </w:r>
          </w:p>
        </w:tc>
        <w:tc>
          <w:tcPr>
            <w:tcW w:w="1400" w:type="dxa"/>
            <w:tcBorders>
              <w:top w:val="nil"/>
              <w:left w:val="nil"/>
              <w:bottom w:val="single" w:sz="4" w:space="0" w:color="auto"/>
              <w:right w:val="single" w:sz="4" w:space="0" w:color="auto"/>
            </w:tcBorders>
            <w:noWrap/>
            <w:vAlign w:val="bottom"/>
            <w:hideMark/>
          </w:tcPr>
          <w:p w14:paraId="5A161A5D" w14:textId="77777777" w:rsidR="00F421F8" w:rsidRPr="00131EED" w:rsidRDefault="00F421F8">
            <w:pPr>
              <w:jc w:val="center"/>
              <w:rPr>
                <w:color w:val="000000"/>
                <w:sz w:val="20"/>
                <w:szCs w:val="20"/>
              </w:rPr>
            </w:pPr>
            <w:r w:rsidRPr="00131EED">
              <w:rPr>
                <w:color w:val="000000"/>
                <w:sz w:val="20"/>
                <w:szCs w:val="20"/>
              </w:rPr>
              <w:t>3.82</w:t>
            </w:r>
          </w:p>
        </w:tc>
      </w:tr>
      <w:tr w:rsidR="00F421F8" w:rsidRPr="00131EED" w14:paraId="01270F13"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609E36A8" w14:textId="77777777" w:rsidR="00F421F8" w:rsidRPr="00131EED" w:rsidRDefault="00F421F8">
            <w:pPr>
              <w:jc w:val="center"/>
              <w:rPr>
                <w:b/>
                <w:color w:val="000000"/>
                <w:sz w:val="20"/>
                <w:szCs w:val="20"/>
              </w:rPr>
            </w:pPr>
            <w:r w:rsidRPr="00131EED">
              <w:rPr>
                <w:b/>
                <w:color w:val="000000"/>
                <w:sz w:val="20"/>
                <w:szCs w:val="20"/>
              </w:rPr>
              <w:t>2000</w:t>
            </w:r>
          </w:p>
        </w:tc>
        <w:tc>
          <w:tcPr>
            <w:tcW w:w="1480" w:type="dxa"/>
            <w:tcBorders>
              <w:top w:val="nil"/>
              <w:left w:val="nil"/>
              <w:bottom w:val="single" w:sz="4" w:space="0" w:color="auto"/>
              <w:right w:val="single" w:sz="4" w:space="0" w:color="auto"/>
            </w:tcBorders>
            <w:noWrap/>
            <w:vAlign w:val="bottom"/>
            <w:hideMark/>
          </w:tcPr>
          <w:p w14:paraId="30A3BA00" w14:textId="77777777" w:rsidR="00F421F8" w:rsidRPr="00131EED" w:rsidRDefault="00F421F8">
            <w:pPr>
              <w:jc w:val="center"/>
              <w:rPr>
                <w:color w:val="000000"/>
                <w:sz w:val="20"/>
                <w:szCs w:val="20"/>
              </w:rPr>
            </w:pPr>
            <w:r w:rsidRPr="00131EED">
              <w:rPr>
                <w:color w:val="000000"/>
                <w:sz w:val="20"/>
                <w:szCs w:val="20"/>
              </w:rPr>
              <w:t>118.15</w:t>
            </w:r>
          </w:p>
        </w:tc>
        <w:tc>
          <w:tcPr>
            <w:tcW w:w="1480" w:type="dxa"/>
            <w:tcBorders>
              <w:top w:val="nil"/>
              <w:left w:val="nil"/>
              <w:bottom w:val="single" w:sz="4" w:space="0" w:color="auto"/>
              <w:right w:val="single" w:sz="4" w:space="0" w:color="auto"/>
            </w:tcBorders>
            <w:noWrap/>
            <w:vAlign w:val="bottom"/>
            <w:hideMark/>
          </w:tcPr>
          <w:p w14:paraId="14236C37" w14:textId="77777777" w:rsidR="00F421F8" w:rsidRPr="00131EED" w:rsidRDefault="00F421F8">
            <w:pPr>
              <w:jc w:val="center"/>
              <w:rPr>
                <w:color w:val="000000"/>
                <w:sz w:val="20"/>
                <w:szCs w:val="20"/>
              </w:rPr>
            </w:pPr>
            <w:r w:rsidRPr="00131EED">
              <w:rPr>
                <w:color w:val="000000"/>
                <w:sz w:val="20"/>
                <w:szCs w:val="20"/>
              </w:rPr>
              <w:t>7.16</w:t>
            </w:r>
          </w:p>
        </w:tc>
        <w:tc>
          <w:tcPr>
            <w:tcW w:w="1480" w:type="dxa"/>
            <w:tcBorders>
              <w:top w:val="nil"/>
              <w:left w:val="nil"/>
              <w:bottom w:val="single" w:sz="4" w:space="0" w:color="auto"/>
              <w:right w:val="single" w:sz="4" w:space="0" w:color="auto"/>
            </w:tcBorders>
            <w:noWrap/>
            <w:vAlign w:val="bottom"/>
            <w:hideMark/>
          </w:tcPr>
          <w:p w14:paraId="2DFB4822" w14:textId="77777777" w:rsidR="00F421F8" w:rsidRPr="00131EED" w:rsidRDefault="00F421F8">
            <w:pPr>
              <w:jc w:val="center"/>
              <w:rPr>
                <w:color w:val="000000"/>
                <w:sz w:val="20"/>
                <w:szCs w:val="20"/>
              </w:rPr>
            </w:pPr>
            <w:r w:rsidRPr="00131EED">
              <w:rPr>
                <w:color w:val="000000"/>
                <w:sz w:val="20"/>
                <w:szCs w:val="20"/>
              </w:rPr>
              <w:t>7.99</w:t>
            </w:r>
          </w:p>
        </w:tc>
        <w:tc>
          <w:tcPr>
            <w:tcW w:w="1480" w:type="dxa"/>
            <w:tcBorders>
              <w:top w:val="nil"/>
              <w:left w:val="nil"/>
              <w:bottom w:val="single" w:sz="4" w:space="0" w:color="auto"/>
              <w:right w:val="single" w:sz="4" w:space="0" w:color="auto"/>
            </w:tcBorders>
            <w:noWrap/>
            <w:vAlign w:val="bottom"/>
            <w:hideMark/>
          </w:tcPr>
          <w:p w14:paraId="1C0B0523" w14:textId="77777777" w:rsidR="00F421F8" w:rsidRPr="00131EED" w:rsidRDefault="00F421F8">
            <w:pPr>
              <w:jc w:val="center"/>
              <w:rPr>
                <w:color w:val="000000"/>
                <w:sz w:val="20"/>
                <w:szCs w:val="20"/>
              </w:rPr>
            </w:pPr>
            <w:r w:rsidRPr="00131EED">
              <w:rPr>
                <w:color w:val="000000"/>
                <w:sz w:val="20"/>
                <w:szCs w:val="20"/>
              </w:rPr>
              <w:t>6.52</w:t>
            </w:r>
          </w:p>
        </w:tc>
        <w:tc>
          <w:tcPr>
            <w:tcW w:w="1400" w:type="dxa"/>
            <w:tcBorders>
              <w:top w:val="nil"/>
              <w:left w:val="nil"/>
              <w:bottom w:val="single" w:sz="4" w:space="0" w:color="auto"/>
              <w:right w:val="single" w:sz="4" w:space="0" w:color="auto"/>
            </w:tcBorders>
            <w:noWrap/>
            <w:vAlign w:val="bottom"/>
            <w:hideMark/>
          </w:tcPr>
          <w:p w14:paraId="6DD0DFD0" w14:textId="77777777" w:rsidR="00F421F8" w:rsidRPr="00131EED" w:rsidRDefault="00F421F8">
            <w:pPr>
              <w:jc w:val="center"/>
              <w:rPr>
                <w:color w:val="000000"/>
                <w:sz w:val="20"/>
                <w:szCs w:val="20"/>
              </w:rPr>
            </w:pPr>
            <w:r w:rsidRPr="00131EED">
              <w:rPr>
                <w:color w:val="000000"/>
                <w:sz w:val="20"/>
                <w:szCs w:val="20"/>
              </w:rPr>
              <w:t>4.05</w:t>
            </w:r>
          </w:p>
        </w:tc>
      </w:tr>
      <w:tr w:rsidR="00F421F8" w:rsidRPr="00131EED" w14:paraId="3ECF7C78"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5279FD94" w14:textId="77777777" w:rsidR="00F421F8" w:rsidRPr="00131EED" w:rsidRDefault="00F421F8">
            <w:pPr>
              <w:jc w:val="center"/>
              <w:rPr>
                <w:b/>
                <w:color w:val="000000"/>
                <w:sz w:val="20"/>
                <w:szCs w:val="20"/>
              </w:rPr>
            </w:pPr>
            <w:r w:rsidRPr="00131EED">
              <w:rPr>
                <w:b/>
                <w:color w:val="000000"/>
                <w:sz w:val="20"/>
                <w:szCs w:val="20"/>
              </w:rPr>
              <w:t>2005</w:t>
            </w:r>
          </w:p>
        </w:tc>
        <w:tc>
          <w:tcPr>
            <w:tcW w:w="1480" w:type="dxa"/>
            <w:tcBorders>
              <w:top w:val="nil"/>
              <w:left w:val="nil"/>
              <w:bottom w:val="single" w:sz="4" w:space="0" w:color="auto"/>
              <w:right w:val="single" w:sz="4" w:space="0" w:color="auto"/>
            </w:tcBorders>
            <w:noWrap/>
            <w:vAlign w:val="bottom"/>
            <w:hideMark/>
          </w:tcPr>
          <w:p w14:paraId="2D020104" w14:textId="77777777" w:rsidR="00F421F8" w:rsidRPr="00131EED" w:rsidRDefault="00F421F8">
            <w:pPr>
              <w:jc w:val="center"/>
              <w:rPr>
                <w:color w:val="000000"/>
                <w:sz w:val="20"/>
                <w:szCs w:val="20"/>
              </w:rPr>
            </w:pPr>
            <w:r w:rsidRPr="00131EED">
              <w:rPr>
                <w:color w:val="000000"/>
                <w:sz w:val="20"/>
                <w:szCs w:val="20"/>
              </w:rPr>
              <w:t>121.32</w:t>
            </w:r>
          </w:p>
        </w:tc>
        <w:tc>
          <w:tcPr>
            <w:tcW w:w="1480" w:type="dxa"/>
            <w:tcBorders>
              <w:top w:val="nil"/>
              <w:left w:val="nil"/>
              <w:bottom w:val="single" w:sz="4" w:space="0" w:color="auto"/>
              <w:right w:val="single" w:sz="4" w:space="0" w:color="auto"/>
            </w:tcBorders>
            <w:noWrap/>
            <w:vAlign w:val="bottom"/>
            <w:hideMark/>
          </w:tcPr>
          <w:p w14:paraId="40EDCB1F" w14:textId="77777777" w:rsidR="00F421F8" w:rsidRPr="00131EED" w:rsidRDefault="00F421F8">
            <w:pPr>
              <w:jc w:val="center"/>
              <w:rPr>
                <w:color w:val="000000"/>
                <w:sz w:val="20"/>
                <w:szCs w:val="20"/>
              </w:rPr>
            </w:pPr>
            <w:r w:rsidRPr="00131EED">
              <w:rPr>
                <w:color w:val="000000"/>
                <w:sz w:val="20"/>
                <w:szCs w:val="20"/>
              </w:rPr>
              <w:t>7.47</w:t>
            </w:r>
          </w:p>
        </w:tc>
        <w:tc>
          <w:tcPr>
            <w:tcW w:w="1480" w:type="dxa"/>
            <w:tcBorders>
              <w:top w:val="nil"/>
              <w:left w:val="nil"/>
              <w:bottom w:val="single" w:sz="4" w:space="0" w:color="auto"/>
              <w:right w:val="single" w:sz="4" w:space="0" w:color="auto"/>
            </w:tcBorders>
            <w:noWrap/>
            <w:vAlign w:val="bottom"/>
            <w:hideMark/>
          </w:tcPr>
          <w:p w14:paraId="7D9647D7" w14:textId="77777777" w:rsidR="00F421F8" w:rsidRPr="00131EED" w:rsidRDefault="00F421F8">
            <w:pPr>
              <w:jc w:val="center"/>
              <w:rPr>
                <w:color w:val="000000"/>
                <w:sz w:val="20"/>
                <w:szCs w:val="20"/>
              </w:rPr>
            </w:pPr>
            <w:r w:rsidRPr="00131EED">
              <w:rPr>
                <w:color w:val="000000"/>
                <w:sz w:val="20"/>
                <w:szCs w:val="20"/>
              </w:rPr>
              <w:t>8.49</w:t>
            </w:r>
          </w:p>
        </w:tc>
        <w:tc>
          <w:tcPr>
            <w:tcW w:w="1480" w:type="dxa"/>
            <w:tcBorders>
              <w:top w:val="nil"/>
              <w:left w:val="nil"/>
              <w:bottom w:val="single" w:sz="4" w:space="0" w:color="auto"/>
              <w:right w:val="single" w:sz="4" w:space="0" w:color="auto"/>
            </w:tcBorders>
            <w:noWrap/>
            <w:vAlign w:val="bottom"/>
            <w:hideMark/>
          </w:tcPr>
          <w:p w14:paraId="094EEC4F" w14:textId="77777777" w:rsidR="00F421F8" w:rsidRPr="00131EED" w:rsidRDefault="00F421F8">
            <w:pPr>
              <w:jc w:val="center"/>
              <w:rPr>
                <w:color w:val="000000"/>
                <w:sz w:val="20"/>
                <w:szCs w:val="20"/>
              </w:rPr>
            </w:pPr>
            <w:r w:rsidRPr="00131EED">
              <w:rPr>
                <w:color w:val="000000"/>
                <w:sz w:val="20"/>
                <w:szCs w:val="20"/>
              </w:rPr>
              <w:t>7.13</w:t>
            </w:r>
          </w:p>
        </w:tc>
        <w:tc>
          <w:tcPr>
            <w:tcW w:w="1400" w:type="dxa"/>
            <w:tcBorders>
              <w:top w:val="nil"/>
              <w:left w:val="nil"/>
              <w:bottom w:val="single" w:sz="4" w:space="0" w:color="auto"/>
              <w:right w:val="single" w:sz="4" w:space="0" w:color="auto"/>
            </w:tcBorders>
            <w:noWrap/>
            <w:vAlign w:val="bottom"/>
            <w:hideMark/>
          </w:tcPr>
          <w:p w14:paraId="33CC4713" w14:textId="77777777" w:rsidR="00F421F8" w:rsidRPr="00131EED" w:rsidRDefault="00F421F8">
            <w:pPr>
              <w:jc w:val="center"/>
              <w:rPr>
                <w:color w:val="000000"/>
                <w:sz w:val="20"/>
                <w:szCs w:val="20"/>
              </w:rPr>
            </w:pPr>
            <w:r w:rsidRPr="00131EED">
              <w:rPr>
                <w:color w:val="000000"/>
                <w:sz w:val="20"/>
                <w:szCs w:val="20"/>
              </w:rPr>
              <w:t>4.29</w:t>
            </w:r>
          </w:p>
        </w:tc>
      </w:tr>
      <w:tr w:rsidR="00F421F8" w:rsidRPr="00131EED" w14:paraId="36457815"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38E6D5E5" w14:textId="77777777" w:rsidR="00F421F8" w:rsidRPr="00131EED" w:rsidRDefault="00F421F8">
            <w:pPr>
              <w:jc w:val="center"/>
              <w:rPr>
                <w:b/>
                <w:color w:val="000000"/>
                <w:sz w:val="20"/>
                <w:szCs w:val="20"/>
              </w:rPr>
            </w:pPr>
            <w:r w:rsidRPr="00131EED">
              <w:rPr>
                <w:b/>
                <w:color w:val="000000"/>
                <w:sz w:val="20"/>
                <w:szCs w:val="20"/>
              </w:rPr>
              <w:t>2010</w:t>
            </w:r>
          </w:p>
        </w:tc>
        <w:tc>
          <w:tcPr>
            <w:tcW w:w="1480" w:type="dxa"/>
            <w:tcBorders>
              <w:top w:val="nil"/>
              <w:left w:val="nil"/>
              <w:bottom w:val="single" w:sz="4" w:space="0" w:color="auto"/>
              <w:right w:val="single" w:sz="4" w:space="0" w:color="auto"/>
            </w:tcBorders>
            <w:noWrap/>
            <w:vAlign w:val="bottom"/>
            <w:hideMark/>
          </w:tcPr>
          <w:p w14:paraId="0AA884EA" w14:textId="77777777" w:rsidR="00F421F8" w:rsidRPr="00131EED" w:rsidRDefault="00F421F8">
            <w:pPr>
              <w:jc w:val="center"/>
              <w:rPr>
                <w:color w:val="000000"/>
                <w:sz w:val="20"/>
                <w:szCs w:val="20"/>
              </w:rPr>
            </w:pPr>
            <w:r w:rsidRPr="00131EED">
              <w:rPr>
                <w:color w:val="000000"/>
                <w:sz w:val="20"/>
                <w:szCs w:val="20"/>
              </w:rPr>
              <w:t>124.71</w:t>
            </w:r>
          </w:p>
        </w:tc>
        <w:tc>
          <w:tcPr>
            <w:tcW w:w="1480" w:type="dxa"/>
            <w:tcBorders>
              <w:top w:val="nil"/>
              <w:left w:val="nil"/>
              <w:bottom w:val="single" w:sz="4" w:space="0" w:color="auto"/>
              <w:right w:val="single" w:sz="4" w:space="0" w:color="auto"/>
            </w:tcBorders>
            <w:noWrap/>
            <w:vAlign w:val="bottom"/>
            <w:hideMark/>
          </w:tcPr>
          <w:p w14:paraId="7DFFCCDC" w14:textId="77777777" w:rsidR="00F421F8" w:rsidRPr="00131EED" w:rsidRDefault="00F421F8">
            <w:pPr>
              <w:jc w:val="center"/>
              <w:rPr>
                <w:color w:val="000000"/>
                <w:sz w:val="20"/>
                <w:szCs w:val="20"/>
              </w:rPr>
            </w:pPr>
            <w:r w:rsidRPr="00131EED">
              <w:rPr>
                <w:color w:val="000000"/>
                <w:sz w:val="20"/>
                <w:szCs w:val="20"/>
              </w:rPr>
              <w:t>7.84</w:t>
            </w:r>
          </w:p>
        </w:tc>
        <w:tc>
          <w:tcPr>
            <w:tcW w:w="1480" w:type="dxa"/>
            <w:tcBorders>
              <w:top w:val="nil"/>
              <w:left w:val="nil"/>
              <w:bottom w:val="single" w:sz="4" w:space="0" w:color="auto"/>
              <w:right w:val="single" w:sz="4" w:space="0" w:color="auto"/>
            </w:tcBorders>
            <w:noWrap/>
            <w:vAlign w:val="bottom"/>
            <w:hideMark/>
          </w:tcPr>
          <w:p w14:paraId="59631B8A" w14:textId="77777777" w:rsidR="00F421F8" w:rsidRPr="00131EED" w:rsidRDefault="00F421F8">
            <w:pPr>
              <w:jc w:val="center"/>
              <w:rPr>
                <w:color w:val="000000"/>
                <w:sz w:val="20"/>
                <w:szCs w:val="20"/>
              </w:rPr>
            </w:pPr>
            <w:r w:rsidRPr="00131EED">
              <w:rPr>
                <w:color w:val="000000"/>
                <w:sz w:val="20"/>
                <w:szCs w:val="20"/>
              </w:rPr>
              <w:t>9.01</w:t>
            </w:r>
          </w:p>
        </w:tc>
        <w:tc>
          <w:tcPr>
            <w:tcW w:w="1480" w:type="dxa"/>
            <w:tcBorders>
              <w:top w:val="nil"/>
              <w:left w:val="nil"/>
              <w:bottom w:val="single" w:sz="4" w:space="0" w:color="auto"/>
              <w:right w:val="single" w:sz="4" w:space="0" w:color="auto"/>
            </w:tcBorders>
            <w:noWrap/>
            <w:vAlign w:val="bottom"/>
            <w:hideMark/>
          </w:tcPr>
          <w:p w14:paraId="4A2474A5" w14:textId="77777777" w:rsidR="00F421F8" w:rsidRPr="00131EED" w:rsidRDefault="00F421F8">
            <w:pPr>
              <w:jc w:val="center"/>
              <w:rPr>
                <w:color w:val="000000"/>
                <w:sz w:val="20"/>
                <w:szCs w:val="20"/>
              </w:rPr>
            </w:pPr>
            <w:r w:rsidRPr="00131EED">
              <w:rPr>
                <w:color w:val="000000"/>
                <w:sz w:val="20"/>
                <w:szCs w:val="20"/>
              </w:rPr>
              <w:t>7.77</w:t>
            </w:r>
          </w:p>
        </w:tc>
        <w:tc>
          <w:tcPr>
            <w:tcW w:w="1400" w:type="dxa"/>
            <w:tcBorders>
              <w:top w:val="nil"/>
              <w:left w:val="nil"/>
              <w:bottom w:val="single" w:sz="4" w:space="0" w:color="auto"/>
              <w:right w:val="single" w:sz="4" w:space="0" w:color="auto"/>
            </w:tcBorders>
            <w:noWrap/>
            <w:vAlign w:val="bottom"/>
            <w:hideMark/>
          </w:tcPr>
          <w:p w14:paraId="739BACEA" w14:textId="77777777" w:rsidR="00F421F8" w:rsidRPr="00131EED" w:rsidRDefault="00F421F8">
            <w:pPr>
              <w:jc w:val="center"/>
              <w:rPr>
                <w:color w:val="000000"/>
                <w:sz w:val="20"/>
                <w:szCs w:val="20"/>
              </w:rPr>
            </w:pPr>
            <w:r w:rsidRPr="00131EED">
              <w:rPr>
                <w:color w:val="000000"/>
                <w:sz w:val="20"/>
                <w:szCs w:val="20"/>
              </w:rPr>
              <w:t>4.53</w:t>
            </w:r>
          </w:p>
        </w:tc>
      </w:tr>
      <w:tr w:rsidR="00F421F8" w:rsidRPr="00131EED" w14:paraId="2D986454"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221C86D6" w14:textId="77777777" w:rsidR="00F421F8" w:rsidRPr="00131EED" w:rsidRDefault="00F421F8">
            <w:pPr>
              <w:jc w:val="center"/>
              <w:rPr>
                <w:b/>
                <w:color w:val="000000"/>
                <w:sz w:val="20"/>
                <w:szCs w:val="20"/>
              </w:rPr>
            </w:pPr>
            <w:r w:rsidRPr="00131EED">
              <w:rPr>
                <w:b/>
                <w:color w:val="000000"/>
                <w:sz w:val="20"/>
                <w:szCs w:val="20"/>
              </w:rPr>
              <w:t>2015</w:t>
            </w:r>
          </w:p>
        </w:tc>
        <w:tc>
          <w:tcPr>
            <w:tcW w:w="1480" w:type="dxa"/>
            <w:tcBorders>
              <w:top w:val="nil"/>
              <w:left w:val="nil"/>
              <w:bottom w:val="single" w:sz="4" w:space="0" w:color="auto"/>
              <w:right w:val="single" w:sz="4" w:space="0" w:color="auto"/>
            </w:tcBorders>
            <w:noWrap/>
            <w:vAlign w:val="bottom"/>
            <w:hideMark/>
          </w:tcPr>
          <w:p w14:paraId="3B6D84FA" w14:textId="77777777" w:rsidR="00F421F8" w:rsidRPr="00131EED" w:rsidRDefault="00F421F8">
            <w:pPr>
              <w:jc w:val="center"/>
              <w:rPr>
                <w:color w:val="000000"/>
                <w:sz w:val="20"/>
                <w:szCs w:val="20"/>
              </w:rPr>
            </w:pPr>
            <w:r w:rsidRPr="00131EED">
              <w:rPr>
                <w:color w:val="000000"/>
                <w:sz w:val="20"/>
                <w:szCs w:val="20"/>
              </w:rPr>
              <w:t>128.12</w:t>
            </w:r>
          </w:p>
        </w:tc>
        <w:tc>
          <w:tcPr>
            <w:tcW w:w="1480" w:type="dxa"/>
            <w:tcBorders>
              <w:top w:val="nil"/>
              <w:left w:val="nil"/>
              <w:bottom w:val="single" w:sz="4" w:space="0" w:color="auto"/>
              <w:right w:val="single" w:sz="4" w:space="0" w:color="auto"/>
            </w:tcBorders>
            <w:noWrap/>
            <w:vAlign w:val="bottom"/>
            <w:hideMark/>
          </w:tcPr>
          <w:p w14:paraId="73933E5D" w14:textId="77777777" w:rsidR="00F421F8" w:rsidRPr="00131EED" w:rsidRDefault="00F421F8">
            <w:pPr>
              <w:jc w:val="center"/>
              <w:rPr>
                <w:color w:val="000000"/>
                <w:sz w:val="20"/>
                <w:szCs w:val="20"/>
              </w:rPr>
            </w:pPr>
            <w:r w:rsidRPr="00131EED">
              <w:rPr>
                <w:color w:val="000000"/>
                <w:sz w:val="20"/>
                <w:szCs w:val="20"/>
              </w:rPr>
              <w:t>8.31</w:t>
            </w:r>
          </w:p>
        </w:tc>
        <w:tc>
          <w:tcPr>
            <w:tcW w:w="1480" w:type="dxa"/>
            <w:tcBorders>
              <w:top w:val="nil"/>
              <w:left w:val="nil"/>
              <w:bottom w:val="single" w:sz="4" w:space="0" w:color="auto"/>
              <w:right w:val="single" w:sz="4" w:space="0" w:color="auto"/>
            </w:tcBorders>
            <w:noWrap/>
            <w:vAlign w:val="bottom"/>
            <w:hideMark/>
          </w:tcPr>
          <w:p w14:paraId="72CC63ED" w14:textId="77777777" w:rsidR="00F421F8" w:rsidRPr="00131EED" w:rsidRDefault="00F421F8">
            <w:pPr>
              <w:jc w:val="center"/>
              <w:rPr>
                <w:color w:val="000000"/>
                <w:sz w:val="20"/>
                <w:szCs w:val="20"/>
              </w:rPr>
            </w:pPr>
            <w:r w:rsidRPr="00131EED">
              <w:rPr>
                <w:color w:val="000000"/>
                <w:sz w:val="20"/>
                <w:szCs w:val="20"/>
              </w:rPr>
              <w:t>9.59</w:t>
            </w:r>
          </w:p>
        </w:tc>
        <w:tc>
          <w:tcPr>
            <w:tcW w:w="1480" w:type="dxa"/>
            <w:tcBorders>
              <w:top w:val="nil"/>
              <w:left w:val="nil"/>
              <w:bottom w:val="single" w:sz="4" w:space="0" w:color="auto"/>
              <w:right w:val="single" w:sz="4" w:space="0" w:color="auto"/>
            </w:tcBorders>
            <w:noWrap/>
            <w:vAlign w:val="bottom"/>
            <w:hideMark/>
          </w:tcPr>
          <w:p w14:paraId="26227BE7" w14:textId="77777777" w:rsidR="00F421F8" w:rsidRPr="00131EED" w:rsidRDefault="00F421F8">
            <w:pPr>
              <w:jc w:val="center"/>
              <w:rPr>
                <w:color w:val="000000"/>
                <w:sz w:val="20"/>
                <w:szCs w:val="20"/>
              </w:rPr>
            </w:pPr>
            <w:r w:rsidRPr="00131EED">
              <w:rPr>
                <w:color w:val="000000"/>
                <w:sz w:val="20"/>
                <w:szCs w:val="20"/>
              </w:rPr>
              <w:t>8.39</w:t>
            </w:r>
          </w:p>
        </w:tc>
        <w:tc>
          <w:tcPr>
            <w:tcW w:w="1400" w:type="dxa"/>
            <w:tcBorders>
              <w:top w:val="nil"/>
              <w:left w:val="nil"/>
              <w:bottom w:val="single" w:sz="4" w:space="0" w:color="auto"/>
              <w:right w:val="single" w:sz="4" w:space="0" w:color="auto"/>
            </w:tcBorders>
            <w:noWrap/>
            <w:vAlign w:val="bottom"/>
            <w:hideMark/>
          </w:tcPr>
          <w:p w14:paraId="13F809B0" w14:textId="77777777" w:rsidR="00F421F8" w:rsidRPr="00131EED" w:rsidRDefault="00F421F8">
            <w:pPr>
              <w:jc w:val="center"/>
              <w:rPr>
                <w:color w:val="000000"/>
                <w:sz w:val="20"/>
                <w:szCs w:val="20"/>
              </w:rPr>
            </w:pPr>
            <w:r w:rsidRPr="00131EED">
              <w:rPr>
                <w:color w:val="000000"/>
                <w:sz w:val="20"/>
                <w:szCs w:val="20"/>
              </w:rPr>
              <w:t>4.78</w:t>
            </w:r>
          </w:p>
        </w:tc>
      </w:tr>
      <w:tr w:rsidR="00F421F8" w:rsidRPr="00131EED" w14:paraId="68776AD1"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4A4DB79E" w14:textId="77777777" w:rsidR="00F421F8" w:rsidRPr="00131EED" w:rsidRDefault="00F421F8">
            <w:pPr>
              <w:jc w:val="center"/>
              <w:rPr>
                <w:b/>
                <w:color w:val="000000"/>
                <w:sz w:val="20"/>
                <w:szCs w:val="20"/>
              </w:rPr>
            </w:pPr>
            <w:r w:rsidRPr="00131EED">
              <w:rPr>
                <w:b/>
                <w:color w:val="000000"/>
                <w:sz w:val="20"/>
                <w:szCs w:val="20"/>
              </w:rPr>
              <w:t>2020</w:t>
            </w:r>
          </w:p>
        </w:tc>
        <w:tc>
          <w:tcPr>
            <w:tcW w:w="1480" w:type="dxa"/>
            <w:tcBorders>
              <w:top w:val="nil"/>
              <w:left w:val="nil"/>
              <w:bottom w:val="single" w:sz="4" w:space="0" w:color="auto"/>
              <w:right w:val="single" w:sz="4" w:space="0" w:color="auto"/>
            </w:tcBorders>
            <w:noWrap/>
            <w:vAlign w:val="bottom"/>
            <w:hideMark/>
          </w:tcPr>
          <w:p w14:paraId="2289FEB8" w14:textId="77777777" w:rsidR="00F421F8" w:rsidRPr="00131EED" w:rsidRDefault="00F421F8">
            <w:pPr>
              <w:jc w:val="center"/>
              <w:rPr>
                <w:color w:val="000000"/>
                <w:sz w:val="20"/>
                <w:szCs w:val="20"/>
              </w:rPr>
            </w:pPr>
            <w:r w:rsidRPr="00131EED">
              <w:rPr>
                <w:color w:val="000000"/>
                <w:sz w:val="20"/>
                <w:szCs w:val="20"/>
              </w:rPr>
              <w:t>131.45</w:t>
            </w:r>
          </w:p>
        </w:tc>
        <w:tc>
          <w:tcPr>
            <w:tcW w:w="1480" w:type="dxa"/>
            <w:tcBorders>
              <w:top w:val="nil"/>
              <w:left w:val="nil"/>
              <w:bottom w:val="single" w:sz="4" w:space="0" w:color="auto"/>
              <w:right w:val="single" w:sz="4" w:space="0" w:color="auto"/>
            </w:tcBorders>
            <w:noWrap/>
            <w:vAlign w:val="bottom"/>
            <w:hideMark/>
          </w:tcPr>
          <w:p w14:paraId="22FD95EA" w14:textId="77777777" w:rsidR="00F421F8" w:rsidRPr="00131EED" w:rsidRDefault="00F421F8">
            <w:pPr>
              <w:jc w:val="center"/>
              <w:rPr>
                <w:color w:val="000000"/>
                <w:sz w:val="20"/>
                <w:szCs w:val="20"/>
              </w:rPr>
            </w:pPr>
            <w:r w:rsidRPr="00131EED">
              <w:rPr>
                <w:color w:val="000000"/>
                <w:sz w:val="20"/>
                <w:szCs w:val="20"/>
              </w:rPr>
              <w:t>9.23</w:t>
            </w:r>
          </w:p>
        </w:tc>
        <w:tc>
          <w:tcPr>
            <w:tcW w:w="1480" w:type="dxa"/>
            <w:tcBorders>
              <w:top w:val="nil"/>
              <w:left w:val="nil"/>
              <w:bottom w:val="single" w:sz="4" w:space="0" w:color="auto"/>
              <w:right w:val="single" w:sz="4" w:space="0" w:color="auto"/>
            </w:tcBorders>
            <w:noWrap/>
            <w:vAlign w:val="bottom"/>
            <w:hideMark/>
          </w:tcPr>
          <w:p w14:paraId="756CE6E7" w14:textId="77777777" w:rsidR="00F421F8" w:rsidRPr="00131EED" w:rsidRDefault="00F421F8">
            <w:pPr>
              <w:jc w:val="center"/>
              <w:rPr>
                <w:color w:val="000000"/>
                <w:sz w:val="20"/>
                <w:szCs w:val="20"/>
              </w:rPr>
            </w:pPr>
            <w:r w:rsidRPr="00131EED">
              <w:rPr>
                <w:color w:val="000000"/>
                <w:sz w:val="20"/>
                <w:szCs w:val="20"/>
              </w:rPr>
              <w:t>10.37</w:t>
            </w:r>
          </w:p>
        </w:tc>
        <w:tc>
          <w:tcPr>
            <w:tcW w:w="1480" w:type="dxa"/>
            <w:tcBorders>
              <w:top w:val="nil"/>
              <w:left w:val="nil"/>
              <w:bottom w:val="single" w:sz="4" w:space="0" w:color="auto"/>
              <w:right w:val="single" w:sz="4" w:space="0" w:color="auto"/>
            </w:tcBorders>
            <w:noWrap/>
            <w:vAlign w:val="bottom"/>
            <w:hideMark/>
          </w:tcPr>
          <w:p w14:paraId="6DE33542" w14:textId="77777777" w:rsidR="00F421F8" w:rsidRPr="00131EED" w:rsidRDefault="00F421F8">
            <w:pPr>
              <w:jc w:val="center"/>
              <w:rPr>
                <w:color w:val="000000"/>
                <w:sz w:val="20"/>
                <w:szCs w:val="20"/>
              </w:rPr>
            </w:pPr>
            <w:r w:rsidRPr="00131EED">
              <w:rPr>
                <w:color w:val="000000"/>
                <w:sz w:val="20"/>
                <w:szCs w:val="20"/>
              </w:rPr>
              <w:t>8.90</w:t>
            </w:r>
          </w:p>
        </w:tc>
        <w:tc>
          <w:tcPr>
            <w:tcW w:w="1400" w:type="dxa"/>
            <w:tcBorders>
              <w:top w:val="nil"/>
              <w:left w:val="nil"/>
              <w:bottom w:val="single" w:sz="4" w:space="0" w:color="auto"/>
              <w:right w:val="single" w:sz="4" w:space="0" w:color="auto"/>
            </w:tcBorders>
            <w:noWrap/>
            <w:vAlign w:val="bottom"/>
            <w:hideMark/>
          </w:tcPr>
          <w:p w14:paraId="407F233B" w14:textId="77777777" w:rsidR="00F421F8" w:rsidRPr="00131EED" w:rsidRDefault="00F421F8">
            <w:pPr>
              <w:jc w:val="center"/>
              <w:rPr>
                <w:color w:val="000000"/>
                <w:sz w:val="20"/>
                <w:szCs w:val="20"/>
              </w:rPr>
            </w:pPr>
            <w:r w:rsidRPr="00131EED">
              <w:rPr>
                <w:color w:val="000000"/>
                <w:sz w:val="20"/>
                <w:szCs w:val="20"/>
              </w:rPr>
              <w:t>5.00</w:t>
            </w:r>
          </w:p>
        </w:tc>
      </w:tr>
      <w:tr w:rsidR="00F421F8" w:rsidRPr="00131EED" w14:paraId="15FE4C89"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4849D2B4" w14:textId="77777777" w:rsidR="00F421F8" w:rsidRPr="00131EED" w:rsidRDefault="00F421F8">
            <w:pPr>
              <w:jc w:val="center"/>
              <w:rPr>
                <w:b/>
                <w:color w:val="000000"/>
                <w:sz w:val="20"/>
                <w:szCs w:val="20"/>
              </w:rPr>
            </w:pPr>
            <w:r w:rsidRPr="00131EED">
              <w:rPr>
                <w:b/>
                <w:color w:val="000000"/>
                <w:sz w:val="20"/>
                <w:szCs w:val="20"/>
              </w:rPr>
              <w:t>2025</w:t>
            </w:r>
          </w:p>
        </w:tc>
        <w:tc>
          <w:tcPr>
            <w:tcW w:w="1480" w:type="dxa"/>
            <w:tcBorders>
              <w:top w:val="nil"/>
              <w:left w:val="nil"/>
              <w:bottom w:val="single" w:sz="4" w:space="0" w:color="auto"/>
              <w:right w:val="single" w:sz="4" w:space="0" w:color="auto"/>
            </w:tcBorders>
            <w:noWrap/>
            <w:vAlign w:val="bottom"/>
            <w:hideMark/>
          </w:tcPr>
          <w:p w14:paraId="53252A1E" w14:textId="77777777" w:rsidR="00F421F8" w:rsidRPr="00131EED" w:rsidRDefault="00F421F8">
            <w:pPr>
              <w:jc w:val="center"/>
              <w:rPr>
                <w:color w:val="000000"/>
                <w:sz w:val="20"/>
                <w:szCs w:val="20"/>
              </w:rPr>
            </w:pPr>
            <w:r w:rsidRPr="00131EED">
              <w:rPr>
                <w:color w:val="000000"/>
                <w:sz w:val="20"/>
                <w:szCs w:val="20"/>
              </w:rPr>
              <w:t>132.18</w:t>
            </w:r>
          </w:p>
        </w:tc>
        <w:tc>
          <w:tcPr>
            <w:tcW w:w="1480" w:type="dxa"/>
            <w:tcBorders>
              <w:top w:val="nil"/>
              <w:left w:val="nil"/>
              <w:bottom w:val="single" w:sz="4" w:space="0" w:color="auto"/>
              <w:right w:val="single" w:sz="4" w:space="0" w:color="auto"/>
            </w:tcBorders>
            <w:noWrap/>
            <w:vAlign w:val="bottom"/>
            <w:hideMark/>
          </w:tcPr>
          <w:p w14:paraId="53CD9BDC" w14:textId="77777777" w:rsidR="00F421F8" w:rsidRPr="00131EED" w:rsidRDefault="00F421F8">
            <w:pPr>
              <w:jc w:val="center"/>
              <w:rPr>
                <w:color w:val="000000"/>
                <w:sz w:val="20"/>
                <w:szCs w:val="20"/>
              </w:rPr>
            </w:pPr>
            <w:r w:rsidRPr="00131EED">
              <w:rPr>
                <w:color w:val="000000"/>
                <w:sz w:val="20"/>
                <w:szCs w:val="20"/>
              </w:rPr>
              <w:t>9.33</w:t>
            </w:r>
          </w:p>
        </w:tc>
        <w:tc>
          <w:tcPr>
            <w:tcW w:w="1480" w:type="dxa"/>
            <w:tcBorders>
              <w:top w:val="nil"/>
              <w:left w:val="nil"/>
              <w:bottom w:val="single" w:sz="4" w:space="0" w:color="auto"/>
              <w:right w:val="single" w:sz="4" w:space="0" w:color="auto"/>
            </w:tcBorders>
            <w:noWrap/>
            <w:vAlign w:val="bottom"/>
            <w:hideMark/>
          </w:tcPr>
          <w:p w14:paraId="11E13465" w14:textId="77777777" w:rsidR="00F421F8" w:rsidRPr="00131EED" w:rsidRDefault="00F421F8">
            <w:pPr>
              <w:jc w:val="center"/>
              <w:rPr>
                <w:color w:val="000000"/>
                <w:sz w:val="20"/>
                <w:szCs w:val="20"/>
              </w:rPr>
            </w:pPr>
            <w:r w:rsidRPr="00131EED">
              <w:rPr>
                <w:color w:val="000000"/>
                <w:sz w:val="20"/>
                <w:szCs w:val="20"/>
              </w:rPr>
              <w:t>10.54</w:t>
            </w:r>
          </w:p>
        </w:tc>
        <w:tc>
          <w:tcPr>
            <w:tcW w:w="1480" w:type="dxa"/>
            <w:tcBorders>
              <w:top w:val="nil"/>
              <w:left w:val="nil"/>
              <w:bottom w:val="single" w:sz="4" w:space="0" w:color="auto"/>
              <w:right w:val="single" w:sz="4" w:space="0" w:color="auto"/>
            </w:tcBorders>
            <w:noWrap/>
            <w:vAlign w:val="bottom"/>
            <w:hideMark/>
          </w:tcPr>
          <w:p w14:paraId="07A3C8A2" w14:textId="77777777" w:rsidR="00F421F8" w:rsidRPr="00131EED" w:rsidRDefault="00F421F8">
            <w:pPr>
              <w:jc w:val="center"/>
              <w:rPr>
                <w:color w:val="000000"/>
                <w:sz w:val="20"/>
                <w:szCs w:val="20"/>
              </w:rPr>
            </w:pPr>
            <w:r w:rsidRPr="00131EED">
              <w:rPr>
                <w:color w:val="000000"/>
                <w:sz w:val="20"/>
                <w:szCs w:val="20"/>
              </w:rPr>
              <w:t>8.94</w:t>
            </w:r>
          </w:p>
        </w:tc>
        <w:tc>
          <w:tcPr>
            <w:tcW w:w="1400" w:type="dxa"/>
            <w:tcBorders>
              <w:top w:val="nil"/>
              <w:left w:val="nil"/>
              <w:bottom w:val="single" w:sz="4" w:space="0" w:color="auto"/>
              <w:right w:val="single" w:sz="4" w:space="0" w:color="auto"/>
            </w:tcBorders>
            <w:noWrap/>
            <w:vAlign w:val="bottom"/>
            <w:hideMark/>
          </w:tcPr>
          <w:p w14:paraId="31549C56" w14:textId="77777777" w:rsidR="00F421F8" w:rsidRPr="00131EED" w:rsidRDefault="00F421F8">
            <w:pPr>
              <w:jc w:val="center"/>
              <w:rPr>
                <w:color w:val="000000"/>
                <w:sz w:val="20"/>
                <w:szCs w:val="20"/>
              </w:rPr>
            </w:pPr>
            <w:r w:rsidRPr="00131EED">
              <w:rPr>
                <w:color w:val="000000"/>
                <w:sz w:val="20"/>
                <w:szCs w:val="20"/>
              </w:rPr>
              <w:t>5.09</w:t>
            </w:r>
          </w:p>
        </w:tc>
      </w:tr>
      <w:tr w:rsidR="00F421F8" w:rsidRPr="00131EED" w14:paraId="5B67EB6D" w14:textId="77777777">
        <w:trPr>
          <w:trHeight w:val="288"/>
        </w:trPr>
        <w:tc>
          <w:tcPr>
            <w:tcW w:w="1540" w:type="dxa"/>
            <w:tcBorders>
              <w:top w:val="nil"/>
              <w:left w:val="single" w:sz="4" w:space="0" w:color="auto"/>
              <w:bottom w:val="single" w:sz="4" w:space="0" w:color="auto"/>
              <w:right w:val="single" w:sz="4" w:space="0" w:color="auto"/>
            </w:tcBorders>
            <w:noWrap/>
            <w:vAlign w:val="bottom"/>
            <w:hideMark/>
          </w:tcPr>
          <w:p w14:paraId="57CAED93" w14:textId="77777777" w:rsidR="00F421F8" w:rsidRPr="00131EED" w:rsidRDefault="00F421F8">
            <w:pPr>
              <w:jc w:val="center"/>
              <w:rPr>
                <w:b/>
                <w:color w:val="000000"/>
                <w:sz w:val="20"/>
                <w:szCs w:val="20"/>
              </w:rPr>
            </w:pPr>
            <w:r w:rsidRPr="00131EED">
              <w:rPr>
                <w:b/>
                <w:color w:val="000000"/>
                <w:sz w:val="20"/>
                <w:szCs w:val="20"/>
              </w:rPr>
              <w:t>2030</w:t>
            </w:r>
          </w:p>
        </w:tc>
        <w:tc>
          <w:tcPr>
            <w:tcW w:w="1480" w:type="dxa"/>
            <w:tcBorders>
              <w:top w:val="nil"/>
              <w:left w:val="nil"/>
              <w:bottom w:val="single" w:sz="4" w:space="0" w:color="auto"/>
              <w:right w:val="single" w:sz="4" w:space="0" w:color="auto"/>
            </w:tcBorders>
            <w:noWrap/>
            <w:vAlign w:val="bottom"/>
            <w:hideMark/>
          </w:tcPr>
          <w:p w14:paraId="1F08F706" w14:textId="77777777" w:rsidR="00F421F8" w:rsidRPr="00131EED" w:rsidRDefault="00F421F8">
            <w:pPr>
              <w:jc w:val="center"/>
              <w:rPr>
                <w:color w:val="000000"/>
                <w:sz w:val="20"/>
                <w:szCs w:val="20"/>
              </w:rPr>
            </w:pPr>
            <w:r w:rsidRPr="00131EED">
              <w:rPr>
                <w:color w:val="000000"/>
                <w:sz w:val="20"/>
                <w:szCs w:val="20"/>
              </w:rPr>
              <w:t>132.61</w:t>
            </w:r>
          </w:p>
        </w:tc>
        <w:tc>
          <w:tcPr>
            <w:tcW w:w="1480" w:type="dxa"/>
            <w:tcBorders>
              <w:top w:val="nil"/>
              <w:left w:val="nil"/>
              <w:bottom w:val="single" w:sz="4" w:space="0" w:color="auto"/>
              <w:right w:val="single" w:sz="4" w:space="0" w:color="auto"/>
            </w:tcBorders>
            <w:noWrap/>
            <w:vAlign w:val="bottom"/>
            <w:hideMark/>
          </w:tcPr>
          <w:p w14:paraId="35F953C2" w14:textId="77777777" w:rsidR="00F421F8" w:rsidRPr="00131EED" w:rsidRDefault="00F421F8">
            <w:pPr>
              <w:jc w:val="center"/>
              <w:rPr>
                <w:color w:val="000000"/>
                <w:sz w:val="20"/>
                <w:szCs w:val="20"/>
              </w:rPr>
            </w:pPr>
            <w:r w:rsidRPr="00131EED">
              <w:rPr>
                <w:color w:val="000000"/>
                <w:sz w:val="20"/>
                <w:szCs w:val="20"/>
              </w:rPr>
              <w:t>9.40</w:t>
            </w:r>
          </w:p>
        </w:tc>
        <w:tc>
          <w:tcPr>
            <w:tcW w:w="1480" w:type="dxa"/>
            <w:tcBorders>
              <w:top w:val="nil"/>
              <w:left w:val="nil"/>
              <w:bottom w:val="single" w:sz="4" w:space="0" w:color="auto"/>
              <w:right w:val="single" w:sz="4" w:space="0" w:color="auto"/>
            </w:tcBorders>
            <w:noWrap/>
            <w:vAlign w:val="bottom"/>
            <w:hideMark/>
          </w:tcPr>
          <w:p w14:paraId="390F0441" w14:textId="77777777" w:rsidR="00F421F8" w:rsidRPr="00131EED" w:rsidRDefault="00F421F8">
            <w:pPr>
              <w:jc w:val="center"/>
              <w:rPr>
                <w:color w:val="000000"/>
                <w:sz w:val="20"/>
                <w:szCs w:val="20"/>
              </w:rPr>
            </w:pPr>
            <w:r w:rsidRPr="00131EED">
              <w:rPr>
                <w:color w:val="000000"/>
                <w:sz w:val="20"/>
                <w:szCs w:val="20"/>
              </w:rPr>
              <w:t>10.70</w:t>
            </w:r>
          </w:p>
        </w:tc>
        <w:tc>
          <w:tcPr>
            <w:tcW w:w="1480" w:type="dxa"/>
            <w:tcBorders>
              <w:top w:val="nil"/>
              <w:left w:val="nil"/>
              <w:bottom w:val="single" w:sz="4" w:space="0" w:color="auto"/>
              <w:right w:val="single" w:sz="4" w:space="0" w:color="auto"/>
            </w:tcBorders>
            <w:noWrap/>
            <w:vAlign w:val="bottom"/>
            <w:hideMark/>
          </w:tcPr>
          <w:p w14:paraId="10231618" w14:textId="77777777" w:rsidR="00F421F8" w:rsidRPr="00131EED" w:rsidRDefault="00F421F8">
            <w:pPr>
              <w:jc w:val="center"/>
              <w:rPr>
                <w:color w:val="000000"/>
                <w:sz w:val="20"/>
                <w:szCs w:val="20"/>
              </w:rPr>
            </w:pPr>
            <w:r w:rsidRPr="00131EED">
              <w:rPr>
                <w:color w:val="000000"/>
                <w:sz w:val="20"/>
                <w:szCs w:val="20"/>
              </w:rPr>
              <w:t>9.08</w:t>
            </w:r>
          </w:p>
        </w:tc>
        <w:tc>
          <w:tcPr>
            <w:tcW w:w="1400" w:type="dxa"/>
            <w:tcBorders>
              <w:top w:val="nil"/>
              <w:left w:val="nil"/>
              <w:bottom w:val="single" w:sz="4" w:space="0" w:color="auto"/>
              <w:right w:val="single" w:sz="4" w:space="0" w:color="auto"/>
            </w:tcBorders>
            <w:noWrap/>
            <w:vAlign w:val="bottom"/>
            <w:hideMark/>
          </w:tcPr>
          <w:p w14:paraId="2D136073" w14:textId="77777777" w:rsidR="00F421F8" w:rsidRPr="00131EED" w:rsidRDefault="00F421F8">
            <w:pPr>
              <w:jc w:val="center"/>
              <w:rPr>
                <w:color w:val="000000"/>
                <w:sz w:val="20"/>
                <w:szCs w:val="20"/>
              </w:rPr>
            </w:pPr>
            <w:r w:rsidRPr="00131EED">
              <w:rPr>
                <w:color w:val="000000"/>
                <w:sz w:val="20"/>
                <w:szCs w:val="20"/>
              </w:rPr>
              <w:t>5.19</w:t>
            </w:r>
          </w:p>
        </w:tc>
      </w:tr>
    </w:tbl>
    <w:p w14:paraId="3CBF91A9" w14:textId="77777777" w:rsidR="00F421F8" w:rsidRPr="00131EED" w:rsidRDefault="00F421F8" w:rsidP="00F421F8">
      <w:pPr>
        <w:jc w:val="center"/>
        <w:rPr>
          <w:sz w:val="20"/>
          <w:szCs w:val="20"/>
        </w:rPr>
      </w:pPr>
      <w:r w:rsidRPr="00131EED">
        <w:rPr>
          <w:sz w:val="20"/>
          <w:szCs w:val="20"/>
        </w:rPr>
        <w:t>Fuente: MinAmbiente</w:t>
      </w:r>
    </w:p>
    <w:p w14:paraId="1C43CACD" w14:textId="77777777" w:rsidR="00F421F8" w:rsidRPr="00131EED" w:rsidRDefault="00F421F8" w:rsidP="00F421F8"/>
    <w:p w14:paraId="6FC7DC1B" w14:textId="467A60EF" w:rsidR="00F421F8" w:rsidRPr="00131EED" w:rsidRDefault="00F421F8" w:rsidP="00F421F8">
      <w:r w:rsidRPr="00131EED">
        <w:t xml:space="preserve">A continuación, se relacionan los valores de área construida por municipio sin incluir a Bogotá D.C. para facilitar la interpretación de la </w:t>
      </w:r>
      <w:r w:rsidRPr="00131EED">
        <w:fldChar w:fldCharType="begin"/>
      </w:r>
      <w:r w:rsidRPr="00131EED">
        <w:instrText xml:space="preserve"> REF _Ref210854005 \h </w:instrText>
      </w:r>
      <w:r w:rsidRPr="00131EED">
        <w:fldChar w:fldCharType="separate"/>
      </w:r>
      <w:r w:rsidR="00CE096F" w:rsidRPr="00131EED">
        <w:t xml:space="preserve">Ilustración </w:t>
      </w:r>
      <w:r w:rsidRPr="00131EED">
        <w:fldChar w:fldCharType="end"/>
      </w:r>
    </w:p>
    <w:p w14:paraId="6153FC81" w14:textId="77777777" w:rsidR="00F421F8" w:rsidRPr="00131EED" w:rsidRDefault="00F421F8" w:rsidP="00F421F8"/>
    <w:p w14:paraId="6E0AD513" w14:textId="73844AB0" w:rsidR="00F421F8" w:rsidRPr="00131EED" w:rsidRDefault="00F421F8" w:rsidP="00F421F8">
      <w:pPr>
        <w:pStyle w:val="Caption"/>
        <w:jc w:val="center"/>
      </w:pPr>
      <w:bookmarkStart w:id="280" w:name="_Ref210854005"/>
      <w:bookmarkStart w:id="281" w:name="_Toc216468836"/>
      <w:r w:rsidRPr="00131EED">
        <w:t xml:space="preserve">Ilustración </w:t>
      </w:r>
      <w:bookmarkEnd w:id="280"/>
      <w:r w:rsidRPr="00131EED">
        <w:fldChar w:fldCharType="begin"/>
      </w:r>
      <w:r w:rsidRPr="00131EED">
        <w:instrText>SEQ Ilustración \* ARABIC</w:instrText>
      </w:r>
      <w:r w:rsidRPr="00131EED">
        <w:fldChar w:fldCharType="separate"/>
      </w:r>
      <w:r w:rsidR="00CE096F">
        <w:rPr>
          <w:noProof/>
        </w:rPr>
        <w:t>71</w:t>
      </w:r>
      <w:r w:rsidRPr="00131EED">
        <w:fldChar w:fldCharType="end"/>
      </w:r>
      <w:r w:rsidRPr="00131EED">
        <w:t>. Municipios de la Sabana de Bogotá con mayor área construida (km</w:t>
      </w:r>
      <w:r w:rsidRPr="00131EED">
        <w:rPr>
          <w:vertAlign w:val="superscript"/>
        </w:rPr>
        <w:t>2</w:t>
      </w:r>
      <w:r w:rsidRPr="00131EED">
        <w:t>), sin incluir Bogotá.</w:t>
      </w:r>
      <w:bookmarkEnd w:id="281"/>
    </w:p>
    <w:p w14:paraId="1935A1DE" w14:textId="77777777" w:rsidR="00F421F8" w:rsidRPr="00131EED" w:rsidRDefault="00F421F8" w:rsidP="00F421F8">
      <w:pPr>
        <w:keepNext/>
        <w:jc w:val="center"/>
      </w:pPr>
      <w:r w:rsidRPr="00131EED">
        <w:rPr>
          <w:noProof/>
          <w:lang w:eastAsia="en-US"/>
        </w:rPr>
        <w:drawing>
          <wp:inline distT="0" distB="0" distL="0" distR="0" wp14:anchorId="2C3386E7" wp14:editId="60B6AB37">
            <wp:extent cx="4020640" cy="2019868"/>
            <wp:effectExtent l="0" t="0" r="18415" b="0"/>
            <wp:docPr id="2082684060" name="Chart 1">
              <a:extLst xmlns:a="http://schemas.openxmlformats.org/drawingml/2006/main">
                <a:ext uri="{FF2B5EF4-FFF2-40B4-BE49-F238E27FC236}">
                  <a16:creationId xmlns:a16="http://schemas.microsoft.com/office/drawing/2014/main" id="{3C756ABB-95B9-862E-C598-860A3798ED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398F883B" w14:textId="77777777" w:rsidR="00F421F8" w:rsidRPr="00131EED" w:rsidRDefault="00F421F8" w:rsidP="00F421F8">
      <w:pPr>
        <w:jc w:val="center"/>
        <w:rPr>
          <w:sz w:val="20"/>
          <w:szCs w:val="20"/>
        </w:rPr>
      </w:pPr>
      <w:r w:rsidRPr="00131EED">
        <w:rPr>
          <w:sz w:val="20"/>
          <w:szCs w:val="20"/>
        </w:rPr>
        <w:t>Fuente: MinAmbiente</w:t>
      </w:r>
    </w:p>
    <w:p w14:paraId="526A1D51" w14:textId="77777777" w:rsidR="00F421F8" w:rsidRPr="00131EED" w:rsidRDefault="00F421F8" w:rsidP="00F421F8"/>
    <w:p w14:paraId="4BF39D1E" w14:textId="77777777" w:rsidR="00F421F8" w:rsidRPr="00131EED" w:rsidRDefault="00F421F8" w:rsidP="00F421F8">
      <w:r w:rsidRPr="00131EED">
        <w:t>Si bien es posible interpretar que Bogotá D.C. es la ciudad con mayor área de construida, entre los municipios con mayor porcentaje de este tipo de ocupación en la sabana, los que han tenido un mayor ritmo de expansión son Chía, Madrid, Facatativá, Soacha y Bogotá respectivamente, sin embargo, en contraste, se pronostica que Facatativá tendrá una mayor tasa expansión:</w:t>
      </w:r>
    </w:p>
    <w:p w14:paraId="5BDF68EE" w14:textId="77777777" w:rsidR="00F421F8" w:rsidRPr="00131EED" w:rsidRDefault="00F421F8" w:rsidP="00F421F8"/>
    <w:p w14:paraId="5ACB88C5" w14:textId="2E6F2B83" w:rsidR="00F421F8" w:rsidRPr="00131EED" w:rsidRDefault="00F421F8" w:rsidP="00F421F8">
      <w:pPr>
        <w:pStyle w:val="Caption"/>
        <w:jc w:val="center"/>
      </w:pPr>
      <w:bookmarkStart w:id="282" w:name="_Toc216468837"/>
      <w:r w:rsidRPr="00131EED">
        <w:t xml:space="preserve">Ilustración </w:t>
      </w:r>
      <w:r w:rsidRPr="00131EED">
        <w:fldChar w:fldCharType="begin"/>
      </w:r>
      <w:r w:rsidRPr="00131EED">
        <w:instrText>SEQ Ilustración \* ARABIC</w:instrText>
      </w:r>
      <w:r w:rsidRPr="00131EED">
        <w:fldChar w:fldCharType="separate"/>
      </w:r>
      <w:r w:rsidR="00CE096F">
        <w:rPr>
          <w:noProof/>
        </w:rPr>
        <w:t>72</w:t>
      </w:r>
      <w:r w:rsidRPr="00131EED">
        <w:fldChar w:fldCharType="end"/>
      </w:r>
      <w:r w:rsidRPr="00131EED">
        <w:t>. Porcentaje de crecimiento de área construida en los periodos 1975 a 2025 y sus proyecciones al periodo 2025 a 2030</w:t>
      </w:r>
      <w:bookmarkEnd w:id="282"/>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8"/>
      </w:tblGrid>
      <w:tr w:rsidR="00F421F8" w:rsidRPr="00131EED" w14:paraId="4C76E86C" w14:textId="77777777" w:rsidTr="6E4FD105">
        <w:tc>
          <w:tcPr>
            <w:tcW w:w="8838" w:type="dxa"/>
            <w:vAlign w:val="center"/>
          </w:tcPr>
          <w:p w14:paraId="4D4ADFC2" w14:textId="77777777" w:rsidR="00F421F8" w:rsidRPr="00131EED" w:rsidRDefault="00F421F8">
            <w:pPr>
              <w:jc w:val="center"/>
            </w:pPr>
            <w:r w:rsidRPr="00131EED">
              <w:rPr>
                <w:noProof/>
                <w:lang w:eastAsia="en-US"/>
              </w:rPr>
              <w:drawing>
                <wp:inline distT="0" distB="0" distL="0" distR="0" wp14:anchorId="3DB9A911" wp14:editId="5AD347FA">
                  <wp:extent cx="3842385" cy="1971675"/>
                  <wp:effectExtent l="0" t="0" r="5715" b="9525"/>
                  <wp:docPr id="1784299537" name="Chart 1">
                    <a:extLst xmlns:a="http://schemas.openxmlformats.org/drawingml/2006/main">
                      <a:ext uri="{FF2B5EF4-FFF2-40B4-BE49-F238E27FC236}">
                        <a16:creationId xmlns:a16="http://schemas.microsoft.com/office/drawing/2014/main" id="{758967A7-A547-344B-78A8-EBCBDA87A9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tc>
      </w:tr>
      <w:tr w:rsidR="00F421F8" w:rsidRPr="00131EED" w14:paraId="14063DCB" w14:textId="77777777" w:rsidTr="6E4FD105">
        <w:tc>
          <w:tcPr>
            <w:tcW w:w="8838" w:type="dxa"/>
            <w:vAlign w:val="center"/>
          </w:tcPr>
          <w:tbl>
            <w:tblPr>
              <w:tblW w:w="5000" w:type="pct"/>
              <w:tblLook w:val="04A0" w:firstRow="1" w:lastRow="0" w:firstColumn="1" w:lastColumn="0" w:noHBand="0" w:noVBand="1"/>
            </w:tblPr>
            <w:tblGrid>
              <w:gridCol w:w="2833"/>
              <w:gridCol w:w="1274"/>
              <w:gridCol w:w="1318"/>
              <w:gridCol w:w="1062"/>
              <w:gridCol w:w="1062"/>
              <w:gridCol w:w="1063"/>
            </w:tblGrid>
            <w:tr w:rsidR="00F421F8" w:rsidRPr="00131EED" w14:paraId="7B69A91F" w14:textId="77777777">
              <w:trPr>
                <w:trHeight w:val="288"/>
              </w:trPr>
              <w:tc>
                <w:tcPr>
                  <w:tcW w:w="1372" w:type="pct"/>
                  <w:tcBorders>
                    <w:top w:val="single" w:sz="4" w:space="0" w:color="auto"/>
                    <w:left w:val="single" w:sz="4" w:space="0" w:color="auto"/>
                    <w:bottom w:val="single" w:sz="4" w:space="0" w:color="auto"/>
                    <w:right w:val="single" w:sz="4" w:space="0" w:color="auto"/>
                  </w:tcBorders>
                  <w:noWrap/>
                  <w:vAlign w:val="center"/>
                  <w:hideMark/>
                </w:tcPr>
                <w:p w14:paraId="08BF5400" w14:textId="77777777" w:rsidR="00F421F8" w:rsidRPr="00131EED" w:rsidRDefault="00F421F8">
                  <w:pPr>
                    <w:jc w:val="center"/>
                    <w:rPr>
                      <w:b/>
                      <w:color w:val="000000"/>
                      <w:sz w:val="20"/>
                      <w:szCs w:val="20"/>
                    </w:rPr>
                  </w:pPr>
                  <w:r w:rsidRPr="00131EED">
                    <w:rPr>
                      <w:b/>
                      <w:color w:val="000000"/>
                      <w:sz w:val="20"/>
                      <w:szCs w:val="20"/>
                    </w:rPr>
                    <w:t>Periodo de Tiempo</w:t>
                  </w:r>
                </w:p>
              </w:tc>
              <w:tc>
                <w:tcPr>
                  <w:tcW w:w="794" w:type="pct"/>
                  <w:tcBorders>
                    <w:top w:val="single" w:sz="4" w:space="0" w:color="auto"/>
                    <w:left w:val="nil"/>
                    <w:bottom w:val="single" w:sz="4" w:space="0" w:color="auto"/>
                    <w:right w:val="single" w:sz="4" w:space="0" w:color="auto"/>
                  </w:tcBorders>
                  <w:noWrap/>
                  <w:vAlign w:val="center"/>
                  <w:hideMark/>
                </w:tcPr>
                <w:p w14:paraId="2F063288" w14:textId="77777777" w:rsidR="00F421F8" w:rsidRPr="00131EED" w:rsidRDefault="00F421F8">
                  <w:pPr>
                    <w:jc w:val="center"/>
                    <w:rPr>
                      <w:b/>
                      <w:color w:val="000000"/>
                      <w:sz w:val="20"/>
                      <w:szCs w:val="20"/>
                    </w:rPr>
                  </w:pPr>
                  <w:r w:rsidRPr="00131EED">
                    <w:rPr>
                      <w:b/>
                      <w:color w:val="000000"/>
                      <w:sz w:val="20"/>
                      <w:szCs w:val="20"/>
                    </w:rPr>
                    <w:t>Bogotá, D.C.</w:t>
                  </w:r>
                </w:p>
              </w:tc>
              <w:tc>
                <w:tcPr>
                  <w:tcW w:w="820" w:type="pct"/>
                  <w:tcBorders>
                    <w:top w:val="single" w:sz="4" w:space="0" w:color="auto"/>
                    <w:left w:val="nil"/>
                    <w:bottom w:val="single" w:sz="4" w:space="0" w:color="auto"/>
                    <w:right w:val="single" w:sz="4" w:space="0" w:color="auto"/>
                  </w:tcBorders>
                  <w:noWrap/>
                  <w:vAlign w:val="center"/>
                  <w:hideMark/>
                </w:tcPr>
                <w:p w14:paraId="1BCD5D88" w14:textId="77777777" w:rsidR="00F421F8" w:rsidRPr="00131EED" w:rsidRDefault="00F421F8">
                  <w:pPr>
                    <w:jc w:val="center"/>
                    <w:rPr>
                      <w:b/>
                      <w:color w:val="000000"/>
                      <w:sz w:val="20"/>
                      <w:szCs w:val="20"/>
                    </w:rPr>
                  </w:pPr>
                  <w:r w:rsidRPr="00131EED">
                    <w:rPr>
                      <w:b/>
                      <w:color w:val="000000"/>
                      <w:sz w:val="20"/>
                      <w:szCs w:val="20"/>
                    </w:rPr>
                    <w:t>Soacha</w:t>
                  </w:r>
                </w:p>
              </w:tc>
              <w:tc>
                <w:tcPr>
                  <w:tcW w:w="671" w:type="pct"/>
                  <w:tcBorders>
                    <w:top w:val="single" w:sz="4" w:space="0" w:color="auto"/>
                    <w:left w:val="nil"/>
                    <w:bottom w:val="single" w:sz="4" w:space="0" w:color="auto"/>
                    <w:right w:val="single" w:sz="4" w:space="0" w:color="auto"/>
                  </w:tcBorders>
                  <w:noWrap/>
                  <w:vAlign w:val="center"/>
                  <w:hideMark/>
                </w:tcPr>
                <w:p w14:paraId="3089E0E1" w14:textId="77777777" w:rsidR="00F421F8" w:rsidRPr="00131EED" w:rsidRDefault="00F421F8">
                  <w:pPr>
                    <w:jc w:val="center"/>
                    <w:rPr>
                      <w:b/>
                      <w:color w:val="000000"/>
                      <w:sz w:val="20"/>
                      <w:szCs w:val="20"/>
                    </w:rPr>
                  </w:pPr>
                  <w:r w:rsidRPr="00131EED">
                    <w:rPr>
                      <w:b/>
                      <w:color w:val="000000"/>
                      <w:sz w:val="20"/>
                      <w:szCs w:val="20"/>
                    </w:rPr>
                    <w:t>Madrid</w:t>
                  </w:r>
                </w:p>
              </w:tc>
              <w:tc>
                <w:tcPr>
                  <w:tcW w:w="671" w:type="pct"/>
                  <w:tcBorders>
                    <w:top w:val="single" w:sz="4" w:space="0" w:color="auto"/>
                    <w:left w:val="nil"/>
                    <w:bottom w:val="single" w:sz="4" w:space="0" w:color="auto"/>
                    <w:right w:val="single" w:sz="4" w:space="0" w:color="auto"/>
                  </w:tcBorders>
                  <w:noWrap/>
                  <w:vAlign w:val="center"/>
                  <w:hideMark/>
                </w:tcPr>
                <w:p w14:paraId="3484F39A" w14:textId="77777777" w:rsidR="00F421F8" w:rsidRPr="00131EED" w:rsidRDefault="00F421F8">
                  <w:pPr>
                    <w:jc w:val="center"/>
                    <w:rPr>
                      <w:b/>
                      <w:color w:val="000000"/>
                      <w:sz w:val="20"/>
                      <w:szCs w:val="20"/>
                    </w:rPr>
                  </w:pPr>
                  <w:r w:rsidRPr="00131EED">
                    <w:rPr>
                      <w:b/>
                      <w:color w:val="000000"/>
                      <w:sz w:val="20"/>
                      <w:szCs w:val="20"/>
                    </w:rPr>
                    <w:t>Chía</w:t>
                  </w:r>
                </w:p>
              </w:tc>
              <w:tc>
                <w:tcPr>
                  <w:tcW w:w="671" w:type="pct"/>
                  <w:tcBorders>
                    <w:top w:val="single" w:sz="4" w:space="0" w:color="auto"/>
                    <w:left w:val="nil"/>
                    <w:bottom w:val="single" w:sz="4" w:space="0" w:color="auto"/>
                    <w:right w:val="single" w:sz="4" w:space="0" w:color="auto"/>
                  </w:tcBorders>
                  <w:noWrap/>
                  <w:vAlign w:val="center"/>
                  <w:hideMark/>
                </w:tcPr>
                <w:p w14:paraId="6B8228F1" w14:textId="77777777" w:rsidR="00F421F8" w:rsidRPr="00131EED" w:rsidRDefault="00F421F8">
                  <w:pPr>
                    <w:jc w:val="center"/>
                    <w:rPr>
                      <w:b/>
                      <w:color w:val="000000"/>
                      <w:sz w:val="20"/>
                      <w:szCs w:val="20"/>
                    </w:rPr>
                  </w:pPr>
                  <w:r w:rsidRPr="00131EED">
                    <w:rPr>
                      <w:b/>
                      <w:color w:val="000000"/>
                      <w:sz w:val="20"/>
                      <w:szCs w:val="20"/>
                    </w:rPr>
                    <w:t>Facatativá</w:t>
                  </w:r>
                </w:p>
              </w:tc>
            </w:tr>
            <w:tr w:rsidR="00F421F8" w:rsidRPr="00131EED" w14:paraId="5768FDAF" w14:textId="77777777">
              <w:trPr>
                <w:trHeight w:val="288"/>
              </w:trPr>
              <w:tc>
                <w:tcPr>
                  <w:tcW w:w="1372" w:type="pct"/>
                  <w:tcBorders>
                    <w:top w:val="nil"/>
                    <w:left w:val="single" w:sz="4" w:space="0" w:color="auto"/>
                    <w:bottom w:val="single" w:sz="4" w:space="0" w:color="auto"/>
                    <w:right w:val="single" w:sz="4" w:space="0" w:color="auto"/>
                  </w:tcBorders>
                  <w:noWrap/>
                  <w:vAlign w:val="bottom"/>
                  <w:hideMark/>
                </w:tcPr>
                <w:p w14:paraId="1F8A08F8" w14:textId="77777777" w:rsidR="00F421F8" w:rsidRPr="00131EED" w:rsidRDefault="00F421F8">
                  <w:pPr>
                    <w:jc w:val="center"/>
                    <w:rPr>
                      <w:b/>
                      <w:color w:val="000000"/>
                      <w:sz w:val="20"/>
                      <w:szCs w:val="20"/>
                    </w:rPr>
                  </w:pPr>
                  <w:r w:rsidRPr="00131EED">
                    <w:rPr>
                      <w:b/>
                      <w:color w:val="000000"/>
                      <w:sz w:val="20"/>
                      <w:szCs w:val="20"/>
                    </w:rPr>
                    <w:t>% de Crecimiento (1975 al 2025)</w:t>
                  </w:r>
                </w:p>
              </w:tc>
              <w:tc>
                <w:tcPr>
                  <w:tcW w:w="794" w:type="pct"/>
                  <w:tcBorders>
                    <w:top w:val="nil"/>
                    <w:left w:val="nil"/>
                    <w:bottom w:val="single" w:sz="4" w:space="0" w:color="auto"/>
                    <w:right w:val="single" w:sz="4" w:space="0" w:color="auto"/>
                  </w:tcBorders>
                  <w:vAlign w:val="bottom"/>
                  <w:hideMark/>
                </w:tcPr>
                <w:p w14:paraId="0D86CB91" w14:textId="77777777" w:rsidR="00F421F8" w:rsidRPr="00131EED" w:rsidRDefault="00F421F8">
                  <w:pPr>
                    <w:jc w:val="center"/>
                    <w:rPr>
                      <w:color w:val="000000"/>
                      <w:sz w:val="20"/>
                      <w:szCs w:val="20"/>
                    </w:rPr>
                  </w:pPr>
                  <w:r w:rsidRPr="00131EED">
                    <w:rPr>
                      <w:color w:val="000000"/>
                      <w:sz w:val="20"/>
                      <w:szCs w:val="20"/>
                    </w:rPr>
                    <w:t>22.25%</w:t>
                  </w:r>
                </w:p>
              </w:tc>
              <w:tc>
                <w:tcPr>
                  <w:tcW w:w="820" w:type="pct"/>
                  <w:tcBorders>
                    <w:top w:val="nil"/>
                    <w:left w:val="nil"/>
                    <w:bottom w:val="single" w:sz="4" w:space="0" w:color="auto"/>
                    <w:right w:val="single" w:sz="4" w:space="0" w:color="auto"/>
                  </w:tcBorders>
                  <w:vAlign w:val="bottom"/>
                  <w:hideMark/>
                </w:tcPr>
                <w:p w14:paraId="073C395E" w14:textId="77777777" w:rsidR="00F421F8" w:rsidRPr="00131EED" w:rsidRDefault="00F421F8">
                  <w:pPr>
                    <w:jc w:val="center"/>
                    <w:rPr>
                      <w:color w:val="000000"/>
                      <w:sz w:val="20"/>
                      <w:szCs w:val="20"/>
                    </w:rPr>
                  </w:pPr>
                  <w:r w:rsidRPr="00131EED">
                    <w:rPr>
                      <w:color w:val="000000"/>
                      <w:sz w:val="20"/>
                      <w:szCs w:val="20"/>
                    </w:rPr>
                    <w:t>32.34%</w:t>
                  </w:r>
                </w:p>
              </w:tc>
              <w:tc>
                <w:tcPr>
                  <w:tcW w:w="671" w:type="pct"/>
                  <w:tcBorders>
                    <w:top w:val="nil"/>
                    <w:left w:val="nil"/>
                    <w:bottom w:val="single" w:sz="4" w:space="0" w:color="auto"/>
                    <w:right w:val="single" w:sz="4" w:space="0" w:color="auto"/>
                  </w:tcBorders>
                  <w:vAlign w:val="bottom"/>
                  <w:hideMark/>
                </w:tcPr>
                <w:p w14:paraId="2C718DC3" w14:textId="77777777" w:rsidR="00F421F8" w:rsidRPr="00131EED" w:rsidRDefault="00F421F8">
                  <w:pPr>
                    <w:jc w:val="center"/>
                    <w:rPr>
                      <w:color w:val="000000"/>
                      <w:sz w:val="20"/>
                      <w:szCs w:val="20"/>
                    </w:rPr>
                  </w:pPr>
                  <w:r w:rsidRPr="00131EED">
                    <w:rPr>
                      <w:color w:val="000000"/>
                      <w:sz w:val="20"/>
                      <w:szCs w:val="20"/>
                    </w:rPr>
                    <w:t>58.68%</w:t>
                  </w:r>
                </w:p>
              </w:tc>
              <w:tc>
                <w:tcPr>
                  <w:tcW w:w="671" w:type="pct"/>
                  <w:tcBorders>
                    <w:top w:val="nil"/>
                    <w:left w:val="nil"/>
                    <w:bottom w:val="single" w:sz="4" w:space="0" w:color="auto"/>
                    <w:right w:val="single" w:sz="4" w:space="0" w:color="auto"/>
                  </w:tcBorders>
                  <w:vAlign w:val="bottom"/>
                  <w:hideMark/>
                </w:tcPr>
                <w:p w14:paraId="1B5837AD" w14:textId="77777777" w:rsidR="00F421F8" w:rsidRPr="00131EED" w:rsidRDefault="00F421F8">
                  <w:pPr>
                    <w:jc w:val="center"/>
                    <w:rPr>
                      <w:color w:val="000000"/>
                      <w:sz w:val="20"/>
                      <w:szCs w:val="20"/>
                    </w:rPr>
                  </w:pPr>
                  <w:r w:rsidRPr="00131EED">
                    <w:rPr>
                      <w:color w:val="000000"/>
                      <w:sz w:val="20"/>
                      <w:szCs w:val="20"/>
                    </w:rPr>
                    <w:t>58.71%</w:t>
                  </w:r>
                </w:p>
              </w:tc>
              <w:tc>
                <w:tcPr>
                  <w:tcW w:w="671" w:type="pct"/>
                  <w:tcBorders>
                    <w:top w:val="nil"/>
                    <w:left w:val="nil"/>
                    <w:bottom w:val="single" w:sz="4" w:space="0" w:color="auto"/>
                    <w:right w:val="single" w:sz="4" w:space="0" w:color="auto"/>
                  </w:tcBorders>
                  <w:vAlign w:val="bottom"/>
                  <w:hideMark/>
                </w:tcPr>
                <w:p w14:paraId="225CA66A" w14:textId="77777777" w:rsidR="00F421F8" w:rsidRPr="00131EED" w:rsidRDefault="00F421F8">
                  <w:pPr>
                    <w:jc w:val="center"/>
                    <w:rPr>
                      <w:color w:val="000000"/>
                      <w:sz w:val="20"/>
                      <w:szCs w:val="20"/>
                    </w:rPr>
                  </w:pPr>
                  <w:r w:rsidRPr="00131EED">
                    <w:rPr>
                      <w:color w:val="000000"/>
                      <w:sz w:val="20"/>
                      <w:szCs w:val="20"/>
                    </w:rPr>
                    <w:t>52.56%</w:t>
                  </w:r>
                </w:p>
              </w:tc>
            </w:tr>
            <w:tr w:rsidR="00F421F8" w:rsidRPr="00131EED" w14:paraId="4FE655B4" w14:textId="77777777">
              <w:trPr>
                <w:trHeight w:val="288"/>
              </w:trPr>
              <w:tc>
                <w:tcPr>
                  <w:tcW w:w="1372" w:type="pct"/>
                  <w:tcBorders>
                    <w:top w:val="nil"/>
                    <w:left w:val="single" w:sz="4" w:space="0" w:color="auto"/>
                    <w:bottom w:val="single" w:sz="4" w:space="0" w:color="auto"/>
                    <w:right w:val="single" w:sz="4" w:space="0" w:color="auto"/>
                  </w:tcBorders>
                  <w:noWrap/>
                  <w:vAlign w:val="bottom"/>
                  <w:hideMark/>
                </w:tcPr>
                <w:p w14:paraId="71D8FFDB" w14:textId="77777777" w:rsidR="00F421F8" w:rsidRPr="00131EED" w:rsidRDefault="00F421F8">
                  <w:pPr>
                    <w:jc w:val="center"/>
                    <w:rPr>
                      <w:b/>
                      <w:color w:val="000000"/>
                      <w:sz w:val="20"/>
                      <w:szCs w:val="20"/>
                    </w:rPr>
                  </w:pPr>
                  <w:r w:rsidRPr="00131EED">
                    <w:rPr>
                      <w:b/>
                      <w:color w:val="000000"/>
                      <w:sz w:val="20"/>
                      <w:szCs w:val="20"/>
                    </w:rPr>
                    <w:t>% de Crecimiento (2025 al 2030)</w:t>
                  </w:r>
                </w:p>
              </w:tc>
              <w:tc>
                <w:tcPr>
                  <w:tcW w:w="794" w:type="pct"/>
                  <w:tcBorders>
                    <w:top w:val="nil"/>
                    <w:left w:val="nil"/>
                    <w:bottom w:val="single" w:sz="4" w:space="0" w:color="auto"/>
                    <w:right w:val="single" w:sz="4" w:space="0" w:color="auto"/>
                  </w:tcBorders>
                  <w:vAlign w:val="bottom"/>
                  <w:hideMark/>
                </w:tcPr>
                <w:p w14:paraId="2CDC7A3B" w14:textId="77777777" w:rsidR="00F421F8" w:rsidRPr="00131EED" w:rsidRDefault="00F421F8">
                  <w:pPr>
                    <w:jc w:val="center"/>
                    <w:rPr>
                      <w:color w:val="000000"/>
                      <w:sz w:val="20"/>
                      <w:szCs w:val="20"/>
                    </w:rPr>
                  </w:pPr>
                  <w:r w:rsidRPr="00131EED">
                    <w:rPr>
                      <w:color w:val="000000"/>
                      <w:sz w:val="20"/>
                      <w:szCs w:val="20"/>
                    </w:rPr>
                    <w:t>0.33%</w:t>
                  </w:r>
                </w:p>
              </w:tc>
              <w:tc>
                <w:tcPr>
                  <w:tcW w:w="820" w:type="pct"/>
                  <w:tcBorders>
                    <w:top w:val="nil"/>
                    <w:left w:val="nil"/>
                    <w:bottom w:val="single" w:sz="4" w:space="0" w:color="auto"/>
                    <w:right w:val="single" w:sz="4" w:space="0" w:color="auto"/>
                  </w:tcBorders>
                  <w:vAlign w:val="bottom"/>
                  <w:hideMark/>
                </w:tcPr>
                <w:p w14:paraId="214A0513" w14:textId="77777777" w:rsidR="00F421F8" w:rsidRPr="00131EED" w:rsidRDefault="00F421F8">
                  <w:pPr>
                    <w:jc w:val="center"/>
                    <w:rPr>
                      <w:color w:val="000000"/>
                      <w:sz w:val="20"/>
                      <w:szCs w:val="20"/>
                    </w:rPr>
                  </w:pPr>
                  <w:r w:rsidRPr="00131EED">
                    <w:rPr>
                      <w:color w:val="000000"/>
                      <w:sz w:val="20"/>
                      <w:szCs w:val="20"/>
                    </w:rPr>
                    <w:t>0.70%</w:t>
                  </w:r>
                </w:p>
              </w:tc>
              <w:tc>
                <w:tcPr>
                  <w:tcW w:w="671" w:type="pct"/>
                  <w:tcBorders>
                    <w:top w:val="nil"/>
                    <w:left w:val="nil"/>
                    <w:bottom w:val="single" w:sz="4" w:space="0" w:color="auto"/>
                    <w:right w:val="single" w:sz="4" w:space="0" w:color="auto"/>
                  </w:tcBorders>
                  <w:vAlign w:val="bottom"/>
                  <w:hideMark/>
                </w:tcPr>
                <w:p w14:paraId="2FB16300" w14:textId="77777777" w:rsidR="00F421F8" w:rsidRPr="00131EED" w:rsidRDefault="00F421F8">
                  <w:pPr>
                    <w:jc w:val="center"/>
                    <w:rPr>
                      <w:color w:val="000000"/>
                      <w:sz w:val="20"/>
                      <w:szCs w:val="20"/>
                    </w:rPr>
                  </w:pPr>
                  <w:r w:rsidRPr="00131EED">
                    <w:rPr>
                      <w:color w:val="000000"/>
                      <w:sz w:val="20"/>
                      <w:szCs w:val="20"/>
                    </w:rPr>
                    <w:t>1.50%</w:t>
                  </w:r>
                </w:p>
              </w:tc>
              <w:tc>
                <w:tcPr>
                  <w:tcW w:w="671" w:type="pct"/>
                  <w:tcBorders>
                    <w:top w:val="nil"/>
                    <w:left w:val="nil"/>
                    <w:bottom w:val="single" w:sz="4" w:space="0" w:color="auto"/>
                    <w:right w:val="single" w:sz="4" w:space="0" w:color="auto"/>
                  </w:tcBorders>
                  <w:vAlign w:val="bottom"/>
                  <w:hideMark/>
                </w:tcPr>
                <w:p w14:paraId="432FBA36" w14:textId="77777777" w:rsidR="00F421F8" w:rsidRPr="00131EED" w:rsidRDefault="00F421F8">
                  <w:pPr>
                    <w:jc w:val="center"/>
                    <w:rPr>
                      <w:color w:val="000000"/>
                      <w:sz w:val="20"/>
                      <w:szCs w:val="20"/>
                    </w:rPr>
                  </w:pPr>
                  <w:r w:rsidRPr="00131EED">
                    <w:rPr>
                      <w:color w:val="000000"/>
                      <w:sz w:val="20"/>
                      <w:szCs w:val="20"/>
                    </w:rPr>
                    <w:t>1.48%</w:t>
                  </w:r>
                </w:p>
              </w:tc>
              <w:tc>
                <w:tcPr>
                  <w:tcW w:w="671" w:type="pct"/>
                  <w:tcBorders>
                    <w:top w:val="nil"/>
                    <w:left w:val="nil"/>
                    <w:bottom w:val="single" w:sz="4" w:space="0" w:color="auto"/>
                    <w:right w:val="single" w:sz="4" w:space="0" w:color="auto"/>
                  </w:tcBorders>
                  <w:vAlign w:val="bottom"/>
                  <w:hideMark/>
                </w:tcPr>
                <w:p w14:paraId="190780D6" w14:textId="77777777" w:rsidR="00F421F8" w:rsidRPr="00131EED" w:rsidRDefault="00F421F8">
                  <w:pPr>
                    <w:jc w:val="center"/>
                    <w:rPr>
                      <w:color w:val="000000"/>
                      <w:sz w:val="20"/>
                      <w:szCs w:val="20"/>
                    </w:rPr>
                  </w:pPr>
                  <w:r w:rsidRPr="00131EED">
                    <w:rPr>
                      <w:color w:val="000000"/>
                      <w:sz w:val="20"/>
                      <w:szCs w:val="20"/>
                    </w:rPr>
                    <w:t>1.99%</w:t>
                  </w:r>
                </w:p>
              </w:tc>
            </w:tr>
          </w:tbl>
          <w:p w14:paraId="5272AA90" w14:textId="77777777" w:rsidR="00F421F8" w:rsidRPr="00131EED" w:rsidRDefault="00F421F8">
            <w:pPr>
              <w:jc w:val="center"/>
            </w:pPr>
          </w:p>
        </w:tc>
      </w:tr>
    </w:tbl>
    <w:p w14:paraId="36656E99" w14:textId="682A15DE" w:rsidR="00F421F8" w:rsidRPr="00131EED" w:rsidRDefault="00F421F8" w:rsidP="00F421F8">
      <w:pPr>
        <w:jc w:val="center"/>
        <w:rPr>
          <w:sz w:val="20"/>
          <w:szCs w:val="20"/>
        </w:rPr>
      </w:pPr>
      <w:r w:rsidRPr="00131EED">
        <w:rPr>
          <w:sz w:val="20"/>
          <w:szCs w:val="20"/>
        </w:rPr>
        <w:t>Fuente: MinAmbiente</w:t>
      </w:r>
      <w:r w:rsidR="00F31456" w:rsidRPr="00131EED">
        <w:rPr>
          <w:sz w:val="20"/>
          <w:szCs w:val="20"/>
        </w:rPr>
        <w:t>, 2025</w:t>
      </w:r>
    </w:p>
    <w:p w14:paraId="6C50A943" w14:textId="77777777" w:rsidR="00F421F8" w:rsidRPr="00131EED" w:rsidRDefault="00F421F8" w:rsidP="00F421F8"/>
    <w:p w14:paraId="6D7A6CB1" w14:textId="77777777" w:rsidR="00F421F8" w:rsidRPr="00131EED" w:rsidRDefault="00F421F8" w:rsidP="00F421F8">
      <w:r w:rsidRPr="00131EED">
        <w:t>A continuación, se relaciona la dinámica de expansión del área construida para los municipios anteriormente mencionados:</w:t>
      </w:r>
    </w:p>
    <w:p w14:paraId="0CA8BE29" w14:textId="77777777" w:rsidR="00F421F8" w:rsidRPr="00131EED" w:rsidRDefault="00F421F8" w:rsidP="00F421F8">
      <w:pPr>
        <w:pStyle w:val="Caption"/>
        <w:jc w:val="center"/>
      </w:pPr>
    </w:p>
    <w:p w14:paraId="4093E81C" w14:textId="24DD75CB" w:rsidR="00F421F8" w:rsidRPr="00131EED" w:rsidRDefault="00F421F8" w:rsidP="00F421F8">
      <w:pPr>
        <w:pStyle w:val="Caption"/>
        <w:jc w:val="center"/>
      </w:pPr>
      <w:bookmarkStart w:id="283" w:name="_Toc216468838"/>
      <w:r w:rsidRPr="00131EED">
        <w:t xml:space="preserve">Ilustración </w:t>
      </w:r>
      <w:r w:rsidRPr="00131EED">
        <w:fldChar w:fldCharType="begin"/>
      </w:r>
      <w:r w:rsidRPr="00131EED">
        <w:instrText>SEQ Ilustración \* ARABIC</w:instrText>
      </w:r>
      <w:r w:rsidRPr="00131EED">
        <w:fldChar w:fldCharType="separate"/>
      </w:r>
      <w:r w:rsidR="00CE096F">
        <w:rPr>
          <w:noProof/>
        </w:rPr>
        <w:t>73</w:t>
      </w:r>
      <w:r w:rsidRPr="00131EED">
        <w:fldChar w:fldCharType="end"/>
      </w:r>
      <w:r w:rsidRPr="00131EED">
        <w:t xml:space="preserve"> Dinámica de expansión del área construida para Chía (1975 - 2025)</w:t>
      </w:r>
      <w:bookmarkEnd w:id="283"/>
    </w:p>
    <w:tbl>
      <w:tblPr>
        <w:tblStyle w:val="TableGrid"/>
        <w:tblW w:w="0" w:type="auto"/>
        <w:jc w:val="center"/>
        <w:tblLook w:val="04A0" w:firstRow="1" w:lastRow="0" w:firstColumn="1" w:lastColumn="0" w:noHBand="0" w:noVBand="1"/>
      </w:tblPr>
      <w:tblGrid>
        <w:gridCol w:w="4400"/>
        <w:gridCol w:w="4428"/>
      </w:tblGrid>
      <w:tr w:rsidR="00F421F8" w:rsidRPr="00131EED" w14:paraId="78BD0E3F" w14:textId="77777777" w:rsidTr="00351822">
        <w:trPr>
          <w:jc w:val="center"/>
        </w:trPr>
        <w:tc>
          <w:tcPr>
            <w:tcW w:w="8828" w:type="dxa"/>
            <w:gridSpan w:val="2"/>
            <w:vAlign w:val="center"/>
          </w:tcPr>
          <w:p w14:paraId="053C6360" w14:textId="77777777" w:rsidR="00F421F8" w:rsidRPr="00131EED" w:rsidRDefault="00F421F8">
            <w:pPr>
              <w:jc w:val="center"/>
              <w:rPr>
                <w:b/>
                <w:bCs/>
              </w:rPr>
            </w:pPr>
            <w:r w:rsidRPr="00131EED">
              <w:rPr>
                <w:b/>
                <w:bCs/>
              </w:rPr>
              <w:t>Chía</w:t>
            </w:r>
          </w:p>
        </w:tc>
      </w:tr>
      <w:tr w:rsidR="00F421F8" w:rsidRPr="00131EED" w14:paraId="45145088" w14:textId="77777777" w:rsidTr="00351822">
        <w:trPr>
          <w:jc w:val="center"/>
        </w:trPr>
        <w:tc>
          <w:tcPr>
            <w:tcW w:w="4400" w:type="dxa"/>
            <w:vAlign w:val="center"/>
          </w:tcPr>
          <w:p w14:paraId="07D885D2" w14:textId="77777777" w:rsidR="00F421F8" w:rsidRPr="00131EED" w:rsidRDefault="00F421F8">
            <w:pPr>
              <w:jc w:val="center"/>
              <w:rPr>
                <w:b/>
                <w:bCs/>
              </w:rPr>
            </w:pPr>
            <w:r w:rsidRPr="00131EED">
              <w:rPr>
                <w:b/>
                <w:bCs/>
              </w:rPr>
              <w:t>1975</w:t>
            </w:r>
          </w:p>
        </w:tc>
        <w:tc>
          <w:tcPr>
            <w:tcW w:w="4428" w:type="dxa"/>
            <w:vAlign w:val="center"/>
          </w:tcPr>
          <w:p w14:paraId="18927161" w14:textId="77777777" w:rsidR="00F421F8" w:rsidRPr="00131EED" w:rsidRDefault="00F421F8">
            <w:pPr>
              <w:jc w:val="center"/>
              <w:rPr>
                <w:b/>
                <w:bCs/>
              </w:rPr>
            </w:pPr>
            <w:r w:rsidRPr="00131EED">
              <w:rPr>
                <w:b/>
                <w:bCs/>
              </w:rPr>
              <w:t>2025</w:t>
            </w:r>
          </w:p>
        </w:tc>
      </w:tr>
      <w:tr w:rsidR="00F421F8" w:rsidRPr="00131EED" w14:paraId="0B1F26A1" w14:textId="77777777" w:rsidTr="00351822">
        <w:trPr>
          <w:jc w:val="center"/>
        </w:trPr>
        <w:tc>
          <w:tcPr>
            <w:tcW w:w="4400" w:type="dxa"/>
            <w:vAlign w:val="center"/>
          </w:tcPr>
          <w:p w14:paraId="37625762" w14:textId="77777777" w:rsidR="00F421F8" w:rsidRPr="00131EED" w:rsidRDefault="00F421F8">
            <w:pPr>
              <w:jc w:val="center"/>
            </w:pPr>
            <w:r w:rsidRPr="00131EED">
              <w:rPr>
                <w:noProof/>
                <w:lang w:eastAsia="en-US"/>
              </w:rPr>
              <w:drawing>
                <wp:inline distT="0" distB="0" distL="0" distR="0" wp14:anchorId="55A2492A" wp14:editId="4DDDA141">
                  <wp:extent cx="2642950" cy="1868984"/>
                  <wp:effectExtent l="0" t="0" r="5080" b="0"/>
                  <wp:docPr id="324052683" name="Picture 6" descr="A map of the unit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052683" name="Picture 6" descr="A map of the united states&#10;&#10;AI-generated content may be incorrect."/>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70235" cy="1888279"/>
                          </a:xfrm>
                          <a:prstGeom prst="rect">
                            <a:avLst/>
                          </a:prstGeom>
                          <a:noFill/>
                          <a:ln>
                            <a:noFill/>
                          </a:ln>
                        </pic:spPr>
                      </pic:pic>
                    </a:graphicData>
                  </a:graphic>
                </wp:inline>
              </w:drawing>
            </w:r>
          </w:p>
        </w:tc>
        <w:tc>
          <w:tcPr>
            <w:tcW w:w="4428" w:type="dxa"/>
            <w:vAlign w:val="center"/>
          </w:tcPr>
          <w:p w14:paraId="52BF2C9B" w14:textId="77777777" w:rsidR="00F421F8" w:rsidRPr="00131EED" w:rsidRDefault="00F421F8">
            <w:pPr>
              <w:keepNext/>
              <w:jc w:val="center"/>
            </w:pPr>
            <w:r w:rsidRPr="00131EED">
              <w:rPr>
                <w:noProof/>
                <w:lang w:eastAsia="en-US"/>
              </w:rPr>
              <w:drawing>
                <wp:inline distT="0" distB="0" distL="0" distR="0" wp14:anchorId="4A802204" wp14:editId="30A5C068">
                  <wp:extent cx="2663603" cy="1883589"/>
                  <wp:effectExtent l="0" t="0" r="3810" b="2540"/>
                  <wp:docPr id="1157033271" name="Picture 4" descr="A satellite image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033271" name="Picture 4" descr="A satellite image of a city&#10;&#10;AI-generated content may be incorrect."/>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666190" cy="1885419"/>
                          </a:xfrm>
                          <a:prstGeom prst="rect">
                            <a:avLst/>
                          </a:prstGeom>
                          <a:noFill/>
                          <a:ln>
                            <a:noFill/>
                          </a:ln>
                        </pic:spPr>
                      </pic:pic>
                    </a:graphicData>
                  </a:graphic>
                </wp:inline>
              </w:drawing>
            </w:r>
          </w:p>
        </w:tc>
      </w:tr>
    </w:tbl>
    <w:p w14:paraId="691B727A" w14:textId="6624C192" w:rsidR="00351822" w:rsidRPr="00131EED" w:rsidRDefault="00351822" w:rsidP="00351822">
      <w:pPr>
        <w:jc w:val="center"/>
        <w:rPr>
          <w:sz w:val="20"/>
          <w:szCs w:val="20"/>
        </w:rPr>
      </w:pPr>
      <w:r w:rsidRPr="00131EED">
        <w:rPr>
          <w:sz w:val="20"/>
          <w:szCs w:val="20"/>
        </w:rPr>
        <w:t>Fuente: MinAmbiente (2025)</w:t>
      </w:r>
    </w:p>
    <w:p w14:paraId="4519ACAE" w14:textId="77777777" w:rsidR="00F421F8" w:rsidRPr="00131EED" w:rsidRDefault="00F421F8" w:rsidP="00F421F8">
      <w:pPr>
        <w:pStyle w:val="Caption"/>
        <w:jc w:val="center"/>
      </w:pPr>
    </w:p>
    <w:p w14:paraId="05025FEA" w14:textId="4A99D622" w:rsidR="00F421F8" w:rsidRPr="00131EED" w:rsidRDefault="00F421F8" w:rsidP="00F421F8">
      <w:pPr>
        <w:pStyle w:val="Caption"/>
        <w:jc w:val="center"/>
      </w:pPr>
      <w:bookmarkStart w:id="284" w:name="_Toc216468839"/>
      <w:r w:rsidRPr="00131EED">
        <w:t xml:space="preserve">Ilustración </w:t>
      </w:r>
      <w:bookmarkStart w:id="285" w:name="_Toc194347221"/>
      <w:r w:rsidRPr="00131EED">
        <w:fldChar w:fldCharType="begin"/>
      </w:r>
      <w:r w:rsidRPr="00131EED">
        <w:instrText>SEQ Ilustración \* ARABIC</w:instrText>
      </w:r>
      <w:r w:rsidRPr="00131EED">
        <w:fldChar w:fldCharType="separate"/>
      </w:r>
      <w:r w:rsidR="00CE096F">
        <w:rPr>
          <w:noProof/>
        </w:rPr>
        <w:t>74</w:t>
      </w:r>
      <w:r w:rsidRPr="00131EED">
        <w:fldChar w:fldCharType="end"/>
      </w:r>
      <w:r w:rsidRPr="00131EED">
        <w:t>. Dinámica de expansión del área construida para Madrid (1975 - 2025)</w:t>
      </w:r>
      <w:bookmarkEnd w:id="284"/>
      <w:bookmarkEnd w:id="285"/>
    </w:p>
    <w:tbl>
      <w:tblPr>
        <w:tblStyle w:val="TableGrid"/>
        <w:tblW w:w="0" w:type="auto"/>
        <w:jc w:val="center"/>
        <w:tblLook w:val="04A0" w:firstRow="1" w:lastRow="0" w:firstColumn="1" w:lastColumn="0" w:noHBand="0" w:noVBand="1"/>
      </w:tblPr>
      <w:tblGrid>
        <w:gridCol w:w="4414"/>
        <w:gridCol w:w="4414"/>
      </w:tblGrid>
      <w:tr w:rsidR="00F421F8" w:rsidRPr="00131EED" w14:paraId="206C2A6C" w14:textId="77777777" w:rsidTr="00351822">
        <w:trPr>
          <w:jc w:val="center"/>
        </w:trPr>
        <w:tc>
          <w:tcPr>
            <w:tcW w:w="8828" w:type="dxa"/>
            <w:gridSpan w:val="2"/>
            <w:vAlign w:val="center"/>
          </w:tcPr>
          <w:p w14:paraId="4726392C" w14:textId="77777777" w:rsidR="00F421F8" w:rsidRPr="00131EED" w:rsidRDefault="00F421F8">
            <w:pPr>
              <w:jc w:val="center"/>
              <w:rPr>
                <w:b/>
                <w:bCs/>
              </w:rPr>
            </w:pPr>
            <w:r w:rsidRPr="00131EED">
              <w:rPr>
                <w:b/>
                <w:bCs/>
              </w:rPr>
              <w:t>Madrid</w:t>
            </w:r>
          </w:p>
        </w:tc>
      </w:tr>
      <w:tr w:rsidR="00F421F8" w:rsidRPr="00131EED" w14:paraId="78D6DF87" w14:textId="77777777" w:rsidTr="00351822">
        <w:trPr>
          <w:jc w:val="center"/>
        </w:trPr>
        <w:tc>
          <w:tcPr>
            <w:tcW w:w="4414" w:type="dxa"/>
            <w:vAlign w:val="center"/>
          </w:tcPr>
          <w:p w14:paraId="70A4381D" w14:textId="77777777" w:rsidR="00F421F8" w:rsidRPr="00131EED" w:rsidRDefault="00F421F8">
            <w:pPr>
              <w:jc w:val="center"/>
              <w:rPr>
                <w:b/>
                <w:bCs/>
              </w:rPr>
            </w:pPr>
            <w:r w:rsidRPr="00131EED">
              <w:rPr>
                <w:b/>
                <w:bCs/>
              </w:rPr>
              <w:t>1975</w:t>
            </w:r>
          </w:p>
        </w:tc>
        <w:tc>
          <w:tcPr>
            <w:tcW w:w="4414" w:type="dxa"/>
            <w:vAlign w:val="center"/>
          </w:tcPr>
          <w:p w14:paraId="6709AA4B" w14:textId="77777777" w:rsidR="00F421F8" w:rsidRPr="00131EED" w:rsidRDefault="00F421F8">
            <w:pPr>
              <w:jc w:val="center"/>
              <w:rPr>
                <w:b/>
                <w:bCs/>
              </w:rPr>
            </w:pPr>
            <w:r w:rsidRPr="00131EED">
              <w:rPr>
                <w:b/>
                <w:bCs/>
              </w:rPr>
              <w:t>2025</w:t>
            </w:r>
          </w:p>
        </w:tc>
      </w:tr>
      <w:tr w:rsidR="00F421F8" w:rsidRPr="00131EED" w14:paraId="1CBD9A78" w14:textId="77777777" w:rsidTr="00351822">
        <w:trPr>
          <w:jc w:val="center"/>
        </w:trPr>
        <w:tc>
          <w:tcPr>
            <w:tcW w:w="4414" w:type="dxa"/>
            <w:vAlign w:val="center"/>
          </w:tcPr>
          <w:p w14:paraId="664A278A" w14:textId="77777777" w:rsidR="00F421F8" w:rsidRPr="00131EED" w:rsidRDefault="00F421F8">
            <w:pPr>
              <w:jc w:val="center"/>
            </w:pPr>
            <w:r w:rsidRPr="00131EED">
              <w:rPr>
                <w:noProof/>
                <w:lang w:eastAsia="en-US"/>
              </w:rPr>
              <w:drawing>
                <wp:inline distT="0" distB="0" distL="0" distR="0" wp14:anchorId="61D31E29" wp14:editId="7B38F690">
                  <wp:extent cx="2818877" cy="1993392"/>
                  <wp:effectExtent l="0" t="0" r="635" b="6985"/>
                  <wp:docPr id="1759160161" name="Picture 10" descr="A map of the unit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160161" name="Picture 10" descr="A map of the united states&#10;&#10;AI-generated content may be incorrect."/>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18877" cy="1993392"/>
                          </a:xfrm>
                          <a:prstGeom prst="rect">
                            <a:avLst/>
                          </a:prstGeom>
                          <a:noFill/>
                          <a:ln>
                            <a:noFill/>
                          </a:ln>
                        </pic:spPr>
                      </pic:pic>
                    </a:graphicData>
                  </a:graphic>
                </wp:inline>
              </w:drawing>
            </w:r>
          </w:p>
        </w:tc>
        <w:tc>
          <w:tcPr>
            <w:tcW w:w="4414" w:type="dxa"/>
            <w:vAlign w:val="center"/>
          </w:tcPr>
          <w:p w14:paraId="45DBCFBF" w14:textId="77777777" w:rsidR="00F421F8" w:rsidRPr="00131EED" w:rsidRDefault="00F421F8">
            <w:pPr>
              <w:keepNext/>
              <w:jc w:val="center"/>
            </w:pPr>
            <w:r w:rsidRPr="00131EED">
              <w:rPr>
                <w:noProof/>
                <w:lang w:eastAsia="en-US"/>
              </w:rPr>
              <w:drawing>
                <wp:inline distT="0" distB="0" distL="0" distR="0" wp14:anchorId="5357F330" wp14:editId="70196275">
                  <wp:extent cx="2816352" cy="1991606"/>
                  <wp:effectExtent l="0" t="0" r="3175" b="8890"/>
                  <wp:docPr id="1177227129" name="Picture 8" descr="A satellite image of the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227129" name="Picture 8" descr="A satellite image of the area&#10;&#10;AI-generated content may be incorrect."/>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16352" cy="1991606"/>
                          </a:xfrm>
                          <a:prstGeom prst="rect">
                            <a:avLst/>
                          </a:prstGeom>
                          <a:noFill/>
                          <a:ln>
                            <a:noFill/>
                          </a:ln>
                        </pic:spPr>
                      </pic:pic>
                    </a:graphicData>
                  </a:graphic>
                </wp:inline>
              </w:drawing>
            </w:r>
          </w:p>
        </w:tc>
      </w:tr>
    </w:tbl>
    <w:p w14:paraId="76E8348E" w14:textId="77777777" w:rsidR="00351822" w:rsidRPr="00131EED" w:rsidRDefault="00351822" w:rsidP="00351822">
      <w:pPr>
        <w:jc w:val="center"/>
        <w:rPr>
          <w:sz w:val="20"/>
          <w:szCs w:val="20"/>
        </w:rPr>
      </w:pPr>
      <w:r w:rsidRPr="00131EED">
        <w:rPr>
          <w:sz w:val="20"/>
          <w:szCs w:val="20"/>
        </w:rPr>
        <w:t>Fuente: MinAmbiente (2025)</w:t>
      </w:r>
    </w:p>
    <w:p w14:paraId="30DBBD65" w14:textId="77777777" w:rsidR="00F421F8" w:rsidRPr="00131EED" w:rsidRDefault="00F421F8" w:rsidP="00F421F8">
      <w:pPr>
        <w:pStyle w:val="Caption"/>
        <w:jc w:val="center"/>
      </w:pPr>
    </w:p>
    <w:p w14:paraId="6AF5116D" w14:textId="77777777" w:rsidR="00BD7CDB" w:rsidRPr="00131EED" w:rsidRDefault="00BD7CDB">
      <w:pPr>
        <w:spacing w:after="200" w:line="276" w:lineRule="auto"/>
        <w:jc w:val="left"/>
        <w:rPr>
          <w:rFonts w:ascii="Arial" w:eastAsia="Calibri" w:hAnsi="Arial" w:cs="Arial"/>
          <w:i/>
          <w:iCs/>
          <w:color w:val="44546A"/>
          <w:sz w:val="18"/>
          <w:szCs w:val="18"/>
          <w:lang w:eastAsia="en-US"/>
        </w:rPr>
      </w:pPr>
      <w:r w:rsidRPr="00131EED">
        <w:br w:type="page"/>
      </w:r>
    </w:p>
    <w:p w14:paraId="78FD9053" w14:textId="31FCC900" w:rsidR="00F421F8" w:rsidRPr="00131EED" w:rsidRDefault="00F421F8" w:rsidP="00F421F8">
      <w:pPr>
        <w:pStyle w:val="Caption"/>
        <w:jc w:val="center"/>
      </w:pPr>
      <w:bookmarkStart w:id="286" w:name="_Toc216468840"/>
      <w:r w:rsidRPr="00131EED">
        <w:t xml:space="preserve">Ilustración </w:t>
      </w:r>
      <w:r w:rsidRPr="00131EED">
        <w:fldChar w:fldCharType="begin"/>
      </w:r>
      <w:r w:rsidRPr="00131EED">
        <w:instrText>SEQ Ilustración \* ARABIC</w:instrText>
      </w:r>
      <w:r w:rsidRPr="00131EED">
        <w:fldChar w:fldCharType="separate"/>
      </w:r>
      <w:r w:rsidR="00CE096F">
        <w:rPr>
          <w:noProof/>
        </w:rPr>
        <w:t>75</w:t>
      </w:r>
      <w:r w:rsidRPr="00131EED">
        <w:fldChar w:fldCharType="end"/>
      </w:r>
      <w:r w:rsidRPr="00131EED">
        <w:t>. Dinámica de expansión del área construida para Facatativá (1975 - 2025)</w:t>
      </w:r>
      <w:bookmarkEnd w:id="286"/>
    </w:p>
    <w:tbl>
      <w:tblPr>
        <w:tblStyle w:val="TableGrid"/>
        <w:tblW w:w="0" w:type="auto"/>
        <w:jc w:val="center"/>
        <w:tblLook w:val="04A0" w:firstRow="1" w:lastRow="0" w:firstColumn="1" w:lastColumn="0" w:noHBand="0" w:noVBand="1"/>
      </w:tblPr>
      <w:tblGrid>
        <w:gridCol w:w="4414"/>
        <w:gridCol w:w="4414"/>
      </w:tblGrid>
      <w:tr w:rsidR="00F421F8" w:rsidRPr="00131EED" w14:paraId="58D1DDAC" w14:textId="77777777" w:rsidTr="00351822">
        <w:trPr>
          <w:jc w:val="center"/>
        </w:trPr>
        <w:tc>
          <w:tcPr>
            <w:tcW w:w="8828" w:type="dxa"/>
            <w:gridSpan w:val="2"/>
            <w:vAlign w:val="center"/>
          </w:tcPr>
          <w:p w14:paraId="3296A8AE" w14:textId="77777777" w:rsidR="00F421F8" w:rsidRPr="00131EED" w:rsidRDefault="00F421F8">
            <w:pPr>
              <w:jc w:val="center"/>
              <w:rPr>
                <w:b/>
                <w:bCs/>
              </w:rPr>
            </w:pPr>
            <w:r w:rsidRPr="00131EED">
              <w:rPr>
                <w:b/>
                <w:bCs/>
              </w:rPr>
              <w:t>Facatativá</w:t>
            </w:r>
          </w:p>
        </w:tc>
      </w:tr>
      <w:tr w:rsidR="00F421F8" w:rsidRPr="00131EED" w14:paraId="2A6E6D98" w14:textId="77777777" w:rsidTr="00351822">
        <w:trPr>
          <w:jc w:val="center"/>
        </w:trPr>
        <w:tc>
          <w:tcPr>
            <w:tcW w:w="4414" w:type="dxa"/>
            <w:vAlign w:val="center"/>
          </w:tcPr>
          <w:p w14:paraId="0631EDBF" w14:textId="77777777" w:rsidR="00F421F8" w:rsidRPr="00131EED" w:rsidRDefault="00F421F8">
            <w:pPr>
              <w:jc w:val="center"/>
              <w:rPr>
                <w:b/>
                <w:bCs/>
              </w:rPr>
            </w:pPr>
            <w:r w:rsidRPr="00131EED">
              <w:rPr>
                <w:b/>
                <w:bCs/>
              </w:rPr>
              <w:t>1975</w:t>
            </w:r>
          </w:p>
        </w:tc>
        <w:tc>
          <w:tcPr>
            <w:tcW w:w="4414" w:type="dxa"/>
            <w:vAlign w:val="center"/>
          </w:tcPr>
          <w:p w14:paraId="447A7F32" w14:textId="77777777" w:rsidR="00F421F8" w:rsidRPr="00131EED" w:rsidRDefault="00F421F8">
            <w:pPr>
              <w:jc w:val="center"/>
              <w:rPr>
                <w:b/>
                <w:bCs/>
              </w:rPr>
            </w:pPr>
            <w:r w:rsidRPr="00131EED">
              <w:rPr>
                <w:b/>
                <w:bCs/>
              </w:rPr>
              <w:t>2025</w:t>
            </w:r>
          </w:p>
        </w:tc>
      </w:tr>
      <w:tr w:rsidR="00F421F8" w:rsidRPr="00131EED" w14:paraId="19E55654" w14:textId="77777777" w:rsidTr="00351822">
        <w:trPr>
          <w:jc w:val="center"/>
        </w:trPr>
        <w:tc>
          <w:tcPr>
            <w:tcW w:w="4414" w:type="dxa"/>
            <w:vAlign w:val="center"/>
          </w:tcPr>
          <w:p w14:paraId="696F1E2F" w14:textId="77777777" w:rsidR="00F421F8" w:rsidRPr="00131EED" w:rsidRDefault="00F421F8">
            <w:pPr>
              <w:jc w:val="center"/>
            </w:pPr>
            <w:r w:rsidRPr="00131EED">
              <w:rPr>
                <w:noProof/>
                <w:lang w:eastAsia="en-US"/>
              </w:rPr>
              <w:drawing>
                <wp:inline distT="0" distB="0" distL="0" distR="0" wp14:anchorId="18E32388" wp14:editId="5CD6EA27">
                  <wp:extent cx="2818877" cy="1993392"/>
                  <wp:effectExtent l="0" t="0" r="635" b="6985"/>
                  <wp:docPr id="1880671922" name="Picture 14" descr="A map of the city of kumasi&#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671922" name="Picture 14" descr="A map of the city of kumasi&#10;&#10;AI-generated content may be incorrect."/>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18877" cy="1993392"/>
                          </a:xfrm>
                          <a:prstGeom prst="rect">
                            <a:avLst/>
                          </a:prstGeom>
                          <a:noFill/>
                          <a:ln>
                            <a:noFill/>
                          </a:ln>
                        </pic:spPr>
                      </pic:pic>
                    </a:graphicData>
                  </a:graphic>
                </wp:inline>
              </w:drawing>
            </w:r>
          </w:p>
        </w:tc>
        <w:tc>
          <w:tcPr>
            <w:tcW w:w="4414" w:type="dxa"/>
            <w:vAlign w:val="center"/>
          </w:tcPr>
          <w:p w14:paraId="66E5D33A" w14:textId="77777777" w:rsidR="00F421F8" w:rsidRPr="00131EED" w:rsidRDefault="00F421F8">
            <w:pPr>
              <w:keepNext/>
              <w:jc w:val="center"/>
            </w:pPr>
            <w:r w:rsidRPr="00131EED">
              <w:rPr>
                <w:noProof/>
                <w:lang w:eastAsia="en-US"/>
              </w:rPr>
              <w:drawing>
                <wp:inline distT="0" distB="0" distL="0" distR="0" wp14:anchorId="3BE1BA87" wp14:editId="5DBD9725">
                  <wp:extent cx="2818877" cy="1993392"/>
                  <wp:effectExtent l="0" t="0" r="635" b="6985"/>
                  <wp:docPr id="1746530939" name="Picture 12" descr="A satellite image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530939" name="Picture 12" descr="A satellite image of a city&#10;&#10;AI-generated content may be incorrect."/>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18877" cy="1993392"/>
                          </a:xfrm>
                          <a:prstGeom prst="rect">
                            <a:avLst/>
                          </a:prstGeom>
                          <a:noFill/>
                          <a:ln>
                            <a:noFill/>
                          </a:ln>
                        </pic:spPr>
                      </pic:pic>
                    </a:graphicData>
                  </a:graphic>
                </wp:inline>
              </w:drawing>
            </w:r>
          </w:p>
        </w:tc>
      </w:tr>
    </w:tbl>
    <w:p w14:paraId="5DDBD8D5" w14:textId="77777777" w:rsidR="00351822" w:rsidRPr="00131EED" w:rsidRDefault="00351822" w:rsidP="00351822">
      <w:pPr>
        <w:jc w:val="center"/>
        <w:rPr>
          <w:sz w:val="20"/>
          <w:szCs w:val="20"/>
        </w:rPr>
      </w:pPr>
      <w:r w:rsidRPr="00131EED">
        <w:rPr>
          <w:sz w:val="20"/>
          <w:szCs w:val="20"/>
        </w:rPr>
        <w:t>Fuente: MinAmbiente (2025)</w:t>
      </w:r>
    </w:p>
    <w:p w14:paraId="0425C8AE" w14:textId="77777777" w:rsidR="00F421F8" w:rsidRPr="00131EED" w:rsidRDefault="00F421F8" w:rsidP="00F421F8">
      <w:pPr>
        <w:rPr>
          <w:lang w:eastAsia="en-US"/>
        </w:rPr>
      </w:pPr>
    </w:p>
    <w:p w14:paraId="38907FB2" w14:textId="5486B8F8" w:rsidR="00F421F8" w:rsidRPr="00131EED" w:rsidRDefault="00F421F8" w:rsidP="00F421F8">
      <w:pPr>
        <w:pStyle w:val="Caption"/>
        <w:jc w:val="center"/>
      </w:pPr>
      <w:bookmarkStart w:id="287" w:name="_Toc216468841"/>
      <w:r w:rsidRPr="00131EED">
        <w:t xml:space="preserve">Ilustración </w:t>
      </w:r>
      <w:r w:rsidRPr="00131EED">
        <w:fldChar w:fldCharType="begin"/>
      </w:r>
      <w:r w:rsidRPr="00131EED">
        <w:instrText>SEQ Ilustración \* ARABIC</w:instrText>
      </w:r>
      <w:r w:rsidRPr="00131EED">
        <w:fldChar w:fldCharType="separate"/>
      </w:r>
      <w:r w:rsidR="00CE096F">
        <w:rPr>
          <w:noProof/>
        </w:rPr>
        <w:t>76</w:t>
      </w:r>
      <w:r w:rsidRPr="00131EED">
        <w:fldChar w:fldCharType="end"/>
      </w:r>
      <w:r w:rsidRPr="00131EED">
        <w:t>. Dinámica de expansión del área construida para Soacha (1975 - 2025)</w:t>
      </w:r>
      <w:bookmarkEnd w:id="287"/>
    </w:p>
    <w:tbl>
      <w:tblPr>
        <w:tblStyle w:val="TableGrid"/>
        <w:tblW w:w="0" w:type="auto"/>
        <w:jc w:val="center"/>
        <w:tblLook w:val="04A0" w:firstRow="1" w:lastRow="0" w:firstColumn="1" w:lastColumn="0" w:noHBand="0" w:noVBand="1"/>
      </w:tblPr>
      <w:tblGrid>
        <w:gridCol w:w="4414"/>
        <w:gridCol w:w="4414"/>
      </w:tblGrid>
      <w:tr w:rsidR="00F421F8" w:rsidRPr="00131EED" w14:paraId="2EB34A3E" w14:textId="77777777">
        <w:trPr>
          <w:jc w:val="center"/>
        </w:trPr>
        <w:tc>
          <w:tcPr>
            <w:tcW w:w="8828" w:type="dxa"/>
            <w:gridSpan w:val="2"/>
            <w:vAlign w:val="center"/>
          </w:tcPr>
          <w:p w14:paraId="1A7FAA41" w14:textId="77777777" w:rsidR="00F421F8" w:rsidRPr="00131EED" w:rsidRDefault="00F421F8">
            <w:pPr>
              <w:jc w:val="center"/>
              <w:rPr>
                <w:b/>
                <w:bCs/>
              </w:rPr>
            </w:pPr>
            <w:r w:rsidRPr="00131EED">
              <w:rPr>
                <w:b/>
                <w:bCs/>
              </w:rPr>
              <w:t>Soacha</w:t>
            </w:r>
          </w:p>
        </w:tc>
      </w:tr>
      <w:tr w:rsidR="00F421F8" w:rsidRPr="00131EED" w14:paraId="6AA901B4" w14:textId="77777777">
        <w:trPr>
          <w:jc w:val="center"/>
        </w:trPr>
        <w:tc>
          <w:tcPr>
            <w:tcW w:w="4414" w:type="dxa"/>
            <w:vAlign w:val="center"/>
          </w:tcPr>
          <w:p w14:paraId="2F340311" w14:textId="77777777" w:rsidR="00F421F8" w:rsidRPr="00131EED" w:rsidRDefault="00F421F8">
            <w:pPr>
              <w:jc w:val="center"/>
              <w:rPr>
                <w:b/>
                <w:bCs/>
              </w:rPr>
            </w:pPr>
            <w:r w:rsidRPr="00131EED">
              <w:rPr>
                <w:b/>
                <w:bCs/>
              </w:rPr>
              <w:t>1975</w:t>
            </w:r>
          </w:p>
        </w:tc>
        <w:tc>
          <w:tcPr>
            <w:tcW w:w="4414" w:type="dxa"/>
            <w:vAlign w:val="center"/>
          </w:tcPr>
          <w:p w14:paraId="79667525" w14:textId="77777777" w:rsidR="00F421F8" w:rsidRPr="00131EED" w:rsidRDefault="00F421F8">
            <w:pPr>
              <w:jc w:val="center"/>
              <w:rPr>
                <w:b/>
                <w:bCs/>
              </w:rPr>
            </w:pPr>
            <w:r w:rsidRPr="00131EED">
              <w:rPr>
                <w:b/>
                <w:bCs/>
              </w:rPr>
              <w:t>2025</w:t>
            </w:r>
          </w:p>
        </w:tc>
      </w:tr>
      <w:tr w:rsidR="00F421F8" w:rsidRPr="00131EED" w14:paraId="321B0F1C" w14:textId="77777777">
        <w:trPr>
          <w:jc w:val="center"/>
        </w:trPr>
        <w:tc>
          <w:tcPr>
            <w:tcW w:w="4414" w:type="dxa"/>
            <w:vAlign w:val="center"/>
          </w:tcPr>
          <w:p w14:paraId="70B33A91" w14:textId="77777777" w:rsidR="00F421F8" w:rsidRPr="00131EED" w:rsidRDefault="00F421F8">
            <w:pPr>
              <w:jc w:val="center"/>
            </w:pPr>
            <w:r w:rsidRPr="00131EED">
              <w:rPr>
                <w:noProof/>
                <w:lang w:eastAsia="en-US"/>
              </w:rPr>
              <w:drawing>
                <wp:inline distT="0" distB="0" distL="0" distR="0" wp14:anchorId="4D5C58EE" wp14:editId="6ACC9147">
                  <wp:extent cx="2818877" cy="1993392"/>
                  <wp:effectExtent l="0" t="0" r="635" b="6985"/>
                  <wp:docPr id="1083148133" name="Picture 18" descr="A map of the state of chi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148133" name="Picture 18" descr="A map of the state of chile&#10;&#10;AI-generated content may be incorrect."/>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818877" cy="1993392"/>
                          </a:xfrm>
                          <a:prstGeom prst="rect">
                            <a:avLst/>
                          </a:prstGeom>
                          <a:noFill/>
                          <a:ln>
                            <a:noFill/>
                          </a:ln>
                        </pic:spPr>
                      </pic:pic>
                    </a:graphicData>
                  </a:graphic>
                </wp:inline>
              </w:drawing>
            </w:r>
          </w:p>
        </w:tc>
        <w:tc>
          <w:tcPr>
            <w:tcW w:w="4414" w:type="dxa"/>
            <w:vAlign w:val="center"/>
          </w:tcPr>
          <w:p w14:paraId="26DAC743" w14:textId="77777777" w:rsidR="00F421F8" w:rsidRPr="00131EED" w:rsidRDefault="00F421F8">
            <w:pPr>
              <w:keepNext/>
              <w:jc w:val="center"/>
            </w:pPr>
            <w:r w:rsidRPr="00131EED">
              <w:rPr>
                <w:noProof/>
                <w:lang w:eastAsia="en-US"/>
              </w:rPr>
              <w:drawing>
                <wp:inline distT="0" distB="0" distL="0" distR="0" wp14:anchorId="44EE436F" wp14:editId="039DCFDF">
                  <wp:extent cx="2818877" cy="1993392"/>
                  <wp:effectExtent l="0" t="0" r="635" b="6985"/>
                  <wp:docPr id="1150745576" name="Picture 16"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745576" name="Picture 16" descr="A map of a city&#10;&#10;AI-generated content may be incorrect."/>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18877" cy="1993392"/>
                          </a:xfrm>
                          <a:prstGeom prst="rect">
                            <a:avLst/>
                          </a:prstGeom>
                          <a:noFill/>
                          <a:ln>
                            <a:noFill/>
                          </a:ln>
                        </pic:spPr>
                      </pic:pic>
                    </a:graphicData>
                  </a:graphic>
                </wp:inline>
              </w:drawing>
            </w:r>
          </w:p>
        </w:tc>
      </w:tr>
    </w:tbl>
    <w:p w14:paraId="4D96E396" w14:textId="77777777" w:rsidR="00351822" w:rsidRPr="00131EED" w:rsidRDefault="00351822" w:rsidP="00351822">
      <w:pPr>
        <w:jc w:val="center"/>
        <w:rPr>
          <w:sz w:val="20"/>
          <w:szCs w:val="20"/>
        </w:rPr>
      </w:pPr>
      <w:r w:rsidRPr="00131EED">
        <w:rPr>
          <w:sz w:val="20"/>
          <w:szCs w:val="20"/>
        </w:rPr>
        <w:t>Fuente: MinAmbiente (2025)</w:t>
      </w:r>
    </w:p>
    <w:p w14:paraId="531F80BC" w14:textId="77777777" w:rsidR="00F421F8" w:rsidRPr="00131EED" w:rsidRDefault="00F421F8" w:rsidP="00F421F8">
      <w:pPr>
        <w:pStyle w:val="Caption"/>
        <w:jc w:val="center"/>
      </w:pPr>
    </w:p>
    <w:p w14:paraId="7A9A84C9" w14:textId="77777777" w:rsidR="00F421F8" w:rsidRPr="00131EED" w:rsidRDefault="00F421F8" w:rsidP="00F421F8">
      <w:pPr>
        <w:pStyle w:val="Caption"/>
        <w:jc w:val="center"/>
      </w:pPr>
    </w:p>
    <w:p w14:paraId="14E500B8" w14:textId="77777777" w:rsidR="00F421F8" w:rsidRPr="00131EED" w:rsidRDefault="00F421F8" w:rsidP="00F421F8">
      <w:pPr>
        <w:pStyle w:val="Caption"/>
        <w:jc w:val="center"/>
      </w:pPr>
    </w:p>
    <w:p w14:paraId="30594353" w14:textId="77777777" w:rsidR="00F421F8" w:rsidRPr="00131EED" w:rsidRDefault="00F421F8" w:rsidP="00F421F8">
      <w:pPr>
        <w:pStyle w:val="Caption"/>
        <w:jc w:val="center"/>
      </w:pPr>
    </w:p>
    <w:p w14:paraId="6B788EA2" w14:textId="77777777" w:rsidR="00F421F8" w:rsidRPr="00131EED" w:rsidRDefault="00F421F8" w:rsidP="00F421F8">
      <w:pPr>
        <w:pStyle w:val="Caption"/>
        <w:jc w:val="center"/>
      </w:pPr>
    </w:p>
    <w:p w14:paraId="0B04C1A2" w14:textId="77777777" w:rsidR="00F421F8" w:rsidRPr="00131EED" w:rsidRDefault="00F421F8" w:rsidP="00F421F8">
      <w:pPr>
        <w:pStyle w:val="Caption"/>
        <w:jc w:val="center"/>
      </w:pPr>
    </w:p>
    <w:p w14:paraId="5085232A" w14:textId="77777777" w:rsidR="00F421F8" w:rsidRPr="00131EED" w:rsidRDefault="00F421F8" w:rsidP="00F421F8">
      <w:pPr>
        <w:pStyle w:val="Caption"/>
        <w:jc w:val="center"/>
      </w:pPr>
    </w:p>
    <w:p w14:paraId="1EA2EEC2" w14:textId="5B65116C" w:rsidR="00F421F8" w:rsidRPr="00131EED" w:rsidRDefault="00F421F8" w:rsidP="00F421F8">
      <w:pPr>
        <w:pStyle w:val="Caption"/>
        <w:jc w:val="center"/>
      </w:pPr>
      <w:bookmarkStart w:id="288" w:name="_Toc216468842"/>
      <w:r w:rsidRPr="00131EED">
        <w:t xml:space="preserve">Ilustración </w:t>
      </w:r>
      <w:r w:rsidRPr="00131EED">
        <w:fldChar w:fldCharType="begin"/>
      </w:r>
      <w:r w:rsidRPr="00131EED">
        <w:instrText>SEQ Ilustración \* ARABIC</w:instrText>
      </w:r>
      <w:r w:rsidRPr="00131EED">
        <w:fldChar w:fldCharType="separate"/>
      </w:r>
      <w:r w:rsidR="00CE096F">
        <w:rPr>
          <w:noProof/>
        </w:rPr>
        <w:t>77</w:t>
      </w:r>
      <w:r w:rsidRPr="00131EED">
        <w:fldChar w:fldCharType="end"/>
      </w:r>
      <w:r w:rsidRPr="00131EED">
        <w:t>. Dinámica de expansión del área construida para Bogotá D.C. (1975 - 2025)</w:t>
      </w:r>
      <w:bookmarkEnd w:id="288"/>
    </w:p>
    <w:tbl>
      <w:tblPr>
        <w:tblStyle w:val="TableGrid"/>
        <w:tblW w:w="0" w:type="auto"/>
        <w:jc w:val="center"/>
        <w:tblLook w:val="04A0" w:firstRow="1" w:lastRow="0" w:firstColumn="1" w:lastColumn="0" w:noHBand="0" w:noVBand="1"/>
      </w:tblPr>
      <w:tblGrid>
        <w:gridCol w:w="4414"/>
        <w:gridCol w:w="4414"/>
      </w:tblGrid>
      <w:tr w:rsidR="00F421F8" w:rsidRPr="00131EED" w14:paraId="1655D048" w14:textId="77777777">
        <w:trPr>
          <w:jc w:val="center"/>
        </w:trPr>
        <w:tc>
          <w:tcPr>
            <w:tcW w:w="8828" w:type="dxa"/>
            <w:gridSpan w:val="2"/>
            <w:vAlign w:val="center"/>
          </w:tcPr>
          <w:p w14:paraId="6BAE3C8D" w14:textId="77777777" w:rsidR="00F421F8" w:rsidRPr="00131EED" w:rsidRDefault="00F421F8">
            <w:pPr>
              <w:jc w:val="center"/>
              <w:rPr>
                <w:b/>
                <w:bCs/>
              </w:rPr>
            </w:pPr>
            <w:r w:rsidRPr="00131EED">
              <w:rPr>
                <w:b/>
                <w:bCs/>
              </w:rPr>
              <w:t>Bogotá</w:t>
            </w:r>
          </w:p>
        </w:tc>
      </w:tr>
      <w:tr w:rsidR="00F421F8" w:rsidRPr="00131EED" w14:paraId="0DC5FBCA" w14:textId="77777777">
        <w:trPr>
          <w:jc w:val="center"/>
        </w:trPr>
        <w:tc>
          <w:tcPr>
            <w:tcW w:w="4414" w:type="dxa"/>
            <w:vAlign w:val="center"/>
          </w:tcPr>
          <w:p w14:paraId="752412B9" w14:textId="77777777" w:rsidR="00F421F8" w:rsidRPr="00131EED" w:rsidRDefault="00F421F8">
            <w:pPr>
              <w:jc w:val="center"/>
              <w:rPr>
                <w:b/>
                <w:bCs/>
              </w:rPr>
            </w:pPr>
            <w:r w:rsidRPr="00131EED">
              <w:rPr>
                <w:b/>
                <w:bCs/>
              </w:rPr>
              <w:t>1975</w:t>
            </w:r>
          </w:p>
        </w:tc>
        <w:tc>
          <w:tcPr>
            <w:tcW w:w="4414" w:type="dxa"/>
            <w:vAlign w:val="center"/>
          </w:tcPr>
          <w:p w14:paraId="03EF48BC" w14:textId="77777777" w:rsidR="00F421F8" w:rsidRPr="00131EED" w:rsidRDefault="00F421F8">
            <w:pPr>
              <w:jc w:val="center"/>
              <w:rPr>
                <w:b/>
                <w:bCs/>
              </w:rPr>
            </w:pPr>
            <w:r w:rsidRPr="00131EED">
              <w:rPr>
                <w:b/>
                <w:bCs/>
              </w:rPr>
              <w:t>2025</w:t>
            </w:r>
          </w:p>
        </w:tc>
      </w:tr>
      <w:tr w:rsidR="00F421F8" w:rsidRPr="00131EED" w14:paraId="719DF219" w14:textId="77777777">
        <w:trPr>
          <w:jc w:val="center"/>
        </w:trPr>
        <w:tc>
          <w:tcPr>
            <w:tcW w:w="4414" w:type="dxa"/>
            <w:vAlign w:val="center"/>
          </w:tcPr>
          <w:p w14:paraId="7F591D4A" w14:textId="77777777" w:rsidR="00F421F8" w:rsidRPr="00131EED" w:rsidRDefault="00F421F8">
            <w:pPr>
              <w:jc w:val="center"/>
            </w:pPr>
            <w:r w:rsidRPr="00131EED">
              <w:rPr>
                <w:noProof/>
                <w:lang w:eastAsia="en-US"/>
              </w:rPr>
              <w:drawing>
                <wp:inline distT="0" distB="0" distL="0" distR="0" wp14:anchorId="583C499E" wp14:editId="1BE127AA">
                  <wp:extent cx="2818877" cy="1993392"/>
                  <wp:effectExtent l="0" t="0" r="635" b="6985"/>
                  <wp:docPr id="83998776" name="Picture 22" descr="A map of the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98776" name="Picture 22" descr="A map of the country&#10;&#10;AI-generated content may be incorrect."/>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18877" cy="1993392"/>
                          </a:xfrm>
                          <a:prstGeom prst="rect">
                            <a:avLst/>
                          </a:prstGeom>
                          <a:noFill/>
                          <a:ln>
                            <a:noFill/>
                          </a:ln>
                        </pic:spPr>
                      </pic:pic>
                    </a:graphicData>
                  </a:graphic>
                </wp:inline>
              </w:drawing>
            </w:r>
          </w:p>
        </w:tc>
        <w:tc>
          <w:tcPr>
            <w:tcW w:w="4414" w:type="dxa"/>
            <w:vAlign w:val="center"/>
          </w:tcPr>
          <w:p w14:paraId="18C5A6D5" w14:textId="77777777" w:rsidR="00F421F8" w:rsidRPr="00131EED" w:rsidRDefault="00F421F8">
            <w:pPr>
              <w:keepNext/>
              <w:jc w:val="center"/>
            </w:pPr>
            <w:r w:rsidRPr="00131EED">
              <w:rPr>
                <w:noProof/>
                <w:lang w:eastAsia="en-US"/>
              </w:rPr>
              <w:drawing>
                <wp:inline distT="0" distB="0" distL="0" distR="0" wp14:anchorId="27BB6280" wp14:editId="5ABE95C0">
                  <wp:extent cx="2818877" cy="1993392"/>
                  <wp:effectExtent l="0" t="0" r="635" b="6985"/>
                  <wp:docPr id="756422881" name="Picture 20" descr="A map of the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422881" name="Picture 20" descr="A map of the country&#10;&#10;AI-generated content may be incorrect."/>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818877" cy="1993392"/>
                          </a:xfrm>
                          <a:prstGeom prst="rect">
                            <a:avLst/>
                          </a:prstGeom>
                          <a:noFill/>
                          <a:ln>
                            <a:noFill/>
                          </a:ln>
                        </pic:spPr>
                      </pic:pic>
                    </a:graphicData>
                  </a:graphic>
                </wp:inline>
              </w:drawing>
            </w:r>
          </w:p>
        </w:tc>
      </w:tr>
    </w:tbl>
    <w:p w14:paraId="04FFABFD" w14:textId="77777777" w:rsidR="00351822" w:rsidRPr="00131EED" w:rsidRDefault="00351822" w:rsidP="00351822">
      <w:pPr>
        <w:jc w:val="center"/>
        <w:rPr>
          <w:sz w:val="20"/>
          <w:szCs w:val="20"/>
        </w:rPr>
      </w:pPr>
      <w:r w:rsidRPr="00131EED">
        <w:rPr>
          <w:sz w:val="20"/>
          <w:szCs w:val="20"/>
        </w:rPr>
        <w:t>Fuente: MinAmbiente (2025)</w:t>
      </w:r>
    </w:p>
    <w:p w14:paraId="4F9FECF6" w14:textId="77777777" w:rsidR="00F421F8" w:rsidRPr="00131EED" w:rsidRDefault="00F421F8" w:rsidP="00410194">
      <w:pPr>
        <w:pStyle w:val="Heading4"/>
        <w:numPr>
          <w:ilvl w:val="3"/>
          <w:numId w:val="31"/>
        </w:numPr>
      </w:pPr>
      <w:bookmarkStart w:id="289" w:name="_Toc216468731"/>
      <w:r w:rsidRPr="00131EED">
        <w:t>Análisis de Huella Construida con Google Building Footprint</w:t>
      </w:r>
      <w:bookmarkEnd w:id="289"/>
    </w:p>
    <w:p w14:paraId="455287F6" w14:textId="77777777" w:rsidR="00F421F8" w:rsidRPr="00131EED" w:rsidRDefault="00F421F8" w:rsidP="00F421F8">
      <w:pPr>
        <w:rPr>
          <w:lang w:eastAsia="en-US"/>
        </w:rPr>
      </w:pPr>
    </w:p>
    <w:p w14:paraId="0A36C61B" w14:textId="77777777" w:rsidR="00F421F8" w:rsidRPr="00131EED" w:rsidRDefault="00F421F8" w:rsidP="00F421F8">
      <w:pPr>
        <w:rPr>
          <w:lang w:eastAsia="en-US"/>
        </w:rPr>
      </w:pPr>
      <w:r w:rsidRPr="00131EED">
        <w:rPr>
          <w:lang w:eastAsia="en-US"/>
        </w:rPr>
        <w:t xml:space="preserve">Con el propósito de tener una estimación de la huella construida en la Sabana de Bogotá, se consultaron fuentes de información de acceso abierto, entre los que se encontraron Google Building Footprint, el cual es un conjunto de datos a gran escala que contiene los </w:t>
      </w:r>
      <w:r w:rsidRPr="00131EED">
        <w:rPr>
          <w:b/>
          <w:bCs/>
          <w:lang w:eastAsia="en-US"/>
        </w:rPr>
        <w:t>contornos de los edificios</w:t>
      </w:r>
      <w:r w:rsidRPr="00131EED">
        <w:rPr>
          <w:lang w:eastAsia="en-US"/>
        </w:rPr>
        <w:t xml:space="preserve"> extraídos de imágenes satelitales de alta resolución. Este proyecto de Google Research se enfoca en mapear edificios en el </w:t>
      </w:r>
      <w:r w:rsidRPr="00131EED">
        <w:rPr>
          <w:b/>
          <w:bCs/>
          <w:lang w:eastAsia="en-US"/>
        </w:rPr>
        <w:t>Sur Global</w:t>
      </w:r>
      <w:r w:rsidRPr="00131EED">
        <w:rPr>
          <w:lang w:eastAsia="en-US"/>
        </w:rPr>
        <w:t>, incluyendo África, América Latina, el Caribe y el sudeste asiático, donde los datos de construcción a menudo son limitados o no están actualizados.</w:t>
      </w:r>
    </w:p>
    <w:p w14:paraId="725AB633" w14:textId="77777777" w:rsidR="00F421F8" w:rsidRPr="00131EED" w:rsidRDefault="00F421F8" w:rsidP="00F421F8">
      <w:pPr>
        <w:rPr>
          <w:lang w:eastAsia="en-US"/>
        </w:rPr>
      </w:pPr>
    </w:p>
    <w:p w14:paraId="1D0CABCE" w14:textId="77777777" w:rsidR="00F421F8" w:rsidRPr="00131EED" w:rsidRDefault="00F421F8" w:rsidP="00F421F8">
      <w:pPr>
        <w:rPr>
          <w:lang w:eastAsia="en-US"/>
        </w:rPr>
      </w:pPr>
      <w:r w:rsidRPr="00131EED">
        <w:rPr>
          <w:lang w:eastAsia="en-US"/>
        </w:rPr>
        <w:t xml:space="preserve">Este conjunto de datos se crea utilizando </w:t>
      </w:r>
      <w:r w:rsidRPr="00131EED">
        <w:rPr>
          <w:b/>
          <w:bCs/>
          <w:lang w:eastAsia="en-US"/>
        </w:rPr>
        <w:t>modelos de aprendizaje automático</w:t>
      </w:r>
      <w:r w:rsidRPr="00131EED">
        <w:rPr>
          <w:lang w:eastAsia="en-US"/>
        </w:rPr>
        <w:t xml:space="preserve"> que identifican y trazan las huellas de los edificios a partir de las imágenes de satélite. Cada polígono de edificio en el conjunto de datos incluye una </w:t>
      </w:r>
      <w:r w:rsidRPr="00131EED">
        <w:rPr>
          <w:b/>
          <w:bCs/>
          <w:lang w:eastAsia="en-US"/>
        </w:rPr>
        <w:t>puntuación de confianza</w:t>
      </w:r>
      <w:r w:rsidRPr="00131EED">
        <w:rPr>
          <w:lang w:eastAsia="en-US"/>
        </w:rPr>
        <w:t>, que indica la probabilidad de que el contorno sea un edificio real.</w:t>
      </w:r>
    </w:p>
    <w:p w14:paraId="0A27B942" w14:textId="77777777" w:rsidR="00F421F8" w:rsidRPr="00131EED" w:rsidRDefault="00F421F8" w:rsidP="00F421F8">
      <w:pPr>
        <w:rPr>
          <w:lang w:eastAsia="en-US"/>
        </w:rPr>
      </w:pPr>
    </w:p>
    <w:p w14:paraId="30FACE07" w14:textId="77777777" w:rsidR="00F421F8" w:rsidRPr="00131EED" w:rsidRDefault="00F421F8" w:rsidP="00F421F8">
      <w:pPr>
        <w:rPr>
          <w:lang w:eastAsia="en-US"/>
        </w:rPr>
      </w:pPr>
      <w:r w:rsidRPr="00131EED">
        <w:rPr>
          <w:lang w:eastAsia="en-US"/>
        </w:rPr>
        <w:t xml:space="preserve">El conjunto de datos se crea a partir de </w:t>
      </w:r>
      <w:r w:rsidRPr="00131EED">
        <w:rPr>
          <w:b/>
          <w:bCs/>
          <w:lang w:eastAsia="en-US"/>
        </w:rPr>
        <w:t>imágenes satelitales de alta resolución</w:t>
      </w:r>
      <w:r w:rsidRPr="00131EED">
        <w:rPr>
          <w:lang w:eastAsia="en-US"/>
        </w:rPr>
        <w:t xml:space="preserve"> (50 cm de resolución) que cubren una vasta área de 58 millones de km² en el Sur Global. Google utiliza </w:t>
      </w:r>
      <w:r w:rsidRPr="00131EED">
        <w:rPr>
          <w:b/>
          <w:bCs/>
          <w:lang w:eastAsia="en-US"/>
        </w:rPr>
        <w:t>modelos de aprendizaje automático</w:t>
      </w:r>
      <w:r w:rsidRPr="00131EED">
        <w:rPr>
          <w:lang w:eastAsia="en-US"/>
        </w:rPr>
        <w:t xml:space="preserve"> y </w:t>
      </w:r>
      <w:r w:rsidRPr="00131EED">
        <w:rPr>
          <w:b/>
          <w:bCs/>
          <w:lang w:eastAsia="en-US"/>
        </w:rPr>
        <w:t>algoritmos de segmentación semántica de aprendizaje profundo</w:t>
      </w:r>
      <w:r w:rsidRPr="00131EED">
        <w:rPr>
          <w:lang w:eastAsia="en-US"/>
        </w:rPr>
        <w:t>, como las redes U-Net, para identificar y delinear automáticamente las huellas de los edificios.</w:t>
      </w:r>
    </w:p>
    <w:p w14:paraId="20BEAD19" w14:textId="77777777" w:rsidR="00F421F8" w:rsidRPr="00131EED" w:rsidRDefault="00F421F8" w:rsidP="00F421F8">
      <w:pPr>
        <w:rPr>
          <w:lang w:eastAsia="en-US"/>
        </w:rPr>
      </w:pPr>
    </w:p>
    <w:p w14:paraId="4E0367A8" w14:textId="77777777" w:rsidR="00F421F8" w:rsidRPr="00131EED" w:rsidRDefault="00F421F8" w:rsidP="00F421F8">
      <w:pPr>
        <w:rPr>
          <w:lang w:eastAsia="en-US"/>
        </w:rPr>
      </w:pPr>
      <w:r w:rsidRPr="00131EED">
        <w:rPr>
          <w:lang w:eastAsia="en-US"/>
        </w:rPr>
        <w:t>A diferencia de los métodos tradicionales, que se basan en la ingeniería de características, este enfoque de aprendizaje profundo permite el procesamiento de grandes volúmenes de datos con mayor precisión.</w:t>
      </w:r>
    </w:p>
    <w:p w14:paraId="73AC6E1F" w14:textId="77777777" w:rsidR="00F421F8" w:rsidRPr="00131EED" w:rsidRDefault="00F421F8" w:rsidP="00F421F8">
      <w:pPr>
        <w:rPr>
          <w:lang w:eastAsia="en-US"/>
        </w:rPr>
      </w:pPr>
    </w:p>
    <w:p w14:paraId="39099027" w14:textId="77777777" w:rsidR="00F421F8" w:rsidRPr="00131EED" w:rsidRDefault="00F421F8" w:rsidP="00F421F8">
      <w:pPr>
        <w:rPr>
          <w:lang w:eastAsia="en-US"/>
        </w:rPr>
      </w:pPr>
      <w:r w:rsidRPr="00131EED">
        <w:rPr>
          <w:lang w:eastAsia="en-US"/>
        </w:rPr>
        <w:t xml:space="preserve">La precisión de los datos de Google Building Footprints varía, pero los estudios indican que tiene una </w:t>
      </w:r>
      <w:r w:rsidRPr="00131EED">
        <w:rPr>
          <w:b/>
          <w:bCs/>
          <w:lang w:eastAsia="en-US"/>
        </w:rPr>
        <w:t>precisión superior al 90%</w:t>
      </w:r>
      <w:r w:rsidRPr="00131EED">
        <w:rPr>
          <w:lang w:eastAsia="en-US"/>
        </w:rPr>
        <w:t xml:space="preserve"> en la identificación de edificios. Se han realizado comparaciones con conjuntos de datos similares de Microsoft, donde se ha observado que el modelo de Google tiende a ser más granular, dividiendo edificios complejos en polígonos más pequeños. La </w:t>
      </w:r>
      <w:r w:rsidRPr="00131EED">
        <w:rPr>
          <w:b/>
          <w:bCs/>
          <w:lang w:eastAsia="en-US"/>
        </w:rPr>
        <w:t>recuperación</w:t>
      </w:r>
      <w:r w:rsidRPr="00131EED">
        <w:rPr>
          <w:lang w:eastAsia="en-US"/>
        </w:rPr>
        <w:t xml:space="preserve"> (recall), que mide cuántos edificios reales se identificaron, se sitúa alrededor del </w:t>
      </w:r>
      <w:r w:rsidRPr="00131EED">
        <w:rPr>
          <w:b/>
          <w:bCs/>
          <w:lang w:eastAsia="en-US"/>
        </w:rPr>
        <w:t>70%</w:t>
      </w:r>
      <w:r w:rsidRPr="00131EED">
        <w:rPr>
          <w:lang w:eastAsia="en-US"/>
        </w:rPr>
        <w:t>. La diferencia entre estos porcentajes se atribuye a menudo a las fechas de las imágenes, ya que Google utiliza imágenes más recientes para detectar nuevas construcciones.</w:t>
      </w:r>
    </w:p>
    <w:p w14:paraId="3EEBE96E" w14:textId="77777777" w:rsidR="00F421F8" w:rsidRPr="00131EED" w:rsidRDefault="00F421F8" w:rsidP="00F421F8">
      <w:pPr>
        <w:rPr>
          <w:lang w:eastAsia="en-US"/>
        </w:rPr>
      </w:pPr>
    </w:p>
    <w:p w14:paraId="7B6702D0" w14:textId="77777777" w:rsidR="00F421F8" w:rsidRPr="00131EED" w:rsidRDefault="00F421F8" w:rsidP="00F421F8">
      <w:pPr>
        <w:rPr>
          <w:lang w:eastAsia="en-US"/>
        </w:rPr>
      </w:pPr>
      <w:r w:rsidRPr="00131EED">
        <w:rPr>
          <w:lang w:eastAsia="en-US"/>
        </w:rPr>
        <w:t xml:space="preserve">El conjunto de datos está disponible públicamente, principalmente a través de </w:t>
      </w:r>
      <w:r w:rsidRPr="00131EED">
        <w:rPr>
          <w:b/>
          <w:bCs/>
          <w:lang w:eastAsia="en-US"/>
        </w:rPr>
        <w:t>Google Earth Engine</w:t>
      </w:r>
      <w:r w:rsidRPr="00131EED">
        <w:rPr>
          <w:lang w:eastAsia="en-US"/>
        </w:rPr>
        <w:t xml:space="preserve">. La estructura de los datos es vectorial, con cada edificio representado como un </w:t>
      </w:r>
      <w:r w:rsidRPr="00131EED">
        <w:rPr>
          <w:b/>
          <w:bCs/>
          <w:lang w:eastAsia="en-US"/>
        </w:rPr>
        <w:t>polígono</w:t>
      </w:r>
      <w:r w:rsidRPr="00131EED">
        <w:rPr>
          <w:lang w:eastAsia="en-US"/>
        </w:rPr>
        <w:t>. Cada polígono de edificio en el conjunto de datos incluye los siguientes atributos:</w:t>
      </w:r>
    </w:p>
    <w:p w14:paraId="39E3EE4F" w14:textId="77777777" w:rsidR="00F421F8" w:rsidRPr="00131EED" w:rsidRDefault="00F421F8" w:rsidP="00410194">
      <w:pPr>
        <w:numPr>
          <w:ilvl w:val="0"/>
          <w:numId w:val="29"/>
        </w:numPr>
        <w:rPr>
          <w:lang w:eastAsia="en-US"/>
        </w:rPr>
      </w:pPr>
      <w:r w:rsidRPr="00131EED">
        <w:rPr>
          <w:b/>
          <w:bCs/>
          <w:lang w:eastAsia="en-US"/>
        </w:rPr>
        <w:t>Geometría:</w:t>
      </w:r>
      <w:r w:rsidRPr="00131EED">
        <w:rPr>
          <w:lang w:eastAsia="en-US"/>
        </w:rPr>
        <w:t xml:space="preserve"> El polígono que describe la huella del edificio en el suelo.</w:t>
      </w:r>
    </w:p>
    <w:p w14:paraId="783A1334" w14:textId="77777777" w:rsidR="00F421F8" w:rsidRPr="00131EED" w:rsidRDefault="00F421F8" w:rsidP="00410194">
      <w:pPr>
        <w:numPr>
          <w:ilvl w:val="0"/>
          <w:numId w:val="29"/>
        </w:numPr>
        <w:rPr>
          <w:lang w:eastAsia="en-US"/>
        </w:rPr>
      </w:pPr>
      <w:r w:rsidRPr="00131EED">
        <w:rPr>
          <w:b/>
          <w:bCs/>
          <w:lang w:eastAsia="en-US"/>
        </w:rPr>
        <w:t>Puntuación de confianza:</w:t>
      </w:r>
      <w:r w:rsidRPr="00131EED">
        <w:rPr>
          <w:lang w:eastAsia="en-US"/>
        </w:rPr>
        <w:t xml:space="preserve"> Un valor numérico que indica la probabilidad de que el polígono represente un edificio real.</w:t>
      </w:r>
    </w:p>
    <w:p w14:paraId="66FFAF2B" w14:textId="77777777" w:rsidR="00F421F8" w:rsidRPr="00131EED" w:rsidRDefault="00F421F8" w:rsidP="00410194">
      <w:pPr>
        <w:numPr>
          <w:ilvl w:val="0"/>
          <w:numId w:val="29"/>
        </w:numPr>
        <w:rPr>
          <w:lang w:eastAsia="en-US"/>
        </w:rPr>
      </w:pPr>
      <w:r w:rsidRPr="00131EED">
        <w:rPr>
          <w:b/>
          <w:bCs/>
          <w:lang w:eastAsia="en-US"/>
        </w:rPr>
        <w:t>Plus Code:</w:t>
      </w:r>
      <w:r w:rsidRPr="00131EED">
        <w:rPr>
          <w:lang w:eastAsia="en-US"/>
        </w:rPr>
        <w:t xml:space="preserve"> Un código de dirección digital que corresponde al centro del edificio.</w:t>
      </w:r>
    </w:p>
    <w:p w14:paraId="79EFF96E" w14:textId="77777777" w:rsidR="00F421F8" w:rsidRPr="00131EED" w:rsidRDefault="00F421F8" w:rsidP="00F421F8">
      <w:pPr>
        <w:rPr>
          <w:lang w:eastAsia="en-US"/>
        </w:rPr>
      </w:pPr>
    </w:p>
    <w:p w14:paraId="0640F7FC" w14:textId="77777777" w:rsidR="00F421F8" w:rsidRPr="00131EED" w:rsidRDefault="00F421F8" w:rsidP="00F421F8">
      <w:pPr>
        <w:rPr>
          <w:b/>
          <w:lang w:eastAsia="en-US"/>
        </w:rPr>
      </w:pPr>
      <w:r w:rsidRPr="00131EED">
        <w:rPr>
          <w:b/>
          <w:lang w:eastAsia="en-US"/>
        </w:rPr>
        <w:t>Análisis de Información para la Sabana de Bogotá</w:t>
      </w:r>
    </w:p>
    <w:p w14:paraId="05763E51" w14:textId="77777777" w:rsidR="00F421F8" w:rsidRPr="00131EED" w:rsidRDefault="00F421F8" w:rsidP="00F421F8">
      <w:pPr>
        <w:rPr>
          <w:lang w:eastAsia="en-US"/>
        </w:rPr>
      </w:pPr>
    </w:p>
    <w:p w14:paraId="24414CA5" w14:textId="77777777" w:rsidR="00F421F8" w:rsidRPr="00131EED" w:rsidRDefault="00F421F8" w:rsidP="00F421F8">
      <w:pPr>
        <w:rPr>
          <w:lang w:eastAsia="en-US"/>
        </w:rPr>
      </w:pPr>
      <w:r w:rsidRPr="00131EED">
        <w:rPr>
          <w:lang w:eastAsia="en-US"/>
        </w:rPr>
        <w:t>Con base en las fuentes de información en mención, se cuantificaron el número de elementos al interior del ámbito de aplicación, discriminando su cantidad de acuerdo con sí se encuentran o no en centros poblados.</w:t>
      </w:r>
    </w:p>
    <w:p w14:paraId="782617A7" w14:textId="77777777" w:rsidR="00F421F8" w:rsidRPr="00131EED" w:rsidRDefault="00F421F8" w:rsidP="00F421F8">
      <w:pPr>
        <w:rPr>
          <w:lang w:eastAsia="en-US"/>
        </w:rPr>
      </w:pPr>
    </w:p>
    <w:p w14:paraId="5C976E06" w14:textId="51706495" w:rsidR="00351822" w:rsidRPr="00131EED" w:rsidRDefault="00F421F8" w:rsidP="00351822">
      <w:pPr>
        <w:rPr>
          <w:lang w:eastAsia="en-US"/>
        </w:rPr>
      </w:pPr>
      <w:r w:rsidRPr="00131EED">
        <w:rPr>
          <w:lang w:eastAsia="en-US"/>
        </w:rPr>
        <w:t xml:space="preserve">Para el área total de la Sabana de Bogotá se tiene un total de 1’711.201 de huellas de construcción correspondientes a 24.151 ha + 5486,6 mt2 distribuidas como se observa en la </w:t>
      </w:r>
      <w:r w:rsidR="00351822" w:rsidRPr="00131EED">
        <w:rPr>
          <w:lang w:eastAsia="en-US"/>
        </w:rPr>
        <w:t>ilustración.</w:t>
      </w:r>
    </w:p>
    <w:p w14:paraId="686646F8" w14:textId="2877660F" w:rsidR="00F421F8" w:rsidRPr="00131EED" w:rsidRDefault="00F421F8" w:rsidP="00F421F8">
      <w:pPr>
        <w:rPr>
          <w:lang w:eastAsia="en-US"/>
        </w:rPr>
      </w:pPr>
    </w:p>
    <w:p w14:paraId="36BD881D" w14:textId="693114FC" w:rsidR="00F421F8" w:rsidRPr="00131EED" w:rsidRDefault="00F421F8" w:rsidP="00F421F8">
      <w:pPr>
        <w:pStyle w:val="Caption"/>
        <w:keepNext/>
        <w:jc w:val="center"/>
      </w:pPr>
      <w:bookmarkStart w:id="290" w:name="_Toc216468955"/>
      <w:r w:rsidRPr="00131EED">
        <w:t xml:space="preserve">Tabla </w:t>
      </w:r>
      <w:r w:rsidRPr="00131EED">
        <w:fldChar w:fldCharType="begin"/>
      </w:r>
      <w:r w:rsidRPr="00131EED">
        <w:instrText>SEQ Tabla \* ARABIC</w:instrText>
      </w:r>
      <w:r w:rsidRPr="00131EED">
        <w:fldChar w:fldCharType="separate"/>
      </w:r>
      <w:r w:rsidR="00CE096F">
        <w:rPr>
          <w:noProof/>
        </w:rPr>
        <w:t>45</w:t>
      </w:r>
      <w:r w:rsidRPr="00131EED">
        <w:fldChar w:fldCharType="end"/>
      </w:r>
      <w:r w:rsidRPr="00131EED">
        <w:t>. Estadísticas de la huella construida de la Sabana de Bogotá.</w:t>
      </w:r>
      <w:bookmarkEnd w:id="2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7"/>
        <w:gridCol w:w="4811"/>
      </w:tblGrid>
      <w:tr w:rsidR="00F421F8" w:rsidRPr="00131EED" w14:paraId="551CE949" w14:textId="77777777">
        <w:trPr>
          <w:trHeight w:val="288"/>
          <w:jc w:val="center"/>
        </w:trPr>
        <w:tc>
          <w:tcPr>
            <w:tcW w:w="2275" w:type="pct"/>
            <w:noWrap/>
            <w:vAlign w:val="center"/>
            <w:hideMark/>
          </w:tcPr>
          <w:p w14:paraId="201B8938" w14:textId="77777777" w:rsidR="00F421F8" w:rsidRPr="00131EED" w:rsidRDefault="00F421F8">
            <w:pPr>
              <w:jc w:val="center"/>
              <w:rPr>
                <w:b/>
                <w:sz w:val="20"/>
                <w:szCs w:val="20"/>
                <w:lang w:eastAsia="en-US"/>
              </w:rPr>
            </w:pPr>
            <w:r w:rsidRPr="00131EED">
              <w:rPr>
                <w:b/>
                <w:sz w:val="20"/>
                <w:szCs w:val="20"/>
                <w:lang w:eastAsia="en-US"/>
              </w:rPr>
              <w:t>Numero de Huellas de Construcción</w:t>
            </w:r>
          </w:p>
        </w:tc>
        <w:tc>
          <w:tcPr>
            <w:tcW w:w="2725" w:type="pct"/>
            <w:noWrap/>
            <w:hideMark/>
          </w:tcPr>
          <w:p w14:paraId="5B6BE429" w14:textId="77777777" w:rsidR="00F421F8" w:rsidRPr="00131EED" w:rsidRDefault="00F421F8">
            <w:pPr>
              <w:jc w:val="center"/>
              <w:rPr>
                <w:sz w:val="20"/>
                <w:szCs w:val="20"/>
                <w:lang w:eastAsia="en-US"/>
              </w:rPr>
            </w:pPr>
            <w:r w:rsidRPr="00131EED">
              <w:rPr>
                <w:sz w:val="20"/>
                <w:szCs w:val="20"/>
              </w:rPr>
              <w:t>1’711.201</w:t>
            </w:r>
          </w:p>
        </w:tc>
      </w:tr>
      <w:tr w:rsidR="00F421F8" w:rsidRPr="00131EED" w14:paraId="660E864D" w14:textId="77777777">
        <w:trPr>
          <w:trHeight w:val="288"/>
          <w:jc w:val="center"/>
        </w:trPr>
        <w:tc>
          <w:tcPr>
            <w:tcW w:w="2275" w:type="pct"/>
            <w:noWrap/>
            <w:vAlign w:val="center"/>
            <w:hideMark/>
          </w:tcPr>
          <w:p w14:paraId="512E810A" w14:textId="77777777" w:rsidR="00F421F8" w:rsidRPr="00131EED" w:rsidRDefault="00F421F8">
            <w:pPr>
              <w:jc w:val="center"/>
              <w:rPr>
                <w:b/>
                <w:sz w:val="20"/>
                <w:szCs w:val="20"/>
                <w:lang w:eastAsia="en-US"/>
              </w:rPr>
            </w:pPr>
            <w:r w:rsidRPr="00131EED">
              <w:rPr>
                <w:b/>
                <w:sz w:val="20"/>
                <w:szCs w:val="20"/>
                <w:lang w:eastAsia="en-US"/>
              </w:rPr>
              <w:t>Área mínima (ha)</w:t>
            </w:r>
          </w:p>
        </w:tc>
        <w:tc>
          <w:tcPr>
            <w:tcW w:w="2725" w:type="pct"/>
            <w:noWrap/>
            <w:hideMark/>
          </w:tcPr>
          <w:p w14:paraId="00194F94" w14:textId="77777777" w:rsidR="00F421F8" w:rsidRPr="00131EED" w:rsidRDefault="00F421F8">
            <w:pPr>
              <w:jc w:val="center"/>
              <w:rPr>
                <w:sz w:val="20"/>
                <w:szCs w:val="20"/>
                <w:lang w:eastAsia="en-US"/>
              </w:rPr>
            </w:pPr>
            <w:r w:rsidRPr="00131EED">
              <w:rPr>
                <w:sz w:val="20"/>
                <w:szCs w:val="20"/>
              </w:rPr>
              <w:t>0 ha + 0000,02 mt2</w:t>
            </w:r>
          </w:p>
        </w:tc>
      </w:tr>
      <w:tr w:rsidR="00F421F8" w:rsidRPr="00131EED" w14:paraId="6BF9738F" w14:textId="77777777">
        <w:trPr>
          <w:trHeight w:val="288"/>
          <w:jc w:val="center"/>
        </w:trPr>
        <w:tc>
          <w:tcPr>
            <w:tcW w:w="2275" w:type="pct"/>
            <w:noWrap/>
            <w:vAlign w:val="center"/>
            <w:hideMark/>
          </w:tcPr>
          <w:p w14:paraId="56433840" w14:textId="77777777" w:rsidR="00F421F8" w:rsidRPr="00131EED" w:rsidRDefault="00F421F8">
            <w:pPr>
              <w:jc w:val="center"/>
              <w:rPr>
                <w:b/>
                <w:sz w:val="20"/>
                <w:szCs w:val="20"/>
                <w:lang w:eastAsia="en-US"/>
              </w:rPr>
            </w:pPr>
            <w:r w:rsidRPr="00131EED">
              <w:rPr>
                <w:b/>
                <w:sz w:val="20"/>
                <w:szCs w:val="20"/>
                <w:lang w:eastAsia="en-US"/>
              </w:rPr>
              <w:t>Área máxima (ha)</w:t>
            </w:r>
          </w:p>
        </w:tc>
        <w:tc>
          <w:tcPr>
            <w:tcW w:w="2725" w:type="pct"/>
            <w:noWrap/>
            <w:hideMark/>
          </w:tcPr>
          <w:p w14:paraId="6BD1D586" w14:textId="77777777" w:rsidR="00F421F8" w:rsidRPr="00131EED" w:rsidRDefault="00F421F8">
            <w:pPr>
              <w:jc w:val="center"/>
              <w:rPr>
                <w:sz w:val="20"/>
                <w:szCs w:val="20"/>
                <w:lang w:eastAsia="en-US"/>
              </w:rPr>
            </w:pPr>
            <w:r w:rsidRPr="00131EED">
              <w:rPr>
                <w:sz w:val="20"/>
                <w:szCs w:val="20"/>
              </w:rPr>
              <w:t>4 ha + 7849,51 mt2</w:t>
            </w:r>
          </w:p>
        </w:tc>
      </w:tr>
      <w:tr w:rsidR="00F421F8" w:rsidRPr="00131EED" w14:paraId="3130429A" w14:textId="77777777">
        <w:trPr>
          <w:trHeight w:val="288"/>
          <w:jc w:val="center"/>
        </w:trPr>
        <w:tc>
          <w:tcPr>
            <w:tcW w:w="2275" w:type="pct"/>
            <w:noWrap/>
            <w:vAlign w:val="center"/>
            <w:hideMark/>
          </w:tcPr>
          <w:p w14:paraId="5BD314C8" w14:textId="77777777" w:rsidR="00F421F8" w:rsidRPr="00131EED" w:rsidRDefault="00F421F8">
            <w:pPr>
              <w:jc w:val="center"/>
              <w:rPr>
                <w:b/>
                <w:sz w:val="20"/>
                <w:szCs w:val="20"/>
                <w:lang w:eastAsia="en-US"/>
              </w:rPr>
            </w:pPr>
            <w:r w:rsidRPr="00131EED">
              <w:rPr>
                <w:b/>
                <w:sz w:val="20"/>
                <w:szCs w:val="20"/>
              </w:rPr>
              <w:t>Área total (ha)</w:t>
            </w:r>
          </w:p>
        </w:tc>
        <w:tc>
          <w:tcPr>
            <w:tcW w:w="2725" w:type="pct"/>
            <w:noWrap/>
            <w:hideMark/>
          </w:tcPr>
          <w:p w14:paraId="4BD122C8" w14:textId="77777777" w:rsidR="00F421F8" w:rsidRPr="00131EED" w:rsidRDefault="00F421F8">
            <w:pPr>
              <w:jc w:val="center"/>
              <w:rPr>
                <w:sz w:val="20"/>
                <w:szCs w:val="20"/>
                <w:lang w:eastAsia="en-US"/>
              </w:rPr>
            </w:pPr>
            <w:r w:rsidRPr="00131EED">
              <w:rPr>
                <w:sz w:val="20"/>
                <w:szCs w:val="20"/>
              </w:rPr>
              <w:t>24.151 ha + 5486,6 mt2</w:t>
            </w:r>
          </w:p>
        </w:tc>
      </w:tr>
      <w:tr w:rsidR="00F421F8" w:rsidRPr="00131EED" w14:paraId="5C7EBDE5" w14:textId="77777777">
        <w:trPr>
          <w:trHeight w:val="288"/>
          <w:jc w:val="center"/>
        </w:trPr>
        <w:tc>
          <w:tcPr>
            <w:tcW w:w="2275" w:type="pct"/>
            <w:noWrap/>
            <w:vAlign w:val="center"/>
            <w:hideMark/>
          </w:tcPr>
          <w:p w14:paraId="2377CFA9" w14:textId="77777777" w:rsidR="00F421F8" w:rsidRPr="00131EED" w:rsidRDefault="00F421F8">
            <w:pPr>
              <w:jc w:val="center"/>
              <w:rPr>
                <w:b/>
                <w:sz w:val="20"/>
                <w:szCs w:val="20"/>
                <w:lang w:eastAsia="en-US"/>
              </w:rPr>
            </w:pPr>
            <w:r w:rsidRPr="00131EED">
              <w:rPr>
                <w:b/>
                <w:sz w:val="20"/>
                <w:szCs w:val="20"/>
                <w:lang w:eastAsia="en-US"/>
              </w:rPr>
              <w:t>Área promedio (ha)</w:t>
            </w:r>
          </w:p>
        </w:tc>
        <w:tc>
          <w:tcPr>
            <w:tcW w:w="2725" w:type="pct"/>
            <w:noWrap/>
            <w:hideMark/>
          </w:tcPr>
          <w:p w14:paraId="46664556" w14:textId="77777777" w:rsidR="00F421F8" w:rsidRPr="00131EED" w:rsidRDefault="00F421F8">
            <w:pPr>
              <w:jc w:val="center"/>
              <w:rPr>
                <w:sz w:val="20"/>
                <w:szCs w:val="20"/>
                <w:lang w:eastAsia="en-US"/>
              </w:rPr>
            </w:pPr>
            <w:r w:rsidRPr="00131EED">
              <w:rPr>
                <w:sz w:val="20"/>
                <w:szCs w:val="20"/>
              </w:rPr>
              <w:t>0 ha + 0141,14 mt2</w:t>
            </w:r>
          </w:p>
        </w:tc>
      </w:tr>
      <w:tr w:rsidR="00F421F8" w:rsidRPr="00131EED" w14:paraId="4492FE36" w14:textId="77777777">
        <w:trPr>
          <w:trHeight w:val="288"/>
          <w:jc w:val="center"/>
        </w:trPr>
        <w:tc>
          <w:tcPr>
            <w:tcW w:w="2275" w:type="pct"/>
            <w:noWrap/>
            <w:vAlign w:val="center"/>
            <w:hideMark/>
          </w:tcPr>
          <w:p w14:paraId="0547E93D" w14:textId="77777777" w:rsidR="00F421F8" w:rsidRPr="00131EED" w:rsidRDefault="00F421F8">
            <w:pPr>
              <w:jc w:val="center"/>
              <w:rPr>
                <w:b/>
                <w:sz w:val="20"/>
                <w:szCs w:val="20"/>
                <w:lang w:eastAsia="en-US"/>
              </w:rPr>
            </w:pPr>
            <w:r w:rsidRPr="00131EED">
              <w:rPr>
                <w:b/>
                <w:sz w:val="20"/>
                <w:szCs w:val="20"/>
                <w:lang w:eastAsia="en-US"/>
              </w:rPr>
              <w:t>Desviación Estándar (ha)</w:t>
            </w:r>
          </w:p>
        </w:tc>
        <w:tc>
          <w:tcPr>
            <w:tcW w:w="2725" w:type="pct"/>
            <w:noWrap/>
            <w:hideMark/>
          </w:tcPr>
          <w:p w14:paraId="32CB83FB" w14:textId="77777777" w:rsidR="00F421F8" w:rsidRPr="00131EED" w:rsidRDefault="00F421F8">
            <w:pPr>
              <w:jc w:val="center"/>
              <w:rPr>
                <w:sz w:val="20"/>
                <w:szCs w:val="20"/>
                <w:lang w:eastAsia="en-US"/>
              </w:rPr>
            </w:pPr>
            <w:r w:rsidRPr="00131EED">
              <w:rPr>
                <w:sz w:val="20"/>
                <w:szCs w:val="20"/>
              </w:rPr>
              <w:t>0 ha + 0575,48 mt2</w:t>
            </w:r>
          </w:p>
        </w:tc>
      </w:tr>
    </w:tbl>
    <w:p w14:paraId="5FCF9573" w14:textId="77777777" w:rsidR="00351822" w:rsidRPr="00131EED" w:rsidRDefault="00351822" w:rsidP="00351822">
      <w:pPr>
        <w:jc w:val="center"/>
        <w:rPr>
          <w:sz w:val="20"/>
          <w:szCs w:val="20"/>
        </w:rPr>
      </w:pPr>
      <w:bookmarkStart w:id="291" w:name="_Ref210854536"/>
      <w:r w:rsidRPr="00131EED">
        <w:rPr>
          <w:sz w:val="20"/>
          <w:szCs w:val="20"/>
        </w:rPr>
        <w:t>Fuente: MinAmbiente (2025)</w:t>
      </w:r>
    </w:p>
    <w:p w14:paraId="3EA6597D" w14:textId="77777777" w:rsidR="003F348C" w:rsidRPr="00131EED" w:rsidRDefault="003F348C" w:rsidP="00F421F8">
      <w:pPr>
        <w:pStyle w:val="Caption"/>
        <w:jc w:val="center"/>
      </w:pPr>
    </w:p>
    <w:p w14:paraId="0B5AD4CF" w14:textId="77777777" w:rsidR="003F348C" w:rsidRPr="00131EED" w:rsidRDefault="003F348C">
      <w:pPr>
        <w:spacing w:after="200" w:line="276" w:lineRule="auto"/>
        <w:jc w:val="left"/>
        <w:rPr>
          <w:rFonts w:ascii="Arial" w:eastAsia="Calibri" w:hAnsi="Arial" w:cs="Arial"/>
          <w:i/>
          <w:iCs/>
          <w:color w:val="44546A"/>
          <w:sz w:val="18"/>
          <w:szCs w:val="18"/>
          <w:lang w:eastAsia="en-US"/>
        </w:rPr>
      </w:pPr>
      <w:r w:rsidRPr="00131EED">
        <w:br w:type="page"/>
      </w:r>
    </w:p>
    <w:p w14:paraId="562F4923" w14:textId="7F5283D0" w:rsidR="00F421F8" w:rsidRPr="00131EED" w:rsidRDefault="00F421F8" w:rsidP="00F421F8">
      <w:pPr>
        <w:pStyle w:val="Caption"/>
        <w:jc w:val="center"/>
      </w:pPr>
      <w:bookmarkStart w:id="292" w:name="_Toc216468843"/>
      <w:r w:rsidRPr="00131EED">
        <w:t xml:space="preserve">Ilustración </w:t>
      </w:r>
      <w:bookmarkEnd w:id="291"/>
      <w:r w:rsidRPr="00131EED">
        <w:fldChar w:fldCharType="begin"/>
      </w:r>
      <w:r w:rsidRPr="00131EED">
        <w:instrText>SEQ Ilustración \* ARABIC</w:instrText>
      </w:r>
      <w:r w:rsidRPr="00131EED">
        <w:fldChar w:fldCharType="separate"/>
      </w:r>
      <w:r w:rsidR="00CE096F">
        <w:rPr>
          <w:noProof/>
        </w:rPr>
        <w:t>78</w:t>
      </w:r>
      <w:r w:rsidRPr="00131EED">
        <w:fldChar w:fldCharType="end"/>
      </w:r>
      <w:r w:rsidRPr="00131EED">
        <w:t>. Huella construida en la Sabana de Bogotá (Google Footprint, 2025)</w:t>
      </w:r>
      <w:bookmarkEnd w:id="292"/>
    </w:p>
    <w:p w14:paraId="6F15B6A7" w14:textId="77777777" w:rsidR="00F421F8" w:rsidRPr="00131EED" w:rsidRDefault="00F421F8" w:rsidP="00F421F8">
      <w:pPr>
        <w:keepNext/>
        <w:jc w:val="center"/>
      </w:pPr>
      <w:r w:rsidRPr="00131EED">
        <w:rPr>
          <w:noProof/>
          <w:lang w:eastAsia="en-US"/>
        </w:rPr>
        <w:drawing>
          <wp:inline distT="0" distB="0" distL="0" distR="0" wp14:anchorId="5C83CB01" wp14:editId="303DF54D">
            <wp:extent cx="3337718" cy="4320000"/>
            <wp:effectExtent l="0" t="0" r="0" b="4445"/>
            <wp:docPr id="4127231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337718" cy="4320000"/>
                    </a:xfrm>
                    <a:prstGeom prst="rect">
                      <a:avLst/>
                    </a:prstGeom>
                    <a:noFill/>
                    <a:ln>
                      <a:noFill/>
                    </a:ln>
                  </pic:spPr>
                </pic:pic>
              </a:graphicData>
            </a:graphic>
          </wp:inline>
        </w:drawing>
      </w:r>
    </w:p>
    <w:p w14:paraId="2F0D16EF" w14:textId="77777777" w:rsidR="00F421F8" w:rsidRPr="00131EED" w:rsidRDefault="00F421F8" w:rsidP="00F421F8">
      <w:pPr>
        <w:jc w:val="center"/>
        <w:rPr>
          <w:sz w:val="20"/>
          <w:szCs w:val="20"/>
        </w:rPr>
      </w:pPr>
      <w:r w:rsidRPr="00131EED">
        <w:rPr>
          <w:sz w:val="20"/>
          <w:szCs w:val="20"/>
        </w:rPr>
        <w:t>Fuente: MinAmbiente</w:t>
      </w:r>
    </w:p>
    <w:p w14:paraId="2435A8D1" w14:textId="77777777" w:rsidR="00F421F8" w:rsidRPr="00131EED" w:rsidRDefault="00F421F8" w:rsidP="00F421F8">
      <w:pPr>
        <w:rPr>
          <w:lang w:eastAsia="en-US"/>
        </w:rPr>
      </w:pPr>
    </w:p>
    <w:p w14:paraId="399A132C" w14:textId="77777777" w:rsidR="00F421F8" w:rsidRPr="00131EED" w:rsidRDefault="00F421F8" w:rsidP="00F421F8">
      <w:pPr>
        <w:rPr>
          <w:lang w:eastAsia="en-US"/>
        </w:rPr>
      </w:pPr>
    </w:p>
    <w:p w14:paraId="66DE5021" w14:textId="54BC5CAF" w:rsidR="00F421F8" w:rsidRPr="00131EED" w:rsidRDefault="00F421F8" w:rsidP="006852E3">
      <w:pPr>
        <w:spacing w:after="200" w:line="276" w:lineRule="auto"/>
        <w:jc w:val="left"/>
        <w:rPr>
          <w:lang w:eastAsia="en-US"/>
        </w:rPr>
      </w:pPr>
      <w:r w:rsidRPr="00131EED">
        <w:rPr>
          <w:lang w:eastAsia="en-US"/>
        </w:rPr>
        <w:t xml:space="preserve">Para el caso de los centros poblados al interior del ámbito de la Sabana de Bogotá, se tiene un total de 1’416.998 de huellas de construcción correspondientes a 15.678 ha + 2404 mt2 de hectáreas distribuidas como se observa en la </w:t>
      </w:r>
      <w:r w:rsidR="006852E3" w:rsidRPr="00131EED">
        <w:rPr>
          <w:lang w:eastAsia="en-US"/>
        </w:rPr>
        <w:fldChar w:fldCharType="begin"/>
      </w:r>
      <w:r w:rsidR="006852E3" w:rsidRPr="00131EED">
        <w:rPr>
          <w:lang w:eastAsia="en-US"/>
        </w:rPr>
        <w:instrText xml:space="preserve"> REF _Ref211337139 \h </w:instrText>
      </w:r>
      <w:r w:rsidR="006852E3" w:rsidRPr="00131EED">
        <w:rPr>
          <w:lang w:eastAsia="en-US"/>
        </w:rPr>
      </w:r>
      <w:r w:rsidR="006852E3" w:rsidRPr="00131EED">
        <w:rPr>
          <w:lang w:eastAsia="en-US"/>
        </w:rPr>
        <w:fldChar w:fldCharType="separate"/>
      </w:r>
      <w:r w:rsidR="00CE096F" w:rsidRPr="00131EED">
        <w:t xml:space="preserve">Ilustración </w:t>
      </w:r>
      <w:r w:rsidR="00CE096F">
        <w:rPr>
          <w:noProof/>
        </w:rPr>
        <w:t>79</w:t>
      </w:r>
      <w:r w:rsidR="006852E3" w:rsidRPr="00131EED">
        <w:rPr>
          <w:lang w:eastAsia="en-US"/>
        </w:rPr>
        <w:fldChar w:fldCharType="end"/>
      </w:r>
      <w:r w:rsidRPr="00131EED">
        <w:rPr>
          <w:lang w:eastAsia="en-US"/>
        </w:rPr>
        <w:t xml:space="preserve"> </w:t>
      </w:r>
      <w:r w:rsidR="006852E3" w:rsidRPr="00131EED">
        <w:rPr>
          <w:lang w:eastAsia="en-US"/>
        </w:rPr>
        <w:t>.</w:t>
      </w:r>
    </w:p>
    <w:p w14:paraId="79B4F753" w14:textId="77777777" w:rsidR="00F421F8" w:rsidRPr="00131EED" w:rsidRDefault="00F421F8" w:rsidP="00F421F8">
      <w:pPr>
        <w:rPr>
          <w:lang w:eastAsia="en-US"/>
        </w:rPr>
      </w:pPr>
    </w:p>
    <w:p w14:paraId="2E81163A" w14:textId="77777777" w:rsidR="00F421F8" w:rsidRPr="00131EED" w:rsidRDefault="00F421F8" w:rsidP="00F421F8">
      <w:pPr>
        <w:rPr>
          <w:lang w:eastAsia="en-US"/>
        </w:rPr>
      </w:pPr>
    </w:p>
    <w:p w14:paraId="24E894CE" w14:textId="77777777" w:rsidR="008C6EFC" w:rsidRPr="00131EED" w:rsidRDefault="008C6EFC">
      <w:pPr>
        <w:spacing w:after="200" w:line="276" w:lineRule="auto"/>
        <w:jc w:val="left"/>
        <w:rPr>
          <w:rFonts w:ascii="Arial" w:eastAsia="Calibri" w:hAnsi="Arial" w:cs="Arial"/>
          <w:i/>
          <w:iCs/>
          <w:color w:val="44546A"/>
          <w:sz w:val="18"/>
          <w:szCs w:val="18"/>
          <w:lang w:eastAsia="en-US"/>
        </w:rPr>
      </w:pPr>
      <w:bookmarkStart w:id="293" w:name="_Ref210854593"/>
      <w:r w:rsidRPr="00131EED">
        <w:br w:type="page"/>
      </w:r>
    </w:p>
    <w:p w14:paraId="293E7847" w14:textId="64D97531" w:rsidR="00F421F8" w:rsidRPr="00131EED" w:rsidRDefault="00F421F8" w:rsidP="00F421F8">
      <w:pPr>
        <w:pStyle w:val="Caption"/>
        <w:jc w:val="center"/>
      </w:pPr>
      <w:bookmarkStart w:id="294" w:name="_Ref211337139"/>
      <w:bookmarkStart w:id="295" w:name="_Toc216468844"/>
      <w:r w:rsidRPr="00131EED">
        <w:t xml:space="preserve">Ilustración </w:t>
      </w:r>
      <w:bookmarkEnd w:id="293"/>
      <w:r w:rsidRPr="00131EED">
        <w:fldChar w:fldCharType="begin"/>
      </w:r>
      <w:r w:rsidRPr="00131EED">
        <w:instrText>SEQ Ilustración \* ARABIC</w:instrText>
      </w:r>
      <w:r w:rsidRPr="00131EED">
        <w:fldChar w:fldCharType="separate"/>
      </w:r>
      <w:r w:rsidR="00CE096F">
        <w:rPr>
          <w:noProof/>
        </w:rPr>
        <w:t>79</w:t>
      </w:r>
      <w:r w:rsidRPr="00131EED">
        <w:fldChar w:fldCharType="end"/>
      </w:r>
      <w:bookmarkEnd w:id="294"/>
      <w:r w:rsidRPr="00131EED">
        <w:t>. Huella Construida en centros poblados de la Sabana de Bogotá. (Google Footprint, 2025)</w:t>
      </w:r>
      <w:bookmarkEnd w:id="295"/>
    </w:p>
    <w:p w14:paraId="5C990106" w14:textId="77777777" w:rsidR="00F421F8" w:rsidRPr="00131EED" w:rsidRDefault="00F421F8" w:rsidP="00F421F8">
      <w:pPr>
        <w:keepNext/>
        <w:jc w:val="center"/>
      </w:pPr>
      <w:r w:rsidRPr="00131EED">
        <w:rPr>
          <w:noProof/>
          <w:lang w:eastAsia="en-US"/>
        </w:rPr>
        <w:drawing>
          <wp:inline distT="0" distB="0" distL="0" distR="0" wp14:anchorId="425ABD3C" wp14:editId="6B2D032B">
            <wp:extent cx="3337718" cy="4320000"/>
            <wp:effectExtent l="0" t="0" r="0" b="4445"/>
            <wp:docPr id="82482605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337718" cy="4320000"/>
                    </a:xfrm>
                    <a:prstGeom prst="rect">
                      <a:avLst/>
                    </a:prstGeom>
                    <a:noFill/>
                    <a:ln>
                      <a:noFill/>
                    </a:ln>
                  </pic:spPr>
                </pic:pic>
              </a:graphicData>
            </a:graphic>
          </wp:inline>
        </w:drawing>
      </w:r>
    </w:p>
    <w:p w14:paraId="74C93D16" w14:textId="77777777" w:rsidR="00F421F8" w:rsidRPr="00131EED" w:rsidRDefault="00F421F8" w:rsidP="00F421F8">
      <w:pPr>
        <w:jc w:val="center"/>
        <w:rPr>
          <w:sz w:val="20"/>
          <w:szCs w:val="20"/>
        </w:rPr>
      </w:pPr>
      <w:r w:rsidRPr="00131EED">
        <w:rPr>
          <w:sz w:val="20"/>
          <w:szCs w:val="20"/>
        </w:rPr>
        <w:t>Fuente: MinAmbiente</w:t>
      </w:r>
    </w:p>
    <w:p w14:paraId="67396322" w14:textId="77777777" w:rsidR="00F421F8" w:rsidRPr="00131EED" w:rsidRDefault="00F421F8" w:rsidP="00F421F8"/>
    <w:p w14:paraId="327346AA" w14:textId="5606D8EB" w:rsidR="00351822" w:rsidRPr="00131EED" w:rsidRDefault="00351822" w:rsidP="00351822">
      <w:pPr>
        <w:pStyle w:val="Caption"/>
        <w:keepNext/>
        <w:jc w:val="center"/>
      </w:pPr>
      <w:bookmarkStart w:id="296" w:name="_Toc216468956"/>
      <w:r w:rsidRPr="00131EED">
        <w:t xml:space="preserve">Tabla </w:t>
      </w:r>
      <w:fldSimple w:instr=" SEQ Tabla \* ARABIC ">
        <w:r w:rsidR="00CE096F">
          <w:rPr>
            <w:noProof/>
          </w:rPr>
          <w:t>46</w:t>
        </w:r>
      </w:fldSimple>
      <w:r w:rsidRPr="00131EED">
        <w:t>. Huella Construida en centros poblados de la Sabana de Bogotá.</w:t>
      </w:r>
      <w:bookmarkEnd w:id="2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44"/>
        <w:gridCol w:w="2984"/>
      </w:tblGrid>
      <w:tr w:rsidR="00F421F8" w:rsidRPr="00131EED" w14:paraId="6FC6E87D" w14:textId="77777777">
        <w:trPr>
          <w:trHeight w:val="288"/>
          <w:jc w:val="center"/>
        </w:trPr>
        <w:tc>
          <w:tcPr>
            <w:tcW w:w="3310" w:type="pct"/>
            <w:noWrap/>
            <w:vAlign w:val="center"/>
            <w:hideMark/>
          </w:tcPr>
          <w:p w14:paraId="1F9D1028" w14:textId="77777777" w:rsidR="00F421F8" w:rsidRPr="00131EED" w:rsidRDefault="00F421F8">
            <w:pPr>
              <w:jc w:val="center"/>
              <w:rPr>
                <w:b/>
                <w:sz w:val="20"/>
                <w:szCs w:val="20"/>
                <w:lang w:eastAsia="en-US"/>
              </w:rPr>
            </w:pPr>
            <w:r w:rsidRPr="00131EED">
              <w:rPr>
                <w:b/>
                <w:sz w:val="20"/>
                <w:szCs w:val="20"/>
              </w:rPr>
              <w:t>Numero de Huellas de Construcción en Centros Poblados</w:t>
            </w:r>
          </w:p>
        </w:tc>
        <w:tc>
          <w:tcPr>
            <w:tcW w:w="1690" w:type="pct"/>
            <w:noWrap/>
            <w:vAlign w:val="center"/>
            <w:hideMark/>
          </w:tcPr>
          <w:p w14:paraId="67818B39" w14:textId="77777777" w:rsidR="00F421F8" w:rsidRPr="00131EED" w:rsidRDefault="00F421F8">
            <w:pPr>
              <w:jc w:val="center"/>
              <w:rPr>
                <w:sz w:val="20"/>
                <w:szCs w:val="20"/>
                <w:lang w:eastAsia="en-US"/>
              </w:rPr>
            </w:pPr>
            <w:r w:rsidRPr="00131EED">
              <w:rPr>
                <w:sz w:val="20"/>
                <w:szCs w:val="20"/>
                <w:lang w:eastAsia="en-US"/>
              </w:rPr>
              <w:t>1’416.998</w:t>
            </w:r>
          </w:p>
        </w:tc>
      </w:tr>
      <w:tr w:rsidR="00F421F8" w:rsidRPr="00131EED" w14:paraId="5CE5BAB7" w14:textId="77777777">
        <w:trPr>
          <w:trHeight w:val="288"/>
          <w:jc w:val="center"/>
        </w:trPr>
        <w:tc>
          <w:tcPr>
            <w:tcW w:w="3310" w:type="pct"/>
            <w:noWrap/>
            <w:vAlign w:val="center"/>
            <w:hideMark/>
          </w:tcPr>
          <w:p w14:paraId="3CD1FAFF" w14:textId="77777777" w:rsidR="00F421F8" w:rsidRPr="00131EED" w:rsidRDefault="00F421F8">
            <w:pPr>
              <w:jc w:val="center"/>
              <w:rPr>
                <w:b/>
                <w:sz w:val="20"/>
                <w:szCs w:val="20"/>
                <w:lang w:eastAsia="en-US"/>
              </w:rPr>
            </w:pPr>
            <w:r w:rsidRPr="00131EED">
              <w:rPr>
                <w:b/>
                <w:sz w:val="20"/>
                <w:szCs w:val="20"/>
              </w:rPr>
              <w:t>Área mínima (ha)</w:t>
            </w:r>
          </w:p>
        </w:tc>
        <w:tc>
          <w:tcPr>
            <w:tcW w:w="1690" w:type="pct"/>
            <w:noWrap/>
            <w:vAlign w:val="center"/>
            <w:hideMark/>
          </w:tcPr>
          <w:p w14:paraId="5E96DE94" w14:textId="77777777" w:rsidR="00F421F8" w:rsidRPr="00131EED" w:rsidRDefault="00F421F8">
            <w:pPr>
              <w:jc w:val="center"/>
              <w:rPr>
                <w:sz w:val="20"/>
                <w:szCs w:val="20"/>
                <w:lang w:eastAsia="en-US"/>
              </w:rPr>
            </w:pPr>
            <w:r w:rsidRPr="00131EED">
              <w:rPr>
                <w:sz w:val="20"/>
                <w:szCs w:val="20"/>
                <w:lang w:eastAsia="en-US"/>
              </w:rPr>
              <w:t>0 ha</w:t>
            </w:r>
          </w:p>
        </w:tc>
      </w:tr>
      <w:tr w:rsidR="00F421F8" w:rsidRPr="00131EED" w14:paraId="32368B1D" w14:textId="77777777">
        <w:trPr>
          <w:trHeight w:val="288"/>
          <w:jc w:val="center"/>
        </w:trPr>
        <w:tc>
          <w:tcPr>
            <w:tcW w:w="3310" w:type="pct"/>
            <w:noWrap/>
            <w:vAlign w:val="center"/>
            <w:hideMark/>
          </w:tcPr>
          <w:p w14:paraId="7438EE58" w14:textId="77777777" w:rsidR="00F421F8" w:rsidRPr="00131EED" w:rsidRDefault="00F421F8">
            <w:pPr>
              <w:jc w:val="center"/>
              <w:rPr>
                <w:b/>
                <w:sz w:val="20"/>
                <w:szCs w:val="20"/>
                <w:lang w:eastAsia="en-US"/>
              </w:rPr>
            </w:pPr>
            <w:r w:rsidRPr="00131EED">
              <w:rPr>
                <w:b/>
                <w:sz w:val="20"/>
                <w:szCs w:val="20"/>
              </w:rPr>
              <w:t>Área máxima (ha)</w:t>
            </w:r>
          </w:p>
        </w:tc>
        <w:tc>
          <w:tcPr>
            <w:tcW w:w="1690" w:type="pct"/>
            <w:noWrap/>
            <w:hideMark/>
          </w:tcPr>
          <w:p w14:paraId="471CAD70" w14:textId="77777777" w:rsidR="00F421F8" w:rsidRPr="00131EED" w:rsidRDefault="00F421F8">
            <w:pPr>
              <w:jc w:val="center"/>
              <w:rPr>
                <w:sz w:val="20"/>
                <w:szCs w:val="20"/>
                <w:lang w:eastAsia="en-US"/>
              </w:rPr>
            </w:pPr>
            <w:r w:rsidRPr="00131EED">
              <w:rPr>
                <w:sz w:val="20"/>
                <w:szCs w:val="20"/>
              </w:rPr>
              <w:t>4 ha + 1096,46 mt2</w:t>
            </w:r>
          </w:p>
        </w:tc>
      </w:tr>
      <w:tr w:rsidR="00F421F8" w:rsidRPr="00131EED" w14:paraId="3405477D" w14:textId="77777777">
        <w:trPr>
          <w:trHeight w:val="288"/>
          <w:jc w:val="center"/>
        </w:trPr>
        <w:tc>
          <w:tcPr>
            <w:tcW w:w="3310" w:type="pct"/>
            <w:noWrap/>
            <w:vAlign w:val="center"/>
            <w:hideMark/>
          </w:tcPr>
          <w:p w14:paraId="7183A0D0" w14:textId="77777777" w:rsidR="00F421F8" w:rsidRPr="00131EED" w:rsidRDefault="00F421F8">
            <w:pPr>
              <w:jc w:val="center"/>
              <w:rPr>
                <w:b/>
                <w:sz w:val="20"/>
                <w:szCs w:val="20"/>
                <w:lang w:eastAsia="en-US"/>
              </w:rPr>
            </w:pPr>
            <w:r w:rsidRPr="00131EED">
              <w:rPr>
                <w:b/>
                <w:sz w:val="20"/>
                <w:szCs w:val="20"/>
              </w:rPr>
              <w:t>Área total (ha)</w:t>
            </w:r>
          </w:p>
        </w:tc>
        <w:tc>
          <w:tcPr>
            <w:tcW w:w="1690" w:type="pct"/>
            <w:noWrap/>
            <w:hideMark/>
          </w:tcPr>
          <w:p w14:paraId="61BD3E20" w14:textId="77777777" w:rsidR="00F421F8" w:rsidRPr="00131EED" w:rsidRDefault="00F421F8">
            <w:pPr>
              <w:jc w:val="center"/>
              <w:rPr>
                <w:sz w:val="20"/>
                <w:szCs w:val="20"/>
                <w:lang w:eastAsia="en-US"/>
              </w:rPr>
            </w:pPr>
            <w:r w:rsidRPr="00131EED">
              <w:rPr>
                <w:sz w:val="20"/>
                <w:szCs w:val="20"/>
              </w:rPr>
              <w:t>15.646 ha + 5812,6 mt2</w:t>
            </w:r>
          </w:p>
        </w:tc>
      </w:tr>
      <w:tr w:rsidR="00F421F8" w:rsidRPr="00131EED" w14:paraId="1CCE38C3" w14:textId="77777777">
        <w:trPr>
          <w:trHeight w:val="288"/>
          <w:jc w:val="center"/>
        </w:trPr>
        <w:tc>
          <w:tcPr>
            <w:tcW w:w="3310" w:type="pct"/>
            <w:noWrap/>
            <w:vAlign w:val="center"/>
            <w:hideMark/>
          </w:tcPr>
          <w:p w14:paraId="49945589" w14:textId="77777777" w:rsidR="00F421F8" w:rsidRPr="00131EED" w:rsidRDefault="00F421F8">
            <w:pPr>
              <w:jc w:val="center"/>
              <w:rPr>
                <w:b/>
                <w:sz w:val="20"/>
                <w:szCs w:val="20"/>
                <w:lang w:eastAsia="en-US"/>
              </w:rPr>
            </w:pPr>
            <w:r w:rsidRPr="00131EED">
              <w:rPr>
                <w:b/>
                <w:sz w:val="20"/>
                <w:szCs w:val="20"/>
              </w:rPr>
              <w:t>Área promedio (ha)</w:t>
            </w:r>
          </w:p>
        </w:tc>
        <w:tc>
          <w:tcPr>
            <w:tcW w:w="1690" w:type="pct"/>
            <w:noWrap/>
            <w:hideMark/>
          </w:tcPr>
          <w:p w14:paraId="5AA23B6A" w14:textId="77777777" w:rsidR="00F421F8" w:rsidRPr="00131EED" w:rsidRDefault="00F421F8">
            <w:pPr>
              <w:jc w:val="center"/>
              <w:rPr>
                <w:sz w:val="20"/>
                <w:szCs w:val="20"/>
                <w:lang w:eastAsia="en-US"/>
              </w:rPr>
            </w:pPr>
            <w:r w:rsidRPr="00131EED">
              <w:rPr>
                <w:sz w:val="20"/>
                <w:szCs w:val="20"/>
              </w:rPr>
              <w:t>0 ha + 0110,42 mt2</w:t>
            </w:r>
          </w:p>
        </w:tc>
      </w:tr>
      <w:tr w:rsidR="00F421F8" w:rsidRPr="00131EED" w14:paraId="2CC8B0A3" w14:textId="77777777">
        <w:trPr>
          <w:trHeight w:val="288"/>
          <w:jc w:val="center"/>
        </w:trPr>
        <w:tc>
          <w:tcPr>
            <w:tcW w:w="3310" w:type="pct"/>
            <w:noWrap/>
            <w:vAlign w:val="center"/>
            <w:hideMark/>
          </w:tcPr>
          <w:p w14:paraId="2E644FDB" w14:textId="77777777" w:rsidR="00F421F8" w:rsidRPr="00131EED" w:rsidRDefault="00F421F8">
            <w:pPr>
              <w:jc w:val="center"/>
              <w:rPr>
                <w:b/>
                <w:sz w:val="20"/>
                <w:szCs w:val="20"/>
                <w:lang w:eastAsia="en-US"/>
              </w:rPr>
            </w:pPr>
            <w:r w:rsidRPr="00131EED">
              <w:rPr>
                <w:b/>
                <w:sz w:val="20"/>
                <w:szCs w:val="20"/>
              </w:rPr>
              <w:t>Desviación Estándar (ha)</w:t>
            </w:r>
          </w:p>
        </w:tc>
        <w:tc>
          <w:tcPr>
            <w:tcW w:w="1690" w:type="pct"/>
            <w:noWrap/>
            <w:hideMark/>
          </w:tcPr>
          <w:p w14:paraId="5958552E" w14:textId="77777777" w:rsidR="00F421F8" w:rsidRPr="00131EED" w:rsidRDefault="00F421F8">
            <w:pPr>
              <w:jc w:val="center"/>
              <w:rPr>
                <w:sz w:val="20"/>
                <w:szCs w:val="20"/>
                <w:lang w:eastAsia="en-US"/>
              </w:rPr>
            </w:pPr>
            <w:r w:rsidRPr="00131EED">
              <w:rPr>
                <w:sz w:val="20"/>
                <w:szCs w:val="20"/>
              </w:rPr>
              <w:t>0 ha + 0271,04 mt2</w:t>
            </w:r>
          </w:p>
        </w:tc>
      </w:tr>
    </w:tbl>
    <w:p w14:paraId="489FB9FC" w14:textId="77777777" w:rsidR="00351822" w:rsidRPr="00131EED" w:rsidRDefault="00351822" w:rsidP="00351822">
      <w:pPr>
        <w:jc w:val="center"/>
        <w:rPr>
          <w:sz w:val="20"/>
          <w:szCs w:val="20"/>
        </w:rPr>
      </w:pPr>
      <w:r w:rsidRPr="00131EED">
        <w:rPr>
          <w:sz w:val="20"/>
          <w:szCs w:val="20"/>
        </w:rPr>
        <w:t>Fuente: MinAmbiente (2025)</w:t>
      </w:r>
    </w:p>
    <w:p w14:paraId="2A2D1869" w14:textId="77777777" w:rsidR="00F421F8" w:rsidRPr="00131EED" w:rsidRDefault="00F421F8" w:rsidP="00F421F8">
      <w:pPr>
        <w:rPr>
          <w:lang w:eastAsia="en-US"/>
        </w:rPr>
      </w:pPr>
    </w:p>
    <w:p w14:paraId="1F0E3AA8" w14:textId="77777777" w:rsidR="00F421F8" w:rsidRPr="00131EED" w:rsidRDefault="00F421F8" w:rsidP="00F421F8">
      <w:pPr>
        <w:rPr>
          <w:rFonts w:cs="Arial"/>
        </w:rPr>
      </w:pPr>
      <w:r w:rsidRPr="00131EED">
        <w:rPr>
          <w:rFonts w:cs="Arial"/>
        </w:rPr>
        <w:t xml:space="preserve">De acuerdo con lo anterior se resalta que para el área fuera de los centros poblados, la huella construida se estima en 294.203 elementos de huella construida correspondiente a </w:t>
      </w:r>
      <w:r w:rsidRPr="00131EED">
        <w:rPr>
          <w:lang w:eastAsia="en-US"/>
        </w:rPr>
        <w:t>8.504 ha + 9674 mt2, es decir el 35.21% de la totalidad de huella construida en la Sabana de Bogotá.</w:t>
      </w:r>
    </w:p>
    <w:p w14:paraId="7FECEF95" w14:textId="77777777" w:rsidR="00F421F8" w:rsidRPr="00131EED" w:rsidRDefault="00F421F8" w:rsidP="00F421F8">
      <w:pPr>
        <w:rPr>
          <w:rFonts w:ascii="Baskerville" w:hAnsi="Baskerville" w:cs="Arial"/>
        </w:rPr>
      </w:pPr>
    </w:p>
    <w:p w14:paraId="0AC351E4" w14:textId="6CB189C2" w:rsidR="0033670F" w:rsidRPr="00131EED" w:rsidRDefault="0033670F" w:rsidP="0033670F">
      <w:pPr>
        <w:pStyle w:val="Caption"/>
        <w:keepNext/>
        <w:jc w:val="center"/>
      </w:pPr>
      <w:bookmarkStart w:id="297" w:name="_Toc216468957"/>
      <w:r w:rsidRPr="00131EED">
        <w:t xml:space="preserve">Tabla </w:t>
      </w:r>
      <w:fldSimple w:instr=" SEQ Tabla \* ARABIC ">
        <w:r w:rsidR="00CE096F">
          <w:rPr>
            <w:noProof/>
          </w:rPr>
          <w:t>47</w:t>
        </w:r>
      </w:fldSimple>
      <w:r w:rsidRPr="00131EED">
        <w:t>. Número de huella de construcción rural.</w:t>
      </w:r>
      <w:bookmarkEnd w:id="297"/>
    </w:p>
    <w:tbl>
      <w:tblPr>
        <w:tblW w:w="5000" w:type="pct"/>
        <w:jc w:val="center"/>
        <w:tblLook w:val="04A0" w:firstRow="1" w:lastRow="0" w:firstColumn="1" w:lastColumn="0" w:noHBand="0" w:noVBand="1"/>
      </w:tblPr>
      <w:tblGrid>
        <w:gridCol w:w="4428"/>
        <w:gridCol w:w="4400"/>
      </w:tblGrid>
      <w:tr w:rsidR="00F421F8" w:rsidRPr="00131EED" w14:paraId="6BCC301A" w14:textId="77777777">
        <w:trPr>
          <w:trHeight w:val="288"/>
          <w:jc w:val="center"/>
        </w:trPr>
        <w:tc>
          <w:tcPr>
            <w:tcW w:w="2508" w:type="pct"/>
            <w:tcBorders>
              <w:top w:val="single" w:sz="4" w:space="0" w:color="auto"/>
              <w:left w:val="single" w:sz="4" w:space="0" w:color="auto"/>
              <w:bottom w:val="single" w:sz="4" w:space="0" w:color="auto"/>
              <w:right w:val="single" w:sz="4" w:space="0" w:color="auto"/>
            </w:tcBorders>
            <w:noWrap/>
            <w:hideMark/>
          </w:tcPr>
          <w:p w14:paraId="3FB01BF1" w14:textId="77777777" w:rsidR="00F421F8" w:rsidRPr="00131EED" w:rsidRDefault="00F421F8">
            <w:pPr>
              <w:jc w:val="center"/>
              <w:rPr>
                <w:b/>
                <w:sz w:val="20"/>
                <w:szCs w:val="20"/>
                <w:lang w:eastAsia="en-US"/>
              </w:rPr>
            </w:pPr>
            <w:r w:rsidRPr="00131EED">
              <w:rPr>
                <w:b/>
                <w:sz w:val="20"/>
                <w:szCs w:val="20"/>
              </w:rPr>
              <w:t>Numero de Huellas de Construcción Rural</w:t>
            </w:r>
          </w:p>
        </w:tc>
        <w:tc>
          <w:tcPr>
            <w:tcW w:w="2492" w:type="pct"/>
            <w:tcBorders>
              <w:top w:val="single" w:sz="4" w:space="0" w:color="auto"/>
              <w:left w:val="nil"/>
              <w:bottom w:val="single" w:sz="4" w:space="0" w:color="auto"/>
              <w:right w:val="single" w:sz="4" w:space="0" w:color="auto"/>
            </w:tcBorders>
            <w:noWrap/>
            <w:vAlign w:val="center"/>
            <w:hideMark/>
          </w:tcPr>
          <w:p w14:paraId="622CCD48" w14:textId="77777777" w:rsidR="00F421F8" w:rsidRPr="00131EED" w:rsidRDefault="00F421F8">
            <w:pPr>
              <w:jc w:val="center"/>
              <w:rPr>
                <w:sz w:val="20"/>
                <w:szCs w:val="20"/>
                <w:lang w:eastAsia="en-US"/>
              </w:rPr>
            </w:pPr>
            <w:r w:rsidRPr="00131EED">
              <w:rPr>
                <w:sz w:val="20"/>
                <w:szCs w:val="20"/>
                <w:lang w:eastAsia="en-US"/>
              </w:rPr>
              <w:t>294.203</w:t>
            </w:r>
          </w:p>
        </w:tc>
      </w:tr>
      <w:tr w:rsidR="00F421F8" w:rsidRPr="00131EED" w14:paraId="0B04C829" w14:textId="77777777">
        <w:trPr>
          <w:trHeight w:val="288"/>
          <w:jc w:val="center"/>
        </w:trPr>
        <w:tc>
          <w:tcPr>
            <w:tcW w:w="2508" w:type="pct"/>
            <w:tcBorders>
              <w:top w:val="nil"/>
              <w:left w:val="single" w:sz="4" w:space="0" w:color="auto"/>
              <w:bottom w:val="single" w:sz="4" w:space="0" w:color="auto"/>
              <w:right w:val="single" w:sz="4" w:space="0" w:color="auto"/>
            </w:tcBorders>
            <w:noWrap/>
            <w:hideMark/>
          </w:tcPr>
          <w:p w14:paraId="135E3355" w14:textId="77777777" w:rsidR="00F421F8" w:rsidRPr="00131EED" w:rsidRDefault="00F421F8">
            <w:pPr>
              <w:jc w:val="center"/>
              <w:rPr>
                <w:b/>
                <w:sz w:val="20"/>
                <w:szCs w:val="20"/>
                <w:lang w:eastAsia="en-US"/>
              </w:rPr>
            </w:pPr>
            <w:r w:rsidRPr="00131EED">
              <w:rPr>
                <w:b/>
                <w:sz w:val="20"/>
                <w:szCs w:val="20"/>
              </w:rPr>
              <w:t>Área total (ha)</w:t>
            </w:r>
          </w:p>
        </w:tc>
        <w:tc>
          <w:tcPr>
            <w:tcW w:w="2492" w:type="pct"/>
            <w:tcBorders>
              <w:top w:val="nil"/>
              <w:left w:val="nil"/>
              <w:bottom w:val="single" w:sz="4" w:space="0" w:color="auto"/>
              <w:right w:val="single" w:sz="4" w:space="0" w:color="auto"/>
            </w:tcBorders>
            <w:noWrap/>
            <w:vAlign w:val="center"/>
            <w:hideMark/>
          </w:tcPr>
          <w:p w14:paraId="1FE40E49" w14:textId="77777777" w:rsidR="00F421F8" w:rsidRPr="00131EED" w:rsidRDefault="00F421F8">
            <w:pPr>
              <w:jc w:val="center"/>
              <w:rPr>
                <w:sz w:val="20"/>
                <w:szCs w:val="20"/>
                <w:lang w:eastAsia="en-US"/>
              </w:rPr>
            </w:pPr>
            <w:r w:rsidRPr="00131EED">
              <w:rPr>
                <w:sz w:val="20"/>
                <w:szCs w:val="20"/>
                <w:lang w:eastAsia="en-US"/>
              </w:rPr>
              <w:t>8.504 ha + 9674 mt2</w:t>
            </w:r>
          </w:p>
        </w:tc>
      </w:tr>
    </w:tbl>
    <w:p w14:paraId="5F6EADD4" w14:textId="77777777" w:rsidR="0033670F" w:rsidRPr="00131EED" w:rsidRDefault="0033670F" w:rsidP="0033670F">
      <w:pPr>
        <w:jc w:val="center"/>
        <w:rPr>
          <w:sz w:val="20"/>
          <w:szCs w:val="20"/>
        </w:rPr>
      </w:pPr>
      <w:r w:rsidRPr="00131EED">
        <w:rPr>
          <w:sz w:val="20"/>
          <w:szCs w:val="20"/>
        </w:rPr>
        <w:t>Fuente: MinAmbiente (2025)</w:t>
      </w:r>
    </w:p>
    <w:p w14:paraId="4021C156" w14:textId="77777777" w:rsidR="0033670F" w:rsidRPr="00131EED" w:rsidRDefault="0033670F" w:rsidP="00F421F8">
      <w:pPr>
        <w:rPr>
          <w:rFonts w:cs="Arial"/>
        </w:rPr>
      </w:pPr>
    </w:p>
    <w:p w14:paraId="2419066D" w14:textId="02598A78" w:rsidR="00F421F8" w:rsidRPr="00131EED" w:rsidRDefault="00F421F8" w:rsidP="00F421F8">
      <w:pPr>
        <w:rPr>
          <w:rFonts w:cs="Arial"/>
        </w:rPr>
      </w:pPr>
      <w:r w:rsidRPr="00131EED">
        <w:rPr>
          <w:rFonts w:cs="Arial"/>
        </w:rPr>
        <w:t>En contraste con lo anterior con comparación al área total del ámbito de aplicación de la propuesta de directrices, se tiene que:</w:t>
      </w:r>
    </w:p>
    <w:p w14:paraId="6F184BE7" w14:textId="77777777" w:rsidR="00F421F8" w:rsidRPr="00131EED" w:rsidRDefault="00F421F8" w:rsidP="00F421F8">
      <w:pPr>
        <w:rPr>
          <w:rFonts w:cs="Arial"/>
        </w:rPr>
      </w:pPr>
    </w:p>
    <w:p w14:paraId="58BFAFE3" w14:textId="45A9B2D5" w:rsidR="0033670F" w:rsidRPr="00131EED" w:rsidRDefault="0033670F" w:rsidP="0033670F">
      <w:pPr>
        <w:pStyle w:val="Caption"/>
        <w:keepNext/>
        <w:jc w:val="center"/>
      </w:pPr>
      <w:bookmarkStart w:id="298" w:name="_Toc216468958"/>
      <w:r w:rsidRPr="00131EED">
        <w:t xml:space="preserve">Tabla </w:t>
      </w:r>
      <w:fldSimple w:instr=" SEQ Tabla \* ARABIC ">
        <w:r w:rsidR="00CE096F">
          <w:rPr>
            <w:noProof/>
          </w:rPr>
          <w:t>48</w:t>
        </w:r>
      </w:fldSimple>
      <w:r w:rsidRPr="00131EED">
        <w:t>. Síntesis de área de huella construida.</w:t>
      </w:r>
      <w:bookmarkEnd w:id="298"/>
    </w:p>
    <w:tbl>
      <w:tblPr>
        <w:tblW w:w="5000" w:type="pct"/>
        <w:tblLook w:val="04A0" w:firstRow="1" w:lastRow="0" w:firstColumn="1" w:lastColumn="0" w:noHBand="0" w:noVBand="1"/>
      </w:tblPr>
      <w:tblGrid>
        <w:gridCol w:w="4906"/>
        <w:gridCol w:w="2654"/>
        <w:gridCol w:w="1268"/>
      </w:tblGrid>
      <w:tr w:rsidR="00F421F8" w:rsidRPr="00131EED" w14:paraId="77CBCACA" w14:textId="77777777" w:rsidTr="0033670F">
        <w:trPr>
          <w:trHeight w:val="288"/>
        </w:trPr>
        <w:tc>
          <w:tcPr>
            <w:tcW w:w="2779" w:type="pct"/>
            <w:tcBorders>
              <w:top w:val="single" w:sz="4" w:space="0" w:color="auto"/>
              <w:left w:val="single" w:sz="4" w:space="0" w:color="auto"/>
              <w:bottom w:val="single" w:sz="4" w:space="0" w:color="auto"/>
              <w:right w:val="single" w:sz="4" w:space="0" w:color="auto"/>
            </w:tcBorders>
            <w:noWrap/>
            <w:vAlign w:val="center"/>
            <w:hideMark/>
          </w:tcPr>
          <w:p w14:paraId="1224C1A0" w14:textId="77777777" w:rsidR="00F421F8" w:rsidRPr="00131EED" w:rsidRDefault="00F421F8">
            <w:pPr>
              <w:jc w:val="center"/>
              <w:rPr>
                <w:b/>
                <w:color w:val="000000"/>
                <w:sz w:val="20"/>
                <w:szCs w:val="20"/>
                <w:lang w:eastAsia="en-US"/>
              </w:rPr>
            </w:pPr>
            <w:r w:rsidRPr="00131EED">
              <w:rPr>
                <w:b/>
                <w:color w:val="000000"/>
                <w:sz w:val="20"/>
                <w:szCs w:val="20"/>
                <w:lang w:eastAsia="en-US"/>
              </w:rPr>
              <w:t>Clase</w:t>
            </w:r>
          </w:p>
        </w:tc>
        <w:tc>
          <w:tcPr>
            <w:tcW w:w="1503" w:type="pct"/>
            <w:tcBorders>
              <w:top w:val="single" w:sz="4" w:space="0" w:color="auto"/>
              <w:left w:val="nil"/>
              <w:bottom w:val="single" w:sz="4" w:space="0" w:color="auto"/>
              <w:right w:val="single" w:sz="4" w:space="0" w:color="auto"/>
            </w:tcBorders>
            <w:noWrap/>
            <w:vAlign w:val="center"/>
            <w:hideMark/>
          </w:tcPr>
          <w:p w14:paraId="2724CF66" w14:textId="77777777" w:rsidR="00F421F8" w:rsidRPr="00131EED" w:rsidRDefault="00F421F8">
            <w:pPr>
              <w:jc w:val="center"/>
              <w:rPr>
                <w:b/>
                <w:color w:val="000000"/>
                <w:sz w:val="20"/>
                <w:szCs w:val="20"/>
                <w:lang w:eastAsia="en-US"/>
              </w:rPr>
            </w:pPr>
            <w:r w:rsidRPr="00131EED">
              <w:rPr>
                <w:b/>
                <w:color w:val="000000"/>
                <w:sz w:val="20"/>
                <w:szCs w:val="20"/>
                <w:lang w:eastAsia="en-US"/>
              </w:rPr>
              <w:t>Área (ha)</w:t>
            </w:r>
          </w:p>
        </w:tc>
        <w:tc>
          <w:tcPr>
            <w:tcW w:w="718" w:type="pct"/>
            <w:tcBorders>
              <w:top w:val="single" w:sz="4" w:space="0" w:color="auto"/>
              <w:left w:val="nil"/>
              <w:bottom w:val="single" w:sz="4" w:space="0" w:color="auto"/>
              <w:right w:val="single" w:sz="4" w:space="0" w:color="auto"/>
            </w:tcBorders>
            <w:noWrap/>
            <w:vAlign w:val="center"/>
            <w:hideMark/>
          </w:tcPr>
          <w:p w14:paraId="4A353F57" w14:textId="77777777" w:rsidR="00F421F8" w:rsidRPr="00131EED" w:rsidRDefault="00F421F8">
            <w:pPr>
              <w:jc w:val="center"/>
              <w:rPr>
                <w:b/>
                <w:color w:val="000000"/>
                <w:sz w:val="20"/>
                <w:szCs w:val="20"/>
                <w:lang w:eastAsia="en-US"/>
              </w:rPr>
            </w:pPr>
            <w:r w:rsidRPr="00131EED">
              <w:rPr>
                <w:b/>
                <w:color w:val="000000"/>
                <w:sz w:val="20"/>
                <w:szCs w:val="20"/>
                <w:lang w:eastAsia="en-US"/>
              </w:rPr>
              <w:t>%</w:t>
            </w:r>
          </w:p>
        </w:tc>
      </w:tr>
      <w:tr w:rsidR="00F421F8" w:rsidRPr="00131EED" w14:paraId="2239FB2C" w14:textId="77777777" w:rsidTr="0033670F">
        <w:trPr>
          <w:trHeight w:val="288"/>
        </w:trPr>
        <w:tc>
          <w:tcPr>
            <w:tcW w:w="2779" w:type="pct"/>
            <w:tcBorders>
              <w:top w:val="nil"/>
              <w:left w:val="single" w:sz="4" w:space="0" w:color="auto"/>
              <w:bottom w:val="single" w:sz="4" w:space="0" w:color="auto"/>
              <w:right w:val="single" w:sz="4" w:space="0" w:color="auto"/>
            </w:tcBorders>
            <w:noWrap/>
            <w:vAlign w:val="center"/>
            <w:hideMark/>
          </w:tcPr>
          <w:p w14:paraId="602F8D95" w14:textId="77777777" w:rsidR="00F421F8" w:rsidRPr="00131EED" w:rsidRDefault="00F421F8">
            <w:pPr>
              <w:jc w:val="center"/>
              <w:rPr>
                <w:b/>
                <w:color w:val="000000"/>
                <w:sz w:val="20"/>
                <w:szCs w:val="20"/>
                <w:lang w:eastAsia="en-US"/>
              </w:rPr>
            </w:pPr>
            <w:r w:rsidRPr="00131EED">
              <w:rPr>
                <w:b/>
                <w:color w:val="000000"/>
                <w:sz w:val="20"/>
                <w:szCs w:val="20"/>
                <w:lang w:eastAsia="en-US"/>
              </w:rPr>
              <w:t>Área del ámbito</w:t>
            </w:r>
          </w:p>
        </w:tc>
        <w:tc>
          <w:tcPr>
            <w:tcW w:w="1503" w:type="pct"/>
            <w:tcBorders>
              <w:top w:val="nil"/>
              <w:left w:val="nil"/>
              <w:bottom w:val="single" w:sz="4" w:space="0" w:color="auto"/>
              <w:right w:val="single" w:sz="4" w:space="0" w:color="auto"/>
            </w:tcBorders>
            <w:noWrap/>
            <w:vAlign w:val="center"/>
            <w:hideMark/>
          </w:tcPr>
          <w:p w14:paraId="1B57840B" w14:textId="1C188AB0" w:rsidR="00F421F8" w:rsidRPr="00131EED" w:rsidRDefault="002648B6">
            <w:pPr>
              <w:jc w:val="center"/>
              <w:rPr>
                <w:color w:val="000000"/>
                <w:sz w:val="20"/>
                <w:szCs w:val="20"/>
                <w:lang w:eastAsia="en-US"/>
              </w:rPr>
            </w:pPr>
            <w:r w:rsidRPr="00131EED">
              <w:rPr>
                <w:color w:val="000000"/>
                <w:sz w:val="20"/>
                <w:szCs w:val="20"/>
                <w:lang w:eastAsia="en-US"/>
              </w:rPr>
              <w:t>427162.6756</w:t>
            </w:r>
          </w:p>
        </w:tc>
        <w:tc>
          <w:tcPr>
            <w:tcW w:w="718" w:type="pct"/>
            <w:tcBorders>
              <w:top w:val="nil"/>
              <w:left w:val="nil"/>
              <w:bottom w:val="single" w:sz="4" w:space="0" w:color="auto"/>
              <w:right w:val="single" w:sz="4" w:space="0" w:color="auto"/>
            </w:tcBorders>
            <w:noWrap/>
            <w:vAlign w:val="center"/>
            <w:hideMark/>
          </w:tcPr>
          <w:p w14:paraId="07715797" w14:textId="77777777" w:rsidR="00F421F8" w:rsidRPr="00131EED" w:rsidRDefault="00F421F8">
            <w:pPr>
              <w:jc w:val="center"/>
              <w:rPr>
                <w:color w:val="000000"/>
                <w:sz w:val="20"/>
                <w:szCs w:val="20"/>
                <w:lang w:eastAsia="en-US"/>
              </w:rPr>
            </w:pPr>
            <w:r w:rsidRPr="00131EED">
              <w:rPr>
                <w:color w:val="000000"/>
                <w:sz w:val="20"/>
                <w:szCs w:val="20"/>
                <w:lang w:eastAsia="en-US"/>
              </w:rPr>
              <w:t>-</w:t>
            </w:r>
          </w:p>
        </w:tc>
      </w:tr>
      <w:tr w:rsidR="00F421F8" w:rsidRPr="00131EED" w14:paraId="0550D266" w14:textId="77777777" w:rsidTr="0033670F">
        <w:trPr>
          <w:trHeight w:val="288"/>
        </w:trPr>
        <w:tc>
          <w:tcPr>
            <w:tcW w:w="2779" w:type="pct"/>
            <w:tcBorders>
              <w:top w:val="nil"/>
              <w:left w:val="single" w:sz="4" w:space="0" w:color="auto"/>
              <w:bottom w:val="single" w:sz="4" w:space="0" w:color="auto"/>
              <w:right w:val="single" w:sz="4" w:space="0" w:color="auto"/>
            </w:tcBorders>
            <w:noWrap/>
            <w:vAlign w:val="center"/>
            <w:hideMark/>
          </w:tcPr>
          <w:p w14:paraId="25658D1F" w14:textId="77777777" w:rsidR="00F421F8" w:rsidRPr="00131EED" w:rsidRDefault="00F421F8">
            <w:pPr>
              <w:jc w:val="center"/>
              <w:rPr>
                <w:b/>
                <w:color w:val="000000"/>
                <w:sz w:val="20"/>
                <w:szCs w:val="20"/>
                <w:lang w:eastAsia="en-US"/>
              </w:rPr>
            </w:pPr>
            <w:r w:rsidRPr="00131EED">
              <w:rPr>
                <w:b/>
                <w:color w:val="000000"/>
                <w:sz w:val="20"/>
                <w:szCs w:val="20"/>
                <w:lang w:eastAsia="en-US"/>
              </w:rPr>
              <w:t>Área total de huella construida</w:t>
            </w:r>
          </w:p>
        </w:tc>
        <w:tc>
          <w:tcPr>
            <w:tcW w:w="1503" w:type="pct"/>
            <w:tcBorders>
              <w:top w:val="nil"/>
              <w:left w:val="nil"/>
              <w:bottom w:val="single" w:sz="4" w:space="0" w:color="auto"/>
              <w:right w:val="single" w:sz="4" w:space="0" w:color="auto"/>
            </w:tcBorders>
            <w:noWrap/>
            <w:vAlign w:val="center"/>
            <w:hideMark/>
          </w:tcPr>
          <w:p w14:paraId="43E39256" w14:textId="77777777" w:rsidR="00F421F8" w:rsidRPr="00131EED" w:rsidRDefault="00F421F8">
            <w:pPr>
              <w:jc w:val="center"/>
              <w:rPr>
                <w:color w:val="000000"/>
                <w:sz w:val="20"/>
                <w:szCs w:val="20"/>
                <w:lang w:eastAsia="en-US"/>
              </w:rPr>
            </w:pPr>
            <w:r w:rsidRPr="00131EED">
              <w:rPr>
                <w:color w:val="000000"/>
                <w:sz w:val="20"/>
                <w:szCs w:val="20"/>
                <w:lang w:eastAsia="en-US"/>
              </w:rPr>
              <w:t>24151.54866</w:t>
            </w:r>
          </w:p>
        </w:tc>
        <w:tc>
          <w:tcPr>
            <w:tcW w:w="718" w:type="pct"/>
            <w:tcBorders>
              <w:top w:val="nil"/>
              <w:left w:val="nil"/>
              <w:bottom w:val="single" w:sz="4" w:space="0" w:color="auto"/>
              <w:right w:val="single" w:sz="4" w:space="0" w:color="auto"/>
            </w:tcBorders>
            <w:noWrap/>
            <w:vAlign w:val="center"/>
            <w:hideMark/>
          </w:tcPr>
          <w:p w14:paraId="0C71D04D" w14:textId="77777777" w:rsidR="00F421F8" w:rsidRPr="00131EED" w:rsidRDefault="00F421F8">
            <w:pPr>
              <w:jc w:val="center"/>
              <w:rPr>
                <w:color w:val="000000"/>
                <w:sz w:val="20"/>
                <w:szCs w:val="20"/>
                <w:lang w:eastAsia="en-US"/>
              </w:rPr>
            </w:pPr>
            <w:r w:rsidRPr="00131EED">
              <w:rPr>
                <w:color w:val="000000"/>
                <w:sz w:val="20"/>
                <w:szCs w:val="20"/>
                <w:lang w:eastAsia="en-US"/>
              </w:rPr>
              <w:t>5.75%</w:t>
            </w:r>
          </w:p>
        </w:tc>
      </w:tr>
      <w:tr w:rsidR="00F421F8" w:rsidRPr="00131EED" w14:paraId="5F4CD4F0" w14:textId="77777777" w:rsidTr="0033670F">
        <w:trPr>
          <w:trHeight w:val="288"/>
        </w:trPr>
        <w:tc>
          <w:tcPr>
            <w:tcW w:w="2779" w:type="pct"/>
            <w:tcBorders>
              <w:top w:val="nil"/>
              <w:left w:val="single" w:sz="4" w:space="0" w:color="auto"/>
              <w:bottom w:val="single" w:sz="4" w:space="0" w:color="auto"/>
              <w:right w:val="single" w:sz="4" w:space="0" w:color="auto"/>
            </w:tcBorders>
            <w:noWrap/>
            <w:vAlign w:val="center"/>
            <w:hideMark/>
          </w:tcPr>
          <w:p w14:paraId="08A43DEB" w14:textId="77777777" w:rsidR="00F421F8" w:rsidRPr="00131EED" w:rsidRDefault="00F421F8">
            <w:pPr>
              <w:jc w:val="center"/>
              <w:rPr>
                <w:b/>
                <w:color w:val="000000"/>
                <w:sz w:val="20"/>
                <w:szCs w:val="20"/>
                <w:lang w:eastAsia="en-US"/>
              </w:rPr>
            </w:pPr>
            <w:r w:rsidRPr="00131EED">
              <w:rPr>
                <w:b/>
                <w:color w:val="000000"/>
                <w:sz w:val="20"/>
                <w:szCs w:val="20"/>
                <w:lang w:eastAsia="en-US"/>
              </w:rPr>
              <w:t>Área total de huella construida en centros poblados</w:t>
            </w:r>
          </w:p>
        </w:tc>
        <w:tc>
          <w:tcPr>
            <w:tcW w:w="1503" w:type="pct"/>
            <w:tcBorders>
              <w:top w:val="nil"/>
              <w:left w:val="nil"/>
              <w:bottom w:val="single" w:sz="4" w:space="0" w:color="auto"/>
              <w:right w:val="single" w:sz="4" w:space="0" w:color="auto"/>
            </w:tcBorders>
            <w:noWrap/>
            <w:vAlign w:val="center"/>
            <w:hideMark/>
          </w:tcPr>
          <w:p w14:paraId="1FE80FF4" w14:textId="77777777" w:rsidR="00F421F8" w:rsidRPr="00131EED" w:rsidRDefault="00F421F8">
            <w:pPr>
              <w:jc w:val="center"/>
              <w:rPr>
                <w:color w:val="000000"/>
                <w:sz w:val="20"/>
                <w:szCs w:val="20"/>
                <w:lang w:eastAsia="en-US"/>
              </w:rPr>
            </w:pPr>
            <w:r w:rsidRPr="00131EED">
              <w:rPr>
                <w:color w:val="000000"/>
                <w:sz w:val="20"/>
                <w:szCs w:val="20"/>
                <w:lang w:eastAsia="en-US"/>
              </w:rPr>
              <w:t>15646.58126</w:t>
            </w:r>
          </w:p>
        </w:tc>
        <w:tc>
          <w:tcPr>
            <w:tcW w:w="718" w:type="pct"/>
            <w:tcBorders>
              <w:top w:val="nil"/>
              <w:left w:val="nil"/>
              <w:bottom w:val="single" w:sz="4" w:space="0" w:color="auto"/>
              <w:right w:val="single" w:sz="4" w:space="0" w:color="auto"/>
            </w:tcBorders>
            <w:noWrap/>
            <w:vAlign w:val="center"/>
            <w:hideMark/>
          </w:tcPr>
          <w:p w14:paraId="24B8C43B" w14:textId="77777777" w:rsidR="00F421F8" w:rsidRPr="00131EED" w:rsidRDefault="00F421F8">
            <w:pPr>
              <w:jc w:val="center"/>
              <w:rPr>
                <w:color w:val="000000"/>
                <w:sz w:val="20"/>
                <w:szCs w:val="20"/>
                <w:lang w:eastAsia="en-US"/>
              </w:rPr>
            </w:pPr>
            <w:r w:rsidRPr="00131EED">
              <w:rPr>
                <w:color w:val="000000"/>
                <w:sz w:val="20"/>
                <w:szCs w:val="20"/>
                <w:lang w:eastAsia="en-US"/>
              </w:rPr>
              <w:t>3.73%</w:t>
            </w:r>
          </w:p>
        </w:tc>
      </w:tr>
      <w:tr w:rsidR="00F421F8" w:rsidRPr="00131EED" w14:paraId="1523408F" w14:textId="77777777" w:rsidTr="0033670F">
        <w:trPr>
          <w:trHeight w:val="288"/>
        </w:trPr>
        <w:tc>
          <w:tcPr>
            <w:tcW w:w="2779" w:type="pct"/>
            <w:tcBorders>
              <w:top w:val="nil"/>
              <w:left w:val="single" w:sz="4" w:space="0" w:color="auto"/>
              <w:bottom w:val="single" w:sz="4" w:space="0" w:color="auto"/>
              <w:right w:val="single" w:sz="4" w:space="0" w:color="auto"/>
            </w:tcBorders>
            <w:noWrap/>
            <w:vAlign w:val="center"/>
            <w:hideMark/>
          </w:tcPr>
          <w:p w14:paraId="2191DC4C" w14:textId="77777777" w:rsidR="00F421F8" w:rsidRPr="00131EED" w:rsidRDefault="00F421F8">
            <w:pPr>
              <w:jc w:val="center"/>
              <w:rPr>
                <w:b/>
                <w:color w:val="000000"/>
                <w:sz w:val="20"/>
                <w:szCs w:val="20"/>
                <w:lang w:eastAsia="en-US"/>
              </w:rPr>
            </w:pPr>
            <w:r w:rsidRPr="00131EED">
              <w:rPr>
                <w:b/>
                <w:color w:val="000000"/>
                <w:sz w:val="20"/>
                <w:szCs w:val="20"/>
                <w:lang w:eastAsia="en-US"/>
              </w:rPr>
              <w:t>Área total de huella construida fuera de centros poblados</w:t>
            </w:r>
          </w:p>
        </w:tc>
        <w:tc>
          <w:tcPr>
            <w:tcW w:w="1503" w:type="pct"/>
            <w:tcBorders>
              <w:top w:val="nil"/>
              <w:left w:val="nil"/>
              <w:bottom w:val="single" w:sz="4" w:space="0" w:color="auto"/>
              <w:right w:val="single" w:sz="4" w:space="0" w:color="auto"/>
            </w:tcBorders>
            <w:noWrap/>
            <w:vAlign w:val="center"/>
            <w:hideMark/>
          </w:tcPr>
          <w:p w14:paraId="73BD12AB" w14:textId="77777777" w:rsidR="00F421F8" w:rsidRPr="00131EED" w:rsidRDefault="00F421F8">
            <w:pPr>
              <w:jc w:val="center"/>
              <w:rPr>
                <w:color w:val="000000"/>
                <w:sz w:val="20"/>
                <w:szCs w:val="20"/>
                <w:lang w:eastAsia="en-US"/>
              </w:rPr>
            </w:pPr>
            <w:r w:rsidRPr="00131EED">
              <w:rPr>
                <w:color w:val="000000"/>
                <w:sz w:val="20"/>
                <w:szCs w:val="20"/>
                <w:lang w:eastAsia="en-US"/>
              </w:rPr>
              <w:t>8504.9674</w:t>
            </w:r>
          </w:p>
        </w:tc>
        <w:tc>
          <w:tcPr>
            <w:tcW w:w="718" w:type="pct"/>
            <w:tcBorders>
              <w:top w:val="nil"/>
              <w:left w:val="nil"/>
              <w:bottom w:val="single" w:sz="4" w:space="0" w:color="auto"/>
              <w:right w:val="single" w:sz="4" w:space="0" w:color="auto"/>
            </w:tcBorders>
            <w:noWrap/>
            <w:vAlign w:val="center"/>
            <w:hideMark/>
          </w:tcPr>
          <w:p w14:paraId="378219C4" w14:textId="77777777" w:rsidR="00F421F8" w:rsidRPr="00131EED" w:rsidRDefault="00F421F8">
            <w:pPr>
              <w:jc w:val="center"/>
              <w:rPr>
                <w:color w:val="000000"/>
                <w:sz w:val="20"/>
                <w:szCs w:val="20"/>
                <w:lang w:eastAsia="en-US"/>
              </w:rPr>
            </w:pPr>
            <w:r w:rsidRPr="00131EED">
              <w:rPr>
                <w:color w:val="000000"/>
                <w:sz w:val="20"/>
                <w:szCs w:val="20"/>
                <w:lang w:eastAsia="en-US"/>
              </w:rPr>
              <w:t>2.03%</w:t>
            </w:r>
          </w:p>
        </w:tc>
      </w:tr>
    </w:tbl>
    <w:p w14:paraId="047064F3" w14:textId="3B56C4FD" w:rsidR="00F421F8" w:rsidRPr="00131EED" w:rsidRDefault="0033670F" w:rsidP="0033670F">
      <w:pPr>
        <w:jc w:val="center"/>
        <w:rPr>
          <w:sz w:val="20"/>
          <w:szCs w:val="20"/>
        </w:rPr>
      </w:pPr>
      <w:bookmarkStart w:id="299" w:name="_heading=h.u77mssldojka" w:colFirst="0" w:colLast="0"/>
      <w:bookmarkEnd w:id="299"/>
      <w:r w:rsidRPr="00131EED">
        <w:rPr>
          <w:sz w:val="20"/>
          <w:szCs w:val="20"/>
        </w:rPr>
        <w:t>Fuente: MinAmbiente (2025)</w:t>
      </w:r>
    </w:p>
    <w:p w14:paraId="66DD7E30" w14:textId="77777777" w:rsidR="00F421F8" w:rsidRPr="00131EED" w:rsidRDefault="00F421F8" w:rsidP="00410194">
      <w:pPr>
        <w:pStyle w:val="Heading4"/>
        <w:numPr>
          <w:ilvl w:val="3"/>
          <w:numId w:val="31"/>
        </w:numPr>
      </w:pPr>
      <w:bookmarkStart w:id="300" w:name="_Toc216468732"/>
      <w:r w:rsidRPr="00131EED">
        <w:t>Sobreestimación de necesidades de suelo y viviendas</w:t>
      </w:r>
      <w:bookmarkEnd w:id="300"/>
    </w:p>
    <w:p w14:paraId="5A3EF551" w14:textId="77777777" w:rsidR="00F421F8" w:rsidRPr="00131EED" w:rsidRDefault="00F421F8" w:rsidP="00F421F8">
      <w:pPr>
        <w:rPr>
          <w:rFonts w:ascii="Baskerville" w:hAnsi="Baskerville" w:cs="Arial"/>
        </w:rPr>
      </w:pPr>
    </w:p>
    <w:p w14:paraId="3C560442" w14:textId="374FB5B6" w:rsidR="00F421F8" w:rsidRPr="00131EED" w:rsidRDefault="00F421F8" w:rsidP="00F421F8">
      <w:pPr>
        <w:rPr>
          <w:rFonts w:cs="Arial"/>
        </w:rPr>
      </w:pPr>
      <w:r w:rsidRPr="00131EED">
        <w:rPr>
          <w:rFonts w:cs="Arial"/>
        </w:rPr>
        <w:t>A partir de la actualización de las proyecciones de población hechas por el DANE en 20</w:t>
      </w:r>
      <w:r w:rsidR="00C72C53" w:rsidRPr="00131EED">
        <w:rPr>
          <w:rFonts w:cs="Arial"/>
        </w:rPr>
        <w:t>18 - 2042</w:t>
      </w:r>
      <w:r w:rsidRPr="00131EED">
        <w:rPr>
          <w:rFonts w:cs="Arial"/>
        </w:rPr>
        <w:t>, construidas con base en el censo 2018 y considerando los cambios demográficos generados por el choque pandémico generado por el COVID-19, es posible determinar que para 2035</w:t>
      </w:r>
      <w:r w:rsidR="00C72C53" w:rsidRPr="00131EED">
        <w:rPr>
          <w:rFonts w:cs="Arial"/>
        </w:rPr>
        <w:t xml:space="preserve"> y 2042</w:t>
      </w:r>
      <w:r w:rsidRPr="00131EED">
        <w:rPr>
          <w:rFonts w:cs="Arial"/>
        </w:rPr>
        <w:t xml:space="preserve"> el ámbito sabana analizado tendrá las siguientes características.</w:t>
      </w:r>
    </w:p>
    <w:p w14:paraId="4AEE3E07" w14:textId="77777777" w:rsidR="00F421F8" w:rsidRPr="00131EED" w:rsidRDefault="00F421F8" w:rsidP="00F421F8">
      <w:pPr>
        <w:rPr>
          <w:rFonts w:ascii="Baskerville" w:hAnsi="Baskerville" w:cs="Arial"/>
        </w:rPr>
      </w:pPr>
    </w:p>
    <w:p w14:paraId="30CE7B85" w14:textId="06F9BD2E" w:rsidR="00F421F8" w:rsidRPr="00131EED" w:rsidRDefault="00F421F8" w:rsidP="00F421F8">
      <w:pPr>
        <w:pStyle w:val="Caption"/>
        <w:jc w:val="center"/>
        <w:rPr>
          <w:rStyle w:val="SubtleReference"/>
          <w:smallCaps w:val="0"/>
          <w:color w:val="44546A"/>
        </w:rPr>
      </w:pPr>
      <w:bookmarkStart w:id="301" w:name="_Toc165381209"/>
      <w:bookmarkStart w:id="302" w:name="_Toc216468845"/>
      <w:r w:rsidRPr="00131EED">
        <w:t xml:space="preserve">Ilustración </w:t>
      </w:r>
      <w:r w:rsidRPr="00131EED">
        <w:fldChar w:fldCharType="begin"/>
      </w:r>
      <w:r w:rsidRPr="00131EED">
        <w:instrText>SEQ Ilustración \* ARABIC</w:instrText>
      </w:r>
      <w:r w:rsidRPr="00131EED">
        <w:fldChar w:fldCharType="separate"/>
      </w:r>
      <w:r w:rsidR="00CE096F">
        <w:rPr>
          <w:noProof/>
        </w:rPr>
        <w:t>80</w:t>
      </w:r>
      <w:r w:rsidRPr="00131EED">
        <w:fldChar w:fldCharType="end"/>
      </w:r>
      <w:r w:rsidRPr="00131EED">
        <w:t xml:space="preserve"> </w:t>
      </w:r>
      <w:r w:rsidRPr="00131EED">
        <w:rPr>
          <w:rStyle w:val="SubtleReference"/>
          <w:smallCaps w:val="0"/>
          <w:color w:val="44546A"/>
        </w:rPr>
        <w:t>Proyecciones de población Sabana de Bogotá</w:t>
      </w:r>
      <w:bookmarkEnd w:id="301"/>
      <w:bookmarkEnd w:id="302"/>
    </w:p>
    <w:tbl>
      <w:tblPr>
        <w:tblStyle w:val="TableGrid"/>
        <w:tblW w:w="0" w:type="auto"/>
        <w:tblLook w:val="04A0" w:firstRow="1" w:lastRow="0" w:firstColumn="1" w:lastColumn="0" w:noHBand="0" w:noVBand="1"/>
      </w:tblPr>
      <w:tblGrid>
        <w:gridCol w:w="4414"/>
        <w:gridCol w:w="4414"/>
      </w:tblGrid>
      <w:tr w:rsidR="00F46DA2" w:rsidRPr="00131EED" w14:paraId="560BD276" w14:textId="77777777" w:rsidTr="00C72C53">
        <w:tc>
          <w:tcPr>
            <w:tcW w:w="4414" w:type="dxa"/>
            <w:vAlign w:val="center"/>
          </w:tcPr>
          <w:p w14:paraId="622B4E37" w14:textId="15C034F3" w:rsidR="00C72C53" w:rsidRPr="00131EED" w:rsidRDefault="00F46DA2" w:rsidP="00C72C53">
            <w:pPr>
              <w:jc w:val="center"/>
              <w:rPr>
                <w:rFonts w:ascii="Baskerville" w:hAnsi="Baskerville" w:cs="Arial"/>
              </w:rPr>
            </w:pPr>
            <w:r w:rsidRPr="00131EED">
              <w:rPr>
                <w:noProof/>
              </w:rPr>
              <w:drawing>
                <wp:inline distT="0" distB="0" distL="0" distR="0" wp14:anchorId="09BC044E" wp14:editId="5A589727">
                  <wp:extent cx="2453640" cy="1851660"/>
                  <wp:effectExtent l="0" t="0" r="3810" b="15240"/>
                  <wp:docPr id="2059579071" name="Chart 1">
                    <a:extLst xmlns:a="http://schemas.openxmlformats.org/drawingml/2006/main">
                      <a:ext uri="{FF2B5EF4-FFF2-40B4-BE49-F238E27FC236}">
                        <a16:creationId xmlns:a16="http://schemas.microsoft.com/office/drawing/2014/main" id="{AA61503C-90BF-062B-57D9-28FCD02629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tc>
        <w:tc>
          <w:tcPr>
            <w:tcW w:w="4414" w:type="dxa"/>
            <w:vAlign w:val="center"/>
          </w:tcPr>
          <w:tbl>
            <w:tblPr>
              <w:tblW w:w="5000" w:type="pct"/>
              <w:tblLook w:val="04A0" w:firstRow="1" w:lastRow="0" w:firstColumn="1" w:lastColumn="0" w:noHBand="0" w:noVBand="1"/>
            </w:tblPr>
            <w:tblGrid>
              <w:gridCol w:w="664"/>
              <w:gridCol w:w="1256"/>
              <w:gridCol w:w="1090"/>
              <w:gridCol w:w="1183"/>
            </w:tblGrid>
            <w:tr w:rsidR="00F46DA2" w:rsidRPr="00131EED" w14:paraId="35692BF7" w14:textId="77777777" w:rsidTr="00F46DA2">
              <w:trPr>
                <w:trHeight w:val="576"/>
              </w:trPr>
              <w:tc>
                <w:tcPr>
                  <w:tcW w:w="791" w:type="pct"/>
                  <w:tcBorders>
                    <w:top w:val="nil"/>
                    <w:left w:val="nil"/>
                    <w:bottom w:val="single" w:sz="4" w:space="0" w:color="auto"/>
                    <w:right w:val="single" w:sz="4" w:space="0" w:color="auto"/>
                  </w:tcBorders>
                  <w:vAlign w:val="center"/>
                  <w:hideMark/>
                </w:tcPr>
                <w:p w14:paraId="607DDB46" w14:textId="097212BC" w:rsidR="00F46DA2" w:rsidRPr="00131EED" w:rsidRDefault="00F46DA2" w:rsidP="00F46DA2">
                  <w:pPr>
                    <w:jc w:val="center"/>
                    <w:rPr>
                      <w:rFonts w:ascii="Aptos Narrow" w:hAnsi="Aptos Narrow"/>
                      <w:color w:val="000000"/>
                      <w:sz w:val="22"/>
                      <w:szCs w:val="22"/>
                      <w:lang w:eastAsia="en-US"/>
                    </w:rPr>
                  </w:pPr>
                </w:p>
              </w:tc>
              <w:tc>
                <w:tcPr>
                  <w:tcW w:w="1498" w:type="pct"/>
                  <w:tcBorders>
                    <w:top w:val="single" w:sz="4" w:space="0" w:color="auto"/>
                    <w:left w:val="nil"/>
                    <w:bottom w:val="single" w:sz="4" w:space="0" w:color="auto"/>
                    <w:right w:val="single" w:sz="4" w:space="0" w:color="auto"/>
                  </w:tcBorders>
                  <w:vAlign w:val="center"/>
                  <w:hideMark/>
                </w:tcPr>
                <w:p w14:paraId="57520729" w14:textId="1B2BA4A9" w:rsidR="00F46DA2" w:rsidRPr="00131EED" w:rsidRDefault="00F46DA2" w:rsidP="00F46DA2">
                  <w:pPr>
                    <w:jc w:val="center"/>
                    <w:rPr>
                      <w:rFonts w:ascii="Aptos Narrow" w:hAnsi="Aptos Narrow"/>
                      <w:color w:val="000000"/>
                      <w:sz w:val="20"/>
                      <w:szCs w:val="20"/>
                      <w:lang w:eastAsia="en-US"/>
                    </w:rPr>
                  </w:pPr>
                  <w:r w:rsidRPr="00131EED">
                    <w:rPr>
                      <w:sz w:val="20"/>
                      <w:szCs w:val="20"/>
                    </w:rPr>
                    <w:t>Total Poblacional</w:t>
                  </w:r>
                </w:p>
              </w:tc>
              <w:tc>
                <w:tcPr>
                  <w:tcW w:w="1300" w:type="pct"/>
                  <w:tcBorders>
                    <w:top w:val="single" w:sz="4" w:space="0" w:color="auto"/>
                    <w:left w:val="nil"/>
                    <w:bottom w:val="single" w:sz="4" w:space="0" w:color="auto"/>
                    <w:right w:val="single" w:sz="4" w:space="0" w:color="auto"/>
                  </w:tcBorders>
                  <w:vAlign w:val="center"/>
                  <w:hideMark/>
                </w:tcPr>
                <w:p w14:paraId="00E99DF8" w14:textId="09FD235D" w:rsidR="00F46DA2" w:rsidRPr="00131EED" w:rsidRDefault="00F46DA2" w:rsidP="00F46DA2">
                  <w:pPr>
                    <w:jc w:val="center"/>
                    <w:rPr>
                      <w:rFonts w:ascii="Aptos Narrow" w:hAnsi="Aptos Narrow"/>
                      <w:color w:val="000000"/>
                      <w:sz w:val="20"/>
                      <w:szCs w:val="20"/>
                      <w:lang w:eastAsia="en-US"/>
                    </w:rPr>
                  </w:pPr>
                  <w:r w:rsidRPr="00131EED">
                    <w:rPr>
                      <w:sz w:val="20"/>
                      <w:szCs w:val="20"/>
                    </w:rPr>
                    <w:t>Variación Nominal Respecto 2025</w:t>
                  </w:r>
                </w:p>
              </w:tc>
              <w:tc>
                <w:tcPr>
                  <w:tcW w:w="1412" w:type="pct"/>
                  <w:tcBorders>
                    <w:top w:val="single" w:sz="4" w:space="0" w:color="auto"/>
                    <w:left w:val="nil"/>
                    <w:bottom w:val="single" w:sz="4" w:space="0" w:color="auto"/>
                    <w:right w:val="single" w:sz="4" w:space="0" w:color="auto"/>
                  </w:tcBorders>
                  <w:vAlign w:val="center"/>
                  <w:hideMark/>
                </w:tcPr>
                <w:p w14:paraId="1D5DE00E" w14:textId="3F934DC1" w:rsidR="00F46DA2" w:rsidRPr="00131EED" w:rsidRDefault="00F46DA2" w:rsidP="00F46DA2">
                  <w:pPr>
                    <w:jc w:val="center"/>
                    <w:rPr>
                      <w:rFonts w:ascii="Aptos Narrow" w:hAnsi="Aptos Narrow"/>
                      <w:color w:val="000000"/>
                      <w:sz w:val="20"/>
                      <w:szCs w:val="20"/>
                      <w:lang w:eastAsia="en-US"/>
                    </w:rPr>
                  </w:pPr>
                  <w:r w:rsidRPr="00131EED">
                    <w:rPr>
                      <w:sz w:val="20"/>
                      <w:szCs w:val="20"/>
                    </w:rPr>
                    <w:t>Variación Porcentual Respecto 2025</w:t>
                  </w:r>
                </w:p>
              </w:tc>
            </w:tr>
            <w:tr w:rsidR="00F46DA2" w:rsidRPr="00131EED" w14:paraId="5AECDA1B" w14:textId="77777777" w:rsidTr="00F46DA2">
              <w:trPr>
                <w:trHeight w:val="288"/>
              </w:trPr>
              <w:tc>
                <w:tcPr>
                  <w:tcW w:w="791" w:type="pct"/>
                  <w:tcBorders>
                    <w:top w:val="nil"/>
                    <w:left w:val="single" w:sz="4" w:space="0" w:color="auto"/>
                    <w:bottom w:val="single" w:sz="4" w:space="0" w:color="auto"/>
                    <w:right w:val="single" w:sz="4" w:space="0" w:color="auto"/>
                  </w:tcBorders>
                  <w:vAlign w:val="center"/>
                  <w:hideMark/>
                </w:tcPr>
                <w:p w14:paraId="1EC86E86" w14:textId="48CEF750" w:rsidR="00F46DA2" w:rsidRPr="00131EED" w:rsidRDefault="00F46DA2" w:rsidP="00F46DA2">
                  <w:pPr>
                    <w:jc w:val="center"/>
                    <w:rPr>
                      <w:rFonts w:ascii="Aptos Narrow" w:hAnsi="Aptos Narrow"/>
                      <w:color w:val="000000"/>
                      <w:sz w:val="20"/>
                      <w:szCs w:val="20"/>
                      <w:lang w:eastAsia="en-US"/>
                    </w:rPr>
                  </w:pPr>
                  <w:r w:rsidRPr="00131EED">
                    <w:rPr>
                      <w:sz w:val="20"/>
                      <w:szCs w:val="20"/>
                    </w:rPr>
                    <w:t>Año 2042</w:t>
                  </w:r>
                </w:p>
              </w:tc>
              <w:tc>
                <w:tcPr>
                  <w:tcW w:w="1498" w:type="pct"/>
                  <w:tcBorders>
                    <w:top w:val="nil"/>
                    <w:left w:val="nil"/>
                    <w:bottom w:val="single" w:sz="4" w:space="0" w:color="auto"/>
                    <w:right w:val="single" w:sz="4" w:space="0" w:color="auto"/>
                  </w:tcBorders>
                  <w:vAlign w:val="center"/>
                  <w:hideMark/>
                </w:tcPr>
                <w:p w14:paraId="0A44C6ED" w14:textId="65693ED8" w:rsidR="00F46DA2" w:rsidRPr="00131EED" w:rsidRDefault="00F46DA2" w:rsidP="00F46DA2">
                  <w:pPr>
                    <w:jc w:val="center"/>
                    <w:rPr>
                      <w:rFonts w:ascii="Aptos Narrow" w:hAnsi="Aptos Narrow"/>
                      <w:color w:val="000000"/>
                      <w:sz w:val="22"/>
                      <w:szCs w:val="22"/>
                      <w:lang w:eastAsia="en-US"/>
                    </w:rPr>
                  </w:pPr>
                  <w:r w:rsidRPr="00131EED">
                    <w:rPr>
                      <w:sz w:val="22"/>
                      <w:szCs w:val="22"/>
                    </w:rPr>
                    <w:t>10754812</w:t>
                  </w:r>
                </w:p>
              </w:tc>
              <w:tc>
                <w:tcPr>
                  <w:tcW w:w="1300" w:type="pct"/>
                  <w:tcBorders>
                    <w:top w:val="nil"/>
                    <w:left w:val="nil"/>
                    <w:bottom w:val="single" w:sz="4" w:space="0" w:color="auto"/>
                    <w:right w:val="single" w:sz="4" w:space="0" w:color="auto"/>
                  </w:tcBorders>
                  <w:vAlign w:val="center"/>
                  <w:hideMark/>
                </w:tcPr>
                <w:p w14:paraId="0B902713" w14:textId="46DB9BBF" w:rsidR="00F46DA2" w:rsidRPr="00131EED" w:rsidRDefault="00F46DA2" w:rsidP="00F46DA2">
                  <w:pPr>
                    <w:jc w:val="center"/>
                    <w:rPr>
                      <w:rFonts w:ascii="Aptos Narrow" w:hAnsi="Aptos Narrow"/>
                      <w:color w:val="000000"/>
                      <w:sz w:val="22"/>
                      <w:szCs w:val="22"/>
                      <w:lang w:eastAsia="en-US"/>
                    </w:rPr>
                  </w:pPr>
                  <w:r w:rsidRPr="00131EED">
                    <w:rPr>
                      <w:sz w:val="22"/>
                      <w:szCs w:val="22"/>
                    </w:rPr>
                    <w:t>363959</w:t>
                  </w:r>
                </w:p>
              </w:tc>
              <w:tc>
                <w:tcPr>
                  <w:tcW w:w="1412" w:type="pct"/>
                  <w:tcBorders>
                    <w:top w:val="nil"/>
                    <w:left w:val="nil"/>
                    <w:bottom w:val="single" w:sz="4" w:space="0" w:color="auto"/>
                    <w:right w:val="single" w:sz="4" w:space="0" w:color="auto"/>
                  </w:tcBorders>
                  <w:vAlign w:val="center"/>
                  <w:hideMark/>
                </w:tcPr>
                <w:p w14:paraId="3437C77D" w14:textId="0CF4C858" w:rsidR="00F46DA2" w:rsidRPr="00131EED" w:rsidRDefault="00F46DA2" w:rsidP="00F46DA2">
                  <w:pPr>
                    <w:jc w:val="center"/>
                    <w:rPr>
                      <w:rFonts w:ascii="Aptos Narrow" w:hAnsi="Aptos Narrow"/>
                      <w:color w:val="000000"/>
                      <w:sz w:val="22"/>
                      <w:szCs w:val="22"/>
                      <w:lang w:eastAsia="en-US"/>
                    </w:rPr>
                  </w:pPr>
                  <w:r w:rsidRPr="00131EED">
                    <w:rPr>
                      <w:sz w:val="22"/>
                      <w:szCs w:val="22"/>
                    </w:rPr>
                    <w:t>3.50%</w:t>
                  </w:r>
                </w:p>
              </w:tc>
            </w:tr>
            <w:tr w:rsidR="00F46DA2" w:rsidRPr="00131EED" w14:paraId="7A152200" w14:textId="77777777" w:rsidTr="00F46DA2">
              <w:trPr>
                <w:trHeight w:val="288"/>
              </w:trPr>
              <w:tc>
                <w:tcPr>
                  <w:tcW w:w="791" w:type="pct"/>
                  <w:tcBorders>
                    <w:top w:val="nil"/>
                    <w:left w:val="single" w:sz="4" w:space="0" w:color="auto"/>
                    <w:bottom w:val="single" w:sz="4" w:space="0" w:color="auto"/>
                    <w:right w:val="single" w:sz="4" w:space="0" w:color="auto"/>
                  </w:tcBorders>
                  <w:vAlign w:val="center"/>
                  <w:hideMark/>
                </w:tcPr>
                <w:p w14:paraId="4B781387" w14:textId="6971CAAB" w:rsidR="00F46DA2" w:rsidRPr="00131EED" w:rsidRDefault="00F46DA2" w:rsidP="00F46DA2">
                  <w:pPr>
                    <w:jc w:val="center"/>
                    <w:rPr>
                      <w:rFonts w:ascii="Aptos Narrow" w:hAnsi="Aptos Narrow"/>
                      <w:color w:val="000000"/>
                      <w:sz w:val="20"/>
                      <w:szCs w:val="20"/>
                      <w:lang w:eastAsia="en-US"/>
                    </w:rPr>
                  </w:pPr>
                  <w:r w:rsidRPr="00131EED">
                    <w:rPr>
                      <w:sz w:val="20"/>
                      <w:szCs w:val="20"/>
                    </w:rPr>
                    <w:t>Año 2035</w:t>
                  </w:r>
                </w:p>
              </w:tc>
              <w:tc>
                <w:tcPr>
                  <w:tcW w:w="1498" w:type="pct"/>
                  <w:tcBorders>
                    <w:top w:val="nil"/>
                    <w:left w:val="nil"/>
                    <w:bottom w:val="single" w:sz="4" w:space="0" w:color="auto"/>
                    <w:right w:val="single" w:sz="4" w:space="0" w:color="auto"/>
                  </w:tcBorders>
                  <w:vAlign w:val="center"/>
                  <w:hideMark/>
                </w:tcPr>
                <w:p w14:paraId="5891F417" w14:textId="31D76FD0" w:rsidR="00F46DA2" w:rsidRPr="00131EED" w:rsidRDefault="00F46DA2" w:rsidP="00F46DA2">
                  <w:pPr>
                    <w:jc w:val="center"/>
                    <w:rPr>
                      <w:rFonts w:ascii="Aptos Narrow" w:hAnsi="Aptos Narrow"/>
                      <w:color w:val="000000"/>
                      <w:sz w:val="22"/>
                      <w:szCs w:val="22"/>
                      <w:lang w:eastAsia="en-US"/>
                    </w:rPr>
                  </w:pPr>
                  <w:r w:rsidRPr="00131EED">
                    <w:rPr>
                      <w:sz w:val="22"/>
                      <w:szCs w:val="22"/>
                    </w:rPr>
                    <w:t>10695181</w:t>
                  </w:r>
                </w:p>
              </w:tc>
              <w:tc>
                <w:tcPr>
                  <w:tcW w:w="1300" w:type="pct"/>
                  <w:tcBorders>
                    <w:top w:val="nil"/>
                    <w:left w:val="nil"/>
                    <w:bottom w:val="single" w:sz="4" w:space="0" w:color="auto"/>
                    <w:right w:val="single" w:sz="4" w:space="0" w:color="auto"/>
                  </w:tcBorders>
                  <w:vAlign w:val="center"/>
                  <w:hideMark/>
                </w:tcPr>
                <w:p w14:paraId="724DEC38" w14:textId="03EE2DB7" w:rsidR="00F46DA2" w:rsidRPr="00131EED" w:rsidRDefault="00F46DA2" w:rsidP="00F46DA2">
                  <w:pPr>
                    <w:jc w:val="center"/>
                    <w:rPr>
                      <w:rFonts w:ascii="Aptos Narrow" w:hAnsi="Aptos Narrow"/>
                      <w:color w:val="000000"/>
                      <w:sz w:val="22"/>
                      <w:szCs w:val="22"/>
                      <w:lang w:eastAsia="en-US"/>
                    </w:rPr>
                  </w:pPr>
                  <w:r w:rsidRPr="00131EED">
                    <w:rPr>
                      <w:sz w:val="22"/>
                      <w:szCs w:val="22"/>
                    </w:rPr>
                    <w:t>304328</w:t>
                  </w:r>
                </w:p>
              </w:tc>
              <w:tc>
                <w:tcPr>
                  <w:tcW w:w="1412" w:type="pct"/>
                  <w:tcBorders>
                    <w:top w:val="nil"/>
                    <w:left w:val="nil"/>
                    <w:bottom w:val="single" w:sz="4" w:space="0" w:color="auto"/>
                    <w:right w:val="single" w:sz="4" w:space="0" w:color="auto"/>
                  </w:tcBorders>
                  <w:vAlign w:val="center"/>
                  <w:hideMark/>
                </w:tcPr>
                <w:p w14:paraId="326C26B1" w14:textId="6AECFF74" w:rsidR="00F46DA2" w:rsidRPr="00131EED" w:rsidRDefault="00F46DA2" w:rsidP="00F46DA2">
                  <w:pPr>
                    <w:jc w:val="center"/>
                    <w:rPr>
                      <w:rFonts w:ascii="Aptos Narrow" w:hAnsi="Aptos Narrow"/>
                      <w:color w:val="000000"/>
                      <w:sz w:val="22"/>
                      <w:szCs w:val="22"/>
                      <w:lang w:eastAsia="en-US"/>
                    </w:rPr>
                  </w:pPr>
                  <w:r w:rsidRPr="00131EED">
                    <w:rPr>
                      <w:sz w:val="22"/>
                      <w:szCs w:val="22"/>
                    </w:rPr>
                    <w:t>2.93%</w:t>
                  </w:r>
                </w:p>
              </w:tc>
            </w:tr>
            <w:tr w:rsidR="00F46DA2" w:rsidRPr="00131EED" w14:paraId="209BC57E" w14:textId="77777777" w:rsidTr="00F46DA2">
              <w:trPr>
                <w:trHeight w:val="288"/>
              </w:trPr>
              <w:tc>
                <w:tcPr>
                  <w:tcW w:w="791" w:type="pct"/>
                  <w:tcBorders>
                    <w:top w:val="nil"/>
                    <w:left w:val="single" w:sz="4" w:space="0" w:color="auto"/>
                    <w:bottom w:val="single" w:sz="4" w:space="0" w:color="auto"/>
                    <w:right w:val="single" w:sz="4" w:space="0" w:color="auto"/>
                  </w:tcBorders>
                  <w:vAlign w:val="center"/>
                  <w:hideMark/>
                </w:tcPr>
                <w:p w14:paraId="17C641B4" w14:textId="22777034" w:rsidR="00F46DA2" w:rsidRPr="00131EED" w:rsidRDefault="00F46DA2" w:rsidP="00F46DA2">
                  <w:pPr>
                    <w:jc w:val="center"/>
                    <w:rPr>
                      <w:rFonts w:ascii="Aptos Narrow" w:hAnsi="Aptos Narrow"/>
                      <w:color w:val="000000"/>
                      <w:sz w:val="20"/>
                      <w:szCs w:val="20"/>
                      <w:lang w:eastAsia="en-US"/>
                    </w:rPr>
                  </w:pPr>
                  <w:r w:rsidRPr="00131EED">
                    <w:rPr>
                      <w:sz w:val="20"/>
                      <w:szCs w:val="20"/>
                    </w:rPr>
                    <w:t>Año 2025</w:t>
                  </w:r>
                </w:p>
              </w:tc>
              <w:tc>
                <w:tcPr>
                  <w:tcW w:w="1498" w:type="pct"/>
                  <w:tcBorders>
                    <w:top w:val="nil"/>
                    <w:left w:val="nil"/>
                    <w:bottom w:val="single" w:sz="4" w:space="0" w:color="auto"/>
                    <w:right w:val="single" w:sz="4" w:space="0" w:color="auto"/>
                  </w:tcBorders>
                  <w:vAlign w:val="center"/>
                  <w:hideMark/>
                </w:tcPr>
                <w:p w14:paraId="2BD358DB" w14:textId="4D8611FA" w:rsidR="00F46DA2" w:rsidRPr="00131EED" w:rsidRDefault="00F46DA2" w:rsidP="00F46DA2">
                  <w:pPr>
                    <w:jc w:val="center"/>
                    <w:rPr>
                      <w:rFonts w:ascii="Aptos Narrow" w:hAnsi="Aptos Narrow"/>
                      <w:color w:val="000000"/>
                      <w:sz w:val="22"/>
                      <w:szCs w:val="22"/>
                      <w:lang w:eastAsia="en-US"/>
                    </w:rPr>
                  </w:pPr>
                  <w:r w:rsidRPr="00131EED">
                    <w:rPr>
                      <w:sz w:val="22"/>
                      <w:szCs w:val="22"/>
                    </w:rPr>
                    <w:t>10390853</w:t>
                  </w:r>
                </w:p>
              </w:tc>
              <w:tc>
                <w:tcPr>
                  <w:tcW w:w="1300" w:type="pct"/>
                  <w:tcBorders>
                    <w:top w:val="nil"/>
                    <w:left w:val="nil"/>
                    <w:bottom w:val="single" w:sz="4" w:space="0" w:color="auto"/>
                    <w:right w:val="single" w:sz="4" w:space="0" w:color="auto"/>
                  </w:tcBorders>
                  <w:vAlign w:val="center"/>
                  <w:hideMark/>
                </w:tcPr>
                <w:p w14:paraId="66048174" w14:textId="7F67C82C" w:rsidR="00F46DA2" w:rsidRPr="00131EED" w:rsidRDefault="00F46DA2" w:rsidP="00F46DA2">
                  <w:pPr>
                    <w:jc w:val="center"/>
                    <w:rPr>
                      <w:rFonts w:ascii="Aptos Narrow" w:hAnsi="Aptos Narrow"/>
                      <w:color w:val="000000"/>
                      <w:sz w:val="22"/>
                      <w:szCs w:val="22"/>
                      <w:lang w:eastAsia="en-US"/>
                    </w:rPr>
                  </w:pPr>
                  <w:r w:rsidRPr="00131EED">
                    <w:rPr>
                      <w:sz w:val="22"/>
                      <w:szCs w:val="22"/>
                    </w:rPr>
                    <w:t>-</w:t>
                  </w:r>
                </w:p>
              </w:tc>
              <w:tc>
                <w:tcPr>
                  <w:tcW w:w="1412" w:type="pct"/>
                  <w:tcBorders>
                    <w:top w:val="nil"/>
                    <w:left w:val="nil"/>
                    <w:bottom w:val="single" w:sz="4" w:space="0" w:color="auto"/>
                    <w:right w:val="single" w:sz="4" w:space="0" w:color="auto"/>
                  </w:tcBorders>
                  <w:vAlign w:val="center"/>
                  <w:hideMark/>
                </w:tcPr>
                <w:p w14:paraId="55E72C4F" w14:textId="361A8376" w:rsidR="00F46DA2" w:rsidRPr="00131EED" w:rsidRDefault="00F46DA2" w:rsidP="00F46DA2">
                  <w:pPr>
                    <w:jc w:val="center"/>
                    <w:rPr>
                      <w:rFonts w:ascii="Aptos Narrow" w:hAnsi="Aptos Narrow"/>
                      <w:color w:val="000000"/>
                      <w:sz w:val="22"/>
                      <w:szCs w:val="22"/>
                      <w:lang w:eastAsia="en-US"/>
                    </w:rPr>
                  </w:pPr>
                  <w:r w:rsidRPr="00131EED">
                    <w:rPr>
                      <w:sz w:val="22"/>
                      <w:szCs w:val="22"/>
                    </w:rPr>
                    <w:t>-</w:t>
                  </w:r>
                </w:p>
              </w:tc>
            </w:tr>
          </w:tbl>
          <w:p w14:paraId="326489EB" w14:textId="77777777" w:rsidR="00C72C53" w:rsidRPr="00131EED" w:rsidRDefault="00C72C53" w:rsidP="00C72C53">
            <w:pPr>
              <w:jc w:val="center"/>
              <w:rPr>
                <w:rFonts w:ascii="Baskerville" w:hAnsi="Baskerville" w:cs="Arial"/>
              </w:rPr>
            </w:pPr>
          </w:p>
        </w:tc>
      </w:tr>
    </w:tbl>
    <w:p w14:paraId="58998DBB" w14:textId="6F7243C8" w:rsidR="00F421F8" w:rsidRPr="00131EED" w:rsidRDefault="00F421F8" w:rsidP="00F421F8">
      <w:pPr>
        <w:jc w:val="center"/>
        <w:rPr>
          <w:rFonts w:cs="Arial"/>
          <w:sz w:val="20"/>
          <w:szCs w:val="20"/>
        </w:rPr>
      </w:pPr>
      <w:r w:rsidRPr="00131EED">
        <w:rPr>
          <w:rFonts w:cs="Arial"/>
          <w:sz w:val="20"/>
          <w:szCs w:val="20"/>
        </w:rPr>
        <w:t xml:space="preserve">Fuente: </w:t>
      </w:r>
      <w:r w:rsidR="00C72C53" w:rsidRPr="00131EED">
        <w:rPr>
          <w:rFonts w:cs="Arial"/>
          <w:sz w:val="20"/>
          <w:szCs w:val="20"/>
        </w:rPr>
        <w:t>Proyección poblacional</w:t>
      </w:r>
      <w:r w:rsidRPr="00131EED">
        <w:rPr>
          <w:rFonts w:cs="Arial"/>
          <w:sz w:val="20"/>
          <w:szCs w:val="20"/>
        </w:rPr>
        <w:t xml:space="preserve"> – Sabana de Bogotá. DANE. 202</w:t>
      </w:r>
      <w:r w:rsidR="00C72C53" w:rsidRPr="00131EED">
        <w:rPr>
          <w:rFonts w:cs="Arial"/>
          <w:sz w:val="20"/>
          <w:szCs w:val="20"/>
        </w:rPr>
        <w:t>5</w:t>
      </w:r>
    </w:p>
    <w:p w14:paraId="15DF328D" w14:textId="77777777" w:rsidR="00F421F8" w:rsidRPr="00131EED" w:rsidRDefault="00F421F8" w:rsidP="00F421F8">
      <w:pPr>
        <w:rPr>
          <w:rFonts w:cs="Arial"/>
        </w:rPr>
      </w:pPr>
    </w:p>
    <w:p w14:paraId="2FD0CA66" w14:textId="084CB6CF" w:rsidR="00C72C53" w:rsidRPr="00131EED" w:rsidRDefault="00C72C53" w:rsidP="00F421F8">
      <w:pPr>
        <w:rPr>
          <w:rFonts w:cs="Arial"/>
        </w:rPr>
      </w:pPr>
      <w:r w:rsidRPr="00131EED">
        <w:rPr>
          <w:rFonts w:cs="Arial"/>
        </w:rPr>
        <w:t>De acuerdo con la información del DANE (2025), entre 2025 y 2035, el incremento proyectado es de 60.329 habitantes, equivalente a un 0,58 %, lo cual expresa una dinámica de crecimiento relativamente lenta. Posteriormente, entre 2035 y 2042, la población aumentaría en 80.511 habitantes, alcanzando un incremento acumulado de 140.840 habitantes respecto a 2025, que representa un 1,36 % en 17 años, reflejando un crecimiento poblacional estacionario y de muy baja intensidad.</w:t>
      </w:r>
    </w:p>
    <w:p w14:paraId="2E73DD79" w14:textId="77777777" w:rsidR="00C72C53" w:rsidRPr="00131EED" w:rsidRDefault="00C72C53" w:rsidP="00F421F8">
      <w:pPr>
        <w:rPr>
          <w:rFonts w:cs="Arial"/>
        </w:rPr>
      </w:pPr>
    </w:p>
    <w:p w14:paraId="6958CC5A" w14:textId="68B9308D" w:rsidR="00C72C53" w:rsidRPr="00131EED" w:rsidRDefault="00C72C53" w:rsidP="00F421F8">
      <w:pPr>
        <w:rPr>
          <w:rFonts w:cs="Arial"/>
        </w:rPr>
      </w:pPr>
      <w:r w:rsidRPr="00131EED">
        <w:rPr>
          <w:rFonts w:cs="Arial"/>
        </w:rPr>
        <w:t>A continuación, se relaciona de manera diferencial por ente territorial las proyecciones demográficas para la Sabana de Bogotá.</w:t>
      </w:r>
    </w:p>
    <w:p w14:paraId="41F0372A" w14:textId="33CA62C3" w:rsidR="00C72C53" w:rsidRPr="00131EED" w:rsidRDefault="00C72C53" w:rsidP="00C72C53">
      <w:pPr>
        <w:pStyle w:val="Caption"/>
        <w:keepNext/>
        <w:jc w:val="center"/>
      </w:pPr>
      <w:bookmarkStart w:id="303" w:name="_Toc216468959"/>
      <w:r w:rsidRPr="00131EED">
        <w:t xml:space="preserve">Tabla </w:t>
      </w:r>
      <w:fldSimple w:instr=" SEQ Tabla \* ARABIC ">
        <w:r w:rsidR="00CE096F">
          <w:rPr>
            <w:noProof/>
          </w:rPr>
          <w:t>49</w:t>
        </w:r>
      </w:fldSimple>
      <w:r w:rsidRPr="00131EED">
        <w:t>. Proyección poblacional Sabana de Bogotá - 2025 - 2042</w:t>
      </w:r>
      <w:bookmarkEnd w:id="303"/>
    </w:p>
    <w:tbl>
      <w:tblPr>
        <w:tblW w:w="5000" w:type="pct"/>
        <w:tblLook w:val="04A0" w:firstRow="1" w:lastRow="0" w:firstColumn="1" w:lastColumn="0" w:noHBand="0" w:noVBand="1"/>
      </w:tblPr>
      <w:tblGrid>
        <w:gridCol w:w="2760"/>
        <w:gridCol w:w="2023"/>
        <w:gridCol w:w="2023"/>
        <w:gridCol w:w="2022"/>
      </w:tblGrid>
      <w:tr w:rsidR="00F46DA2" w:rsidRPr="00131EED" w14:paraId="0261A400" w14:textId="77777777" w:rsidTr="00CF2429">
        <w:trPr>
          <w:trHeight w:val="288"/>
        </w:trPr>
        <w:tc>
          <w:tcPr>
            <w:tcW w:w="1563" w:type="pct"/>
            <w:tcBorders>
              <w:top w:val="single" w:sz="4" w:space="0" w:color="auto"/>
              <w:left w:val="single" w:sz="4" w:space="0" w:color="auto"/>
              <w:bottom w:val="single" w:sz="4" w:space="0" w:color="auto"/>
              <w:right w:val="single" w:sz="4" w:space="0" w:color="auto"/>
            </w:tcBorders>
            <w:noWrap/>
            <w:hideMark/>
          </w:tcPr>
          <w:p w14:paraId="3C4F1C56" w14:textId="753BC133" w:rsidR="00F46DA2" w:rsidRPr="00131EED" w:rsidRDefault="00F46DA2" w:rsidP="00F46DA2">
            <w:pPr>
              <w:jc w:val="center"/>
              <w:rPr>
                <w:b/>
                <w:bCs/>
                <w:color w:val="000000"/>
                <w:sz w:val="22"/>
                <w:szCs w:val="22"/>
                <w:lang w:eastAsia="en-US"/>
              </w:rPr>
            </w:pPr>
            <w:r w:rsidRPr="00131EED">
              <w:rPr>
                <w:b/>
                <w:bCs/>
                <w:sz w:val="22"/>
                <w:szCs w:val="22"/>
              </w:rPr>
              <w:t>Ente Territorial</w:t>
            </w:r>
          </w:p>
        </w:tc>
        <w:tc>
          <w:tcPr>
            <w:tcW w:w="1146" w:type="pct"/>
            <w:tcBorders>
              <w:top w:val="single" w:sz="4" w:space="0" w:color="auto"/>
              <w:left w:val="nil"/>
              <w:bottom w:val="single" w:sz="4" w:space="0" w:color="auto"/>
              <w:right w:val="single" w:sz="4" w:space="0" w:color="auto"/>
            </w:tcBorders>
            <w:noWrap/>
            <w:hideMark/>
          </w:tcPr>
          <w:p w14:paraId="41FED873" w14:textId="27D8922B" w:rsidR="00F46DA2" w:rsidRPr="00131EED" w:rsidRDefault="00F46DA2" w:rsidP="00F46DA2">
            <w:pPr>
              <w:jc w:val="center"/>
              <w:rPr>
                <w:b/>
                <w:bCs/>
                <w:color w:val="000000"/>
                <w:sz w:val="22"/>
                <w:szCs w:val="22"/>
                <w:lang w:eastAsia="en-US"/>
              </w:rPr>
            </w:pPr>
            <w:r w:rsidRPr="00131EED">
              <w:rPr>
                <w:b/>
                <w:bCs/>
                <w:sz w:val="22"/>
                <w:szCs w:val="22"/>
              </w:rPr>
              <w:t>Año 2042</w:t>
            </w:r>
          </w:p>
        </w:tc>
        <w:tc>
          <w:tcPr>
            <w:tcW w:w="1146" w:type="pct"/>
            <w:tcBorders>
              <w:top w:val="single" w:sz="4" w:space="0" w:color="auto"/>
              <w:left w:val="nil"/>
              <w:bottom w:val="single" w:sz="4" w:space="0" w:color="auto"/>
              <w:right w:val="single" w:sz="4" w:space="0" w:color="auto"/>
            </w:tcBorders>
            <w:noWrap/>
            <w:hideMark/>
          </w:tcPr>
          <w:p w14:paraId="68C27902" w14:textId="672617E9" w:rsidR="00F46DA2" w:rsidRPr="00131EED" w:rsidRDefault="00F46DA2" w:rsidP="00F46DA2">
            <w:pPr>
              <w:jc w:val="center"/>
              <w:rPr>
                <w:b/>
                <w:bCs/>
                <w:color w:val="000000"/>
                <w:sz w:val="22"/>
                <w:szCs w:val="22"/>
                <w:lang w:eastAsia="en-US"/>
              </w:rPr>
            </w:pPr>
            <w:r w:rsidRPr="00131EED">
              <w:rPr>
                <w:b/>
                <w:bCs/>
                <w:sz w:val="22"/>
                <w:szCs w:val="22"/>
              </w:rPr>
              <w:t>Año 2035</w:t>
            </w:r>
          </w:p>
        </w:tc>
        <w:tc>
          <w:tcPr>
            <w:tcW w:w="1145" w:type="pct"/>
            <w:tcBorders>
              <w:top w:val="single" w:sz="4" w:space="0" w:color="auto"/>
              <w:left w:val="nil"/>
              <w:bottom w:val="single" w:sz="4" w:space="0" w:color="auto"/>
              <w:right w:val="single" w:sz="4" w:space="0" w:color="auto"/>
            </w:tcBorders>
            <w:noWrap/>
            <w:hideMark/>
          </w:tcPr>
          <w:p w14:paraId="07A93BA3" w14:textId="5ABEE3D3" w:rsidR="00F46DA2" w:rsidRPr="00131EED" w:rsidRDefault="00F46DA2" w:rsidP="00F46DA2">
            <w:pPr>
              <w:jc w:val="center"/>
              <w:rPr>
                <w:b/>
                <w:bCs/>
                <w:color w:val="000000"/>
                <w:sz w:val="22"/>
                <w:szCs w:val="22"/>
                <w:lang w:eastAsia="en-US"/>
              </w:rPr>
            </w:pPr>
            <w:r w:rsidRPr="00131EED">
              <w:rPr>
                <w:b/>
                <w:bCs/>
                <w:sz w:val="22"/>
                <w:szCs w:val="22"/>
              </w:rPr>
              <w:t>Año 2025</w:t>
            </w:r>
          </w:p>
        </w:tc>
      </w:tr>
      <w:tr w:rsidR="00F46DA2" w:rsidRPr="00131EED" w14:paraId="237A31D7"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76DD47EC" w14:textId="2182846F" w:rsidR="00F46DA2" w:rsidRPr="00131EED" w:rsidRDefault="00F46DA2" w:rsidP="00F46DA2">
            <w:pPr>
              <w:jc w:val="left"/>
              <w:rPr>
                <w:b/>
                <w:bCs/>
                <w:color w:val="000000"/>
                <w:sz w:val="22"/>
                <w:szCs w:val="22"/>
                <w:lang w:eastAsia="en-US"/>
              </w:rPr>
            </w:pPr>
            <w:r w:rsidRPr="00131EED">
              <w:rPr>
                <w:b/>
                <w:bCs/>
                <w:sz w:val="22"/>
                <w:szCs w:val="22"/>
              </w:rPr>
              <w:t>Bogotá, D.C.</w:t>
            </w:r>
          </w:p>
        </w:tc>
        <w:tc>
          <w:tcPr>
            <w:tcW w:w="1146" w:type="pct"/>
            <w:tcBorders>
              <w:top w:val="nil"/>
              <w:left w:val="nil"/>
              <w:bottom w:val="single" w:sz="4" w:space="0" w:color="auto"/>
              <w:right w:val="single" w:sz="4" w:space="0" w:color="auto"/>
            </w:tcBorders>
            <w:noWrap/>
            <w:hideMark/>
          </w:tcPr>
          <w:p w14:paraId="221D2438" w14:textId="7A9ABE63" w:rsidR="00F46DA2" w:rsidRPr="00131EED" w:rsidRDefault="00F46DA2" w:rsidP="00F46DA2">
            <w:pPr>
              <w:jc w:val="right"/>
              <w:rPr>
                <w:color w:val="000000"/>
                <w:sz w:val="22"/>
                <w:szCs w:val="22"/>
                <w:lang w:eastAsia="en-US"/>
              </w:rPr>
            </w:pPr>
            <w:r w:rsidRPr="00131EED">
              <w:rPr>
                <w:sz w:val="22"/>
                <w:szCs w:val="22"/>
              </w:rPr>
              <w:t>7556041</w:t>
            </w:r>
          </w:p>
        </w:tc>
        <w:tc>
          <w:tcPr>
            <w:tcW w:w="1146" w:type="pct"/>
            <w:tcBorders>
              <w:top w:val="nil"/>
              <w:left w:val="nil"/>
              <w:bottom w:val="single" w:sz="4" w:space="0" w:color="auto"/>
              <w:right w:val="single" w:sz="4" w:space="0" w:color="auto"/>
            </w:tcBorders>
            <w:noWrap/>
            <w:hideMark/>
          </w:tcPr>
          <w:p w14:paraId="53035015" w14:textId="56CAF132" w:rsidR="00F46DA2" w:rsidRPr="00131EED" w:rsidRDefault="00F46DA2" w:rsidP="00F46DA2">
            <w:pPr>
              <w:jc w:val="right"/>
              <w:rPr>
                <w:color w:val="000000"/>
                <w:sz w:val="22"/>
                <w:szCs w:val="22"/>
                <w:lang w:eastAsia="en-US"/>
              </w:rPr>
            </w:pPr>
            <w:r w:rsidRPr="00131EED">
              <w:rPr>
                <w:sz w:val="22"/>
                <w:szCs w:val="22"/>
              </w:rPr>
              <w:t>7814324</w:t>
            </w:r>
          </w:p>
        </w:tc>
        <w:tc>
          <w:tcPr>
            <w:tcW w:w="1145" w:type="pct"/>
            <w:tcBorders>
              <w:top w:val="nil"/>
              <w:left w:val="nil"/>
              <w:bottom w:val="single" w:sz="4" w:space="0" w:color="auto"/>
              <w:right w:val="single" w:sz="4" w:space="0" w:color="auto"/>
            </w:tcBorders>
            <w:noWrap/>
            <w:hideMark/>
          </w:tcPr>
          <w:p w14:paraId="41242A5E" w14:textId="41012F4D" w:rsidR="00F46DA2" w:rsidRPr="00131EED" w:rsidRDefault="00F46DA2" w:rsidP="00F46DA2">
            <w:pPr>
              <w:jc w:val="right"/>
              <w:rPr>
                <w:color w:val="000000"/>
                <w:sz w:val="22"/>
                <w:szCs w:val="22"/>
                <w:lang w:eastAsia="en-US"/>
              </w:rPr>
            </w:pPr>
            <w:r w:rsidRPr="00131EED">
              <w:rPr>
                <w:sz w:val="22"/>
                <w:szCs w:val="22"/>
              </w:rPr>
              <w:t>7942867</w:t>
            </w:r>
          </w:p>
        </w:tc>
      </w:tr>
      <w:tr w:rsidR="00F46DA2" w:rsidRPr="00131EED" w14:paraId="185B826B"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21D6C8D8" w14:textId="0A1ED4F9" w:rsidR="00F46DA2" w:rsidRPr="00131EED" w:rsidRDefault="00F46DA2" w:rsidP="00F46DA2">
            <w:pPr>
              <w:jc w:val="left"/>
              <w:rPr>
                <w:b/>
                <w:bCs/>
                <w:color w:val="000000"/>
                <w:sz w:val="22"/>
                <w:szCs w:val="22"/>
                <w:lang w:eastAsia="en-US"/>
              </w:rPr>
            </w:pPr>
            <w:r w:rsidRPr="00131EED">
              <w:rPr>
                <w:b/>
                <w:bCs/>
                <w:sz w:val="22"/>
                <w:szCs w:val="22"/>
              </w:rPr>
              <w:t>Bojacá</w:t>
            </w:r>
          </w:p>
        </w:tc>
        <w:tc>
          <w:tcPr>
            <w:tcW w:w="1146" w:type="pct"/>
            <w:tcBorders>
              <w:top w:val="nil"/>
              <w:left w:val="nil"/>
              <w:bottom w:val="single" w:sz="4" w:space="0" w:color="auto"/>
              <w:right w:val="single" w:sz="4" w:space="0" w:color="auto"/>
            </w:tcBorders>
            <w:noWrap/>
            <w:hideMark/>
          </w:tcPr>
          <w:p w14:paraId="47E3C1BD" w14:textId="4B9FB550" w:rsidR="00F46DA2" w:rsidRPr="00131EED" w:rsidRDefault="00F46DA2" w:rsidP="00F46DA2">
            <w:pPr>
              <w:jc w:val="right"/>
              <w:rPr>
                <w:color w:val="000000"/>
                <w:sz w:val="22"/>
                <w:szCs w:val="22"/>
                <w:lang w:eastAsia="en-US"/>
              </w:rPr>
            </w:pPr>
            <w:r w:rsidRPr="00131EED">
              <w:rPr>
                <w:sz w:val="22"/>
                <w:szCs w:val="22"/>
              </w:rPr>
              <w:t>12845</w:t>
            </w:r>
          </w:p>
        </w:tc>
        <w:tc>
          <w:tcPr>
            <w:tcW w:w="1146" w:type="pct"/>
            <w:tcBorders>
              <w:top w:val="nil"/>
              <w:left w:val="nil"/>
              <w:bottom w:val="single" w:sz="4" w:space="0" w:color="auto"/>
              <w:right w:val="single" w:sz="4" w:space="0" w:color="auto"/>
            </w:tcBorders>
            <w:noWrap/>
            <w:hideMark/>
          </w:tcPr>
          <w:p w14:paraId="078C3D24" w14:textId="766CB12F" w:rsidR="00F46DA2" w:rsidRPr="00131EED" w:rsidRDefault="00F46DA2" w:rsidP="00F46DA2">
            <w:pPr>
              <w:jc w:val="right"/>
              <w:rPr>
                <w:color w:val="000000"/>
                <w:sz w:val="22"/>
                <w:szCs w:val="22"/>
                <w:lang w:eastAsia="en-US"/>
              </w:rPr>
            </w:pPr>
            <w:r w:rsidRPr="00131EED">
              <w:rPr>
                <w:sz w:val="22"/>
                <w:szCs w:val="22"/>
              </w:rPr>
              <w:t>11978</w:t>
            </w:r>
          </w:p>
        </w:tc>
        <w:tc>
          <w:tcPr>
            <w:tcW w:w="1145" w:type="pct"/>
            <w:tcBorders>
              <w:top w:val="nil"/>
              <w:left w:val="nil"/>
              <w:bottom w:val="single" w:sz="4" w:space="0" w:color="auto"/>
              <w:right w:val="single" w:sz="4" w:space="0" w:color="auto"/>
            </w:tcBorders>
            <w:noWrap/>
            <w:hideMark/>
          </w:tcPr>
          <w:p w14:paraId="2A123A83" w14:textId="30F4B0EC" w:rsidR="00F46DA2" w:rsidRPr="00131EED" w:rsidRDefault="00F46DA2" w:rsidP="00F46DA2">
            <w:pPr>
              <w:jc w:val="right"/>
              <w:rPr>
                <w:color w:val="000000"/>
                <w:sz w:val="22"/>
                <w:szCs w:val="22"/>
                <w:lang w:eastAsia="en-US"/>
              </w:rPr>
            </w:pPr>
            <w:r w:rsidRPr="00131EED">
              <w:rPr>
                <w:sz w:val="22"/>
                <w:szCs w:val="22"/>
              </w:rPr>
              <w:t>10927</w:t>
            </w:r>
          </w:p>
        </w:tc>
      </w:tr>
      <w:tr w:rsidR="00F46DA2" w:rsidRPr="00131EED" w14:paraId="22064099"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09A6F9A6" w14:textId="0804B96B" w:rsidR="00F46DA2" w:rsidRPr="00131EED" w:rsidRDefault="00F46DA2" w:rsidP="00F46DA2">
            <w:pPr>
              <w:jc w:val="left"/>
              <w:rPr>
                <w:b/>
                <w:bCs/>
                <w:color w:val="000000"/>
                <w:sz w:val="22"/>
                <w:szCs w:val="22"/>
                <w:lang w:eastAsia="en-US"/>
              </w:rPr>
            </w:pPr>
            <w:r w:rsidRPr="00131EED">
              <w:rPr>
                <w:b/>
                <w:bCs/>
                <w:sz w:val="22"/>
                <w:szCs w:val="22"/>
              </w:rPr>
              <w:t>Cajicá</w:t>
            </w:r>
          </w:p>
        </w:tc>
        <w:tc>
          <w:tcPr>
            <w:tcW w:w="1146" w:type="pct"/>
            <w:tcBorders>
              <w:top w:val="nil"/>
              <w:left w:val="nil"/>
              <w:bottom w:val="single" w:sz="4" w:space="0" w:color="auto"/>
              <w:right w:val="single" w:sz="4" w:space="0" w:color="auto"/>
            </w:tcBorders>
            <w:noWrap/>
            <w:hideMark/>
          </w:tcPr>
          <w:p w14:paraId="65C40050" w14:textId="06162805" w:rsidR="00F46DA2" w:rsidRPr="00131EED" w:rsidRDefault="00F46DA2" w:rsidP="00F46DA2">
            <w:pPr>
              <w:jc w:val="right"/>
              <w:rPr>
                <w:color w:val="000000"/>
                <w:sz w:val="22"/>
                <w:szCs w:val="22"/>
                <w:lang w:eastAsia="en-US"/>
              </w:rPr>
            </w:pPr>
            <w:r w:rsidRPr="00131EED">
              <w:rPr>
                <w:sz w:val="22"/>
                <w:szCs w:val="22"/>
              </w:rPr>
              <w:t>168664</w:t>
            </w:r>
          </w:p>
        </w:tc>
        <w:tc>
          <w:tcPr>
            <w:tcW w:w="1146" w:type="pct"/>
            <w:tcBorders>
              <w:top w:val="nil"/>
              <w:left w:val="nil"/>
              <w:bottom w:val="single" w:sz="4" w:space="0" w:color="auto"/>
              <w:right w:val="single" w:sz="4" w:space="0" w:color="auto"/>
            </w:tcBorders>
            <w:noWrap/>
            <w:hideMark/>
          </w:tcPr>
          <w:p w14:paraId="2B4CE0F2" w14:textId="67B56C88" w:rsidR="00F46DA2" w:rsidRPr="00131EED" w:rsidRDefault="00F46DA2" w:rsidP="00F46DA2">
            <w:pPr>
              <w:jc w:val="right"/>
              <w:rPr>
                <w:color w:val="000000"/>
                <w:sz w:val="22"/>
                <w:szCs w:val="22"/>
                <w:lang w:eastAsia="en-US"/>
              </w:rPr>
            </w:pPr>
            <w:r w:rsidRPr="00131EED">
              <w:rPr>
                <w:sz w:val="22"/>
                <w:szCs w:val="22"/>
              </w:rPr>
              <w:t>153824</w:t>
            </w:r>
          </w:p>
        </w:tc>
        <w:tc>
          <w:tcPr>
            <w:tcW w:w="1145" w:type="pct"/>
            <w:tcBorders>
              <w:top w:val="nil"/>
              <w:left w:val="nil"/>
              <w:bottom w:val="single" w:sz="4" w:space="0" w:color="auto"/>
              <w:right w:val="single" w:sz="4" w:space="0" w:color="auto"/>
            </w:tcBorders>
            <w:noWrap/>
            <w:hideMark/>
          </w:tcPr>
          <w:p w14:paraId="3F5E5C43" w14:textId="57D35527" w:rsidR="00F46DA2" w:rsidRPr="00131EED" w:rsidRDefault="00F46DA2" w:rsidP="00F46DA2">
            <w:pPr>
              <w:jc w:val="right"/>
              <w:rPr>
                <w:color w:val="000000"/>
                <w:sz w:val="22"/>
                <w:szCs w:val="22"/>
                <w:lang w:eastAsia="en-US"/>
              </w:rPr>
            </w:pPr>
            <w:r w:rsidRPr="00131EED">
              <w:rPr>
                <w:sz w:val="22"/>
                <w:szCs w:val="22"/>
              </w:rPr>
              <w:t>122811</w:t>
            </w:r>
          </w:p>
        </w:tc>
      </w:tr>
      <w:tr w:rsidR="00F46DA2" w:rsidRPr="00131EED" w14:paraId="5A439B20"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64E8E148" w14:textId="1CFB2503" w:rsidR="00F46DA2" w:rsidRPr="00131EED" w:rsidRDefault="00F46DA2" w:rsidP="00F46DA2">
            <w:pPr>
              <w:jc w:val="left"/>
              <w:rPr>
                <w:b/>
                <w:bCs/>
                <w:color w:val="000000"/>
                <w:sz w:val="22"/>
                <w:szCs w:val="22"/>
                <w:lang w:eastAsia="en-US"/>
              </w:rPr>
            </w:pPr>
            <w:r w:rsidRPr="00131EED">
              <w:rPr>
                <w:b/>
                <w:bCs/>
                <w:sz w:val="22"/>
                <w:szCs w:val="22"/>
              </w:rPr>
              <w:t>Chía</w:t>
            </w:r>
          </w:p>
        </w:tc>
        <w:tc>
          <w:tcPr>
            <w:tcW w:w="1146" w:type="pct"/>
            <w:tcBorders>
              <w:top w:val="nil"/>
              <w:left w:val="nil"/>
              <w:bottom w:val="single" w:sz="4" w:space="0" w:color="auto"/>
              <w:right w:val="single" w:sz="4" w:space="0" w:color="auto"/>
            </w:tcBorders>
            <w:noWrap/>
            <w:hideMark/>
          </w:tcPr>
          <w:p w14:paraId="55176DBB" w14:textId="2CE29B40" w:rsidR="00F46DA2" w:rsidRPr="00131EED" w:rsidRDefault="00F46DA2" w:rsidP="00F46DA2">
            <w:pPr>
              <w:jc w:val="right"/>
              <w:rPr>
                <w:color w:val="000000"/>
                <w:sz w:val="22"/>
                <w:szCs w:val="22"/>
                <w:lang w:eastAsia="en-US"/>
              </w:rPr>
            </w:pPr>
            <w:r w:rsidRPr="00131EED">
              <w:rPr>
                <w:sz w:val="22"/>
                <w:szCs w:val="22"/>
              </w:rPr>
              <w:t>239430</w:t>
            </w:r>
          </w:p>
        </w:tc>
        <w:tc>
          <w:tcPr>
            <w:tcW w:w="1146" w:type="pct"/>
            <w:tcBorders>
              <w:top w:val="nil"/>
              <w:left w:val="nil"/>
              <w:bottom w:val="single" w:sz="4" w:space="0" w:color="auto"/>
              <w:right w:val="single" w:sz="4" w:space="0" w:color="auto"/>
            </w:tcBorders>
            <w:noWrap/>
            <w:hideMark/>
          </w:tcPr>
          <w:p w14:paraId="7ED99252" w14:textId="72A64E93" w:rsidR="00F46DA2" w:rsidRPr="00131EED" w:rsidRDefault="00F46DA2" w:rsidP="00F46DA2">
            <w:pPr>
              <w:jc w:val="right"/>
              <w:rPr>
                <w:color w:val="000000"/>
                <w:sz w:val="22"/>
                <w:szCs w:val="22"/>
                <w:lang w:eastAsia="en-US"/>
              </w:rPr>
            </w:pPr>
            <w:r w:rsidRPr="00131EED">
              <w:rPr>
                <w:sz w:val="22"/>
                <w:szCs w:val="22"/>
              </w:rPr>
              <w:t>211846</w:t>
            </w:r>
          </w:p>
        </w:tc>
        <w:tc>
          <w:tcPr>
            <w:tcW w:w="1145" w:type="pct"/>
            <w:tcBorders>
              <w:top w:val="nil"/>
              <w:left w:val="nil"/>
              <w:bottom w:val="single" w:sz="4" w:space="0" w:color="auto"/>
              <w:right w:val="single" w:sz="4" w:space="0" w:color="auto"/>
            </w:tcBorders>
            <w:noWrap/>
            <w:hideMark/>
          </w:tcPr>
          <w:p w14:paraId="7BCF4980" w14:textId="2436E157" w:rsidR="00F46DA2" w:rsidRPr="00131EED" w:rsidRDefault="00F46DA2" w:rsidP="00F46DA2">
            <w:pPr>
              <w:jc w:val="right"/>
              <w:rPr>
                <w:color w:val="000000"/>
                <w:sz w:val="22"/>
                <w:szCs w:val="22"/>
                <w:lang w:eastAsia="en-US"/>
              </w:rPr>
            </w:pPr>
            <w:r w:rsidRPr="00131EED">
              <w:rPr>
                <w:sz w:val="22"/>
                <w:szCs w:val="22"/>
              </w:rPr>
              <w:t>173728</w:t>
            </w:r>
          </w:p>
        </w:tc>
      </w:tr>
      <w:tr w:rsidR="00F46DA2" w:rsidRPr="00131EED" w14:paraId="7BE9C6B4" w14:textId="77777777" w:rsidTr="00CF2429">
        <w:trPr>
          <w:trHeight w:val="288"/>
        </w:trPr>
        <w:tc>
          <w:tcPr>
            <w:tcW w:w="1563" w:type="pct"/>
            <w:tcBorders>
              <w:top w:val="nil"/>
              <w:left w:val="single" w:sz="4" w:space="0" w:color="auto"/>
              <w:bottom w:val="single" w:sz="4" w:space="0" w:color="auto"/>
              <w:right w:val="single" w:sz="4" w:space="0" w:color="auto"/>
            </w:tcBorders>
            <w:noWrap/>
          </w:tcPr>
          <w:p w14:paraId="31308552" w14:textId="1C7991F4" w:rsidR="00F46DA2" w:rsidRPr="00131EED" w:rsidRDefault="00F46DA2" w:rsidP="00F46DA2">
            <w:pPr>
              <w:jc w:val="left"/>
              <w:rPr>
                <w:b/>
                <w:bCs/>
                <w:color w:val="000000"/>
                <w:sz w:val="22"/>
                <w:szCs w:val="22"/>
                <w:lang w:eastAsia="en-US"/>
              </w:rPr>
            </w:pPr>
            <w:r w:rsidRPr="00131EED">
              <w:rPr>
                <w:b/>
                <w:bCs/>
                <w:sz w:val="22"/>
                <w:szCs w:val="22"/>
              </w:rPr>
              <w:t>Chipaque</w:t>
            </w:r>
          </w:p>
        </w:tc>
        <w:tc>
          <w:tcPr>
            <w:tcW w:w="1146" w:type="pct"/>
            <w:tcBorders>
              <w:top w:val="nil"/>
              <w:left w:val="nil"/>
              <w:bottom w:val="single" w:sz="4" w:space="0" w:color="auto"/>
              <w:right w:val="single" w:sz="4" w:space="0" w:color="auto"/>
            </w:tcBorders>
            <w:noWrap/>
          </w:tcPr>
          <w:p w14:paraId="2D77790D" w14:textId="16A01CCC" w:rsidR="00F46DA2" w:rsidRPr="00131EED" w:rsidRDefault="00F46DA2" w:rsidP="00F46DA2">
            <w:pPr>
              <w:jc w:val="right"/>
              <w:rPr>
                <w:color w:val="000000"/>
                <w:sz w:val="22"/>
                <w:szCs w:val="22"/>
                <w:lang w:eastAsia="en-US"/>
              </w:rPr>
            </w:pPr>
            <w:r w:rsidRPr="00131EED">
              <w:rPr>
                <w:sz w:val="22"/>
                <w:szCs w:val="22"/>
              </w:rPr>
              <w:t>9954</w:t>
            </w:r>
          </w:p>
        </w:tc>
        <w:tc>
          <w:tcPr>
            <w:tcW w:w="1146" w:type="pct"/>
            <w:tcBorders>
              <w:top w:val="nil"/>
              <w:left w:val="nil"/>
              <w:bottom w:val="single" w:sz="4" w:space="0" w:color="auto"/>
              <w:right w:val="single" w:sz="4" w:space="0" w:color="auto"/>
            </w:tcBorders>
            <w:noWrap/>
          </w:tcPr>
          <w:p w14:paraId="5B6BAE87" w14:textId="44754267" w:rsidR="00F46DA2" w:rsidRPr="00131EED" w:rsidRDefault="00F46DA2" w:rsidP="00F46DA2">
            <w:pPr>
              <w:jc w:val="right"/>
              <w:rPr>
                <w:color w:val="000000"/>
                <w:sz w:val="22"/>
                <w:szCs w:val="22"/>
                <w:lang w:eastAsia="en-US"/>
              </w:rPr>
            </w:pPr>
            <w:r w:rsidRPr="00131EED">
              <w:rPr>
                <w:sz w:val="22"/>
                <w:szCs w:val="22"/>
              </w:rPr>
              <w:t>10301</w:t>
            </w:r>
          </w:p>
        </w:tc>
        <w:tc>
          <w:tcPr>
            <w:tcW w:w="1145" w:type="pct"/>
            <w:tcBorders>
              <w:top w:val="nil"/>
              <w:left w:val="nil"/>
              <w:bottom w:val="single" w:sz="4" w:space="0" w:color="auto"/>
              <w:right w:val="single" w:sz="4" w:space="0" w:color="auto"/>
            </w:tcBorders>
            <w:noWrap/>
          </w:tcPr>
          <w:p w14:paraId="4D1363D5" w14:textId="3776C738" w:rsidR="00F46DA2" w:rsidRPr="00131EED" w:rsidRDefault="00F46DA2" w:rsidP="00F46DA2">
            <w:pPr>
              <w:jc w:val="right"/>
              <w:rPr>
                <w:color w:val="000000"/>
                <w:sz w:val="22"/>
                <w:szCs w:val="22"/>
                <w:lang w:eastAsia="en-US"/>
              </w:rPr>
            </w:pPr>
            <w:r w:rsidRPr="00131EED">
              <w:rPr>
                <w:sz w:val="22"/>
                <w:szCs w:val="22"/>
              </w:rPr>
              <w:t>10204</w:t>
            </w:r>
          </w:p>
        </w:tc>
      </w:tr>
      <w:tr w:rsidR="00F46DA2" w:rsidRPr="00131EED" w14:paraId="0021B821"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55A4EF5D" w14:textId="4C2A4468" w:rsidR="00F46DA2" w:rsidRPr="00131EED" w:rsidRDefault="00F46DA2" w:rsidP="00F46DA2">
            <w:pPr>
              <w:jc w:val="left"/>
              <w:rPr>
                <w:b/>
                <w:bCs/>
                <w:color w:val="000000"/>
                <w:sz w:val="22"/>
                <w:szCs w:val="22"/>
                <w:lang w:eastAsia="en-US"/>
              </w:rPr>
            </w:pPr>
            <w:r w:rsidRPr="00131EED">
              <w:rPr>
                <w:b/>
                <w:bCs/>
                <w:sz w:val="22"/>
                <w:szCs w:val="22"/>
              </w:rPr>
              <w:t>Chocontá</w:t>
            </w:r>
          </w:p>
        </w:tc>
        <w:tc>
          <w:tcPr>
            <w:tcW w:w="1146" w:type="pct"/>
            <w:tcBorders>
              <w:top w:val="nil"/>
              <w:left w:val="nil"/>
              <w:bottom w:val="single" w:sz="4" w:space="0" w:color="auto"/>
              <w:right w:val="single" w:sz="4" w:space="0" w:color="auto"/>
            </w:tcBorders>
            <w:noWrap/>
            <w:hideMark/>
          </w:tcPr>
          <w:p w14:paraId="337FA77D" w14:textId="690EAB2D" w:rsidR="00F46DA2" w:rsidRPr="00131EED" w:rsidRDefault="00F46DA2" w:rsidP="00F46DA2">
            <w:pPr>
              <w:jc w:val="right"/>
              <w:rPr>
                <w:color w:val="000000"/>
                <w:sz w:val="22"/>
                <w:szCs w:val="22"/>
                <w:lang w:eastAsia="en-US"/>
              </w:rPr>
            </w:pPr>
            <w:r w:rsidRPr="00131EED">
              <w:rPr>
                <w:sz w:val="22"/>
                <w:szCs w:val="22"/>
              </w:rPr>
              <w:t>23116</w:t>
            </w:r>
          </w:p>
        </w:tc>
        <w:tc>
          <w:tcPr>
            <w:tcW w:w="1146" w:type="pct"/>
            <w:tcBorders>
              <w:top w:val="nil"/>
              <w:left w:val="nil"/>
              <w:bottom w:val="single" w:sz="4" w:space="0" w:color="auto"/>
              <w:right w:val="single" w:sz="4" w:space="0" w:color="auto"/>
            </w:tcBorders>
            <w:noWrap/>
            <w:hideMark/>
          </w:tcPr>
          <w:p w14:paraId="4349450B" w14:textId="40DE6E97" w:rsidR="00F46DA2" w:rsidRPr="00131EED" w:rsidRDefault="00F46DA2" w:rsidP="00F46DA2">
            <w:pPr>
              <w:jc w:val="right"/>
              <w:rPr>
                <w:color w:val="000000"/>
                <w:sz w:val="22"/>
                <w:szCs w:val="22"/>
                <w:lang w:eastAsia="en-US"/>
              </w:rPr>
            </w:pPr>
            <w:r w:rsidRPr="00131EED">
              <w:rPr>
                <w:sz w:val="22"/>
                <w:szCs w:val="22"/>
              </w:rPr>
              <w:t>22800</w:t>
            </w:r>
          </w:p>
        </w:tc>
        <w:tc>
          <w:tcPr>
            <w:tcW w:w="1145" w:type="pct"/>
            <w:tcBorders>
              <w:top w:val="nil"/>
              <w:left w:val="nil"/>
              <w:bottom w:val="single" w:sz="4" w:space="0" w:color="auto"/>
              <w:right w:val="single" w:sz="4" w:space="0" w:color="auto"/>
            </w:tcBorders>
            <w:noWrap/>
            <w:hideMark/>
          </w:tcPr>
          <w:p w14:paraId="6CEAA0A4" w14:textId="7396A79C" w:rsidR="00F46DA2" w:rsidRPr="00131EED" w:rsidRDefault="00F46DA2" w:rsidP="00F46DA2">
            <w:pPr>
              <w:jc w:val="right"/>
              <w:rPr>
                <w:color w:val="000000"/>
                <w:sz w:val="22"/>
                <w:szCs w:val="22"/>
                <w:lang w:eastAsia="en-US"/>
              </w:rPr>
            </w:pPr>
            <w:r w:rsidRPr="00131EED">
              <w:rPr>
                <w:sz w:val="22"/>
                <w:szCs w:val="22"/>
              </w:rPr>
              <w:t>21987</w:t>
            </w:r>
          </w:p>
        </w:tc>
      </w:tr>
      <w:tr w:rsidR="00F46DA2" w:rsidRPr="00131EED" w14:paraId="5921B01C"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28A189E7" w14:textId="6DC9C9B1" w:rsidR="00F46DA2" w:rsidRPr="00131EED" w:rsidRDefault="00F46DA2" w:rsidP="00F46DA2">
            <w:pPr>
              <w:jc w:val="left"/>
              <w:rPr>
                <w:b/>
                <w:bCs/>
                <w:color w:val="000000"/>
                <w:sz w:val="22"/>
                <w:szCs w:val="22"/>
                <w:lang w:eastAsia="en-US"/>
              </w:rPr>
            </w:pPr>
            <w:r w:rsidRPr="00131EED">
              <w:rPr>
                <w:b/>
                <w:bCs/>
                <w:sz w:val="22"/>
                <w:szCs w:val="22"/>
              </w:rPr>
              <w:t>Cogua</w:t>
            </w:r>
          </w:p>
        </w:tc>
        <w:tc>
          <w:tcPr>
            <w:tcW w:w="1146" w:type="pct"/>
            <w:tcBorders>
              <w:top w:val="nil"/>
              <w:left w:val="nil"/>
              <w:bottom w:val="single" w:sz="4" w:space="0" w:color="auto"/>
              <w:right w:val="single" w:sz="4" w:space="0" w:color="auto"/>
            </w:tcBorders>
            <w:noWrap/>
            <w:hideMark/>
          </w:tcPr>
          <w:p w14:paraId="58343A6F" w14:textId="7A72E2C3" w:rsidR="00F46DA2" w:rsidRPr="00131EED" w:rsidRDefault="00F46DA2" w:rsidP="00F46DA2">
            <w:pPr>
              <w:jc w:val="right"/>
              <w:rPr>
                <w:color w:val="000000"/>
                <w:sz w:val="22"/>
                <w:szCs w:val="22"/>
                <w:lang w:eastAsia="en-US"/>
              </w:rPr>
            </w:pPr>
            <w:r w:rsidRPr="00131EED">
              <w:rPr>
                <w:sz w:val="22"/>
                <w:szCs w:val="22"/>
              </w:rPr>
              <w:t>30867</w:t>
            </w:r>
          </w:p>
        </w:tc>
        <w:tc>
          <w:tcPr>
            <w:tcW w:w="1146" w:type="pct"/>
            <w:tcBorders>
              <w:top w:val="nil"/>
              <w:left w:val="nil"/>
              <w:bottom w:val="single" w:sz="4" w:space="0" w:color="auto"/>
              <w:right w:val="single" w:sz="4" w:space="0" w:color="auto"/>
            </w:tcBorders>
            <w:noWrap/>
            <w:hideMark/>
          </w:tcPr>
          <w:p w14:paraId="66B2A28B" w14:textId="4FCEEB6B" w:rsidR="00F46DA2" w:rsidRPr="00131EED" w:rsidRDefault="00F46DA2" w:rsidP="00F46DA2">
            <w:pPr>
              <w:jc w:val="right"/>
              <w:rPr>
                <w:color w:val="000000"/>
                <w:sz w:val="22"/>
                <w:szCs w:val="22"/>
                <w:lang w:eastAsia="en-US"/>
              </w:rPr>
            </w:pPr>
            <w:r w:rsidRPr="00131EED">
              <w:rPr>
                <w:sz w:val="22"/>
                <w:szCs w:val="22"/>
              </w:rPr>
              <w:t>28907</w:t>
            </w:r>
          </w:p>
        </w:tc>
        <w:tc>
          <w:tcPr>
            <w:tcW w:w="1145" w:type="pct"/>
            <w:tcBorders>
              <w:top w:val="nil"/>
              <w:left w:val="nil"/>
              <w:bottom w:val="single" w:sz="4" w:space="0" w:color="auto"/>
              <w:right w:val="single" w:sz="4" w:space="0" w:color="auto"/>
            </w:tcBorders>
            <w:noWrap/>
            <w:hideMark/>
          </w:tcPr>
          <w:p w14:paraId="6E128FC0" w14:textId="7E6A28D5" w:rsidR="00F46DA2" w:rsidRPr="00131EED" w:rsidRDefault="00F46DA2" w:rsidP="00F46DA2">
            <w:pPr>
              <w:jc w:val="right"/>
              <w:rPr>
                <w:color w:val="000000"/>
                <w:sz w:val="22"/>
                <w:szCs w:val="22"/>
                <w:lang w:eastAsia="en-US"/>
              </w:rPr>
            </w:pPr>
            <w:r w:rsidRPr="00131EED">
              <w:rPr>
                <w:sz w:val="22"/>
                <w:szCs w:val="22"/>
              </w:rPr>
              <w:t>25389</w:t>
            </w:r>
          </w:p>
        </w:tc>
      </w:tr>
      <w:tr w:rsidR="00F46DA2" w:rsidRPr="00131EED" w14:paraId="76BD5F4D"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7C6E09A5" w14:textId="1C2424E1" w:rsidR="00F46DA2" w:rsidRPr="00131EED" w:rsidRDefault="00F46DA2" w:rsidP="00F46DA2">
            <w:pPr>
              <w:jc w:val="left"/>
              <w:rPr>
                <w:b/>
                <w:bCs/>
                <w:color w:val="000000"/>
                <w:sz w:val="22"/>
                <w:szCs w:val="22"/>
                <w:lang w:eastAsia="en-US"/>
              </w:rPr>
            </w:pPr>
            <w:r w:rsidRPr="00131EED">
              <w:rPr>
                <w:b/>
                <w:bCs/>
                <w:sz w:val="22"/>
                <w:szCs w:val="22"/>
              </w:rPr>
              <w:t>Cota</w:t>
            </w:r>
          </w:p>
        </w:tc>
        <w:tc>
          <w:tcPr>
            <w:tcW w:w="1146" w:type="pct"/>
            <w:tcBorders>
              <w:top w:val="nil"/>
              <w:left w:val="nil"/>
              <w:bottom w:val="single" w:sz="4" w:space="0" w:color="auto"/>
              <w:right w:val="single" w:sz="4" w:space="0" w:color="auto"/>
            </w:tcBorders>
            <w:noWrap/>
            <w:hideMark/>
          </w:tcPr>
          <w:p w14:paraId="2474F93A" w14:textId="0312C3C9" w:rsidR="00F46DA2" w:rsidRPr="00131EED" w:rsidRDefault="00F46DA2" w:rsidP="00F46DA2">
            <w:pPr>
              <w:jc w:val="right"/>
              <w:rPr>
                <w:color w:val="000000"/>
                <w:sz w:val="22"/>
                <w:szCs w:val="22"/>
                <w:lang w:eastAsia="en-US"/>
              </w:rPr>
            </w:pPr>
            <w:r w:rsidRPr="00131EED">
              <w:rPr>
                <w:sz w:val="22"/>
                <w:szCs w:val="22"/>
              </w:rPr>
              <w:t>62577</w:t>
            </w:r>
          </w:p>
        </w:tc>
        <w:tc>
          <w:tcPr>
            <w:tcW w:w="1146" w:type="pct"/>
            <w:tcBorders>
              <w:top w:val="nil"/>
              <w:left w:val="nil"/>
              <w:bottom w:val="single" w:sz="4" w:space="0" w:color="auto"/>
              <w:right w:val="single" w:sz="4" w:space="0" w:color="auto"/>
            </w:tcBorders>
            <w:noWrap/>
            <w:hideMark/>
          </w:tcPr>
          <w:p w14:paraId="3689EA55" w14:textId="1372B6FF" w:rsidR="00F46DA2" w:rsidRPr="00131EED" w:rsidRDefault="00F46DA2" w:rsidP="00F46DA2">
            <w:pPr>
              <w:jc w:val="right"/>
              <w:rPr>
                <w:color w:val="000000"/>
                <w:sz w:val="22"/>
                <w:szCs w:val="22"/>
                <w:lang w:eastAsia="en-US"/>
              </w:rPr>
            </w:pPr>
            <w:r w:rsidRPr="00131EED">
              <w:rPr>
                <w:sz w:val="22"/>
                <w:szCs w:val="22"/>
              </w:rPr>
              <w:t>57788</w:t>
            </w:r>
          </w:p>
        </w:tc>
        <w:tc>
          <w:tcPr>
            <w:tcW w:w="1145" w:type="pct"/>
            <w:tcBorders>
              <w:top w:val="nil"/>
              <w:left w:val="nil"/>
              <w:bottom w:val="single" w:sz="4" w:space="0" w:color="auto"/>
              <w:right w:val="single" w:sz="4" w:space="0" w:color="auto"/>
            </w:tcBorders>
            <w:noWrap/>
            <w:hideMark/>
          </w:tcPr>
          <w:p w14:paraId="63EF848F" w14:textId="4E9D7779" w:rsidR="00F46DA2" w:rsidRPr="00131EED" w:rsidRDefault="00F46DA2" w:rsidP="00F46DA2">
            <w:pPr>
              <w:jc w:val="right"/>
              <w:rPr>
                <w:color w:val="000000"/>
                <w:sz w:val="22"/>
                <w:szCs w:val="22"/>
                <w:lang w:eastAsia="en-US"/>
              </w:rPr>
            </w:pPr>
            <w:r w:rsidRPr="00131EED">
              <w:rPr>
                <w:sz w:val="22"/>
                <w:szCs w:val="22"/>
              </w:rPr>
              <w:t>47586</w:t>
            </w:r>
          </w:p>
        </w:tc>
      </w:tr>
      <w:tr w:rsidR="00F46DA2" w:rsidRPr="00131EED" w14:paraId="3D189421"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59FE08C1" w14:textId="52AD5BF6" w:rsidR="00F46DA2" w:rsidRPr="00131EED" w:rsidRDefault="00F46DA2" w:rsidP="00F46DA2">
            <w:pPr>
              <w:jc w:val="left"/>
              <w:rPr>
                <w:b/>
                <w:bCs/>
                <w:color w:val="000000"/>
                <w:sz w:val="22"/>
                <w:szCs w:val="22"/>
                <w:lang w:eastAsia="en-US"/>
              </w:rPr>
            </w:pPr>
            <w:r w:rsidRPr="00131EED">
              <w:rPr>
                <w:b/>
                <w:bCs/>
                <w:sz w:val="22"/>
                <w:szCs w:val="22"/>
              </w:rPr>
              <w:t>Cucunubá</w:t>
            </w:r>
          </w:p>
        </w:tc>
        <w:tc>
          <w:tcPr>
            <w:tcW w:w="1146" w:type="pct"/>
            <w:tcBorders>
              <w:top w:val="nil"/>
              <w:left w:val="nil"/>
              <w:bottom w:val="single" w:sz="4" w:space="0" w:color="auto"/>
              <w:right w:val="single" w:sz="4" w:space="0" w:color="auto"/>
            </w:tcBorders>
            <w:noWrap/>
            <w:hideMark/>
          </w:tcPr>
          <w:p w14:paraId="01A2B0A7" w14:textId="297CC6B6" w:rsidR="00F46DA2" w:rsidRPr="00131EED" w:rsidRDefault="00F46DA2" w:rsidP="00F46DA2">
            <w:pPr>
              <w:jc w:val="right"/>
              <w:rPr>
                <w:color w:val="000000"/>
                <w:sz w:val="22"/>
                <w:szCs w:val="22"/>
                <w:lang w:eastAsia="en-US"/>
              </w:rPr>
            </w:pPr>
            <w:r w:rsidRPr="00131EED">
              <w:rPr>
                <w:sz w:val="22"/>
                <w:szCs w:val="22"/>
              </w:rPr>
              <w:t>8480</w:t>
            </w:r>
          </w:p>
        </w:tc>
        <w:tc>
          <w:tcPr>
            <w:tcW w:w="1146" w:type="pct"/>
            <w:tcBorders>
              <w:top w:val="nil"/>
              <w:left w:val="nil"/>
              <w:bottom w:val="single" w:sz="4" w:space="0" w:color="auto"/>
              <w:right w:val="single" w:sz="4" w:space="0" w:color="auto"/>
            </w:tcBorders>
            <w:noWrap/>
            <w:hideMark/>
          </w:tcPr>
          <w:p w14:paraId="595FB6A8" w14:textId="55A742A7" w:rsidR="00F46DA2" w:rsidRPr="00131EED" w:rsidRDefault="00F46DA2" w:rsidP="00F46DA2">
            <w:pPr>
              <w:jc w:val="right"/>
              <w:rPr>
                <w:color w:val="000000"/>
                <w:sz w:val="22"/>
                <w:szCs w:val="22"/>
                <w:lang w:eastAsia="en-US"/>
              </w:rPr>
            </w:pPr>
            <w:r w:rsidRPr="00131EED">
              <w:rPr>
                <w:sz w:val="22"/>
                <w:szCs w:val="22"/>
              </w:rPr>
              <w:t>8626</w:t>
            </w:r>
          </w:p>
        </w:tc>
        <w:tc>
          <w:tcPr>
            <w:tcW w:w="1145" w:type="pct"/>
            <w:tcBorders>
              <w:top w:val="nil"/>
              <w:left w:val="nil"/>
              <w:bottom w:val="single" w:sz="4" w:space="0" w:color="auto"/>
              <w:right w:val="single" w:sz="4" w:space="0" w:color="auto"/>
            </w:tcBorders>
            <w:noWrap/>
            <w:hideMark/>
          </w:tcPr>
          <w:p w14:paraId="47EF2984" w14:textId="136005AF" w:rsidR="00F46DA2" w:rsidRPr="00131EED" w:rsidRDefault="00F46DA2" w:rsidP="00F46DA2">
            <w:pPr>
              <w:jc w:val="right"/>
              <w:rPr>
                <w:color w:val="000000"/>
                <w:sz w:val="22"/>
                <w:szCs w:val="22"/>
                <w:lang w:eastAsia="en-US"/>
              </w:rPr>
            </w:pPr>
            <w:r w:rsidRPr="00131EED">
              <w:rPr>
                <w:sz w:val="22"/>
                <w:szCs w:val="22"/>
              </w:rPr>
              <w:t>8325</w:t>
            </w:r>
          </w:p>
        </w:tc>
      </w:tr>
      <w:tr w:rsidR="00F46DA2" w:rsidRPr="00131EED" w14:paraId="5E68C22C"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72F79465" w14:textId="14B227AE" w:rsidR="00F46DA2" w:rsidRPr="00131EED" w:rsidRDefault="00F46DA2" w:rsidP="00F46DA2">
            <w:pPr>
              <w:jc w:val="left"/>
              <w:rPr>
                <w:b/>
                <w:bCs/>
                <w:color w:val="000000"/>
                <w:sz w:val="22"/>
                <w:szCs w:val="22"/>
                <w:lang w:eastAsia="en-US"/>
              </w:rPr>
            </w:pPr>
            <w:r w:rsidRPr="00131EED">
              <w:rPr>
                <w:b/>
                <w:bCs/>
                <w:sz w:val="22"/>
                <w:szCs w:val="22"/>
              </w:rPr>
              <w:t>El Rosal</w:t>
            </w:r>
          </w:p>
        </w:tc>
        <w:tc>
          <w:tcPr>
            <w:tcW w:w="1146" w:type="pct"/>
            <w:tcBorders>
              <w:top w:val="nil"/>
              <w:left w:val="nil"/>
              <w:bottom w:val="single" w:sz="4" w:space="0" w:color="auto"/>
              <w:right w:val="single" w:sz="4" w:space="0" w:color="auto"/>
            </w:tcBorders>
            <w:noWrap/>
            <w:hideMark/>
          </w:tcPr>
          <w:p w14:paraId="1F04E1CD" w14:textId="1D82AE1D" w:rsidR="00F46DA2" w:rsidRPr="00131EED" w:rsidRDefault="00F46DA2" w:rsidP="00F46DA2">
            <w:pPr>
              <w:jc w:val="right"/>
              <w:rPr>
                <w:color w:val="000000"/>
                <w:sz w:val="22"/>
                <w:szCs w:val="22"/>
                <w:lang w:eastAsia="en-US"/>
              </w:rPr>
            </w:pPr>
            <w:r w:rsidRPr="00131EED">
              <w:rPr>
                <w:sz w:val="22"/>
                <w:szCs w:val="22"/>
              </w:rPr>
              <w:t>33291</w:t>
            </w:r>
          </w:p>
        </w:tc>
        <w:tc>
          <w:tcPr>
            <w:tcW w:w="1146" w:type="pct"/>
            <w:tcBorders>
              <w:top w:val="nil"/>
              <w:left w:val="nil"/>
              <w:bottom w:val="single" w:sz="4" w:space="0" w:color="auto"/>
              <w:right w:val="single" w:sz="4" w:space="0" w:color="auto"/>
            </w:tcBorders>
            <w:noWrap/>
            <w:hideMark/>
          </w:tcPr>
          <w:p w14:paraId="195739BC" w14:textId="7424F012" w:rsidR="00F46DA2" w:rsidRPr="00131EED" w:rsidRDefault="00F46DA2" w:rsidP="00F46DA2">
            <w:pPr>
              <w:jc w:val="right"/>
              <w:rPr>
                <w:color w:val="000000"/>
                <w:sz w:val="22"/>
                <w:szCs w:val="22"/>
                <w:lang w:eastAsia="en-US"/>
              </w:rPr>
            </w:pPr>
            <w:r w:rsidRPr="00131EED">
              <w:rPr>
                <w:sz w:val="22"/>
                <w:szCs w:val="22"/>
              </w:rPr>
              <w:t>31824</w:t>
            </w:r>
          </w:p>
        </w:tc>
        <w:tc>
          <w:tcPr>
            <w:tcW w:w="1145" w:type="pct"/>
            <w:tcBorders>
              <w:top w:val="nil"/>
              <w:left w:val="nil"/>
              <w:bottom w:val="single" w:sz="4" w:space="0" w:color="auto"/>
              <w:right w:val="single" w:sz="4" w:space="0" w:color="auto"/>
            </w:tcBorders>
            <w:noWrap/>
            <w:hideMark/>
          </w:tcPr>
          <w:p w14:paraId="424EA6FB" w14:textId="4BACF702" w:rsidR="00F46DA2" w:rsidRPr="00131EED" w:rsidRDefault="00F46DA2" w:rsidP="00F46DA2">
            <w:pPr>
              <w:jc w:val="right"/>
              <w:rPr>
                <w:color w:val="000000"/>
                <w:sz w:val="22"/>
                <w:szCs w:val="22"/>
                <w:lang w:eastAsia="en-US"/>
              </w:rPr>
            </w:pPr>
            <w:r w:rsidRPr="00131EED">
              <w:rPr>
                <w:sz w:val="22"/>
                <w:szCs w:val="22"/>
              </w:rPr>
              <w:t>27092</w:t>
            </w:r>
          </w:p>
        </w:tc>
      </w:tr>
      <w:tr w:rsidR="00F46DA2" w:rsidRPr="00131EED" w14:paraId="54373F01"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73EE0DC3" w14:textId="47E472CA" w:rsidR="00F46DA2" w:rsidRPr="00131EED" w:rsidRDefault="00F46DA2" w:rsidP="00F46DA2">
            <w:pPr>
              <w:jc w:val="left"/>
              <w:rPr>
                <w:b/>
                <w:bCs/>
                <w:color w:val="000000"/>
                <w:sz w:val="22"/>
                <w:szCs w:val="22"/>
                <w:lang w:eastAsia="en-US"/>
              </w:rPr>
            </w:pPr>
            <w:r w:rsidRPr="00131EED">
              <w:rPr>
                <w:b/>
                <w:bCs/>
                <w:sz w:val="22"/>
                <w:szCs w:val="22"/>
              </w:rPr>
              <w:t>Facatativá</w:t>
            </w:r>
          </w:p>
        </w:tc>
        <w:tc>
          <w:tcPr>
            <w:tcW w:w="1146" w:type="pct"/>
            <w:tcBorders>
              <w:top w:val="nil"/>
              <w:left w:val="nil"/>
              <w:bottom w:val="single" w:sz="4" w:space="0" w:color="auto"/>
              <w:right w:val="single" w:sz="4" w:space="0" w:color="auto"/>
            </w:tcBorders>
            <w:noWrap/>
            <w:hideMark/>
          </w:tcPr>
          <w:p w14:paraId="0E92F4BE" w14:textId="07E70CA2" w:rsidR="00F46DA2" w:rsidRPr="00131EED" w:rsidRDefault="00F46DA2" w:rsidP="00F46DA2">
            <w:pPr>
              <w:jc w:val="right"/>
              <w:rPr>
                <w:color w:val="000000"/>
                <w:sz w:val="22"/>
                <w:szCs w:val="22"/>
                <w:lang w:eastAsia="en-US"/>
              </w:rPr>
            </w:pPr>
            <w:r w:rsidRPr="00131EED">
              <w:rPr>
                <w:sz w:val="22"/>
                <w:szCs w:val="22"/>
              </w:rPr>
              <w:t>210682</w:t>
            </w:r>
          </w:p>
        </w:tc>
        <w:tc>
          <w:tcPr>
            <w:tcW w:w="1146" w:type="pct"/>
            <w:tcBorders>
              <w:top w:val="nil"/>
              <w:left w:val="nil"/>
              <w:bottom w:val="single" w:sz="4" w:space="0" w:color="auto"/>
              <w:right w:val="single" w:sz="4" w:space="0" w:color="auto"/>
            </w:tcBorders>
            <w:noWrap/>
            <w:hideMark/>
          </w:tcPr>
          <w:p w14:paraId="36C3DD17" w14:textId="32D43013" w:rsidR="00F46DA2" w:rsidRPr="00131EED" w:rsidRDefault="00F46DA2" w:rsidP="00F46DA2">
            <w:pPr>
              <w:jc w:val="right"/>
              <w:rPr>
                <w:color w:val="000000"/>
                <w:sz w:val="22"/>
                <w:szCs w:val="22"/>
                <w:lang w:eastAsia="en-US"/>
              </w:rPr>
            </w:pPr>
            <w:r w:rsidRPr="00131EED">
              <w:rPr>
                <w:sz w:val="22"/>
                <w:szCs w:val="22"/>
              </w:rPr>
              <w:t>200968</w:t>
            </w:r>
          </w:p>
        </w:tc>
        <w:tc>
          <w:tcPr>
            <w:tcW w:w="1145" w:type="pct"/>
            <w:tcBorders>
              <w:top w:val="nil"/>
              <w:left w:val="nil"/>
              <w:bottom w:val="single" w:sz="4" w:space="0" w:color="auto"/>
              <w:right w:val="single" w:sz="4" w:space="0" w:color="auto"/>
            </w:tcBorders>
            <w:noWrap/>
            <w:hideMark/>
          </w:tcPr>
          <w:p w14:paraId="13057A73" w14:textId="22221DEA" w:rsidR="00F46DA2" w:rsidRPr="00131EED" w:rsidRDefault="00F46DA2" w:rsidP="00F46DA2">
            <w:pPr>
              <w:jc w:val="right"/>
              <w:rPr>
                <w:color w:val="000000"/>
                <w:sz w:val="22"/>
                <w:szCs w:val="22"/>
                <w:lang w:eastAsia="en-US"/>
              </w:rPr>
            </w:pPr>
            <w:r w:rsidRPr="00131EED">
              <w:rPr>
                <w:sz w:val="22"/>
                <w:szCs w:val="22"/>
              </w:rPr>
              <w:t>165243</w:t>
            </w:r>
          </w:p>
        </w:tc>
      </w:tr>
      <w:tr w:rsidR="00F46DA2" w:rsidRPr="00131EED" w14:paraId="47A142FD"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6678F02A" w14:textId="372441C6" w:rsidR="00F46DA2" w:rsidRPr="00131EED" w:rsidRDefault="00F46DA2" w:rsidP="00F46DA2">
            <w:pPr>
              <w:jc w:val="left"/>
              <w:rPr>
                <w:b/>
                <w:bCs/>
                <w:color w:val="000000"/>
                <w:sz w:val="22"/>
                <w:szCs w:val="22"/>
                <w:lang w:eastAsia="en-US"/>
              </w:rPr>
            </w:pPr>
            <w:r w:rsidRPr="00131EED">
              <w:rPr>
                <w:b/>
                <w:bCs/>
                <w:sz w:val="22"/>
                <w:szCs w:val="22"/>
              </w:rPr>
              <w:t>Funza</w:t>
            </w:r>
          </w:p>
        </w:tc>
        <w:tc>
          <w:tcPr>
            <w:tcW w:w="1146" w:type="pct"/>
            <w:tcBorders>
              <w:top w:val="nil"/>
              <w:left w:val="nil"/>
              <w:bottom w:val="single" w:sz="4" w:space="0" w:color="auto"/>
              <w:right w:val="single" w:sz="4" w:space="0" w:color="auto"/>
            </w:tcBorders>
            <w:noWrap/>
            <w:hideMark/>
          </w:tcPr>
          <w:p w14:paraId="48A25D30" w14:textId="551FB025" w:rsidR="00F46DA2" w:rsidRPr="00131EED" w:rsidRDefault="00F46DA2" w:rsidP="00F46DA2">
            <w:pPr>
              <w:jc w:val="right"/>
              <w:rPr>
                <w:color w:val="000000"/>
                <w:sz w:val="22"/>
                <w:szCs w:val="22"/>
                <w:lang w:eastAsia="en-US"/>
              </w:rPr>
            </w:pPr>
            <w:r w:rsidRPr="00131EED">
              <w:rPr>
                <w:sz w:val="22"/>
                <w:szCs w:val="22"/>
              </w:rPr>
              <w:t>19498</w:t>
            </w:r>
          </w:p>
        </w:tc>
        <w:tc>
          <w:tcPr>
            <w:tcW w:w="1146" w:type="pct"/>
            <w:tcBorders>
              <w:top w:val="nil"/>
              <w:left w:val="nil"/>
              <w:bottom w:val="single" w:sz="4" w:space="0" w:color="auto"/>
              <w:right w:val="single" w:sz="4" w:space="0" w:color="auto"/>
            </w:tcBorders>
            <w:noWrap/>
            <w:hideMark/>
          </w:tcPr>
          <w:p w14:paraId="17DDE3CA" w14:textId="3A63F0FD" w:rsidR="00F46DA2" w:rsidRPr="00131EED" w:rsidRDefault="00F46DA2" w:rsidP="00F46DA2">
            <w:pPr>
              <w:jc w:val="right"/>
              <w:rPr>
                <w:color w:val="000000"/>
                <w:sz w:val="22"/>
                <w:szCs w:val="22"/>
                <w:lang w:eastAsia="en-US"/>
              </w:rPr>
            </w:pPr>
            <w:r w:rsidRPr="00131EED">
              <w:rPr>
                <w:sz w:val="22"/>
                <w:szCs w:val="22"/>
              </w:rPr>
              <w:t>16187</w:t>
            </w:r>
          </w:p>
        </w:tc>
        <w:tc>
          <w:tcPr>
            <w:tcW w:w="1145" w:type="pct"/>
            <w:tcBorders>
              <w:top w:val="nil"/>
              <w:left w:val="nil"/>
              <w:bottom w:val="single" w:sz="4" w:space="0" w:color="auto"/>
              <w:right w:val="single" w:sz="4" w:space="0" w:color="auto"/>
            </w:tcBorders>
            <w:noWrap/>
            <w:hideMark/>
          </w:tcPr>
          <w:p w14:paraId="36787EB2" w14:textId="33BE5ABF" w:rsidR="00F46DA2" w:rsidRPr="00131EED" w:rsidRDefault="00F46DA2" w:rsidP="00F46DA2">
            <w:pPr>
              <w:jc w:val="right"/>
              <w:rPr>
                <w:color w:val="000000"/>
                <w:sz w:val="22"/>
                <w:szCs w:val="22"/>
                <w:lang w:eastAsia="en-US"/>
              </w:rPr>
            </w:pPr>
            <w:r w:rsidRPr="00131EED">
              <w:rPr>
                <w:sz w:val="22"/>
                <w:szCs w:val="22"/>
              </w:rPr>
              <w:t>122260</w:t>
            </w:r>
          </w:p>
        </w:tc>
      </w:tr>
      <w:tr w:rsidR="00F46DA2" w:rsidRPr="00131EED" w14:paraId="77D1534F"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1093B2F6" w14:textId="6D3761F1" w:rsidR="00F46DA2" w:rsidRPr="00131EED" w:rsidRDefault="00F46DA2" w:rsidP="00F46DA2">
            <w:pPr>
              <w:jc w:val="left"/>
              <w:rPr>
                <w:b/>
                <w:bCs/>
                <w:color w:val="000000"/>
                <w:sz w:val="22"/>
                <w:szCs w:val="22"/>
                <w:lang w:eastAsia="en-US"/>
              </w:rPr>
            </w:pPr>
            <w:r w:rsidRPr="00131EED">
              <w:rPr>
                <w:b/>
                <w:bCs/>
                <w:sz w:val="22"/>
                <w:szCs w:val="22"/>
              </w:rPr>
              <w:t>Gachancipá</w:t>
            </w:r>
          </w:p>
        </w:tc>
        <w:tc>
          <w:tcPr>
            <w:tcW w:w="1146" w:type="pct"/>
            <w:tcBorders>
              <w:top w:val="nil"/>
              <w:left w:val="nil"/>
              <w:bottom w:val="single" w:sz="4" w:space="0" w:color="auto"/>
              <w:right w:val="single" w:sz="4" w:space="0" w:color="auto"/>
            </w:tcBorders>
            <w:noWrap/>
            <w:hideMark/>
          </w:tcPr>
          <w:p w14:paraId="0D45530C" w14:textId="46E3613E" w:rsidR="00F46DA2" w:rsidRPr="00131EED" w:rsidRDefault="00F46DA2" w:rsidP="00F46DA2">
            <w:pPr>
              <w:jc w:val="right"/>
              <w:rPr>
                <w:color w:val="000000"/>
                <w:sz w:val="22"/>
                <w:szCs w:val="22"/>
                <w:lang w:eastAsia="en-US"/>
              </w:rPr>
            </w:pPr>
            <w:r w:rsidRPr="00131EED">
              <w:rPr>
                <w:sz w:val="22"/>
                <w:szCs w:val="22"/>
              </w:rPr>
              <w:t>26936</w:t>
            </w:r>
          </w:p>
        </w:tc>
        <w:tc>
          <w:tcPr>
            <w:tcW w:w="1146" w:type="pct"/>
            <w:tcBorders>
              <w:top w:val="nil"/>
              <w:left w:val="nil"/>
              <w:bottom w:val="single" w:sz="4" w:space="0" w:color="auto"/>
              <w:right w:val="single" w:sz="4" w:space="0" w:color="auto"/>
            </w:tcBorders>
            <w:noWrap/>
            <w:hideMark/>
          </w:tcPr>
          <w:p w14:paraId="378FB85F" w14:textId="24738976" w:rsidR="00F46DA2" w:rsidRPr="00131EED" w:rsidRDefault="00F46DA2" w:rsidP="00F46DA2">
            <w:pPr>
              <w:jc w:val="right"/>
              <w:rPr>
                <w:color w:val="000000"/>
                <w:sz w:val="22"/>
                <w:szCs w:val="22"/>
                <w:lang w:eastAsia="en-US"/>
              </w:rPr>
            </w:pPr>
            <w:r w:rsidRPr="00131EED">
              <w:rPr>
                <w:sz w:val="22"/>
                <w:szCs w:val="22"/>
              </w:rPr>
              <w:t>25314</w:t>
            </w:r>
          </w:p>
        </w:tc>
        <w:tc>
          <w:tcPr>
            <w:tcW w:w="1145" w:type="pct"/>
            <w:tcBorders>
              <w:top w:val="nil"/>
              <w:left w:val="nil"/>
              <w:bottom w:val="single" w:sz="4" w:space="0" w:color="auto"/>
              <w:right w:val="single" w:sz="4" w:space="0" w:color="auto"/>
            </w:tcBorders>
            <w:noWrap/>
            <w:hideMark/>
          </w:tcPr>
          <w:p w14:paraId="1FA0D327" w14:textId="1E3CB696" w:rsidR="00F46DA2" w:rsidRPr="00131EED" w:rsidRDefault="00F46DA2" w:rsidP="00F46DA2">
            <w:pPr>
              <w:jc w:val="right"/>
              <w:rPr>
                <w:color w:val="000000"/>
                <w:sz w:val="22"/>
                <w:szCs w:val="22"/>
                <w:lang w:eastAsia="en-US"/>
              </w:rPr>
            </w:pPr>
            <w:r w:rsidRPr="00131EED">
              <w:rPr>
                <w:sz w:val="22"/>
                <w:szCs w:val="22"/>
              </w:rPr>
              <w:t>21332</w:t>
            </w:r>
          </w:p>
        </w:tc>
      </w:tr>
      <w:tr w:rsidR="00F46DA2" w:rsidRPr="00131EED" w14:paraId="11219760"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3475FD3A" w14:textId="0A2EB514" w:rsidR="00F46DA2" w:rsidRPr="00131EED" w:rsidRDefault="00F46DA2" w:rsidP="00F46DA2">
            <w:pPr>
              <w:jc w:val="left"/>
              <w:rPr>
                <w:b/>
                <w:bCs/>
                <w:color w:val="000000"/>
                <w:sz w:val="22"/>
                <w:szCs w:val="22"/>
                <w:lang w:eastAsia="en-US"/>
              </w:rPr>
            </w:pPr>
            <w:r w:rsidRPr="00131EED">
              <w:rPr>
                <w:b/>
                <w:bCs/>
                <w:sz w:val="22"/>
                <w:szCs w:val="22"/>
              </w:rPr>
              <w:t>Guasca</w:t>
            </w:r>
          </w:p>
        </w:tc>
        <w:tc>
          <w:tcPr>
            <w:tcW w:w="1146" w:type="pct"/>
            <w:tcBorders>
              <w:top w:val="nil"/>
              <w:left w:val="nil"/>
              <w:bottom w:val="single" w:sz="4" w:space="0" w:color="auto"/>
              <w:right w:val="single" w:sz="4" w:space="0" w:color="auto"/>
            </w:tcBorders>
            <w:noWrap/>
            <w:hideMark/>
          </w:tcPr>
          <w:p w14:paraId="2D8079E8" w14:textId="4B17405E" w:rsidR="00F46DA2" w:rsidRPr="00131EED" w:rsidRDefault="00F46DA2" w:rsidP="00F46DA2">
            <w:pPr>
              <w:jc w:val="right"/>
              <w:rPr>
                <w:color w:val="000000"/>
                <w:sz w:val="22"/>
                <w:szCs w:val="22"/>
                <w:lang w:eastAsia="en-US"/>
              </w:rPr>
            </w:pPr>
            <w:r w:rsidRPr="00131EED">
              <w:rPr>
                <w:sz w:val="22"/>
                <w:szCs w:val="22"/>
              </w:rPr>
              <w:t>22544</w:t>
            </w:r>
          </w:p>
        </w:tc>
        <w:tc>
          <w:tcPr>
            <w:tcW w:w="1146" w:type="pct"/>
            <w:tcBorders>
              <w:top w:val="nil"/>
              <w:left w:val="nil"/>
              <w:bottom w:val="single" w:sz="4" w:space="0" w:color="auto"/>
              <w:right w:val="single" w:sz="4" w:space="0" w:color="auto"/>
            </w:tcBorders>
            <w:noWrap/>
            <w:hideMark/>
          </w:tcPr>
          <w:p w14:paraId="34D178F9" w14:textId="50A0E97B" w:rsidR="00F46DA2" w:rsidRPr="00131EED" w:rsidRDefault="00F46DA2" w:rsidP="00F46DA2">
            <w:pPr>
              <w:jc w:val="right"/>
              <w:rPr>
                <w:color w:val="000000"/>
                <w:sz w:val="22"/>
                <w:szCs w:val="22"/>
                <w:lang w:eastAsia="en-US"/>
              </w:rPr>
            </w:pPr>
            <w:r w:rsidRPr="00131EED">
              <w:rPr>
                <w:sz w:val="22"/>
                <w:szCs w:val="22"/>
              </w:rPr>
              <w:t>20736</w:t>
            </w:r>
          </w:p>
        </w:tc>
        <w:tc>
          <w:tcPr>
            <w:tcW w:w="1145" w:type="pct"/>
            <w:tcBorders>
              <w:top w:val="nil"/>
              <w:left w:val="nil"/>
              <w:bottom w:val="single" w:sz="4" w:space="0" w:color="auto"/>
              <w:right w:val="single" w:sz="4" w:space="0" w:color="auto"/>
            </w:tcBorders>
            <w:noWrap/>
            <w:hideMark/>
          </w:tcPr>
          <w:p w14:paraId="631AAB11" w14:textId="0D72A95F" w:rsidR="00F46DA2" w:rsidRPr="00131EED" w:rsidRDefault="00F46DA2" w:rsidP="00F46DA2">
            <w:pPr>
              <w:jc w:val="right"/>
              <w:rPr>
                <w:color w:val="000000"/>
                <w:sz w:val="22"/>
                <w:szCs w:val="22"/>
                <w:lang w:eastAsia="en-US"/>
              </w:rPr>
            </w:pPr>
            <w:r w:rsidRPr="00131EED">
              <w:rPr>
                <w:sz w:val="22"/>
                <w:szCs w:val="22"/>
              </w:rPr>
              <w:t>17869</w:t>
            </w:r>
          </w:p>
        </w:tc>
      </w:tr>
      <w:tr w:rsidR="00F46DA2" w:rsidRPr="00131EED" w14:paraId="0DA911CA"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50B8FC70" w14:textId="3EAED1B0" w:rsidR="00F46DA2" w:rsidRPr="00131EED" w:rsidRDefault="00F46DA2" w:rsidP="00F46DA2">
            <w:pPr>
              <w:jc w:val="left"/>
              <w:rPr>
                <w:b/>
                <w:bCs/>
                <w:color w:val="000000"/>
                <w:sz w:val="22"/>
                <w:szCs w:val="22"/>
                <w:lang w:eastAsia="en-US"/>
              </w:rPr>
            </w:pPr>
            <w:r w:rsidRPr="00131EED">
              <w:rPr>
                <w:b/>
                <w:bCs/>
                <w:sz w:val="22"/>
                <w:szCs w:val="22"/>
              </w:rPr>
              <w:t>Guatavita</w:t>
            </w:r>
          </w:p>
        </w:tc>
        <w:tc>
          <w:tcPr>
            <w:tcW w:w="1146" w:type="pct"/>
            <w:tcBorders>
              <w:top w:val="nil"/>
              <w:left w:val="nil"/>
              <w:bottom w:val="single" w:sz="4" w:space="0" w:color="auto"/>
              <w:right w:val="single" w:sz="4" w:space="0" w:color="auto"/>
            </w:tcBorders>
            <w:noWrap/>
            <w:hideMark/>
          </w:tcPr>
          <w:p w14:paraId="63B9483A" w14:textId="0197C729" w:rsidR="00F46DA2" w:rsidRPr="00131EED" w:rsidRDefault="00F46DA2" w:rsidP="00F46DA2">
            <w:pPr>
              <w:jc w:val="right"/>
              <w:rPr>
                <w:color w:val="000000"/>
                <w:sz w:val="22"/>
                <w:szCs w:val="22"/>
                <w:lang w:eastAsia="en-US"/>
              </w:rPr>
            </w:pPr>
            <w:r w:rsidRPr="00131EED">
              <w:rPr>
                <w:sz w:val="22"/>
                <w:szCs w:val="22"/>
              </w:rPr>
              <w:t>5653</w:t>
            </w:r>
          </w:p>
        </w:tc>
        <w:tc>
          <w:tcPr>
            <w:tcW w:w="1146" w:type="pct"/>
            <w:tcBorders>
              <w:top w:val="nil"/>
              <w:left w:val="nil"/>
              <w:bottom w:val="single" w:sz="4" w:space="0" w:color="auto"/>
              <w:right w:val="single" w:sz="4" w:space="0" w:color="auto"/>
            </w:tcBorders>
            <w:noWrap/>
            <w:hideMark/>
          </w:tcPr>
          <w:p w14:paraId="5614B65B" w14:textId="0586D4C4" w:rsidR="00F46DA2" w:rsidRPr="00131EED" w:rsidRDefault="00F46DA2" w:rsidP="00F46DA2">
            <w:pPr>
              <w:jc w:val="right"/>
              <w:rPr>
                <w:color w:val="000000"/>
                <w:sz w:val="22"/>
                <w:szCs w:val="22"/>
                <w:lang w:eastAsia="en-US"/>
              </w:rPr>
            </w:pPr>
            <w:r w:rsidRPr="00131EED">
              <w:rPr>
                <w:sz w:val="22"/>
                <w:szCs w:val="22"/>
              </w:rPr>
              <w:t>6027</w:t>
            </w:r>
          </w:p>
        </w:tc>
        <w:tc>
          <w:tcPr>
            <w:tcW w:w="1145" w:type="pct"/>
            <w:tcBorders>
              <w:top w:val="nil"/>
              <w:left w:val="nil"/>
              <w:bottom w:val="single" w:sz="4" w:space="0" w:color="auto"/>
              <w:right w:val="single" w:sz="4" w:space="0" w:color="auto"/>
            </w:tcBorders>
            <w:noWrap/>
            <w:hideMark/>
          </w:tcPr>
          <w:p w14:paraId="73A4A05D" w14:textId="4370BA6C" w:rsidR="00F46DA2" w:rsidRPr="00131EED" w:rsidRDefault="00F46DA2" w:rsidP="00F46DA2">
            <w:pPr>
              <w:jc w:val="right"/>
              <w:rPr>
                <w:color w:val="000000"/>
                <w:sz w:val="22"/>
                <w:szCs w:val="22"/>
                <w:lang w:eastAsia="en-US"/>
              </w:rPr>
            </w:pPr>
            <w:r w:rsidRPr="00131EED">
              <w:rPr>
                <w:sz w:val="22"/>
                <w:szCs w:val="22"/>
              </w:rPr>
              <w:t>6379</w:t>
            </w:r>
          </w:p>
        </w:tc>
      </w:tr>
      <w:tr w:rsidR="00F46DA2" w:rsidRPr="00131EED" w14:paraId="15CAAB5B"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2A1C2B8E" w14:textId="341F9819" w:rsidR="00F46DA2" w:rsidRPr="00131EED" w:rsidRDefault="00F46DA2" w:rsidP="00F46DA2">
            <w:pPr>
              <w:jc w:val="left"/>
              <w:rPr>
                <w:b/>
                <w:bCs/>
                <w:color w:val="000000"/>
                <w:sz w:val="22"/>
                <w:szCs w:val="22"/>
                <w:lang w:eastAsia="en-US"/>
              </w:rPr>
            </w:pPr>
            <w:r w:rsidRPr="00131EED">
              <w:rPr>
                <w:b/>
                <w:bCs/>
                <w:sz w:val="22"/>
                <w:szCs w:val="22"/>
              </w:rPr>
              <w:t>La Calera</w:t>
            </w:r>
          </w:p>
        </w:tc>
        <w:tc>
          <w:tcPr>
            <w:tcW w:w="1146" w:type="pct"/>
            <w:tcBorders>
              <w:top w:val="nil"/>
              <w:left w:val="nil"/>
              <w:bottom w:val="single" w:sz="4" w:space="0" w:color="auto"/>
              <w:right w:val="single" w:sz="4" w:space="0" w:color="auto"/>
            </w:tcBorders>
            <w:noWrap/>
            <w:hideMark/>
          </w:tcPr>
          <w:p w14:paraId="15BFB0C5" w14:textId="0B022B1F" w:rsidR="00F46DA2" w:rsidRPr="00131EED" w:rsidRDefault="00F46DA2" w:rsidP="00F46DA2">
            <w:pPr>
              <w:jc w:val="right"/>
              <w:rPr>
                <w:color w:val="000000"/>
                <w:sz w:val="22"/>
                <w:szCs w:val="22"/>
                <w:lang w:eastAsia="en-US"/>
              </w:rPr>
            </w:pPr>
            <w:r w:rsidRPr="00131EED">
              <w:rPr>
                <w:sz w:val="22"/>
                <w:szCs w:val="22"/>
              </w:rPr>
              <w:t>56594</w:t>
            </w:r>
          </w:p>
        </w:tc>
        <w:tc>
          <w:tcPr>
            <w:tcW w:w="1146" w:type="pct"/>
            <w:tcBorders>
              <w:top w:val="nil"/>
              <w:left w:val="nil"/>
              <w:bottom w:val="single" w:sz="4" w:space="0" w:color="auto"/>
              <w:right w:val="single" w:sz="4" w:space="0" w:color="auto"/>
            </w:tcBorders>
            <w:noWrap/>
            <w:hideMark/>
          </w:tcPr>
          <w:p w14:paraId="75ED224C" w14:textId="58ADCBAC" w:rsidR="00F46DA2" w:rsidRPr="00131EED" w:rsidRDefault="00F46DA2" w:rsidP="00F46DA2">
            <w:pPr>
              <w:jc w:val="right"/>
              <w:rPr>
                <w:color w:val="000000"/>
                <w:sz w:val="22"/>
                <w:szCs w:val="22"/>
                <w:lang w:eastAsia="en-US"/>
              </w:rPr>
            </w:pPr>
            <w:r w:rsidRPr="00131EED">
              <w:rPr>
                <w:sz w:val="22"/>
                <w:szCs w:val="22"/>
              </w:rPr>
              <w:t>51819</w:t>
            </w:r>
          </w:p>
        </w:tc>
        <w:tc>
          <w:tcPr>
            <w:tcW w:w="1145" w:type="pct"/>
            <w:tcBorders>
              <w:top w:val="nil"/>
              <w:left w:val="nil"/>
              <w:bottom w:val="single" w:sz="4" w:space="0" w:color="auto"/>
              <w:right w:val="single" w:sz="4" w:space="0" w:color="auto"/>
            </w:tcBorders>
            <w:noWrap/>
            <w:hideMark/>
          </w:tcPr>
          <w:p w14:paraId="2549A84F" w14:textId="1C0618DB" w:rsidR="00F46DA2" w:rsidRPr="00131EED" w:rsidRDefault="00F46DA2" w:rsidP="00F46DA2">
            <w:pPr>
              <w:jc w:val="right"/>
              <w:rPr>
                <w:color w:val="000000"/>
                <w:sz w:val="22"/>
                <w:szCs w:val="22"/>
                <w:lang w:eastAsia="en-US"/>
              </w:rPr>
            </w:pPr>
            <w:r w:rsidRPr="00131EED">
              <w:rPr>
                <w:sz w:val="22"/>
                <w:szCs w:val="22"/>
              </w:rPr>
              <w:t>43453</w:t>
            </w:r>
          </w:p>
        </w:tc>
      </w:tr>
      <w:tr w:rsidR="00F46DA2" w:rsidRPr="00131EED" w14:paraId="1B0C254E"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1B1C6E92" w14:textId="2782752A" w:rsidR="00F46DA2" w:rsidRPr="00131EED" w:rsidRDefault="00F46DA2" w:rsidP="00F46DA2">
            <w:pPr>
              <w:jc w:val="left"/>
              <w:rPr>
                <w:b/>
                <w:bCs/>
                <w:color w:val="000000"/>
                <w:sz w:val="22"/>
                <w:szCs w:val="22"/>
                <w:lang w:eastAsia="en-US"/>
              </w:rPr>
            </w:pPr>
            <w:r w:rsidRPr="00131EED">
              <w:rPr>
                <w:b/>
                <w:bCs/>
                <w:sz w:val="22"/>
                <w:szCs w:val="22"/>
              </w:rPr>
              <w:t>Madrid</w:t>
            </w:r>
          </w:p>
        </w:tc>
        <w:tc>
          <w:tcPr>
            <w:tcW w:w="1146" w:type="pct"/>
            <w:tcBorders>
              <w:top w:val="nil"/>
              <w:left w:val="nil"/>
              <w:bottom w:val="single" w:sz="4" w:space="0" w:color="auto"/>
              <w:right w:val="single" w:sz="4" w:space="0" w:color="auto"/>
            </w:tcBorders>
            <w:noWrap/>
            <w:hideMark/>
          </w:tcPr>
          <w:p w14:paraId="2CCA8678" w14:textId="65FF0508" w:rsidR="00F46DA2" w:rsidRPr="00131EED" w:rsidRDefault="00F46DA2" w:rsidP="00F46DA2">
            <w:pPr>
              <w:jc w:val="right"/>
              <w:rPr>
                <w:color w:val="000000"/>
                <w:sz w:val="22"/>
                <w:szCs w:val="22"/>
                <w:lang w:eastAsia="en-US"/>
              </w:rPr>
            </w:pPr>
            <w:r w:rsidRPr="00131EED">
              <w:rPr>
                <w:sz w:val="22"/>
                <w:szCs w:val="22"/>
              </w:rPr>
              <w:t>182904</w:t>
            </w:r>
          </w:p>
        </w:tc>
        <w:tc>
          <w:tcPr>
            <w:tcW w:w="1146" w:type="pct"/>
            <w:tcBorders>
              <w:top w:val="nil"/>
              <w:left w:val="nil"/>
              <w:bottom w:val="single" w:sz="4" w:space="0" w:color="auto"/>
              <w:right w:val="single" w:sz="4" w:space="0" w:color="auto"/>
            </w:tcBorders>
            <w:noWrap/>
            <w:hideMark/>
          </w:tcPr>
          <w:p w14:paraId="7095829B" w14:textId="207B4612" w:rsidR="00F46DA2" w:rsidRPr="00131EED" w:rsidRDefault="00F46DA2" w:rsidP="00F46DA2">
            <w:pPr>
              <w:jc w:val="right"/>
              <w:rPr>
                <w:color w:val="000000"/>
                <w:sz w:val="22"/>
                <w:szCs w:val="22"/>
                <w:lang w:eastAsia="en-US"/>
              </w:rPr>
            </w:pPr>
            <w:r w:rsidRPr="00131EED">
              <w:rPr>
                <w:sz w:val="22"/>
                <w:szCs w:val="22"/>
              </w:rPr>
              <w:t>174198</w:t>
            </w:r>
          </w:p>
        </w:tc>
        <w:tc>
          <w:tcPr>
            <w:tcW w:w="1145" w:type="pct"/>
            <w:tcBorders>
              <w:top w:val="nil"/>
              <w:left w:val="nil"/>
              <w:bottom w:val="single" w:sz="4" w:space="0" w:color="auto"/>
              <w:right w:val="single" w:sz="4" w:space="0" w:color="auto"/>
            </w:tcBorders>
            <w:noWrap/>
            <w:hideMark/>
          </w:tcPr>
          <w:p w14:paraId="32C06C6B" w14:textId="7AE1B9D7" w:rsidR="00F46DA2" w:rsidRPr="00131EED" w:rsidRDefault="00F46DA2" w:rsidP="00F46DA2">
            <w:pPr>
              <w:jc w:val="right"/>
              <w:rPr>
                <w:color w:val="000000"/>
                <w:sz w:val="22"/>
                <w:szCs w:val="22"/>
                <w:lang w:eastAsia="en-US"/>
              </w:rPr>
            </w:pPr>
            <w:r w:rsidRPr="00131EED">
              <w:rPr>
                <w:sz w:val="22"/>
                <w:szCs w:val="22"/>
              </w:rPr>
              <w:t>143090</w:t>
            </w:r>
          </w:p>
        </w:tc>
      </w:tr>
      <w:tr w:rsidR="00F46DA2" w:rsidRPr="00131EED" w14:paraId="46FD0B43"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3BFFF269" w14:textId="5718934B" w:rsidR="00F46DA2" w:rsidRPr="00131EED" w:rsidRDefault="00F46DA2" w:rsidP="00F46DA2">
            <w:pPr>
              <w:jc w:val="left"/>
              <w:rPr>
                <w:b/>
                <w:bCs/>
                <w:color w:val="000000"/>
                <w:sz w:val="22"/>
                <w:szCs w:val="22"/>
                <w:lang w:eastAsia="en-US"/>
              </w:rPr>
            </w:pPr>
            <w:r w:rsidRPr="00131EED">
              <w:rPr>
                <w:b/>
                <w:bCs/>
                <w:sz w:val="22"/>
                <w:szCs w:val="22"/>
              </w:rPr>
              <w:t>Mosquera</w:t>
            </w:r>
          </w:p>
        </w:tc>
        <w:tc>
          <w:tcPr>
            <w:tcW w:w="1146" w:type="pct"/>
            <w:tcBorders>
              <w:top w:val="nil"/>
              <w:left w:val="nil"/>
              <w:bottom w:val="single" w:sz="4" w:space="0" w:color="auto"/>
              <w:right w:val="single" w:sz="4" w:space="0" w:color="auto"/>
            </w:tcBorders>
            <w:noWrap/>
            <w:hideMark/>
          </w:tcPr>
          <w:p w14:paraId="65036E26" w14:textId="3A04440D" w:rsidR="00F46DA2" w:rsidRPr="00131EED" w:rsidRDefault="00F46DA2" w:rsidP="00F46DA2">
            <w:pPr>
              <w:jc w:val="right"/>
              <w:rPr>
                <w:color w:val="000000"/>
                <w:sz w:val="22"/>
                <w:szCs w:val="22"/>
                <w:lang w:eastAsia="en-US"/>
              </w:rPr>
            </w:pPr>
            <w:r w:rsidRPr="00131EED">
              <w:rPr>
                <w:sz w:val="22"/>
                <w:szCs w:val="22"/>
              </w:rPr>
              <w:t>258239</w:t>
            </w:r>
          </w:p>
        </w:tc>
        <w:tc>
          <w:tcPr>
            <w:tcW w:w="1146" w:type="pct"/>
            <w:tcBorders>
              <w:top w:val="nil"/>
              <w:left w:val="nil"/>
              <w:bottom w:val="single" w:sz="4" w:space="0" w:color="auto"/>
              <w:right w:val="single" w:sz="4" w:space="0" w:color="auto"/>
            </w:tcBorders>
            <w:noWrap/>
            <w:hideMark/>
          </w:tcPr>
          <w:p w14:paraId="4FA596FF" w14:textId="1320F16D" w:rsidR="00F46DA2" w:rsidRPr="00131EED" w:rsidRDefault="00F46DA2" w:rsidP="00F46DA2">
            <w:pPr>
              <w:jc w:val="right"/>
              <w:rPr>
                <w:color w:val="000000"/>
                <w:sz w:val="22"/>
                <w:szCs w:val="22"/>
                <w:lang w:eastAsia="en-US"/>
              </w:rPr>
            </w:pPr>
            <w:r w:rsidRPr="00131EED">
              <w:rPr>
                <w:sz w:val="22"/>
                <w:szCs w:val="22"/>
              </w:rPr>
              <w:t>231401</w:t>
            </w:r>
          </w:p>
        </w:tc>
        <w:tc>
          <w:tcPr>
            <w:tcW w:w="1145" w:type="pct"/>
            <w:tcBorders>
              <w:top w:val="nil"/>
              <w:left w:val="nil"/>
              <w:bottom w:val="single" w:sz="4" w:space="0" w:color="auto"/>
              <w:right w:val="single" w:sz="4" w:space="0" w:color="auto"/>
            </w:tcBorders>
            <w:noWrap/>
            <w:hideMark/>
          </w:tcPr>
          <w:p w14:paraId="1E9EA3C2" w14:textId="69350EA6" w:rsidR="00F46DA2" w:rsidRPr="00131EED" w:rsidRDefault="00F46DA2" w:rsidP="00F46DA2">
            <w:pPr>
              <w:jc w:val="right"/>
              <w:rPr>
                <w:color w:val="000000"/>
                <w:sz w:val="22"/>
                <w:szCs w:val="22"/>
                <w:lang w:eastAsia="en-US"/>
              </w:rPr>
            </w:pPr>
            <w:r w:rsidRPr="00131EED">
              <w:rPr>
                <w:sz w:val="22"/>
                <w:szCs w:val="22"/>
              </w:rPr>
              <w:t>179940</w:t>
            </w:r>
          </w:p>
        </w:tc>
      </w:tr>
      <w:tr w:rsidR="00F46DA2" w:rsidRPr="00131EED" w14:paraId="45793E07"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74A5F59C" w14:textId="4F5A2850" w:rsidR="00F46DA2" w:rsidRPr="00131EED" w:rsidRDefault="00F46DA2" w:rsidP="00F46DA2">
            <w:pPr>
              <w:jc w:val="left"/>
              <w:rPr>
                <w:b/>
                <w:bCs/>
                <w:color w:val="000000"/>
                <w:sz w:val="22"/>
                <w:szCs w:val="22"/>
                <w:lang w:eastAsia="en-US"/>
              </w:rPr>
            </w:pPr>
            <w:r w:rsidRPr="00131EED">
              <w:rPr>
                <w:b/>
                <w:bCs/>
                <w:sz w:val="22"/>
                <w:szCs w:val="22"/>
              </w:rPr>
              <w:t>Nemocón</w:t>
            </w:r>
          </w:p>
        </w:tc>
        <w:tc>
          <w:tcPr>
            <w:tcW w:w="1146" w:type="pct"/>
            <w:tcBorders>
              <w:top w:val="nil"/>
              <w:left w:val="nil"/>
              <w:bottom w:val="single" w:sz="4" w:space="0" w:color="auto"/>
              <w:right w:val="single" w:sz="4" w:space="0" w:color="auto"/>
            </w:tcBorders>
            <w:noWrap/>
            <w:hideMark/>
          </w:tcPr>
          <w:p w14:paraId="1DCC4D92" w14:textId="575EE032" w:rsidR="00F46DA2" w:rsidRPr="00131EED" w:rsidRDefault="00F46DA2" w:rsidP="00F46DA2">
            <w:pPr>
              <w:jc w:val="right"/>
              <w:rPr>
                <w:color w:val="000000"/>
                <w:sz w:val="22"/>
                <w:szCs w:val="22"/>
                <w:lang w:eastAsia="en-US"/>
              </w:rPr>
            </w:pPr>
            <w:r w:rsidRPr="00131EED">
              <w:rPr>
                <w:sz w:val="22"/>
                <w:szCs w:val="22"/>
              </w:rPr>
              <w:t>17644</w:t>
            </w:r>
          </w:p>
        </w:tc>
        <w:tc>
          <w:tcPr>
            <w:tcW w:w="1146" w:type="pct"/>
            <w:tcBorders>
              <w:top w:val="nil"/>
              <w:left w:val="nil"/>
              <w:bottom w:val="single" w:sz="4" w:space="0" w:color="auto"/>
              <w:right w:val="single" w:sz="4" w:space="0" w:color="auto"/>
            </w:tcBorders>
            <w:noWrap/>
            <w:hideMark/>
          </w:tcPr>
          <w:p w14:paraId="41C8A318" w14:textId="3A33DD7C" w:rsidR="00F46DA2" w:rsidRPr="00131EED" w:rsidRDefault="00F46DA2" w:rsidP="00F46DA2">
            <w:pPr>
              <w:jc w:val="right"/>
              <w:rPr>
                <w:color w:val="000000"/>
                <w:sz w:val="22"/>
                <w:szCs w:val="22"/>
                <w:lang w:eastAsia="en-US"/>
              </w:rPr>
            </w:pPr>
            <w:r w:rsidRPr="00131EED">
              <w:rPr>
                <w:sz w:val="22"/>
                <w:szCs w:val="22"/>
              </w:rPr>
              <w:t>16598</w:t>
            </w:r>
          </w:p>
        </w:tc>
        <w:tc>
          <w:tcPr>
            <w:tcW w:w="1145" w:type="pct"/>
            <w:tcBorders>
              <w:top w:val="nil"/>
              <w:left w:val="nil"/>
              <w:bottom w:val="single" w:sz="4" w:space="0" w:color="auto"/>
              <w:right w:val="single" w:sz="4" w:space="0" w:color="auto"/>
            </w:tcBorders>
            <w:noWrap/>
            <w:hideMark/>
          </w:tcPr>
          <w:p w14:paraId="4925AD61" w14:textId="00C0C647" w:rsidR="00F46DA2" w:rsidRPr="00131EED" w:rsidRDefault="00F46DA2" w:rsidP="00F46DA2">
            <w:pPr>
              <w:jc w:val="right"/>
              <w:rPr>
                <w:color w:val="000000"/>
                <w:sz w:val="22"/>
                <w:szCs w:val="22"/>
                <w:lang w:eastAsia="en-US"/>
              </w:rPr>
            </w:pPr>
            <w:r w:rsidRPr="00131EED">
              <w:rPr>
                <w:sz w:val="22"/>
                <w:szCs w:val="22"/>
              </w:rPr>
              <w:t>14872</w:t>
            </w:r>
          </w:p>
        </w:tc>
      </w:tr>
      <w:tr w:rsidR="00F46DA2" w:rsidRPr="00131EED" w14:paraId="7AB20F16"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574D5993" w14:textId="0CD73BD0" w:rsidR="00F46DA2" w:rsidRPr="00131EED" w:rsidRDefault="00F46DA2" w:rsidP="00F46DA2">
            <w:pPr>
              <w:jc w:val="left"/>
              <w:rPr>
                <w:b/>
                <w:bCs/>
                <w:color w:val="000000"/>
                <w:sz w:val="22"/>
                <w:szCs w:val="22"/>
                <w:lang w:eastAsia="en-US"/>
              </w:rPr>
            </w:pPr>
            <w:r w:rsidRPr="00131EED">
              <w:rPr>
                <w:b/>
                <w:bCs/>
                <w:sz w:val="22"/>
                <w:szCs w:val="22"/>
              </w:rPr>
              <w:t>Sesquilé</w:t>
            </w:r>
          </w:p>
        </w:tc>
        <w:tc>
          <w:tcPr>
            <w:tcW w:w="1146" w:type="pct"/>
            <w:tcBorders>
              <w:top w:val="nil"/>
              <w:left w:val="nil"/>
              <w:bottom w:val="single" w:sz="4" w:space="0" w:color="auto"/>
              <w:right w:val="single" w:sz="4" w:space="0" w:color="auto"/>
            </w:tcBorders>
            <w:noWrap/>
            <w:hideMark/>
          </w:tcPr>
          <w:p w14:paraId="4D723DBC" w14:textId="7DB026C9" w:rsidR="00F46DA2" w:rsidRPr="00131EED" w:rsidRDefault="00F46DA2" w:rsidP="00F46DA2">
            <w:pPr>
              <w:jc w:val="right"/>
              <w:rPr>
                <w:color w:val="000000"/>
                <w:sz w:val="22"/>
                <w:szCs w:val="22"/>
                <w:lang w:eastAsia="en-US"/>
              </w:rPr>
            </w:pPr>
            <w:r w:rsidRPr="00131EED">
              <w:rPr>
                <w:sz w:val="22"/>
                <w:szCs w:val="22"/>
              </w:rPr>
              <w:t>14824</w:t>
            </w:r>
          </w:p>
        </w:tc>
        <w:tc>
          <w:tcPr>
            <w:tcW w:w="1146" w:type="pct"/>
            <w:tcBorders>
              <w:top w:val="nil"/>
              <w:left w:val="nil"/>
              <w:bottom w:val="single" w:sz="4" w:space="0" w:color="auto"/>
              <w:right w:val="single" w:sz="4" w:space="0" w:color="auto"/>
            </w:tcBorders>
            <w:noWrap/>
            <w:hideMark/>
          </w:tcPr>
          <w:p w14:paraId="32B72D44" w14:textId="732BD2AE" w:rsidR="00F46DA2" w:rsidRPr="00131EED" w:rsidRDefault="00F46DA2" w:rsidP="00F46DA2">
            <w:pPr>
              <w:jc w:val="right"/>
              <w:rPr>
                <w:color w:val="000000"/>
                <w:sz w:val="22"/>
                <w:szCs w:val="22"/>
                <w:lang w:eastAsia="en-US"/>
              </w:rPr>
            </w:pPr>
            <w:r w:rsidRPr="00131EED">
              <w:rPr>
                <w:sz w:val="22"/>
                <w:szCs w:val="22"/>
              </w:rPr>
              <w:t>14251</w:t>
            </w:r>
          </w:p>
        </w:tc>
        <w:tc>
          <w:tcPr>
            <w:tcW w:w="1145" w:type="pct"/>
            <w:tcBorders>
              <w:top w:val="nil"/>
              <w:left w:val="nil"/>
              <w:bottom w:val="single" w:sz="4" w:space="0" w:color="auto"/>
              <w:right w:val="single" w:sz="4" w:space="0" w:color="auto"/>
            </w:tcBorders>
            <w:noWrap/>
            <w:hideMark/>
          </w:tcPr>
          <w:p w14:paraId="3850469F" w14:textId="376501C8" w:rsidR="00F46DA2" w:rsidRPr="00131EED" w:rsidRDefault="00F46DA2" w:rsidP="00F46DA2">
            <w:pPr>
              <w:jc w:val="right"/>
              <w:rPr>
                <w:color w:val="000000"/>
                <w:sz w:val="22"/>
                <w:szCs w:val="22"/>
                <w:lang w:eastAsia="en-US"/>
              </w:rPr>
            </w:pPr>
            <w:r w:rsidRPr="00131EED">
              <w:rPr>
                <w:sz w:val="22"/>
                <w:szCs w:val="22"/>
              </w:rPr>
              <w:t>12897</w:t>
            </w:r>
          </w:p>
        </w:tc>
      </w:tr>
      <w:tr w:rsidR="00F46DA2" w:rsidRPr="00131EED" w14:paraId="65C74566"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1BF9AA38" w14:textId="20641529" w:rsidR="00F46DA2" w:rsidRPr="00131EED" w:rsidRDefault="00F46DA2" w:rsidP="00F46DA2">
            <w:pPr>
              <w:jc w:val="left"/>
              <w:rPr>
                <w:b/>
                <w:bCs/>
                <w:color w:val="000000"/>
                <w:sz w:val="22"/>
                <w:szCs w:val="22"/>
                <w:lang w:eastAsia="en-US"/>
              </w:rPr>
            </w:pPr>
            <w:r w:rsidRPr="00131EED">
              <w:rPr>
                <w:b/>
                <w:bCs/>
                <w:sz w:val="22"/>
                <w:szCs w:val="22"/>
              </w:rPr>
              <w:t>Sibaté</w:t>
            </w:r>
          </w:p>
        </w:tc>
        <w:tc>
          <w:tcPr>
            <w:tcW w:w="1146" w:type="pct"/>
            <w:tcBorders>
              <w:top w:val="nil"/>
              <w:left w:val="nil"/>
              <w:bottom w:val="single" w:sz="4" w:space="0" w:color="auto"/>
              <w:right w:val="single" w:sz="4" w:space="0" w:color="auto"/>
            </w:tcBorders>
            <w:noWrap/>
            <w:hideMark/>
          </w:tcPr>
          <w:p w14:paraId="5403D71F" w14:textId="3CFEA1D1" w:rsidR="00F46DA2" w:rsidRPr="00131EED" w:rsidRDefault="00F46DA2" w:rsidP="00F46DA2">
            <w:pPr>
              <w:jc w:val="right"/>
              <w:rPr>
                <w:color w:val="000000"/>
                <w:sz w:val="22"/>
                <w:szCs w:val="22"/>
                <w:lang w:eastAsia="en-US"/>
              </w:rPr>
            </w:pPr>
            <w:r w:rsidRPr="00131EED">
              <w:rPr>
                <w:sz w:val="22"/>
                <w:szCs w:val="22"/>
              </w:rPr>
              <w:t>40856</w:t>
            </w:r>
          </w:p>
        </w:tc>
        <w:tc>
          <w:tcPr>
            <w:tcW w:w="1146" w:type="pct"/>
            <w:tcBorders>
              <w:top w:val="nil"/>
              <w:left w:val="nil"/>
              <w:bottom w:val="single" w:sz="4" w:space="0" w:color="auto"/>
              <w:right w:val="single" w:sz="4" w:space="0" w:color="auto"/>
            </w:tcBorders>
            <w:noWrap/>
            <w:hideMark/>
          </w:tcPr>
          <w:p w14:paraId="3260A39E" w14:textId="09F3A6C6" w:rsidR="00F46DA2" w:rsidRPr="00131EED" w:rsidRDefault="00F46DA2" w:rsidP="00F46DA2">
            <w:pPr>
              <w:jc w:val="right"/>
              <w:rPr>
                <w:color w:val="000000"/>
                <w:sz w:val="22"/>
                <w:szCs w:val="22"/>
                <w:lang w:eastAsia="en-US"/>
              </w:rPr>
            </w:pPr>
            <w:r w:rsidRPr="00131EED">
              <w:rPr>
                <w:sz w:val="22"/>
                <w:szCs w:val="22"/>
              </w:rPr>
              <w:t>41170</w:t>
            </w:r>
          </w:p>
        </w:tc>
        <w:tc>
          <w:tcPr>
            <w:tcW w:w="1145" w:type="pct"/>
            <w:tcBorders>
              <w:top w:val="nil"/>
              <w:left w:val="nil"/>
              <w:bottom w:val="single" w:sz="4" w:space="0" w:color="auto"/>
              <w:right w:val="single" w:sz="4" w:space="0" w:color="auto"/>
            </w:tcBorders>
            <w:noWrap/>
            <w:hideMark/>
          </w:tcPr>
          <w:p w14:paraId="4071B8B1" w14:textId="4F2B83D1" w:rsidR="00F46DA2" w:rsidRPr="00131EED" w:rsidRDefault="00F46DA2" w:rsidP="00F46DA2">
            <w:pPr>
              <w:jc w:val="right"/>
              <w:rPr>
                <w:color w:val="000000"/>
                <w:sz w:val="22"/>
                <w:szCs w:val="22"/>
                <w:lang w:eastAsia="en-US"/>
              </w:rPr>
            </w:pPr>
            <w:r w:rsidRPr="00131EED">
              <w:rPr>
                <w:sz w:val="22"/>
                <w:szCs w:val="22"/>
              </w:rPr>
              <w:t>40324</w:t>
            </w:r>
          </w:p>
        </w:tc>
      </w:tr>
      <w:tr w:rsidR="00F46DA2" w:rsidRPr="00131EED" w14:paraId="3F31A0C6"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28BE57DC" w14:textId="0D36B95D" w:rsidR="00F46DA2" w:rsidRPr="00131EED" w:rsidRDefault="00F46DA2" w:rsidP="00F46DA2">
            <w:pPr>
              <w:jc w:val="left"/>
              <w:rPr>
                <w:b/>
                <w:bCs/>
                <w:color w:val="000000"/>
                <w:sz w:val="22"/>
                <w:szCs w:val="22"/>
                <w:lang w:eastAsia="en-US"/>
              </w:rPr>
            </w:pPr>
            <w:r w:rsidRPr="00131EED">
              <w:rPr>
                <w:b/>
                <w:bCs/>
                <w:sz w:val="22"/>
                <w:szCs w:val="22"/>
              </w:rPr>
              <w:t>Soacha</w:t>
            </w:r>
          </w:p>
        </w:tc>
        <w:tc>
          <w:tcPr>
            <w:tcW w:w="1146" w:type="pct"/>
            <w:tcBorders>
              <w:top w:val="nil"/>
              <w:left w:val="nil"/>
              <w:bottom w:val="single" w:sz="4" w:space="0" w:color="auto"/>
              <w:right w:val="single" w:sz="4" w:space="0" w:color="auto"/>
            </w:tcBorders>
            <w:noWrap/>
            <w:hideMark/>
          </w:tcPr>
          <w:p w14:paraId="293D6BCA" w14:textId="359F12B8" w:rsidR="00F46DA2" w:rsidRPr="00131EED" w:rsidRDefault="00F46DA2" w:rsidP="00F46DA2">
            <w:pPr>
              <w:jc w:val="right"/>
              <w:rPr>
                <w:color w:val="000000"/>
                <w:sz w:val="22"/>
                <w:szCs w:val="22"/>
                <w:lang w:eastAsia="en-US"/>
              </w:rPr>
            </w:pPr>
            <w:r w:rsidRPr="00131EED">
              <w:rPr>
                <w:sz w:val="22"/>
                <w:szCs w:val="22"/>
              </w:rPr>
              <w:t>1312126</w:t>
            </w:r>
          </w:p>
        </w:tc>
        <w:tc>
          <w:tcPr>
            <w:tcW w:w="1146" w:type="pct"/>
            <w:tcBorders>
              <w:top w:val="nil"/>
              <w:left w:val="nil"/>
              <w:bottom w:val="single" w:sz="4" w:space="0" w:color="auto"/>
              <w:right w:val="single" w:sz="4" w:space="0" w:color="auto"/>
            </w:tcBorders>
            <w:noWrap/>
            <w:hideMark/>
          </w:tcPr>
          <w:p w14:paraId="345CE832" w14:textId="708EEEEF" w:rsidR="00F46DA2" w:rsidRPr="00131EED" w:rsidRDefault="00F46DA2" w:rsidP="00F46DA2">
            <w:pPr>
              <w:jc w:val="right"/>
              <w:rPr>
                <w:color w:val="000000"/>
                <w:sz w:val="22"/>
                <w:szCs w:val="22"/>
                <w:lang w:eastAsia="en-US"/>
              </w:rPr>
            </w:pPr>
            <w:r w:rsidRPr="00131EED">
              <w:rPr>
                <w:sz w:val="22"/>
                <w:szCs w:val="22"/>
              </w:rPr>
              <w:t>1131018</w:t>
            </w:r>
          </w:p>
        </w:tc>
        <w:tc>
          <w:tcPr>
            <w:tcW w:w="1145" w:type="pct"/>
            <w:tcBorders>
              <w:top w:val="nil"/>
              <w:left w:val="nil"/>
              <w:bottom w:val="single" w:sz="4" w:space="0" w:color="auto"/>
              <w:right w:val="single" w:sz="4" w:space="0" w:color="auto"/>
            </w:tcBorders>
            <w:noWrap/>
            <w:hideMark/>
          </w:tcPr>
          <w:p w14:paraId="6B448866" w14:textId="311AFC2C" w:rsidR="00F46DA2" w:rsidRPr="00131EED" w:rsidRDefault="00F46DA2" w:rsidP="00F46DA2">
            <w:pPr>
              <w:jc w:val="right"/>
              <w:rPr>
                <w:color w:val="000000"/>
                <w:sz w:val="22"/>
                <w:szCs w:val="22"/>
                <w:lang w:eastAsia="en-US"/>
              </w:rPr>
            </w:pPr>
            <w:r w:rsidRPr="00131EED">
              <w:rPr>
                <w:sz w:val="22"/>
                <w:szCs w:val="22"/>
              </w:rPr>
              <w:t>870077</w:t>
            </w:r>
          </w:p>
        </w:tc>
      </w:tr>
      <w:tr w:rsidR="00F46DA2" w:rsidRPr="00131EED" w14:paraId="44B1B2D7"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6DF19F2C" w14:textId="5166C306" w:rsidR="00F46DA2" w:rsidRPr="00131EED" w:rsidRDefault="00F46DA2" w:rsidP="00F46DA2">
            <w:pPr>
              <w:jc w:val="left"/>
              <w:rPr>
                <w:b/>
                <w:bCs/>
                <w:color w:val="000000"/>
                <w:sz w:val="22"/>
                <w:szCs w:val="22"/>
                <w:lang w:eastAsia="en-US"/>
              </w:rPr>
            </w:pPr>
            <w:r w:rsidRPr="00131EED">
              <w:rPr>
                <w:b/>
                <w:bCs/>
                <w:sz w:val="22"/>
                <w:szCs w:val="22"/>
              </w:rPr>
              <w:t>Sopó</w:t>
            </w:r>
          </w:p>
        </w:tc>
        <w:tc>
          <w:tcPr>
            <w:tcW w:w="1146" w:type="pct"/>
            <w:tcBorders>
              <w:top w:val="nil"/>
              <w:left w:val="nil"/>
              <w:bottom w:val="single" w:sz="4" w:space="0" w:color="auto"/>
              <w:right w:val="single" w:sz="4" w:space="0" w:color="auto"/>
            </w:tcBorders>
            <w:noWrap/>
            <w:hideMark/>
          </w:tcPr>
          <w:p w14:paraId="6974539E" w14:textId="3E776963" w:rsidR="00F46DA2" w:rsidRPr="00131EED" w:rsidRDefault="00F46DA2" w:rsidP="00F46DA2">
            <w:pPr>
              <w:jc w:val="right"/>
              <w:rPr>
                <w:color w:val="000000"/>
                <w:sz w:val="22"/>
                <w:szCs w:val="22"/>
                <w:lang w:eastAsia="en-US"/>
              </w:rPr>
            </w:pPr>
            <w:r w:rsidRPr="00131EED">
              <w:rPr>
                <w:sz w:val="22"/>
                <w:szCs w:val="22"/>
              </w:rPr>
              <w:t>40642</w:t>
            </w:r>
          </w:p>
        </w:tc>
        <w:tc>
          <w:tcPr>
            <w:tcW w:w="1146" w:type="pct"/>
            <w:tcBorders>
              <w:top w:val="nil"/>
              <w:left w:val="nil"/>
              <w:bottom w:val="single" w:sz="4" w:space="0" w:color="auto"/>
              <w:right w:val="single" w:sz="4" w:space="0" w:color="auto"/>
            </w:tcBorders>
            <w:noWrap/>
            <w:hideMark/>
          </w:tcPr>
          <w:p w14:paraId="2EB8BF53" w14:textId="181C5B4F" w:rsidR="00F46DA2" w:rsidRPr="00131EED" w:rsidRDefault="00F46DA2" w:rsidP="00F46DA2">
            <w:pPr>
              <w:jc w:val="right"/>
              <w:rPr>
                <w:color w:val="000000"/>
                <w:sz w:val="22"/>
                <w:szCs w:val="22"/>
                <w:lang w:eastAsia="en-US"/>
              </w:rPr>
            </w:pPr>
            <w:r w:rsidRPr="00131EED">
              <w:rPr>
                <w:sz w:val="22"/>
                <w:szCs w:val="22"/>
              </w:rPr>
              <w:t>38023</w:t>
            </w:r>
          </w:p>
        </w:tc>
        <w:tc>
          <w:tcPr>
            <w:tcW w:w="1145" w:type="pct"/>
            <w:tcBorders>
              <w:top w:val="nil"/>
              <w:left w:val="nil"/>
              <w:bottom w:val="single" w:sz="4" w:space="0" w:color="auto"/>
              <w:right w:val="single" w:sz="4" w:space="0" w:color="auto"/>
            </w:tcBorders>
            <w:noWrap/>
            <w:hideMark/>
          </w:tcPr>
          <w:p w14:paraId="00908E5A" w14:textId="5B2856CB" w:rsidR="00F46DA2" w:rsidRPr="00131EED" w:rsidRDefault="00F46DA2" w:rsidP="00F46DA2">
            <w:pPr>
              <w:jc w:val="right"/>
              <w:rPr>
                <w:color w:val="000000"/>
                <w:sz w:val="22"/>
                <w:szCs w:val="22"/>
                <w:lang w:eastAsia="en-US"/>
              </w:rPr>
            </w:pPr>
            <w:r w:rsidRPr="00131EED">
              <w:rPr>
                <w:sz w:val="22"/>
                <w:szCs w:val="22"/>
              </w:rPr>
              <w:t>33511</w:t>
            </w:r>
          </w:p>
        </w:tc>
      </w:tr>
      <w:tr w:rsidR="00F46DA2" w:rsidRPr="00131EED" w14:paraId="62ED3CE6"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7026B905" w14:textId="6B3FD7C8" w:rsidR="00F46DA2" w:rsidRPr="00131EED" w:rsidRDefault="00F46DA2" w:rsidP="00F46DA2">
            <w:pPr>
              <w:jc w:val="left"/>
              <w:rPr>
                <w:b/>
                <w:bCs/>
                <w:color w:val="000000"/>
                <w:sz w:val="22"/>
                <w:szCs w:val="22"/>
                <w:lang w:eastAsia="en-US"/>
              </w:rPr>
            </w:pPr>
            <w:r w:rsidRPr="00131EED">
              <w:rPr>
                <w:b/>
                <w:bCs/>
                <w:sz w:val="22"/>
                <w:szCs w:val="22"/>
              </w:rPr>
              <w:t>Subachoque</w:t>
            </w:r>
          </w:p>
        </w:tc>
        <w:tc>
          <w:tcPr>
            <w:tcW w:w="1146" w:type="pct"/>
            <w:tcBorders>
              <w:top w:val="nil"/>
              <w:left w:val="nil"/>
              <w:bottom w:val="single" w:sz="4" w:space="0" w:color="auto"/>
              <w:right w:val="single" w:sz="4" w:space="0" w:color="auto"/>
            </w:tcBorders>
            <w:noWrap/>
            <w:hideMark/>
          </w:tcPr>
          <w:p w14:paraId="1894F519" w14:textId="17C88F73" w:rsidR="00F46DA2" w:rsidRPr="00131EED" w:rsidRDefault="00F46DA2" w:rsidP="00F46DA2">
            <w:pPr>
              <w:jc w:val="right"/>
              <w:rPr>
                <w:color w:val="000000"/>
                <w:sz w:val="22"/>
                <w:szCs w:val="22"/>
                <w:lang w:eastAsia="en-US"/>
              </w:rPr>
            </w:pPr>
            <w:r w:rsidRPr="00131EED">
              <w:rPr>
                <w:sz w:val="22"/>
                <w:szCs w:val="22"/>
              </w:rPr>
              <w:t>22333</w:t>
            </w:r>
          </w:p>
        </w:tc>
        <w:tc>
          <w:tcPr>
            <w:tcW w:w="1146" w:type="pct"/>
            <w:tcBorders>
              <w:top w:val="nil"/>
              <w:left w:val="nil"/>
              <w:bottom w:val="single" w:sz="4" w:space="0" w:color="auto"/>
              <w:right w:val="single" w:sz="4" w:space="0" w:color="auto"/>
            </w:tcBorders>
            <w:noWrap/>
            <w:hideMark/>
          </w:tcPr>
          <w:p w14:paraId="258B725C" w14:textId="59B75887" w:rsidR="00F46DA2" w:rsidRPr="00131EED" w:rsidRDefault="00F46DA2" w:rsidP="00F46DA2">
            <w:pPr>
              <w:jc w:val="right"/>
              <w:rPr>
                <w:color w:val="000000"/>
                <w:sz w:val="22"/>
                <w:szCs w:val="22"/>
                <w:lang w:eastAsia="en-US"/>
              </w:rPr>
            </w:pPr>
            <w:r w:rsidRPr="00131EED">
              <w:rPr>
                <w:sz w:val="22"/>
                <w:szCs w:val="22"/>
              </w:rPr>
              <w:t>20601</w:t>
            </w:r>
          </w:p>
        </w:tc>
        <w:tc>
          <w:tcPr>
            <w:tcW w:w="1145" w:type="pct"/>
            <w:tcBorders>
              <w:top w:val="nil"/>
              <w:left w:val="nil"/>
              <w:bottom w:val="single" w:sz="4" w:space="0" w:color="auto"/>
              <w:right w:val="single" w:sz="4" w:space="0" w:color="auto"/>
            </w:tcBorders>
            <w:noWrap/>
            <w:hideMark/>
          </w:tcPr>
          <w:p w14:paraId="71AF08B0" w14:textId="56E88B50" w:rsidR="00F46DA2" w:rsidRPr="00131EED" w:rsidRDefault="00F46DA2" w:rsidP="00F46DA2">
            <w:pPr>
              <w:jc w:val="right"/>
              <w:rPr>
                <w:color w:val="000000"/>
                <w:sz w:val="22"/>
                <w:szCs w:val="22"/>
                <w:lang w:eastAsia="en-US"/>
              </w:rPr>
            </w:pPr>
            <w:r w:rsidRPr="00131EED">
              <w:rPr>
                <w:sz w:val="22"/>
                <w:szCs w:val="22"/>
              </w:rPr>
              <w:t>17999</w:t>
            </w:r>
          </w:p>
        </w:tc>
      </w:tr>
      <w:tr w:rsidR="00F46DA2" w:rsidRPr="00131EED" w14:paraId="7B2FD1BB"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42463239" w14:textId="4352AEE9" w:rsidR="00F46DA2" w:rsidRPr="00131EED" w:rsidRDefault="00F46DA2" w:rsidP="00F46DA2">
            <w:pPr>
              <w:jc w:val="left"/>
              <w:rPr>
                <w:b/>
                <w:bCs/>
                <w:color w:val="000000"/>
                <w:sz w:val="22"/>
                <w:szCs w:val="22"/>
                <w:lang w:eastAsia="en-US"/>
              </w:rPr>
            </w:pPr>
            <w:r w:rsidRPr="00131EED">
              <w:rPr>
                <w:b/>
                <w:bCs/>
                <w:sz w:val="22"/>
                <w:szCs w:val="22"/>
              </w:rPr>
              <w:t>Suesca</w:t>
            </w:r>
          </w:p>
        </w:tc>
        <w:tc>
          <w:tcPr>
            <w:tcW w:w="1146" w:type="pct"/>
            <w:tcBorders>
              <w:top w:val="nil"/>
              <w:left w:val="nil"/>
              <w:bottom w:val="single" w:sz="4" w:space="0" w:color="auto"/>
              <w:right w:val="single" w:sz="4" w:space="0" w:color="auto"/>
            </w:tcBorders>
            <w:noWrap/>
            <w:hideMark/>
          </w:tcPr>
          <w:p w14:paraId="1A01996A" w14:textId="489973BF" w:rsidR="00F46DA2" w:rsidRPr="00131EED" w:rsidRDefault="00F46DA2" w:rsidP="00F46DA2">
            <w:pPr>
              <w:jc w:val="right"/>
              <w:rPr>
                <w:color w:val="000000"/>
                <w:sz w:val="22"/>
                <w:szCs w:val="22"/>
                <w:lang w:eastAsia="en-US"/>
              </w:rPr>
            </w:pPr>
            <w:r w:rsidRPr="00131EED">
              <w:rPr>
                <w:sz w:val="22"/>
                <w:szCs w:val="22"/>
              </w:rPr>
              <w:t>23785</w:t>
            </w:r>
          </w:p>
        </w:tc>
        <w:tc>
          <w:tcPr>
            <w:tcW w:w="1146" w:type="pct"/>
            <w:tcBorders>
              <w:top w:val="nil"/>
              <w:left w:val="nil"/>
              <w:bottom w:val="single" w:sz="4" w:space="0" w:color="auto"/>
              <w:right w:val="single" w:sz="4" w:space="0" w:color="auto"/>
            </w:tcBorders>
            <w:noWrap/>
            <w:hideMark/>
          </w:tcPr>
          <w:p w14:paraId="4A672FC7" w14:textId="3B0585A5" w:rsidR="00F46DA2" w:rsidRPr="00131EED" w:rsidRDefault="00F46DA2" w:rsidP="00F46DA2">
            <w:pPr>
              <w:jc w:val="right"/>
              <w:rPr>
                <w:color w:val="000000"/>
                <w:sz w:val="22"/>
                <w:szCs w:val="22"/>
                <w:lang w:eastAsia="en-US"/>
              </w:rPr>
            </w:pPr>
            <w:r w:rsidRPr="00131EED">
              <w:rPr>
                <w:sz w:val="22"/>
                <w:szCs w:val="22"/>
              </w:rPr>
              <w:t>22111</w:t>
            </w:r>
          </w:p>
        </w:tc>
        <w:tc>
          <w:tcPr>
            <w:tcW w:w="1145" w:type="pct"/>
            <w:tcBorders>
              <w:top w:val="nil"/>
              <w:left w:val="nil"/>
              <w:bottom w:val="single" w:sz="4" w:space="0" w:color="auto"/>
              <w:right w:val="single" w:sz="4" w:space="0" w:color="auto"/>
            </w:tcBorders>
            <w:noWrap/>
            <w:hideMark/>
          </w:tcPr>
          <w:p w14:paraId="73A0CEF0" w14:textId="301E4A5B" w:rsidR="00F46DA2" w:rsidRPr="00131EED" w:rsidRDefault="00F46DA2" w:rsidP="00F46DA2">
            <w:pPr>
              <w:jc w:val="right"/>
              <w:rPr>
                <w:color w:val="000000"/>
                <w:sz w:val="22"/>
                <w:szCs w:val="22"/>
                <w:lang w:eastAsia="en-US"/>
              </w:rPr>
            </w:pPr>
            <w:r w:rsidRPr="00131EED">
              <w:rPr>
                <w:sz w:val="22"/>
                <w:szCs w:val="22"/>
              </w:rPr>
              <w:t>19477</w:t>
            </w:r>
          </w:p>
        </w:tc>
      </w:tr>
      <w:tr w:rsidR="00F46DA2" w:rsidRPr="00131EED" w14:paraId="60C9449E"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748DFF92" w14:textId="3C80D0A6" w:rsidR="00F46DA2" w:rsidRPr="00131EED" w:rsidRDefault="00F46DA2" w:rsidP="00F46DA2">
            <w:pPr>
              <w:jc w:val="left"/>
              <w:rPr>
                <w:b/>
                <w:bCs/>
                <w:color w:val="000000"/>
                <w:sz w:val="22"/>
                <w:szCs w:val="22"/>
                <w:lang w:eastAsia="en-US"/>
              </w:rPr>
            </w:pPr>
            <w:r w:rsidRPr="00131EED">
              <w:rPr>
                <w:b/>
                <w:bCs/>
                <w:sz w:val="22"/>
                <w:szCs w:val="22"/>
              </w:rPr>
              <w:t>Tabio</w:t>
            </w:r>
          </w:p>
        </w:tc>
        <w:tc>
          <w:tcPr>
            <w:tcW w:w="1146" w:type="pct"/>
            <w:tcBorders>
              <w:top w:val="nil"/>
              <w:left w:val="nil"/>
              <w:bottom w:val="single" w:sz="4" w:space="0" w:color="auto"/>
              <w:right w:val="single" w:sz="4" w:space="0" w:color="auto"/>
            </w:tcBorders>
            <w:noWrap/>
            <w:hideMark/>
          </w:tcPr>
          <w:p w14:paraId="069281FF" w14:textId="5D1053DC" w:rsidR="00F46DA2" w:rsidRPr="00131EED" w:rsidRDefault="00F46DA2" w:rsidP="00F46DA2">
            <w:pPr>
              <w:jc w:val="right"/>
              <w:rPr>
                <w:color w:val="000000"/>
                <w:sz w:val="22"/>
                <w:szCs w:val="22"/>
                <w:lang w:eastAsia="en-US"/>
              </w:rPr>
            </w:pPr>
            <w:r w:rsidRPr="00131EED">
              <w:rPr>
                <w:sz w:val="22"/>
                <w:szCs w:val="22"/>
              </w:rPr>
              <w:t>22797</w:t>
            </w:r>
          </w:p>
        </w:tc>
        <w:tc>
          <w:tcPr>
            <w:tcW w:w="1146" w:type="pct"/>
            <w:tcBorders>
              <w:top w:val="nil"/>
              <w:left w:val="nil"/>
              <w:bottom w:val="single" w:sz="4" w:space="0" w:color="auto"/>
              <w:right w:val="single" w:sz="4" w:space="0" w:color="auto"/>
            </w:tcBorders>
            <w:noWrap/>
            <w:hideMark/>
          </w:tcPr>
          <w:p w14:paraId="3D91D427" w14:textId="579ED7F6" w:rsidR="00F46DA2" w:rsidRPr="00131EED" w:rsidRDefault="00F46DA2" w:rsidP="00F46DA2">
            <w:pPr>
              <w:jc w:val="right"/>
              <w:rPr>
                <w:color w:val="000000"/>
                <w:sz w:val="22"/>
                <w:szCs w:val="22"/>
                <w:lang w:eastAsia="en-US"/>
              </w:rPr>
            </w:pPr>
            <w:r w:rsidRPr="00131EED">
              <w:rPr>
                <w:sz w:val="22"/>
                <w:szCs w:val="22"/>
              </w:rPr>
              <w:t>23922</w:t>
            </w:r>
          </w:p>
        </w:tc>
        <w:tc>
          <w:tcPr>
            <w:tcW w:w="1145" w:type="pct"/>
            <w:tcBorders>
              <w:top w:val="nil"/>
              <w:left w:val="nil"/>
              <w:bottom w:val="single" w:sz="4" w:space="0" w:color="auto"/>
              <w:right w:val="single" w:sz="4" w:space="0" w:color="auto"/>
            </w:tcBorders>
            <w:noWrap/>
            <w:hideMark/>
          </w:tcPr>
          <w:p w14:paraId="1E849EB5" w14:textId="5A77821E" w:rsidR="00F46DA2" w:rsidRPr="00131EED" w:rsidRDefault="00F46DA2" w:rsidP="00F46DA2">
            <w:pPr>
              <w:jc w:val="right"/>
              <w:rPr>
                <w:color w:val="000000"/>
                <w:sz w:val="22"/>
                <w:szCs w:val="22"/>
                <w:lang w:eastAsia="en-US"/>
              </w:rPr>
            </w:pPr>
            <w:r w:rsidRPr="00131EED">
              <w:rPr>
                <w:sz w:val="22"/>
                <w:szCs w:val="22"/>
              </w:rPr>
              <w:t>23025</w:t>
            </w:r>
          </w:p>
        </w:tc>
      </w:tr>
      <w:tr w:rsidR="00F46DA2" w:rsidRPr="00131EED" w14:paraId="1B7EFE68"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245A4A73" w14:textId="46D071C0" w:rsidR="00F46DA2" w:rsidRPr="00131EED" w:rsidRDefault="00F46DA2" w:rsidP="00F46DA2">
            <w:pPr>
              <w:jc w:val="left"/>
              <w:rPr>
                <w:b/>
                <w:bCs/>
                <w:color w:val="000000"/>
                <w:sz w:val="22"/>
                <w:szCs w:val="22"/>
                <w:lang w:eastAsia="en-US"/>
              </w:rPr>
            </w:pPr>
            <w:r w:rsidRPr="00131EED">
              <w:rPr>
                <w:b/>
                <w:bCs/>
                <w:sz w:val="22"/>
                <w:szCs w:val="22"/>
              </w:rPr>
              <w:t>Tausa</w:t>
            </w:r>
          </w:p>
        </w:tc>
        <w:tc>
          <w:tcPr>
            <w:tcW w:w="1146" w:type="pct"/>
            <w:tcBorders>
              <w:top w:val="nil"/>
              <w:left w:val="nil"/>
              <w:bottom w:val="single" w:sz="4" w:space="0" w:color="auto"/>
              <w:right w:val="single" w:sz="4" w:space="0" w:color="auto"/>
            </w:tcBorders>
            <w:noWrap/>
            <w:hideMark/>
          </w:tcPr>
          <w:p w14:paraId="36E6EA94" w14:textId="745EFE1A" w:rsidR="00F46DA2" w:rsidRPr="00131EED" w:rsidRDefault="00F46DA2" w:rsidP="00F46DA2">
            <w:pPr>
              <w:jc w:val="right"/>
              <w:rPr>
                <w:color w:val="000000"/>
                <w:sz w:val="22"/>
                <w:szCs w:val="22"/>
                <w:lang w:eastAsia="en-US"/>
              </w:rPr>
            </w:pPr>
            <w:r w:rsidRPr="00131EED">
              <w:rPr>
                <w:sz w:val="22"/>
                <w:szCs w:val="22"/>
              </w:rPr>
              <w:t>8408</w:t>
            </w:r>
          </w:p>
        </w:tc>
        <w:tc>
          <w:tcPr>
            <w:tcW w:w="1146" w:type="pct"/>
            <w:tcBorders>
              <w:top w:val="nil"/>
              <w:left w:val="nil"/>
              <w:bottom w:val="single" w:sz="4" w:space="0" w:color="auto"/>
              <w:right w:val="single" w:sz="4" w:space="0" w:color="auto"/>
            </w:tcBorders>
            <w:noWrap/>
            <w:hideMark/>
          </w:tcPr>
          <w:p w14:paraId="53C21092" w14:textId="709F5C4C" w:rsidR="00F46DA2" w:rsidRPr="00131EED" w:rsidRDefault="00F46DA2" w:rsidP="00F46DA2">
            <w:pPr>
              <w:jc w:val="right"/>
              <w:rPr>
                <w:color w:val="000000"/>
                <w:sz w:val="22"/>
                <w:szCs w:val="22"/>
                <w:lang w:eastAsia="en-US"/>
              </w:rPr>
            </w:pPr>
            <w:r w:rsidRPr="00131EED">
              <w:rPr>
                <w:sz w:val="22"/>
                <w:szCs w:val="22"/>
              </w:rPr>
              <w:t>8690</w:t>
            </w:r>
          </w:p>
        </w:tc>
        <w:tc>
          <w:tcPr>
            <w:tcW w:w="1145" w:type="pct"/>
            <w:tcBorders>
              <w:top w:val="nil"/>
              <w:left w:val="nil"/>
              <w:bottom w:val="single" w:sz="4" w:space="0" w:color="auto"/>
              <w:right w:val="single" w:sz="4" w:space="0" w:color="auto"/>
            </w:tcBorders>
            <w:noWrap/>
            <w:hideMark/>
          </w:tcPr>
          <w:p w14:paraId="5702A4F4" w14:textId="49A2B1DC" w:rsidR="00F46DA2" w:rsidRPr="00131EED" w:rsidRDefault="00F46DA2" w:rsidP="00F46DA2">
            <w:pPr>
              <w:jc w:val="right"/>
              <w:rPr>
                <w:color w:val="000000"/>
                <w:sz w:val="22"/>
                <w:szCs w:val="22"/>
                <w:lang w:eastAsia="en-US"/>
              </w:rPr>
            </w:pPr>
            <w:r w:rsidRPr="00131EED">
              <w:rPr>
                <w:sz w:val="22"/>
                <w:szCs w:val="22"/>
              </w:rPr>
              <w:t>8602</w:t>
            </w:r>
          </w:p>
        </w:tc>
      </w:tr>
      <w:tr w:rsidR="00F46DA2" w:rsidRPr="00131EED" w14:paraId="7F039DF7"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71F2A67B" w14:textId="46E2721F" w:rsidR="00F46DA2" w:rsidRPr="00131EED" w:rsidRDefault="00F46DA2" w:rsidP="00F46DA2">
            <w:pPr>
              <w:jc w:val="left"/>
              <w:rPr>
                <w:b/>
                <w:bCs/>
                <w:color w:val="000000"/>
                <w:sz w:val="22"/>
                <w:szCs w:val="22"/>
                <w:lang w:eastAsia="en-US"/>
              </w:rPr>
            </w:pPr>
            <w:r w:rsidRPr="00131EED">
              <w:rPr>
                <w:b/>
                <w:bCs/>
                <w:sz w:val="22"/>
                <w:szCs w:val="22"/>
              </w:rPr>
              <w:t>Tenjo</w:t>
            </w:r>
          </w:p>
        </w:tc>
        <w:tc>
          <w:tcPr>
            <w:tcW w:w="1146" w:type="pct"/>
            <w:tcBorders>
              <w:top w:val="nil"/>
              <w:left w:val="nil"/>
              <w:bottom w:val="single" w:sz="4" w:space="0" w:color="auto"/>
              <w:right w:val="single" w:sz="4" w:space="0" w:color="auto"/>
            </w:tcBorders>
            <w:noWrap/>
            <w:hideMark/>
          </w:tcPr>
          <w:p w14:paraId="04E9C090" w14:textId="6BC2D885" w:rsidR="00F46DA2" w:rsidRPr="00131EED" w:rsidRDefault="00F46DA2" w:rsidP="00F46DA2">
            <w:pPr>
              <w:jc w:val="right"/>
              <w:rPr>
                <w:color w:val="000000"/>
                <w:sz w:val="22"/>
                <w:szCs w:val="22"/>
                <w:lang w:eastAsia="en-US"/>
              </w:rPr>
            </w:pPr>
            <w:r w:rsidRPr="00131EED">
              <w:rPr>
                <w:sz w:val="22"/>
                <w:szCs w:val="22"/>
              </w:rPr>
              <w:t>30098</w:t>
            </w:r>
          </w:p>
        </w:tc>
        <w:tc>
          <w:tcPr>
            <w:tcW w:w="1146" w:type="pct"/>
            <w:tcBorders>
              <w:top w:val="nil"/>
              <w:left w:val="nil"/>
              <w:bottom w:val="single" w:sz="4" w:space="0" w:color="auto"/>
              <w:right w:val="single" w:sz="4" w:space="0" w:color="auto"/>
            </w:tcBorders>
            <w:noWrap/>
            <w:hideMark/>
          </w:tcPr>
          <w:p w14:paraId="168CFBCD" w14:textId="760457E4" w:rsidR="00F46DA2" w:rsidRPr="00131EED" w:rsidRDefault="00F46DA2" w:rsidP="00F46DA2">
            <w:pPr>
              <w:jc w:val="right"/>
              <w:rPr>
                <w:color w:val="000000"/>
                <w:sz w:val="22"/>
                <w:szCs w:val="22"/>
                <w:lang w:eastAsia="en-US"/>
              </w:rPr>
            </w:pPr>
            <w:r w:rsidRPr="00131EED">
              <w:rPr>
                <w:sz w:val="22"/>
                <w:szCs w:val="22"/>
              </w:rPr>
              <w:t>28222</w:t>
            </w:r>
          </w:p>
        </w:tc>
        <w:tc>
          <w:tcPr>
            <w:tcW w:w="1145" w:type="pct"/>
            <w:tcBorders>
              <w:top w:val="nil"/>
              <w:left w:val="nil"/>
              <w:bottom w:val="single" w:sz="4" w:space="0" w:color="auto"/>
              <w:right w:val="single" w:sz="4" w:space="0" w:color="auto"/>
            </w:tcBorders>
            <w:noWrap/>
            <w:hideMark/>
          </w:tcPr>
          <w:p w14:paraId="39A4B6BF" w14:textId="3E61BED4" w:rsidR="00F46DA2" w:rsidRPr="00131EED" w:rsidRDefault="00F46DA2" w:rsidP="00F46DA2">
            <w:pPr>
              <w:jc w:val="right"/>
              <w:rPr>
                <w:color w:val="000000"/>
                <w:sz w:val="22"/>
                <w:szCs w:val="22"/>
                <w:lang w:eastAsia="en-US"/>
              </w:rPr>
            </w:pPr>
            <w:r w:rsidRPr="00131EED">
              <w:rPr>
                <w:sz w:val="22"/>
                <w:szCs w:val="22"/>
              </w:rPr>
              <w:t>25014</w:t>
            </w:r>
          </w:p>
        </w:tc>
      </w:tr>
      <w:tr w:rsidR="00F46DA2" w:rsidRPr="00131EED" w14:paraId="0E22D306"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48D0121A" w14:textId="7FC15864" w:rsidR="00F46DA2" w:rsidRPr="00131EED" w:rsidRDefault="00F46DA2" w:rsidP="00F46DA2">
            <w:pPr>
              <w:jc w:val="left"/>
              <w:rPr>
                <w:b/>
                <w:bCs/>
                <w:color w:val="000000"/>
                <w:sz w:val="22"/>
                <w:szCs w:val="22"/>
                <w:lang w:eastAsia="en-US"/>
              </w:rPr>
            </w:pPr>
            <w:r w:rsidRPr="00131EED">
              <w:rPr>
                <w:b/>
                <w:bCs/>
                <w:sz w:val="22"/>
                <w:szCs w:val="22"/>
              </w:rPr>
              <w:t>Tocancipá</w:t>
            </w:r>
          </w:p>
        </w:tc>
        <w:tc>
          <w:tcPr>
            <w:tcW w:w="1146" w:type="pct"/>
            <w:tcBorders>
              <w:top w:val="nil"/>
              <w:left w:val="nil"/>
              <w:bottom w:val="single" w:sz="4" w:space="0" w:color="auto"/>
              <w:right w:val="single" w:sz="4" w:space="0" w:color="auto"/>
            </w:tcBorders>
            <w:noWrap/>
            <w:hideMark/>
          </w:tcPr>
          <w:p w14:paraId="71535592" w14:textId="5037BA0D" w:rsidR="00F46DA2" w:rsidRPr="00131EED" w:rsidRDefault="00F46DA2" w:rsidP="00F46DA2">
            <w:pPr>
              <w:jc w:val="right"/>
              <w:rPr>
                <w:color w:val="000000"/>
                <w:sz w:val="22"/>
                <w:szCs w:val="22"/>
                <w:lang w:eastAsia="en-US"/>
              </w:rPr>
            </w:pPr>
            <w:r w:rsidRPr="00131EED">
              <w:rPr>
                <w:sz w:val="22"/>
                <w:szCs w:val="22"/>
              </w:rPr>
              <w:t>58755</w:t>
            </w:r>
          </w:p>
        </w:tc>
        <w:tc>
          <w:tcPr>
            <w:tcW w:w="1146" w:type="pct"/>
            <w:tcBorders>
              <w:top w:val="nil"/>
              <w:left w:val="nil"/>
              <w:bottom w:val="single" w:sz="4" w:space="0" w:color="auto"/>
              <w:right w:val="single" w:sz="4" w:space="0" w:color="auto"/>
            </w:tcBorders>
            <w:noWrap/>
            <w:hideMark/>
          </w:tcPr>
          <w:p w14:paraId="2506B1FC" w14:textId="0A810D99" w:rsidR="00F46DA2" w:rsidRPr="00131EED" w:rsidRDefault="00F46DA2" w:rsidP="00F46DA2">
            <w:pPr>
              <w:jc w:val="right"/>
              <w:rPr>
                <w:color w:val="000000"/>
                <w:sz w:val="22"/>
                <w:szCs w:val="22"/>
                <w:lang w:eastAsia="en-US"/>
              </w:rPr>
            </w:pPr>
            <w:r w:rsidRPr="00131EED">
              <w:rPr>
                <w:sz w:val="22"/>
                <w:szCs w:val="22"/>
              </w:rPr>
              <w:t>57038</w:t>
            </w:r>
          </w:p>
        </w:tc>
        <w:tc>
          <w:tcPr>
            <w:tcW w:w="1145" w:type="pct"/>
            <w:tcBorders>
              <w:top w:val="nil"/>
              <w:left w:val="nil"/>
              <w:bottom w:val="single" w:sz="4" w:space="0" w:color="auto"/>
              <w:right w:val="single" w:sz="4" w:space="0" w:color="auto"/>
            </w:tcBorders>
            <w:noWrap/>
            <w:hideMark/>
          </w:tcPr>
          <w:p w14:paraId="0CE6D26A" w14:textId="785A340F" w:rsidR="00F46DA2" w:rsidRPr="00131EED" w:rsidRDefault="00F46DA2" w:rsidP="00F46DA2">
            <w:pPr>
              <w:jc w:val="right"/>
              <w:rPr>
                <w:color w:val="000000"/>
                <w:sz w:val="22"/>
                <w:szCs w:val="22"/>
                <w:lang w:eastAsia="en-US"/>
              </w:rPr>
            </w:pPr>
            <w:r w:rsidRPr="00131EED">
              <w:rPr>
                <w:sz w:val="22"/>
                <w:szCs w:val="22"/>
              </w:rPr>
              <w:t>49532</w:t>
            </w:r>
          </w:p>
        </w:tc>
      </w:tr>
      <w:tr w:rsidR="00F46DA2" w:rsidRPr="00131EED" w14:paraId="5C4F2A7C"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69064E97" w14:textId="1699AB7C" w:rsidR="00F46DA2" w:rsidRPr="00131EED" w:rsidRDefault="00F46DA2" w:rsidP="00F46DA2">
            <w:pPr>
              <w:jc w:val="left"/>
              <w:rPr>
                <w:b/>
                <w:bCs/>
                <w:color w:val="000000"/>
                <w:sz w:val="22"/>
                <w:szCs w:val="22"/>
                <w:lang w:eastAsia="en-US"/>
              </w:rPr>
            </w:pPr>
            <w:r w:rsidRPr="00131EED">
              <w:rPr>
                <w:b/>
                <w:bCs/>
                <w:sz w:val="22"/>
                <w:szCs w:val="22"/>
              </w:rPr>
              <w:t>Villapinzón</w:t>
            </w:r>
          </w:p>
        </w:tc>
        <w:tc>
          <w:tcPr>
            <w:tcW w:w="1146" w:type="pct"/>
            <w:tcBorders>
              <w:top w:val="nil"/>
              <w:left w:val="nil"/>
              <w:bottom w:val="single" w:sz="4" w:space="0" w:color="auto"/>
              <w:right w:val="single" w:sz="4" w:space="0" w:color="auto"/>
            </w:tcBorders>
            <w:noWrap/>
            <w:hideMark/>
          </w:tcPr>
          <w:p w14:paraId="3201E6A6" w14:textId="6133EFED" w:rsidR="00F46DA2" w:rsidRPr="00131EED" w:rsidRDefault="00F46DA2" w:rsidP="00F46DA2">
            <w:pPr>
              <w:jc w:val="right"/>
              <w:rPr>
                <w:color w:val="000000"/>
                <w:sz w:val="22"/>
                <w:szCs w:val="22"/>
                <w:lang w:eastAsia="en-US"/>
              </w:rPr>
            </w:pPr>
            <w:r w:rsidRPr="00131EED">
              <w:rPr>
                <w:sz w:val="22"/>
                <w:szCs w:val="22"/>
              </w:rPr>
              <w:t>18258</w:t>
            </w:r>
          </w:p>
        </w:tc>
        <w:tc>
          <w:tcPr>
            <w:tcW w:w="1146" w:type="pct"/>
            <w:tcBorders>
              <w:top w:val="nil"/>
              <w:left w:val="nil"/>
              <w:bottom w:val="single" w:sz="4" w:space="0" w:color="auto"/>
              <w:right w:val="single" w:sz="4" w:space="0" w:color="auto"/>
            </w:tcBorders>
            <w:noWrap/>
            <w:hideMark/>
          </w:tcPr>
          <w:p w14:paraId="0DFA4872" w14:textId="286D6373" w:rsidR="00F46DA2" w:rsidRPr="00131EED" w:rsidRDefault="00F46DA2" w:rsidP="00F46DA2">
            <w:pPr>
              <w:jc w:val="right"/>
              <w:rPr>
                <w:color w:val="000000"/>
                <w:sz w:val="22"/>
                <w:szCs w:val="22"/>
                <w:lang w:eastAsia="en-US"/>
              </w:rPr>
            </w:pPr>
            <w:r w:rsidRPr="00131EED">
              <w:rPr>
                <w:sz w:val="22"/>
                <w:szCs w:val="22"/>
              </w:rPr>
              <w:t>18499</w:t>
            </w:r>
          </w:p>
        </w:tc>
        <w:tc>
          <w:tcPr>
            <w:tcW w:w="1145" w:type="pct"/>
            <w:tcBorders>
              <w:top w:val="nil"/>
              <w:left w:val="nil"/>
              <w:bottom w:val="single" w:sz="4" w:space="0" w:color="auto"/>
              <w:right w:val="single" w:sz="4" w:space="0" w:color="auto"/>
            </w:tcBorders>
            <w:noWrap/>
            <w:hideMark/>
          </w:tcPr>
          <w:p w14:paraId="55BA0498" w14:textId="46FF1408" w:rsidR="00F46DA2" w:rsidRPr="00131EED" w:rsidRDefault="00F46DA2" w:rsidP="00F46DA2">
            <w:pPr>
              <w:jc w:val="right"/>
              <w:rPr>
                <w:color w:val="000000"/>
                <w:sz w:val="22"/>
                <w:szCs w:val="22"/>
                <w:lang w:eastAsia="en-US"/>
              </w:rPr>
            </w:pPr>
            <w:r w:rsidRPr="00131EED">
              <w:rPr>
                <w:sz w:val="22"/>
                <w:szCs w:val="22"/>
              </w:rPr>
              <w:t>18231</w:t>
            </w:r>
          </w:p>
        </w:tc>
      </w:tr>
      <w:tr w:rsidR="00F46DA2" w:rsidRPr="00131EED" w14:paraId="677A3722" w14:textId="77777777" w:rsidTr="00CF2429">
        <w:trPr>
          <w:trHeight w:val="288"/>
        </w:trPr>
        <w:tc>
          <w:tcPr>
            <w:tcW w:w="1563" w:type="pct"/>
            <w:tcBorders>
              <w:top w:val="nil"/>
              <w:left w:val="single" w:sz="4" w:space="0" w:color="auto"/>
              <w:bottom w:val="single" w:sz="4" w:space="0" w:color="auto"/>
              <w:right w:val="single" w:sz="4" w:space="0" w:color="auto"/>
            </w:tcBorders>
            <w:noWrap/>
            <w:hideMark/>
          </w:tcPr>
          <w:p w14:paraId="641DCD22" w14:textId="7F7B738C" w:rsidR="00F46DA2" w:rsidRPr="00131EED" w:rsidRDefault="00F46DA2" w:rsidP="00F46DA2">
            <w:pPr>
              <w:jc w:val="left"/>
              <w:rPr>
                <w:b/>
                <w:bCs/>
                <w:color w:val="000000"/>
                <w:sz w:val="22"/>
                <w:szCs w:val="22"/>
                <w:lang w:eastAsia="en-US"/>
              </w:rPr>
            </w:pPr>
            <w:r w:rsidRPr="00131EED">
              <w:rPr>
                <w:b/>
                <w:bCs/>
                <w:sz w:val="22"/>
                <w:szCs w:val="22"/>
              </w:rPr>
              <w:t>Zipaquirá</w:t>
            </w:r>
          </w:p>
        </w:tc>
        <w:tc>
          <w:tcPr>
            <w:tcW w:w="1146" w:type="pct"/>
            <w:tcBorders>
              <w:top w:val="nil"/>
              <w:left w:val="nil"/>
              <w:bottom w:val="single" w:sz="4" w:space="0" w:color="auto"/>
              <w:right w:val="single" w:sz="4" w:space="0" w:color="auto"/>
            </w:tcBorders>
            <w:noWrap/>
            <w:hideMark/>
          </w:tcPr>
          <w:p w14:paraId="66537561" w14:textId="0C803A7D" w:rsidR="00F46DA2" w:rsidRPr="00131EED" w:rsidRDefault="00F46DA2" w:rsidP="00F46DA2">
            <w:pPr>
              <w:jc w:val="right"/>
              <w:rPr>
                <w:color w:val="000000"/>
                <w:sz w:val="22"/>
                <w:szCs w:val="22"/>
                <w:lang w:eastAsia="en-US"/>
              </w:rPr>
            </w:pPr>
            <w:r w:rsidRPr="00131EED">
              <w:rPr>
                <w:sz w:val="22"/>
                <w:szCs w:val="22"/>
              </w:rPr>
              <w:t>215971</w:t>
            </w:r>
          </w:p>
        </w:tc>
        <w:tc>
          <w:tcPr>
            <w:tcW w:w="1146" w:type="pct"/>
            <w:tcBorders>
              <w:top w:val="nil"/>
              <w:left w:val="nil"/>
              <w:bottom w:val="single" w:sz="4" w:space="0" w:color="auto"/>
              <w:right w:val="single" w:sz="4" w:space="0" w:color="auto"/>
            </w:tcBorders>
            <w:noWrap/>
            <w:hideMark/>
          </w:tcPr>
          <w:p w14:paraId="2ACAF6E3" w14:textId="62226DFD" w:rsidR="00F46DA2" w:rsidRPr="00131EED" w:rsidRDefault="00F46DA2" w:rsidP="00F46DA2">
            <w:pPr>
              <w:jc w:val="right"/>
              <w:rPr>
                <w:color w:val="000000"/>
                <w:sz w:val="22"/>
                <w:szCs w:val="22"/>
                <w:lang w:eastAsia="en-US"/>
              </w:rPr>
            </w:pPr>
            <w:r w:rsidRPr="00131EED">
              <w:rPr>
                <w:sz w:val="22"/>
                <w:szCs w:val="22"/>
              </w:rPr>
              <w:t>196170</w:t>
            </w:r>
          </w:p>
        </w:tc>
        <w:tc>
          <w:tcPr>
            <w:tcW w:w="1145" w:type="pct"/>
            <w:tcBorders>
              <w:top w:val="nil"/>
              <w:left w:val="nil"/>
              <w:bottom w:val="single" w:sz="4" w:space="0" w:color="auto"/>
              <w:right w:val="single" w:sz="4" w:space="0" w:color="auto"/>
            </w:tcBorders>
            <w:noWrap/>
            <w:hideMark/>
          </w:tcPr>
          <w:p w14:paraId="476E247A" w14:textId="5151D4CF" w:rsidR="00F46DA2" w:rsidRPr="00131EED" w:rsidRDefault="00F46DA2" w:rsidP="00F46DA2">
            <w:pPr>
              <w:jc w:val="right"/>
              <w:rPr>
                <w:color w:val="000000"/>
                <w:sz w:val="22"/>
                <w:szCs w:val="22"/>
                <w:lang w:eastAsia="en-US"/>
              </w:rPr>
            </w:pPr>
            <w:r w:rsidRPr="00131EED">
              <w:rPr>
                <w:sz w:val="22"/>
                <w:szCs w:val="22"/>
              </w:rPr>
              <w:t>166810</w:t>
            </w:r>
          </w:p>
        </w:tc>
      </w:tr>
    </w:tbl>
    <w:p w14:paraId="5903D554" w14:textId="2698FB12" w:rsidR="00C72C53" w:rsidRPr="00131EED" w:rsidRDefault="00C72C53" w:rsidP="00C72C53">
      <w:pPr>
        <w:jc w:val="center"/>
        <w:rPr>
          <w:rFonts w:cs="Arial"/>
        </w:rPr>
      </w:pPr>
      <w:r w:rsidRPr="00131EED">
        <w:rPr>
          <w:rFonts w:cs="Arial"/>
          <w:sz w:val="20"/>
          <w:szCs w:val="20"/>
        </w:rPr>
        <w:t>Fuente: Proyección poblacional – Sabana de Bogotá. DANE. 2025</w:t>
      </w:r>
    </w:p>
    <w:p w14:paraId="0353E71B" w14:textId="77777777" w:rsidR="00C72C53" w:rsidRPr="00131EED" w:rsidRDefault="00C72C53" w:rsidP="00F421F8">
      <w:pPr>
        <w:rPr>
          <w:rFonts w:cs="Arial"/>
        </w:rPr>
      </w:pPr>
    </w:p>
    <w:p w14:paraId="2ABA2464" w14:textId="2CCB5AFE" w:rsidR="00C72C53" w:rsidRPr="00131EED" w:rsidRDefault="00C72C53" w:rsidP="00C72C53">
      <w:pPr>
        <w:rPr>
          <w:rFonts w:cs="Arial"/>
        </w:rPr>
      </w:pPr>
      <w:r w:rsidRPr="00131EED">
        <w:rPr>
          <w:rFonts w:cs="Arial"/>
        </w:rPr>
        <w:t>De acuerdo con la tabla anterior, se identifican comportamientos diferenciales entre Bogotá D.C. y los municipios de la Sabana, específicamente, la capital presenta una tendencia descendente:</w:t>
      </w:r>
    </w:p>
    <w:p w14:paraId="4212DC75" w14:textId="77777777" w:rsidR="00C72C53" w:rsidRPr="00131EED" w:rsidRDefault="00C72C53" w:rsidP="00C72C53">
      <w:pPr>
        <w:rPr>
          <w:rFonts w:cs="Arial"/>
        </w:rPr>
      </w:pPr>
    </w:p>
    <w:p w14:paraId="6DA977A3" w14:textId="060D24AE" w:rsidR="00F46DA2" w:rsidRPr="00131EED" w:rsidRDefault="00F46DA2" w:rsidP="00F46DA2">
      <w:pPr>
        <w:rPr>
          <w:rFonts w:cs="Arial"/>
        </w:rPr>
      </w:pPr>
      <w:r w:rsidRPr="00131EED">
        <w:rPr>
          <w:rFonts w:cs="Arial"/>
        </w:rPr>
        <w:t>2025: 7.942.867 habitantes</w:t>
      </w:r>
    </w:p>
    <w:p w14:paraId="00EA7ACE" w14:textId="725FD208" w:rsidR="00F46DA2" w:rsidRPr="00131EED" w:rsidRDefault="00F46DA2" w:rsidP="00F46DA2">
      <w:pPr>
        <w:rPr>
          <w:rFonts w:cs="Arial"/>
        </w:rPr>
      </w:pPr>
      <w:r w:rsidRPr="00131EED">
        <w:rPr>
          <w:rFonts w:cs="Arial"/>
        </w:rPr>
        <w:t>2035: 7.814.324 habitantes</w:t>
      </w:r>
    </w:p>
    <w:p w14:paraId="6E707A2D" w14:textId="14C1DD91" w:rsidR="00C72C53" w:rsidRPr="00131EED" w:rsidRDefault="00F46DA2" w:rsidP="00F46DA2">
      <w:pPr>
        <w:rPr>
          <w:rFonts w:cs="Arial"/>
        </w:rPr>
      </w:pPr>
      <w:r w:rsidRPr="00131EED">
        <w:rPr>
          <w:rFonts w:cs="Arial"/>
        </w:rPr>
        <w:t>2042: 7.556.041 habitantes</w:t>
      </w:r>
    </w:p>
    <w:p w14:paraId="3A478FFA" w14:textId="77777777" w:rsidR="00F46DA2" w:rsidRPr="00131EED" w:rsidRDefault="00F46DA2" w:rsidP="00F46DA2">
      <w:pPr>
        <w:rPr>
          <w:rFonts w:cs="Arial"/>
        </w:rPr>
      </w:pPr>
    </w:p>
    <w:p w14:paraId="6622B4BB" w14:textId="6C6ACB64" w:rsidR="00C72C53" w:rsidRPr="00131EED" w:rsidRDefault="00C72C53" w:rsidP="00C72C53">
      <w:pPr>
        <w:rPr>
          <w:rFonts w:cs="Arial"/>
        </w:rPr>
      </w:pPr>
      <w:r w:rsidRPr="00131EED">
        <w:rPr>
          <w:rFonts w:cs="Arial"/>
        </w:rPr>
        <w:t xml:space="preserve">Esto evidencia una reducción progresiva donde los municipios periféricos absorben población al ofrecer suelo más accesible y nuevos proyectos residenciales. Bogotá se consolida como un centro funcional que pierde peso relativo en población </w:t>
      </w:r>
      <w:r w:rsidR="00A13599" w:rsidRPr="00131EED">
        <w:rPr>
          <w:rFonts w:cs="Arial"/>
        </w:rPr>
        <w:t>absoluta,</w:t>
      </w:r>
      <w:r w:rsidRPr="00131EED">
        <w:rPr>
          <w:rFonts w:cs="Arial"/>
        </w:rPr>
        <w:t xml:space="preserve"> pero mantiene centralidad económica y laboral.</w:t>
      </w:r>
    </w:p>
    <w:p w14:paraId="2BF23309" w14:textId="77777777" w:rsidR="00C72C53" w:rsidRPr="00131EED" w:rsidRDefault="00C72C53" w:rsidP="00F421F8">
      <w:pPr>
        <w:rPr>
          <w:rFonts w:cs="Arial"/>
        </w:rPr>
      </w:pPr>
    </w:p>
    <w:p w14:paraId="65EA75C1" w14:textId="460189D7" w:rsidR="00A13599" w:rsidRPr="00131EED" w:rsidRDefault="00A13599" w:rsidP="00A13599">
      <w:pPr>
        <w:rPr>
          <w:rFonts w:cs="Arial"/>
        </w:rPr>
      </w:pPr>
      <w:r w:rsidRPr="00131EED">
        <w:rPr>
          <w:rFonts w:cs="Arial"/>
        </w:rPr>
        <w:t>En ese sentido los municipios de la Sabana de Bogotá que amplían su población en más de 30 % (aprox.) a lo largo del período de análisis 2025 - 2042, y que reflejan una expansión residencial, consolidación metropolitana y alto dinamismo inmobiliario son:</w:t>
      </w:r>
    </w:p>
    <w:p w14:paraId="46612F57" w14:textId="77777777" w:rsidR="00A13599" w:rsidRPr="00131EED" w:rsidRDefault="00A13599" w:rsidP="00A13599">
      <w:pPr>
        <w:rPr>
          <w:rFonts w:cs="Arial"/>
        </w:rPr>
      </w:pPr>
    </w:p>
    <w:p w14:paraId="65D1532E" w14:textId="3E2C7E4B" w:rsidR="00E71275" w:rsidRPr="00131EED" w:rsidRDefault="00E71275" w:rsidP="002D6307">
      <w:pPr>
        <w:rPr>
          <w:rFonts w:cs="Arial"/>
        </w:rPr>
      </w:pPr>
      <w:r w:rsidRPr="00131EED">
        <w:rPr>
          <w:rFonts w:cs="Arial"/>
        </w:rPr>
        <w:t xml:space="preserve">Soacha: 870.077 </w:t>
      </w:r>
      <w:r w:rsidRPr="00131EED">
        <w:rPr>
          <w:rFonts w:ascii="Times New Roman" w:hAnsi="Times New Roman"/>
        </w:rPr>
        <w:t>→</w:t>
      </w:r>
      <w:r w:rsidRPr="00131EED">
        <w:rPr>
          <w:rFonts w:cs="Arial"/>
        </w:rPr>
        <w:t xml:space="preserve"> 1.312.126</w:t>
      </w:r>
    </w:p>
    <w:p w14:paraId="2A70EBFF" w14:textId="28431FA1" w:rsidR="00E71275" w:rsidRPr="00131EED" w:rsidRDefault="00E71275" w:rsidP="002D6307">
      <w:pPr>
        <w:rPr>
          <w:rFonts w:cs="Arial"/>
        </w:rPr>
      </w:pPr>
      <w:r w:rsidRPr="00131EED">
        <w:rPr>
          <w:rFonts w:cs="Arial"/>
        </w:rPr>
        <w:t xml:space="preserve">Mosquera: 179.940 </w:t>
      </w:r>
      <w:r w:rsidRPr="00131EED">
        <w:rPr>
          <w:rFonts w:ascii="Times New Roman" w:hAnsi="Times New Roman"/>
        </w:rPr>
        <w:t>→</w:t>
      </w:r>
      <w:r w:rsidRPr="00131EED">
        <w:rPr>
          <w:rFonts w:cs="Arial"/>
        </w:rPr>
        <w:t xml:space="preserve"> 258.239</w:t>
      </w:r>
    </w:p>
    <w:p w14:paraId="491A58C6" w14:textId="11723C7D" w:rsidR="00E71275" w:rsidRPr="00131EED" w:rsidRDefault="00E71275" w:rsidP="002D6307">
      <w:pPr>
        <w:rPr>
          <w:rFonts w:cs="Arial"/>
        </w:rPr>
      </w:pPr>
      <w:r w:rsidRPr="00131EED">
        <w:rPr>
          <w:rFonts w:cs="Arial"/>
        </w:rPr>
        <w:t xml:space="preserve">Cajicá: 122.811 </w:t>
      </w:r>
      <w:r w:rsidRPr="00131EED">
        <w:rPr>
          <w:rFonts w:ascii="Times New Roman" w:hAnsi="Times New Roman"/>
        </w:rPr>
        <w:t>→</w:t>
      </w:r>
      <w:r w:rsidRPr="00131EED">
        <w:rPr>
          <w:rFonts w:cs="Arial"/>
        </w:rPr>
        <w:t xml:space="preserve"> 168.664</w:t>
      </w:r>
    </w:p>
    <w:p w14:paraId="12CC742E" w14:textId="61F1DE01" w:rsidR="00E71275" w:rsidRPr="00131EED" w:rsidRDefault="00E71275" w:rsidP="002D6307">
      <w:pPr>
        <w:rPr>
          <w:rFonts w:cs="Arial"/>
        </w:rPr>
      </w:pPr>
      <w:r w:rsidRPr="00131EED">
        <w:rPr>
          <w:rFonts w:cs="Arial"/>
        </w:rPr>
        <w:t xml:space="preserve">Chía: 173.728 </w:t>
      </w:r>
      <w:r w:rsidRPr="00131EED">
        <w:rPr>
          <w:rFonts w:ascii="Times New Roman" w:hAnsi="Times New Roman"/>
        </w:rPr>
        <w:t>→</w:t>
      </w:r>
      <w:r w:rsidRPr="00131EED">
        <w:rPr>
          <w:rFonts w:cs="Arial"/>
        </w:rPr>
        <w:t xml:space="preserve"> 239.430</w:t>
      </w:r>
    </w:p>
    <w:p w14:paraId="4891D0CB" w14:textId="3B50AFA7" w:rsidR="00E71275" w:rsidRPr="00131EED" w:rsidRDefault="00E71275" w:rsidP="002D6307">
      <w:pPr>
        <w:rPr>
          <w:rFonts w:cs="Arial"/>
        </w:rPr>
      </w:pPr>
      <w:r w:rsidRPr="00131EED">
        <w:rPr>
          <w:rFonts w:cs="Arial"/>
        </w:rPr>
        <w:t xml:space="preserve">Madrid: 143.090 </w:t>
      </w:r>
      <w:r w:rsidRPr="00131EED">
        <w:rPr>
          <w:rFonts w:ascii="Times New Roman" w:hAnsi="Times New Roman"/>
        </w:rPr>
        <w:t>→</w:t>
      </w:r>
      <w:r w:rsidRPr="00131EED">
        <w:rPr>
          <w:rFonts w:cs="Arial"/>
        </w:rPr>
        <w:t xml:space="preserve"> 182.904</w:t>
      </w:r>
    </w:p>
    <w:p w14:paraId="1D03CB8C" w14:textId="0D607734" w:rsidR="00E71275" w:rsidRPr="00131EED" w:rsidRDefault="00E71275" w:rsidP="002D6307">
      <w:pPr>
        <w:rPr>
          <w:rFonts w:cs="Arial"/>
        </w:rPr>
      </w:pPr>
      <w:r w:rsidRPr="00131EED">
        <w:rPr>
          <w:rFonts w:cs="Arial"/>
        </w:rPr>
        <w:t xml:space="preserve">Funza: 122.260 </w:t>
      </w:r>
      <w:r w:rsidRPr="00131EED">
        <w:rPr>
          <w:rFonts w:ascii="Times New Roman" w:hAnsi="Times New Roman"/>
        </w:rPr>
        <w:t>→</w:t>
      </w:r>
      <w:r w:rsidRPr="00131EED">
        <w:rPr>
          <w:rFonts w:cs="Arial"/>
        </w:rPr>
        <w:t xml:space="preserve"> 194.980</w:t>
      </w:r>
    </w:p>
    <w:p w14:paraId="35A47E7F" w14:textId="31817BBB" w:rsidR="00E71275" w:rsidRPr="00131EED" w:rsidRDefault="00E71275" w:rsidP="002D6307">
      <w:pPr>
        <w:rPr>
          <w:rFonts w:cs="Arial"/>
        </w:rPr>
      </w:pPr>
      <w:r w:rsidRPr="00131EED">
        <w:rPr>
          <w:rFonts w:cs="Arial"/>
        </w:rPr>
        <w:t xml:space="preserve">Zipaquirá: 166.810 </w:t>
      </w:r>
      <w:r w:rsidRPr="00131EED">
        <w:rPr>
          <w:rFonts w:ascii="Times New Roman" w:hAnsi="Times New Roman"/>
        </w:rPr>
        <w:t>→</w:t>
      </w:r>
      <w:r w:rsidRPr="00131EED">
        <w:rPr>
          <w:rFonts w:cs="Arial"/>
        </w:rPr>
        <w:t xml:space="preserve"> 215.971</w:t>
      </w:r>
    </w:p>
    <w:p w14:paraId="0295904D" w14:textId="338A3FAC" w:rsidR="00E71275" w:rsidRPr="00131EED" w:rsidRDefault="00E71275" w:rsidP="002D6307">
      <w:pPr>
        <w:rPr>
          <w:rFonts w:cs="Arial"/>
        </w:rPr>
      </w:pPr>
      <w:r w:rsidRPr="00131EED">
        <w:rPr>
          <w:rFonts w:cs="Arial"/>
        </w:rPr>
        <w:t xml:space="preserve">Facatativá: 165.243 </w:t>
      </w:r>
      <w:r w:rsidRPr="00131EED">
        <w:rPr>
          <w:rFonts w:ascii="Times New Roman" w:hAnsi="Times New Roman"/>
        </w:rPr>
        <w:t>→</w:t>
      </w:r>
      <w:r w:rsidRPr="00131EED">
        <w:rPr>
          <w:rFonts w:cs="Arial"/>
        </w:rPr>
        <w:t xml:space="preserve"> 210.682</w:t>
      </w:r>
    </w:p>
    <w:p w14:paraId="32509948" w14:textId="0CF3D2F0" w:rsidR="00F421F8" w:rsidRPr="00131EED" w:rsidRDefault="00A13599" w:rsidP="00F421F8">
      <w:pPr>
        <w:rPr>
          <w:rFonts w:cs="Arial"/>
        </w:rPr>
      </w:pPr>
      <w:r w:rsidRPr="00131EED">
        <w:rPr>
          <w:rFonts w:cs="Arial"/>
        </w:rPr>
        <w:t xml:space="preserve">Estos municipios hacen parte de las zonas </w:t>
      </w:r>
      <w:r w:rsidRPr="00131EED">
        <w:rPr>
          <w:rFonts w:cs="Arial"/>
          <w:b/>
          <w:bCs/>
        </w:rPr>
        <w:t xml:space="preserve">occidental y norte </w:t>
      </w:r>
      <w:r w:rsidRPr="00131EED">
        <w:rPr>
          <w:rFonts w:cs="Arial"/>
        </w:rPr>
        <w:t xml:space="preserve">de la Sabana, donde se concentra la mayor presión por expansión de vivienda, logística, industria y nuevas centralidades </w:t>
      </w:r>
      <w:r w:rsidR="00EA36FC" w:rsidRPr="00131EED">
        <w:rPr>
          <w:rFonts w:cs="Arial"/>
        </w:rPr>
        <w:t>económicas, marcadas por un crecimiento entorno a la cercanía a corredores metropolitanos, pero con restricciones territoriales (ambientales, de suelo rural o disponibilidad limitada de urbanizable).</w:t>
      </w:r>
    </w:p>
    <w:p w14:paraId="13AECB39" w14:textId="77777777" w:rsidR="00EA36FC" w:rsidRPr="00131EED" w:rsidRDefault="00EA36FC" w:rsidP="00F421F8">
      <w:pPr>
        <w:rPr>
          <w:rFonts w:cs="Arial"/>
        </w:rPr>
      </w:pPr>
    </w:p>
    <w:p w14:paraId="750D32F3" w14:textId="77777777" w:rsidR="00FE15E3" w:rsidRPr="00131EED" w:rsidRDefault="00FE15E3" w:rsidP="00FE15E3">
      <w:pPr>
        <w:rPr>
          <w:rFonts w:cs="Arial"/>
        </w:rPr>
      </w:pPr>
      <w:r w:rsidRPr="00131EED">
        <w:rPr>
          <w:rFonts w:cs="Arial"/>
        </w:rPr>
        <w:t>El patrón de crecimiento poblacional en la región evidencia una transición clara: mientras Bogotá experimenta estancamiento e incluso reducción demográfica, los incrementos más significativos se concentran en los anillos metropolitanos de primera y segunda corona. En este contexto, el occidente metropolitano —particularmente Soacha, Mosquera, Funza, Madrid y Facatativá— se consolida como el principal motor demográfico, impulsado por la expansión de vivienda y la localización estratégica de actividades logísticas e industriales. De forma complementaria, el norte metropolitano —integrado por Chía, Cajicá, Zipaquirá, Sopó y Tocancipá— continúa fortaleciéndose como un corredor residencial–industrial de alto dinamismo, articulando nuevas centralidades urbanas y procesos de densificación. Al mismo tiempo, subsisten municipios con vocación rural que mantienen una estabilidad poblacional marcada, lo que contribuye a contener la dispersión urbana y a preservar estructuras ecológicas y productivas tradicionales que equilibran el sistema regional.</w:t>
      </w:r>
    </w:p>
    <w:p w14:paraId="1BB16900" w14:textId="77777777" w:rsidR="00F421F8" w:rsidRPr="00131EED" w:rsidRDefault="00F421F8" w:rsidP="00F421F8">
      <w:pPr>
        <w:rPr>
          <w:rFonts w:ascii="Arial" w:hAnsi="Arial" w:cs="Arial"/>
        </w:rPr>
      </w:pPr>
    </w:p>
    <w:p w14:paraId="652C434E" w14:textId="005F1BFD" w:rsidR="00F421F8" w:rsidRPr="00131EED" w:rsidRDefault="00F421F8" w:rsidP="00965F1E">
      <w:pPr>
        <w:pStyle w:val="Caption"/>
        <w:jc w:val="center"/>
        <w:rPr>
          <w:rFonts w:ascii="Baskerville" w:hAnsi="Baskerville"/>
        </w:rPr>
      </w:pPr>
      <w:bookmarkStart w:id="304" w:name="_Toc216468960"/>
      <w:r w:rsidRPr="00131EED">
        <w:t xml:space="preserve">Tabla </w:t>
      </w:r>
      <w:fldSimple w:instr=" SEQ Tabla \* ARABIC ">
        <w:r w:rsidR="00CE096F">
          <w:rPr>
            <w:noProof/>
          </w:rPr>
          <w:t>50</w:t>
        </w:r>
      </w:fldSimple>
      <w:r w:rsidRPr="00131EED">
        <w:t xml:space="preserve"> </w:t>
      </w:r>
      <w:r w:rsidRPr="00131EED">
        <w:rPr>
          <w:rStyle w:val="SubtleReference"/>
          <w:smallCaps w:val="0"/>
          <w:color w:val="44546A"/>
        </w:rPr>
        <w:t xml:space="preserve"> Proyecciones de viviendas, hogares y personas. DANE 2024</w:t>
      </w:r>
      <w:r w:rsidRPr="00131EED">
        <w:rPr>
          <w:rFonts w:ascii="Baskerville" w:hAnsi="Baskerville"/>
          <w:noProof/>
        </w:rPr>
        <w:drawing>
          <wp:inline distT="0" distB="0" distL="0" distR="0" wp14:anchorId="77E2DC75" wp14:editId="49B01BD0">
            <wp:extent cx="4305300" cy="1066740"/>
            <wp:effectExtent l="0" t="0" r="0" b="635"/>
            <wp:docPr id="1944261706"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261706" name="Imagen 1" descr="Tabla&#10;&#10;Descripción generada automáticamente"/>
                    <pic:cNvPicPr/>
                  </pic:nvPicPr>
                  <pic:blipFill rotWithShape="1">
                    <a:blip r:embed="rId139"/>
                    <a:srcRect l="8656" r="25586" b="12142"/>
                    <a:stretch>
                      <a:fillRect/>
                    </a:stretch>
                  </pic:blipFill>
                  <pic:spPr bwMode="auto">
                    <a:xfrm>
                      <a:off x="0" y="0"/>
                      <a:ext cx="4311210" cy="1068204"/>
                    </a:xfrm>
                    <a:prstGeom prst="rect">
                      <a:avLst/>
                    </a:prstGeom>
                    <a:ln>
                      <a:noFill/>
                    </a:ln>
                    <a:extLst>
                      <a:ext uri="{53640926-AAD7-44D8-BBD7-CCE9431645EC}">
                        <a14:shadowObscured xmlns:a14="http://schemas.microsoft.com/office/drawing/2010/main"/>
                      </a:ext>
                    </a:extLst>
                  </pic:spPr>
                </pic:pic>
              </a:graphicData>
            </a:graphic>
          </wp:inline>
        </w:drawing>
      </w:r>
      <w:bookmarkEnd w:id="304"/>
    </w:p>
    <w:p w14:paraId="6E1EE931" w14:textId="09A1678C" w:rsidR="00F421F8" w:rsidRPr="00131EED" w:rsidRDefault="00F421F8" w:rsidP="008C6EFC">
      <w:pPr>
        <w:jc w:val="center"/>
        <w:rPr>
          <w:rFonts w:cs="Arial"/>
          <w:sz w:val="20"/>
          <w:szCs w:val="20"/>
        </w:rPr>
      </w:pPr>
      <w:r w:rsidRPr="00131EED">
        <w:rPr>
          <w:rFonts w:cs="Arial"/>
          <w:sz w:val="20"/>
          <w:szCs w:val="20"/>
        </w:rPr>
        <w:t>Fuente: Oferta estadística poblacional – Sabana de Bogotá. DANE. 2024</w:t>
      </w:r>
    </w:p>
    <w:p w14:paraId="32E4ECD2" w14:textId="77777777" w:rsidR="00F421F8" w:rsidRPr="00131EED" w:rsidRDefault="00F421F8" w:rsidP="00F421F8">
      <w:pPr>
        <w:rPr>
          <w:rFonts w:cs="Arial"/>
          <w:sz w:val="20"/>
          <w:szCs w:val="20"/>
        </w:rPr>
      </w:pPr>
    </w:p>
    <w:p w14:paraId="17C17726" w14:textId="77777777" w:rsidR="00F421F8" w:rsidRPr="00131EED" w:rsidRDefault="00F421F8" w:rsidP="00F421F8">
      <w:pPr>
        <w:rPr>
          <w:rFonts w:cs="Arial"/>
        </w:rPr>
      </w:pPr>
      <w:r w:rsidRPr="00131EED">
        <w:rPr>
          <w:rFonts w:cs="Arial"/>
        </w:rPr>
        <w:t>Respecto a los escenarios de proyección de población y conformación de hogares, es importante indicar que los datos actualizados del DANE a 2024, reducen las estimaciones del DANE para 2021 y que se analizaron el POT como el de Bogotá (Decreto Distrital 555 de 2021).</w:t>
      </w:r>
    </w:p>
    <w:p w14:paraId="6BDB0207" w14:textId="77777777" w:rsidR="000260C6" w:rsidRPr="00131EED" w:rsidRDefault="000260C6" w:rsidP="00F421F8">
      <w:pPr>
        <w:rPr>
          <w:rFonts w:cs="Arial"/>
        </w:rPr>
      </w:pPr>
    </w:p>
    <w:p w14:paraId="6718AD7C" w14:textId="150038B0" w:rsidR="009E1ABA" w:rsidRPr="00131EED" w:rsidRDefault="009E1ABA" w:rsidP="009E1ABA">
      <w:pPr>
        <w:pStyle w:val="Caption"/>
        <w:keepNext/>
        <w:jc w:val="center"/>
      </w:pPr>
      <w:bookmarkStart w:id="305" w:name="_Toc216468961"/>
      <w:r w:rsidRPr="00131EED">
        <w:t xml:space="preserve">Tabla </w:t>
      </w:r>
      <w:fldSimple w:instr=" SEQ Tabla \* ARABIC ">
        <w:r w:rsidR="00CE096F">
          <w:rPr>
            <w:noProof/>
          </w:rPr>
          <w:t>51</w:t>
        </w:r>
      </w:fldSimple>
      <w:r w:rsidRPr="00131EED">
        <w:t>. Proyecciones de Población 2025 y 2035 - Indicadores de Estructura</w:t>
      </w:r>
      <w:bookmarkEnd w:id="305"/>
    </w:p>
    <w:p w14:paraId="5F0506F7" w14:textId="21A5AB50" w:rsidR="000260C6" w:rsidRPr="00131EED" w:rsidRDefault="000260C6" w:rsidP="00F421F8">
      <w:pPr>
        <w:rPr>
          <w:rFonts w:cs="Arial"/>
        </w:rPr>
      </w:pPr>
      <w:r w:rsidRPr="00131EED">
        <w:rPr>
          <w:noProof/>
        </w:rPr>
        <w:drawing>
          <wp:inline distT="0" distB="0" distL="0" distR="0" wp14:anchorId="6BA9D2C2" wp14:editId="4B52A5D0">
            <wp:extent cx="5612130" cy="3094990"/>
            <wp:effectExtent l="0" t="0" r="7620" b="0"/>
            <wp:docPr id="230190457" name="table" descr="A screenshot of a computer screen&#10;&#10;AI-generated content may be incorrect.">
              <a:extLst xmlns:a="http://schemas.openxmlformats.org/drawingml/2006/main">
                <a:ext uri="{FF2B5EF4-FFF2-40B4-BE49-F238E27FC236}">
                  <a16:creationId xmlns:a16="http://schemas.microsoft.com/office/drawing/2014/main" id="{C54CD3A1-70E0-1578-62E8-161176500B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190457" name="table" descr="A screenshot of a computer screen&#10;&#10;AI-generated content may be incorrect.">
                      <a:extLst>
                        <a:ext uri="{FF2B5EF4-FFF2-40B4-BE49-F238E27FC236}">
                          <a16:creationId xmlns:a16="http://schemas.microsoft.com/office/drawing/2014/main" id="{C54CD3A1-70E0-1578-62E8-161176500B57}"/>
                        </a:ext>
                      </a:extLst>
                    </pic:cNvPr>
                    <pic:cNvPicPr>
                      <a:picLocks noChangeAspect="1"/>
                    </pic:cNvPicPr>
                  </pic:nvPicPr>
                  <pic:blipFill>
                    <a:blip r:embed="rId140"/>
                    <a:stretch>
                      <a:fillRect/>
                    </a:stretch>
                  </pic:blipFill>
                  <pic:spPr>
                    <a:xfrm>
                      <a:off x="0" y="0"/>
                      <a:ext cx="5612130" cy="3094990"/>
                    </a:xfrm>
                    <a:prstGeom prst="rect">
                      <a:avLst/>
                    </a:prstGeom>
                  </pic:spPr>
                </pic:pic>
              </a:graphicData>
            </a:graphic>
          </wp:inline>
        </w:drawing>
      </w:r>
    </w:p>
    <w:p w14:paraId="66707E6B" w14:textId="45732EA5" w:rsidR="009E1ABA" w:rsidRPr="00131EED" w:rsidRDefault="009E1ABA" w:rsidP="009E1ABA">
      <w:pPr>
        <w:jc w:val="center"/>
        <w:rPr>
          <w:rFonts w:cs="Arial"/>
          <w:sz w:val="20"/>
          <w:szCs w:val="20"/>
        </w:rPr>
      </w:pPr>
      <w:r w:rsidRPr="00131EED">
        <w:rPr>
          <w:rFonts w:cs="Arial"/>
          <w:sz w:val="20"/>
          <w:szCs w:val="20"/>
        </w:rPr>
        <w:t>Fuente: Estadística poblacional – Sabana de Bogotá. DANE. 2025</w:t>
      </w:r>
    </w:p>
    <w:p w14:paraId="2B4BEAA3" w14:textId="77777777" w:rsidR="00BB03CA" w:rsidRPr="00131EED" w:rsidRDefault="00BB03CA" w:rsidP="00F421F8">
      <w:pPr>
        <w:rPr>
          <w:rFonts w:ascii="Baskerville" w:hAnsi="Baskerville" w:cs="Arial"/>
        </w:rPr>
      </w:pPr>
    </w:p>
    <w:p w14:paraId="2F2AE603" w14:textId="77777777" w:rsidR="00A138B0" w:rsidRPr="00A138B0" w:rsidRDefault="00A138B0" w:rsidP="00A138B0">
      <w:pPr>
        <w:rPr>
          <w:rFonts w:cs="Arial"/>
        </w:rPr>
      </w:pPr>
      <w:r w:rsidRPr="00A138B0">
        <w:rPr>
          <w:rFonts w:cs="Arial"/>
        </w:rPr>
        <w:t>En términos agregados, las cifras confirman una trayectoria de crecimiento poblacional moderado, cada vez más determinada por la dinámica migratoria que por el crecimiento natural, en un contexto marcado por la reducción sostenida de la fecundidad y el aumento progresivo de la esperanza de vida. Este comportamiento consolida a la Sabana como un espacio de recepción poblacional articulado funcionalmente a Bogotá.</w:t>
      </w:r>
    </w:p>
    <w:p w14:paraId="1BC6C0A2" w14:textId="77777777" w:rsidR="00A138B0" w:rsidRPr="00131EED" w:rsidRDefault="00A138B0" w:rsidP="00A138B0">
      <w:pPr>
        <w:rPr>
          <w:rFonts w:cs="Arial"/>
        </w:rPr>
      </w:pPr>
      <w:r w:rsidRPr="00A138B0">
        <w:rPr>
          <w:rFonts w:cs="Arial"/>
        </w:rPr>
        <w:t>Desde la perspectiva de la estructura por edades, las proyecciones evidencian un proceso de envejecimiento demográfico en curso. Entre 2025 y 2035 se observa una disminución relativa del peso de la población infantil y juvenil, acompañada por un aumento significativo de los grupos de edad adulta mayor, lo que se refleja en el incremento de los índices de envejecimiento y dependencia de adultos mayores. Al mismo tiempo, aunque la población en edad de trabajar continúa siendo mayoritaria, las cifras sugieren una transición hacia un bono demográfico en fase de agotamiento, con implicaciones directas sobre el mercado laboral, la productividad y los sistemas de protección social.</w:t>
      </w:r>
    </w:p>
    <w:p w14:paraId="152E14FA" w14:textId="77777777" w:rsidR="00131EED" w:rsidRPr="00A138B0" w:rsidRDefault="00131EED" w:rsidP="00A138B0">
      <w:pPr>
        <w:rPr>
          <w:rFonts w:cs="Arial"/>
        </w:rPr>
      </w:pPr>
    </w:p>
    <w:p w14:paraId="32D8BB87" w14:textId="77777777" w:rsidR="00A138B0" w:rsidRPr="00A138B0" w:rsidRDefault="00A138B0" w:rsidP="00A138B0">
      <w:pPr>
        <w:rPr>
          <w:rFonts w:cs="Arial"/>
        </w:rPr>
      </w:pPr>
      <w:r w:rsidRPr="00A138B0">
        <w:rPr>
          <w:rFonts w:cs="Arial"/>
        </w:rPr>
        <w:t>Finalmente, la comparación entre Bogotá y la Sabana de Bogotá permite identificar diferencias estructurales relevantes. Mientras la capital presenta un envejecimiento más avanzado y tasas de crecimiento más contenidas, la Sabana mantiene una estructura relativamente más joven y mayores ritmos de crecimiento, asociados principalmente a saldos migratorios positivos. Estas cifras confirman la profundización de un patrón metropolitano en el que la Sabana asume un papel clave en la redistribución poblacional y en la absorción de dinámicas residenciales</w:t>
      </w:r>
    </w:p>
    <w:p w14:paraId="0256E034" w14:textId="77777777" w:rsidR="009E1ABA" w:rsidRPr="00131EED" w:rsidRDefault="009E1ABA" w:rsidP="00F421F8">
      <w:pPr>
        <w:rPr>
          <w:rFonts w:ascii="Baskerville" w:hAnsi="Baskerville" w:cs="Arial"/>
        </w:rPr>
      </w:pPr>
    </w:p>
    <w:p w14:paraId="3126257B" w14:textId="206D4A28" w:rsidR="00F421F8" w:rsidRPr="00131EED" w:rsidRDefault="00F421F8" w:rsidP="008C6EFC">
      <w:pPr>
        <w:pStyle w:val="Caption"/>
        <w:jc w:val="center"/>
        <w:rPr>
          <w:rStyle w:val="SubtleReference"/>
          <w:smallCaps w:val="0"/>
          <w:color w:val="44546A"/>
        </w:rPr>
      </w:pPr>
      <w:bookmarkStart w:id="306" w:name="_Toc216468962"/>
      <w:r w:rsidRPr="00131EED">
        <w:t xml:space="preserve">Tabla </w:t>
      </w:r>
      <w:fldSimple w:instr=" SEQ Tabla \* ARABIC ">
        <w:r w:rsidR="00CE096F">
          <w:rPr>
            <w:noProof/>
          </w:rPr>
          <w:t>52</w:t>
        </w:r>
      </w:fldSimple>
      <w:r w:rsidRPr="00131EED">
        <w:t xml:space="preserve"> </w:t>
      </w:r>
      <w:r w:rsidRPr="00131EED">
        <w:rPr>
          <w:rStyle w:val="SubtleReference"/>
          <w:smallCaps w:val="0"/>
          <w:color w:val="44546A"/>
        </w:rPr>
        <w:t xml:space="preserve"> Escenarios de población y necesidades habitacionales. Decreto 555 de 2021. POT de Bogotá</w:t>
      </w:r>
      <w:bookmarkEnd w:id="306"/>
    </w:p>
    <w:p w14:paraId="1F789C27" w14:textId="77777777" w:rsidR="00F421F8" w:rsidRPr="00131EED" w:rsidRDefault="00F421F8" w:rsidP="008C6EFC">
      <w:pPr>
        <w:jc w:val="center"/>
        <w:rPr>
          <w:rFonts w:ascii="Baskerville" w:hAnsi="Baskerville" w:cs="Arial"/>
        </w:rPr>
      </w:pPr>
      <w:r w:rsidRPr="00131EED">
        <w:rPr>
          <w:rFonts w:ascii="Baskerville" w:hAnsi="Baskerville" w:cs="Arial"/>
          <w:noProof/>
          <w:lang w:eastAsia="en-US"/>
        </w:rPr>
        <w:drawing>
          <wp:inline distT="0" distB="0" distL="0" distR="0" wp14:anchorId="3F56115D" wp14:editId="5CCF9754">
            <wp:extent cx="4801247" cy="1357583"/>
            <wp:effectExtent l="0" t="0" r="0" b="0"/>
            <wp:docPr id="2105734744"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734744" name="Imagen 1" descr="Tabla&#10;&#10;Descripción generada automáticamente"/>
                    <pic:cNvPicPr/>
                  </pic:nvPicPr>
                  <pic:blipFill>
                    <a:blip r:embed="rId141"/>
                    <a:stretch>
                      <a:fillRect/>
                    </a:stretch>
                  </pic:blipFill>
                  <pic:spPr>
                    <a:xfrm>
                      <a:off x="0" y="0"/>
                      <a:ext cx="4815228" cy="1361536"/>
                    </a:xfrm>
                    <a:prstGeom prst="rect">
                      <a:avLst/>
                    </a:prstGeom>
                  </pic:spPr>
                </pic:pic>
              </a:graphicData>
            </a:graphic>
          </wp:inline>
        </w:drawing>
      </w:r>
    </w:p>
    <w:p w14:paraId="710B4E0B" w14:textId="469411E4" w:rsidR="00F421F8" w:rsidRPr="00131EED" w:rsidRDefault="00F421F8" w:rsidP="00F421F8">
      <w:pPr>
        <w:jc w:val="center"/>
        <w:rPr>
          <w:rFonts w:cs="Arial"/>
          <w:sz w:val="20"/>
          <w:szCs w:val="20"/>
        </w:rPr>
      </w:pPr>
      <w:r w:rsidRPr="00131EED">
        <w:rPr>
          <w:rFonts w:cs="Arial"/>
          <w:sz w:val="20"/>
          <w:szCs w:val="20"/>
        </w:rPr>
        <w:t xml:space="preserve">Fuente: Tomado de </w:t>
      </w:r>
      <w:sdt>
        <w:sdtPr>
          <w:rPr>
            <w:rFonts w:cs="Arial"/>
            <w:sz w:val="20"/>
            <w:szCs w:val="20"/>
          </w:rPr>
          <w:id w:val="-1142656044"/>
          <w:citation/>
        </w:sdtPr>
        <w:sdtEndPr/>
        <w:sdtContent>
          <w:r w:rsidRPr="00131EED">
            <w:rPr>
              <w:rFonts w:cs="Arial"/>
              <w:sz w:val="20"/>
              <w:szCs w:val="20"/>
            </w:rPr>
            <w:fldChar w:fldCharType="begin"/>
          </w:r>
          <w:r w:rsidRPr="00131EED">
            <w:rPr>
              <w:rFonts w:cs="Arial"/>
              <w:sz w:val="20"/>
              <w:szCs w:val="20"/>
            </w:rPr>
            <w:instrText xml:space="preserve"> CITATION SDP21 \l 9226 </w:instrText>
          </w:r>
          <w:r w:rsidRPr="00131EED">
            <w:rPr>
              <w:rFonts w:cs="Arial"/>
              <w:sz w:val="20"/>
              <w:szCs w:val="20"/>
            </w:rPr>
            <w:fldChar w:fldCharType="separate"/>
          </w:r>
          <w:r w:rsidRPr="00131EED">
            <w:rPr>
              <w:rFonts w:cs="Arial"/>
              <w:sz w:val="20"/>
              <w:szCs w:val="20"/>
            </w:rPr>
            <w:t>(SDP, 2021)</w:t>
          </w:r>
          <w:r w:rsidRPr="00131EED">
            <w:rPr>
              <w:rFonts w:cs="Arial"/>
              <w:sz w:val="20"/>
              <w:szCs w:val="20"/>
            </w:rPr>
            <w:fldChar w:fldCharType="end"/>
          </w:r>
        </w:sdtContent>
      </w:sdt>
    </w:p>
    <w:p w14:paraId="59BDFFF2" w14:textId="77777777" w:rsidR="00F421F8" w:rsidRPr="00131EED" w:rsidRDefault="00F421F8" w:rsidP="00F421F8">
      <w:pPr>
        <w:jc w:val="center"/>
        <w:rPr>
          <w:rFonts w:cs="Arial"/>
        </w:rPr>
      </w:pPr>
    </w:p>
    <w:p w14:paraId="6910BBCE" w14:textId="26C04B27" w:rsidR="00F421F8" w:rsidRPr="00131EED" w:rsidRDefault="00F421F8" w:rsidP="00F421F8">
      <w:pPr>
        <w:rPr>
          <w:rFonts w:cs="Arial"/>
        </w:rPr>
      </w:pPr>
      <w:r w:rsidRPr="00131EED">
        <w:rPr>
          <w:rFonts w:cs="Arial"/>
        </w:rPr>
        <w:t xml:space="preserve">En el ejercicio comparado de proyecciones, se observa una diferencia en la proyección de población, mientras que para el DANE </w:t>
      </w:r>
      <w:r w:rsidR="00965F1E" w:rsidRPr="00131EED">
        <w:rPr>
          <w:rFonts w:cs="Arial"/>
        </w:rPr>
        <w:t>(</w:t>
      </w:r>
      <w:r w:rsidRPr="00131EED">
        <w:rPr>
          <w:rFonts w:cs="Arial"/>
        </w:rPr>
        <w:t>202</w:t>
      </w:r>
      <w:r w:rsidR="00965F1E" w:rsidRPr="00131EED">
        <w:rPr>
          <w:rFonts w:cs="Arial"/>
        </w:rPr>
        <w:t>5)</w:t>
      </w:r>
      <w:r w:rsidRPr="00131EED">
        <w:rPr>
          <w:rFonts w:cs="Arial"/>
        </w:rPr>
        <w:t xml:space="preserve"> la población en Bogotá para el año 2035 sería de </w:t>
      </w:r>
      <w:r w:rsidR="00965F1E" w:rsidRPr="00131EED">
        <w:rPr>
          <w:rFonts w:cs="Arial"/>
        </w:rPr>
        <w:t xml:space="preserve">7.814.324 </w:t>
      </w:r>
      <w:r w:rsidRPr="00131EED">
        <w:rPr>
          <w:rFonts w:cs="Arial"/>
        </w:rPr>
        <w:t xml:space="preserve">personas, en el documento técnico de soporte del POT de Bogotá para el DANE </w:t>
      </w:r>
      <w:r w:rsidR="00965F1E" w:rsidRPr="00131EED">
        <w:rPr>
          <w:rFonts w:cs="Arial"/>
        </w:rPr>
        <w:t>(</w:t>
      </w:r>
      <w:r w:rsidRPr="00131EED">
        <w:rPr>
          <w:rFonts w:cs="Arial"/>
        </w:rPr>
        <w:t>2021</w:t>
      </w:r>
      <w:r w:rsidR="00965F1E" w:rsidRPr="00131EED">
        <w:rPr>
          <w:rFonts w:cs="Arial"/>
        </w:rPr>
        <w:t>)</w:t>
      </w:r>
      <w:r w:rsidRPr="00131EED">
        <w:rPr>
          <w:rFonts w:cs="Arial"/>
        </w:rPr>
        <w:t xml:space="preserve"> se proyectaba una población de 8.726.402 personas, es decir una diferencia de </w:t>
      </w:r>
      <w:r w:rsidR="00EC2B0F" w:rsidRPr="00131EED">
        <w:rPr>
          <w:rFonts w:cs="Arial"/>
        </w:rPr>
        <w:t xml:space="preserve">912.078 habitantes. </w:t>
      </w:r>
    </w:p>
    <w:p w14:paraId="4201C652" w14:textId="77777777" w:rsidR="00F421F8" w:rsidRPr="00131EED" w:rsidRDefault="00F421F8" w:rsidP="00F421F8">
      <w:pPr>
        <w:rPr>
          <w:rFonts w:cs="Arial"/>
        </w:rPr>
      </w:pPr>
    </w:p>
    <w:p w14:paraId="592214A0" w14:textId="77777777" w:rsidR="00F421F8" w:rsidRPr="00131EED" w:rsidRDefault="00F421F8" w:rsidP="00F421F8">
      <w:pPr>
        <w:rPr>
          <w:rFonts w:cs="Arial"/>
        </w:rPr>
      </w:pPr>
      <w:r w:rsidRPr="00131EED">
        <w:rPr>
          <w:rFonts w:cs="Arial"/>
        </w:rPr>
        <w:t xml:space="preserve">En términos de la oferta potencial de vivienda, una revisión de los Planes de Ordenamiento Territorial de los municipios del ámbito Sabana incluyendo Bogotá, permite determinar el potencial existente de suelo urbanizable y apto para la producción de vivienda. </w:t>
      </w:r>
    </w:p>
    <w:p w14:paraId="0B7E19FE" w14:textId="77777777" w:rsidR="00F421F8" w:rsidRPr="00131EED" w:rsidRDefault="00F421F8" w:rsidP="00F421F8">
      <w:pPr>
        <w:rPr>
          <w:rFonts w:cs="Arial"/>
        </w:rPr>
      </w:pPr>
    </w:p>
    <w:p w14:paraId="7FB7CCE8" w14:textId="77777777" w:rsidR="00F421F8" w:rsidRPr="00131EED" w:rsidRDefault="00F421F8" w:rsidP="00F421F8">
      <w:pPr>
        <w:rPr>
          <w:rFonts w:cs="Arial"/>
        </w:rPr>
      </w:pPr>
      <w:r w:rsidRPr="00131EED">
        <w:rPr>
          <w:rFonts w:cs="Arial"/>
        </w:rPr>
        <w:t>En el caso del POT de Bogotá, el balance entre la producción y la necesidad habitacional a 2035 señala la siguiente distribución entre tipologías de intervención</w:t>
      </w:r>
    </w:p>
    <w:p w14:paraId="493CE3DB" w14:textId="77777777" w:rsidR="00F421F8" w:rsidRPr="00131EED" w:rsidRDefault="00F421F8" w:rsidP="00F421F8">
      <w:pPr>
        <w:rPr>
          <w:rFonts w:ascii="Baskerville" w:hAnsi="Baskerville" w:cs="Arial"/>
        </w:rPr>
      </w:pPr>
    </w:p>
    <w:p w14:paraId="3FFE20E6" w14:textId="32F36119" w:rsidR="00F421F8" w:rsidRPr="00131EED" w:rsidRDefault="00F421F8" w:rsidP="008C6EFC">
      <w:pPr>
        <w:pStyle w:val="Caption"/>
        <w:jc w:val="center"/>
        <w:rPr>
          <w:rStyle w:val="SubtleReference"/>
          <w:smallCaps w:val="0"/>
          <w:color w:val="44546A"/>
        </w:rPr>
      </w:pPr>
      <w:bookmarkStart w:id="307" w:name="_Toc216468963"/>
      <w:r w:rsidRPr="00131EED">
        <w:t xml:space="preserve">Tabla </w:t>
      </w:r>
      <w:fldSimple w:instr=" SEQ Tabla \* ARABIC ">
        <w:r w:rsidR="00CE096F">
          <w:rPr>
            <w:noProof/>
          </w:rPr>
          <w:t>53</w:t>
        </w:r>
      </w:fldSimple>
      <w:r w:rsidRPr="00131EED">
        <w:t xml:space="preserve"> </w:t>
      </w:r>
      <w:r w:rsidRPr="00131EED">
        <w:rPr>
          <w:rStyle w:val="SubtleReference"/>
          <w:smallCaps w:val="0"/>
          <w:color w:val="44546A"/>
        </w:rPr>
        <w:t xml:space="preserve"> Balance entre producción y necesidades habitacionales 2035. POT de Bogotá</w:t>
      </w:r>
      <w:bookmarkEnd w:id="307"/>
    </w:p>
    <w:p w14:paraId="69793F2A" w14:textId="5A795C06" w:rsidR="002024C9" w:rsidRPr="00131EED" w:rsidRDefault="002024C9" w:rsidP="002024C9">
      <w:pPr>
        <w:rPr>
          <w:lang w:eastAsia="en-US"/>
        </w:rPr>
      </w:pPr>
      <w:r w:rsidRPr="00131EED">
        <w:rPr>
          <w:noProof/>
          <w:lang w:eastAsia="en-US"/>
        </w:rPr>
        <mc:AlternateContent>
          <mc:Choice Requires="wpg">
            <w:drawing>
              <wp:anchor distT="0" distB="0" distL="114300" distR="114300" simplePos="0" relativeHeight="251756032" behindDoc="0" locked="0" layoutInCell="1" allowOverlap="1" wp14:anchorId="7CCC286B" wp14:editId="0AF0196C">
                <wp:simplePos x="0" y="0"/>
                <wp:positionH relativeFrom="column">
                  <wp:posOffset>736600</wp:posOffset>
                </wp:positionH>
                <wp:positionV relativeFrom="paragraph">
                  <wp:posOffset>6985</wp:posOffset>
                </wp:positionV>
                <wp:extent cx="3876675" cy="991235"/>
                <wp:effectExtent l="0" t="0" r="9525" b="0"/>
                <wp:wrapThrough wrapText="bothSides">
                  <wp:wrapPolygon edited="0">
                    <wp:start x="0" y="0"/>
                    <wp:lineTo x="0" y="21171"/>
                    <wp:lineTo x="21547" y="21171"/>
                    <wp:lineTo x="21547" y="15359"/>
                    <wp:lineTo x="21441" y="0"/>
                    <wp:lineTo x="0" y="0"/>
                  </wp:wrapPolygon>
                </wp:wrapThrough>
                <wp:docPr id="1872738305" name="Grupo 44"/>
                <wp:cNvGraphicFramePr/>
                <a:graphic xmlns:a="http://schemas.openxmlformats.org/drawingml/2006/main">
                  <a:graphicData uri="http://schemas.microsoft.com/office/word/2010/wordprocessingGroup">
                    <wpg:wgp>
                      <wpg:cNvGrpSpPr/>
                      <wpg:grpSpPr>
                        <a:xfrm>
                          <a:off x="0" y="0"/>
                          <a:ext cx="3876675" cy="991235"/>
                          <a:chOff x="0" y="0"/>
                          <a:chExt cx="4486219" cy="1155379"/>
                        </a:xfrm>
                      </wpg:grpSpPr>
                      <pic:pic xmlns:pic="http://schemas.openxmlformats.org/drawingml/2006/picture">
                        <pic:nvPicPr>
                          <pic:cNvPr id="1872738306" name="Imagen 1" descr="Imagen que contiene Gráfico&#10;&#10;Descripción generada automáticamente"/>
                          <pic:cNvPicPr>
                            <a:picLocks noChangeAspect="1"/>
                          </pic:cNvPicPr>
                        </pic:nvPicPr>
                        <pic:blipFill rotWithShape="1">
                          <a:blip r:embed="rId142">
                            <a:extLst>
                              <a:ext uri="{28A0092B-C50C-407E-A947-70E740481C1C}">
                                <a14:useLocalDpi xmlns:a14="http://schemas.microsoft.com/office/drawing/2010/main" val="0"/>
                              </a:ext>
                            </a:extLst>
                          </a:blip>
                          <a:srcRect t="6062" b="28233"/>
                          <a:stretch>
                            <a:fillRect/>
                          </a:stretch>
                        </pic:blipFill>
                        <pic:spPr bwMode="auto">
                          <a:xfrm>
                            <a:off x="5024" y="828989"/>
                            <a:ext cx="4481195" cy="3263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872738307" name="Imagen 1" descr="A table with numbers and a few black text&#10;&#10;AI-generated content may be incorrect."/>
                          <pic:cNvPicPr>
                            <a:picLocks noChangeAspect="1"/>
                          </pic:cNvPicPr>
                        </pic:nvPicPr>
                        <pic:blipFill rotWithShape="1">
                          <a:blip r:embed="rId143">
                            <a:extLst>
                              <a:ext uri="{28A0092B-C50C-407E-A947-70E740481C1C}">
                                <a14:useLocalDpi xmlns:a14="http://schemas.microsoft.com/office/drawing/2010/main" val="0"/>
                              </a:ext>
                            </a:extLst>
                          </a:blip>
                          <a:srcRect l="5165" t="14546" b="4408"/>
                          <a:stretch>
                            <a:fillRect/>
                          </a:stretch>
                        </pic:blipFill>
                        <pic:spPr bwMode="auto">
                          <a:xfrm>
                            <a:off x="0" y="0"/>
                            <a:ext cx="4434840" cy="8489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5DB4075" id="Grupo 44" o:spid="_x0000_s1026" style="position:absolute;margin-left:58pt;margin-top:.55pt;width:305.25pt;height:78.05pt;z-index:251756032;mso-width-relative:margin;mso-height-relative:margin" coordsize="44862,115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&#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">
                <v:shape id="Imagen 1" o:spid="_x0000_s1027" type="#_x0000_t75" alt="Imagen que contiene Gráfico&#10;&#10;Descripción generada automáticamente" style="position:absolute;left:50;top:8289;width:44812;height:3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">
                  <v:imagedata r:id="rId144" o:title="Imagen que contiene Gráfico&#10;&#10;Descripción generada automáticamente" croptop="3973f" cropbottom="18503f"/>
                </v:shape>
                <v:shape id="Imagen 1" o:spid="_x0000_s1028" type="#_x0000_t75" alt="A table with numbers and a few black text&#10;&#10;AI-generated content may be incorrect." style="position:absolute;width:44348;height:8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">
                  <v:imagedata r:id="rId145" o:title="A table with numbers and a few black text&#10;&#10;AI-generated content may be incorrect" croptop="9533f" cropbottom="2889f" cropleft="3385f"/>
                </v:shape>
                <w10:wrap type="through"/>
              </v:group>
            </w:pict>
          </mc:Fallback>
        </mc:AlternateContent>
      </w:r>
    </w:p>
    <w:p w14:paraId="226E3CC0" w14:textId="12965A31" w:rsidR="002024C9" w:rsidRPr="00131EED" w:rsidRDefault="002024C9" w:rsidP="002024C9">
      <w:pPr>
        <w:rPr>
          <w:lang w:eastAsia="en-US"/>
        </w:rPr>
      </w:pPr>
    </w:p>
    <w:p w14:paraId="50D009EA" w14:textId="475CA6FB" w:rsidR="002024C9" w:rsidRPr="00131EED" w:rsidRDefault="002024C9" w:rsidP="002024C9">
      <w:pPr>
        <w:rPr>
          <w:lang w:eastAsia="en-US"/>
        </w:rPr>
      </w:pPr>
    </w:p>
    <w:p w14:paraId="1340F751" w14:textId="23433C57" w:rsidR="00F421F8" w:rsidRPr="00131EED" w:rsidRDefault="00F421F8" w:rsidP="002024C9">
      <w:pPr>
        <w:jc w:val="left"/>
        <w:rPr>
          <w:rFonts w:ascii="Baskerville" w:hAnsi="Baskerville" w:cs="Arial"/>
        </w:rPr>
      </w:pPr>
    </w:p>
    <w:p w14:paraId="071DAA49" w14:textId="0CE1D159" w:rsidR="002024C9" w:rsidRPr="00131EED" w:rsidRDefault="002024C9" w:rsidP="002024C9">
      <w:pPr>
        <w:jc w:val="left"/>
        <w:rPr>
          <w:rFonts w:ascii="Baskerville" w:hAnsi="Baskerville" w:cs="Arial"/>
        </w:rPr>
      </w:pPr>
    </w:p>
    <w:p w14:paraId="3E5C9726" w14:textId="51DB05CF" w:rsidR="00F421F8" w:rsidRPr="00131EED" w:rsidRDefault="00F421F8" w:rsidP="002024C9">
      <w:pPr>
        <w:jc w:val="left"/>
        <w:rPr>
          <w:rFonts w:ascii="Baskerville" w:hAnsi="Baskerville" w:cs="Arial"/>
        </w:rPr>
      </w:pPr>
    </w:p>
    <w:p w14:paraId="011F538B" w14:textId="08915C71" w:rsidR="00F421F8" w:rsidRPr="00131EED" w:rsidRDefault="00F421F8" w:rsidP="00F421F8">
      <w:pPr>
        <w:jc w:val="center"/>
        <w:rPr>
          <w:rFonts w:ascii="Baskerville" w:hAnsi="Baskerville" w:cs="Arial"/>
          <w:sz w:val="20"/>
          <w:szCs w:val="20"/>
        </w:rPr>
      </w:pPr>
      <w:r w:rsidRPr="00131EED">
        <w:rPr>
          <w:rFonts w:ascii="Baskerville" w:hAnsi="Baskerville" w:cs="Arial"/>
          <w:sz w:val="20"/>
          <w:szCs w:val="20"/>
        </w:rPr>
        <w:t xml:space="preserve">Fuente: </w:t>
      </w:r>
      <w:sdt>
        <w:sdtPr>
          <w:rPr>
            <w:rFonts w:ascii="Baskerville" w:hAnsi="Baskerville" w:cs="Arial"/>
            <w:sz w:val="20"/>
            <w:szCs w:val="20"/>
          </w:rPr>
          <w:id w:val="1075703387"/>
          <w:citation/>
        </w:sdtPr>
        <w:sdtEndPr/>
        <w:sdtContent>
          <w:r w:rsidRPr="00131EED">
            <w:rPr>
              <w:rFonts w:ascii="Baskerville" w:hAnsi="Baskerville" w:cs="Arial"/>
              <w:sz w:val="20"/>
              <w:szCs w:val="20"/>
            </w:rPr>
            <w:fldChar w:fldCharType="begin"/>
          </w:r>
          <w:r w:rsidRPr="00131EED">
            <w:rPr>
              <w:rFonts w:ascii="Baskerville" w:hAnsi="Baskerville" w:cs="Arial"/>
              <w:sz w:val="20"/>
              <w:szCs w:val="20"/>
            </w:rPr>
            <w:instrText xml:space="preserve"> CITATION SDP21 \l 9226 </w:instrText>
          </w:r>
          <w:r w:rsidRPr="00131EED">
            <w:rPr>
              <w:rFonts w:ascii="Baskerville" w:hAnsi="Baskerville" w:cs="Arial"/>
              <w:sz w:val="20"/>
              <w:szCs w:val="20"/>
            </w:rPr>
            <w:fldChar w:fldCharType="separate"/>
          </w:r>
          <w:r w:rsidRPr="00131EED">
            <w:rPr>
              <w:rFonts w:ascii="Baskerville" w:hAnsi="Baskerville" w:cs="Arial"/>
              <w:sz w:val="20"/>
              <w:szCs w:val="20"/>
            </w:rPr>
            <w:t>(SDP, 2021)</w:t>
          </w:r>
          <w:r w:rsidRPr="00131EED">
            <w:rPr>
              <w:rFonts w:ascii="Baskerville" w:hAnsi="Baskerville" w:cs="Arial"/>
              <w:sz w:val="20"/>
              <w:szCs w:val="20"/>
            </w:rPr>
            <w:fldChar w:fldCharType="end"/>
          </w:r>
        </w:sdtContent>
      </w:sdt>
    </w:p>
    <w:p w14:paraId="29D49A98" w14:textId="77777777" w:rsidR="00F421F8" w:rsidRPr="00131EED" w:rsidRDefault="00F421F8" w:rsidP="00F421F8">
      <w:pPr>
        <w:rPr>
          <w:rFonts w:cs="Arial"/>
        </w:rPr>
      </w:pPr>
    </w:p>
    <w:p w14:paraId="5C3B7B4E" w14:textId="77777777" w:rsidR="00F421F8" w:rsidRPr="00131EED" w:rsidRDefault="00F421F8" w:rsidP="00F421F8">
      <w:pPr>
        <w:rPr>
          <w:rFonts w:cs="Arial"/>
        </w:rPr>
      </w:pPr>
      <w:r w:rsidRPr="00131EED">
        <w:rPr>
          <w:rFonts w:cs="Arial"/>
        </w:rPr>
        <w:t>En términos de la construcción de vivienda nueva, se estima un potencial de producción correspondiente a 589.182 viviendas a 2035 en la ciudad de Bogotá para la vigencia del POT actual y teniendo presente los ritmos del mercado; sin embargo, el potencial normativo total por cada uno de los tratamientos urbanísticos en Bogotá corresponde a 1.594.389 viviendas, potencial que según indica el POT de Bogotá no se logra concretar en su vigencia. El POT de Bogotá estimó que la región tiene un potencial de producción de 156.728 viviendas.</w:t>
      </w:r>
    </w:p>
    <w:p w14:paraId="70F64C9E" w14:textId="77777777" w:rsidR="00F421F8" w:rsidRPr="00131EED" w:rsidRDefault="00F421F8" w:rsidP="00F421F8">
      <w:pPr>
        <w:rPr>
          <w:rFonts w:ascii="Baskerville" w:hAnsi="Baskerville" w:cs="Arial"/>
        </w:rPr>
      </w:pPr>
    </w:p>
    <w:p w14:paraId="646DF62B" w14:textId="77777777" w:rsidR="00BB03CA" w:rsidRPr="00131EED" w:rsidRDefault="00BB03CA" w:rsidP="00F421F8">
      <w:pPr>
        <w:rPr>
          <w:rFonts w:ascii="Baskerville" w:hAnsi="Baskerville" w:cs="Arial"/>
        </w:rPr>
      </w:pPr>
    </w:p>
    <w:p w14:paraId="33E6337F" w14:textId="34FF2527" w:rsidR="00F421F8" w:rsidRPr="00131EED" w:rsidRDefault="00F421F8" w:rsidP="002024C9">
      <w:pPr>
        <w:pStyle w:val="Caption"/>
        <w:jc w:val="center"/>
        <w:rPr>
          <w:rStyle w:val="SubtleReference"/>
          <w:smallCaps w:val="0"/>
          <w:color w:val="44546A"/>
        </w:rPr>
      </w:pPr>
      <w:bookmarkStart w:id="308" w:name="_Toc216468964"/>
      <w:r w:rsidRPr="00131EED">
        <w:t xml:space="preserve">Tabla </w:t>
      </w:r>
      <w:fldSimple w:instr=" SEQ Tabla \* ARABIC ">
        <w:r w:rsidR="00CE096F">
          <w:rPr>
            <w:noProof/>
          </w:rPr>
          <w:t>54</w:t>
        </w:r>
      </w:fldSimple>
      <w:r w:rsidRPr="00131EED">
        <w:rPr>
          <w:rStyle w:val="SubtleReference"/>
          <w:smallCaps w:val="0"/>
          <w:color w:val="44546A"/>
        </w:rPr>
        <w:t>. Proyección del potencial normativo ajustado al ritmo de mercado a 2035 por tratamiento</w:t>
      </w:r>
      <w:bookmarkEnd w:id="308"/>
    </w:p>
    <w:p w14:paraId="215270C5" w14:textId="77777777" w:rsidR="00F421F8" w:rsidRPr="00131EED" w:rsidRDefault="00F421F8" w:rsidP="00F421F8">
      <w:pPr>
        <w:jc w:val="center"/>
        <w:rPr>
          <w:rFonts w:ascii="Baskerville" w:hAnsi="Baskerville" w:cs="Arial"/>
        </w:rPr>
      </w:pPr>
      <w:r w:rsidRPr="00131EED">
        <w:rPr>
          <w:rFonts w:ascii="Baskerville" w:hAnsi="Baskerville" w:cs="Arial"/>
          <w:noProof/>
          <w:lang w:eastAsia="en-US"/>
        </w:rPr>
        <w:drawing>
          <wp:inline distT="0" distB="0" distL="0" distR="0" wp14:anchorId="7F7AD8D0" wp14:editId="26DCB29A">
            <wp:extent cx="4284521" cy="1440612"/>
            <wp:effectExtent l="0" t="0" r="1905" b="7620"/>
            <wp:docPr id="1187703222" name="Imagen 1"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03222" name="Imagen 1" descr="A table with numbers and text&#10;&#10;AI-generated content may be incorrect."/>
                    <pic:cNvPicPr/>
                  </pic:nvPicPr>
                  <pic:blipFill rotWithShape="1">
                    <a:blip r:embed="rId146"/>
                    <a:srcRect t="12000" b="6168"/>
                    <a:stretch/>
                  </pic:blipFill>
                  <pic:spPr bwMode="auto">
                    <a:xfrm>
                      <a:off x="0" y="0"/>
                      <a:ext cx="4323428" cy="1453694"/>
                    </a:xfrm>
                    <a:prstGeom prst="rect">
                      <a:avLst/>
                    </a:prstGeom>
                    <a:ln>
                      <a:noFill/>
                    </a:ln>
                    <a:extLst>
                      <a:ext uri="{53640926-AAD7-44D8-BBD7-CCE9431645EC}">
                        <a14:shadowObscured xmlns:a14="http://schemas.microsoft.com/office/drawing/2010/main"/>
                      </a:ext>
                    </a:extLst>
                  </pic:spPr>
                </pic:pic>
              </a:graphicData>
            </a:graphic>
          </wp:inline>
        </w:drawing>
      </w:r>
    </w:p>
    <w:p w14:paraId="72BD030A" w14:textId="4845A468" w:rsidR="00F421F8" w:rsidRPr="00131EED" w:rsidRDefault="00F421F8" w:rsidP="00F421F8">
      <w:pPr>
        <w:jc w:val="center"/>
        <w:rPr>
          <w:rFonts w:ascii="Baskerville" w:hAnsi="Baskerville" w:cs="Arial"/>
          <w:sz w:val="20"/>
          <w:szCs w:val="20"/>
        </w:rPr>
      </w:pPr>
      <w:r w:rsidRPr="00131EED">
        <w:rPr>
          <w:rFonts w:ascii="Baskerville" w:hAnsi="Baskerville" w:cs="Arial"/>
          <w:sz w:val="20"/>
          <w:szCs w:val="20"/>
        </w:rPr>
        <w:t xml:space="preserve">Fuente: </w:t>
      </w:r>
      <w:sdt>
        <w:sdtPr>
          <w:rPr>
            <w:rFonts w:ascii="Baskerville" w:hAnsi="Baskerville" w:cs="Arial"/>
            <w:sz w:val="20"/>
            <w:szCs w:val="20"/>
          </w:rPr>
          <w:id w:val="-181205088"/>
          <w:citation/>
        </w:sdtPr>
        <w:sdtEndPr/>
        <w:sdtContent>
          <w:r w:rsidRPr="00131EED">
            <w:rPr>
              <w:rFonts w:ascii="Baskerville" w:hAnsi="Baskerville" w:cs="Arial"/>
              <w:sz w:val="20"/>
              <w:szCs w:val="20"/>
            </w:rPr>
            <w:fldChar w:fldCharType="begin"/>
          </w:r>
          <w:r w:rsidRPr="00131EED">
            <w:rPr>
              <w:rFonts w:ascii="Baskerville" w:hAnsi="Baskerville" w:cs="Arial"/>
              <w:sz w:val="20"/>
              <w:szCs w:val="20"/>
            </w:rPr>
            <w:instrText xml:space="preserve"> CITATION SDP21 \l 9226 </w:instrText>
          </w:r>
          <w:r w:rsidRPr="00131EED">
            <w:rPr>
              <w:rFonts w:ascii="Baskerville" w:hAnsi="Baskerville" w:cs="Arial"/>
              <w:sz w:val="20"/>
              <w:szCs w:val="20"/>
            </w:rPr>
            <w:fldChar w:fldCharType="separate"/>
          </w:r>
          <w:r w:rsidRPr="00131EED">
            <w:rPr>
              <w:rFonts w:ascii="Baskerville" w:hAnsi="Baskerville" w:cs="Arial"/>
              <w:sz w:val="20"/>
              <w:szCs w:val="20"/>
            </w:rPr>
            <w:t>(SDP, 2021)</w:t>
          </w:r>
          <w:r w:rsidRPr="00131EED">
            <w:rPr>
              <w:rFonts w:ascii="Baskerville" w:hAnsi="Baskerville" w:cs="Arial"/>
              <w:sz w:val="20"/>
              <w:szCs w:val="20"/>
            </w:rPr>
            <w:fldChar w:fldCharType="end"/>
          </w:r>
        </w:sdtContent>
      </w:sdt>
    </w:p>
    <w:p w14:paraId="234858E8" w14:textId="77777777" w:rsidR="00BB03CA" w:rsidRPr="00131EED" w:rsidRDefault="00BB03CA" w:rsidP="00F421F8">
      <w:pPr>
        <w:rPr>
          <w:rFonts w:cs="Arial"/>
        </w:rPr>
      </w:pPr>
    </w:p>
    <w:p w14:paraId="73DB2DA5" w14:textId="2B3B76C6" w:rsidR="00F421F8" w:rsidRPr="00131EED" w:rsidRDefault="00F421F8" w:rsidP="00F421F8">
      <w:pPr>
        <w:rPr>
          <w:rFonts w:cs="Arial"/>
        </w:rPr>
      </w:pPr>
      <w:r w:rsidRPr="00131EED">
        <w:rPr>
          <w:rFonts w:cs="Arial"/>
        </w:rPr>
        <w:t xml:space="preserve">Respecto al potencial de suelo urbanizable y la construcción de vivienda en la región, los estudios del Observatorio de Hábitat de Bogotá indican que para el año 2020, según los Planes de Ordenamiento Territorial vigentes, existe un potencial de 24.315,24 hectáreas de suelo urbanizable. </w:t>
      </w:r>
    </w:p>
    <w:p w14:paraId="3A72F70C" w14:textId="77777777" w:rsidR="00F421F8" w:rsidRPr="00131EED" w:rsidRDefault="00F421F8" w:rsidP="00F421F8">
      <w:pPr>
        <w:rPr>
          <w:rFonts w:cs="Arial"/>
        </w:rPr>
      </w:pPr>
    </w:p>
    <w:p w14:paraId="65704B49" w14:textId="77777777" w:rsidR="007B2C06" w:rsidRPr="00131EED" w:rsidRDefault="007B2C06" w:rsidP="00F421F8">
      <w:pPr>
        <w:pStyle w:val="Caption"/>
        <w:jc w:val="center"/>
      </w:pPr>
    </w:p>
    <w:p w14:paraId="01FBFE45" w14:textId="77777777" w:rsidR="007B2C06" w:rsidRPr="00131EED" w:rsidRDefault="007B2C06" w:rsidP="00F421F8">
      <w:pPr>
        <w:pStyle w:val="Caption"/>
        <w:jc w:val="center"/>
      </w:pPr>
    </w:p>
    <w:p w14:paraId="7B25C19B" w14:textId="77777777" w:rsidR="007B2C06" w:rsidRPr="00131EED" w:rsidRDefault="007B2C06" w:rsidP="00F421F8">
      <w:pPr>
        <w:pStyle w:val="Caption"/>
        <w:jc w:val="center"/>
      </w:pPr>
    </w:p>
    <w:p w14:paraId="6432AEED" w14:textId="77777777" w:rsidR="007B2C06" w:rsidRPr="00131EED" w:rsidRDefault="007B2C06" w:rsidP="00F421F8">
      <w:pPr>
        <w:pStyle w:val="Caption"/>
        <w:jc w:val="center"/>
      </w:pPr>
    </w:p>
    <w:p w14:paraId="13359FD3" w14:textId="77777777" w:rsidR="007B2C06" w:rsidRPr="00131EED" w:rsidRDefault="007B2C06" w:rsidP="00F421F8">
      <w:pPr>
        <w:pStyle w:val="Caption"/>
        <w:jc w:val="center"/>
      </w:pPr>
    </w:p>
    <w:p w14:paraId="5EAB786E" w14:textId="77777777" w:rsidR="007B2C06" w:rsidRPr="00131EED" w:rsidRDefault="007B2C06" w:rsidP="00F421F8">
      <w:pPr>
        <w:pStyle w:val="Caption"/>
        <w:jc w:val="center"/>
      </w:pPr>
    </w:p>
    <w:p w14:paraId="451A9297" w14:textId="77777777" w:rsidR="007B2C06" w:rsidRPr="00131EED" w:rsidRDefault="007B2C06" w:rsidP="00F421F8">
      <w:pPr>
        <w:pStyle w:val="Caption"/>
        <w:jc w:val="center"/>
      </w:pPr>
    </w:p>
    <w:p w14:paraId="677C549C" w14:textId="59FF705E" w:rsidR="00F421F8" w:rsidRPr="00131EED" w:rsidRDefault="00F421F8" w:rsidP="00F421F8">
      <w:pPr>
        <w:pStyle w:val="Caption"/>
        <w:jc w:val="center"/>
        <w:rPr>
          <w:rStyle w:val="SubtleReference"/>
          <w:smallCaps w:val="0"/>
          <w:color w:val="44546A"/>
        </w:rPr>
      </w:pPr>
      <w:bookmarkStart w:id="309" w:name="_Toc216468965"/>
      <w:r w:rsidRPr="00131EED">
        <w:t xml:space="preserve">Tabla </w:t>
      </w:r>
      <w:fldSimple w:instr=" SEQ Tabla \* ARABIC ">
        <w:r w:rsidR="00CE096F">
          <w:rPr>
            <w:noProof/>
          </w:rPr>
          <w:t>55</w:t>
        </w:r>
      </w:fldSimple>
      <w:r w:rsidRPr="00131EED">
        <w:rPr>
          <w:rStyle w:val="SubtleReference"/>
          <w:smallCaps w:val="0"/>
          <w:color w:val="44546A"/>
        </w:rPr>
        <w:t>. Hectáreas disponibles de suelo urbanizable por clasificación de suelo en municipios de la Sabana</w:t>
      </w:r>
      <w:bookmarkEnd w:id="309"/>
    </w:p>
    <w:tbl>
      <w:tblPr>
        <w:tblW w:w="7335" w:type="dxa"/>
        <w:jc w:val="center"/>
        <w:tblLook w:val="04A0" w:firstRow="1" w:lastRow="0" w:firstColumn="1" w:lastColumn="0" w:noHBand="0" w:noVBand="1"/>
      </w:tblPr>
      <w:tblGrid>
        <w:gridCol w:w="1165"/>
        <w:gridCol w:w="1661"/>
        <w:gridCol w:w="776"/>
        <w:gridCol w:w="1093"/>
        <w:gridCol w:w="833"/>
        <w:gridCol w:w="989"/>
        <w:gridCol w:w="954"/>
      </w:tblGrid>
      <w:tr w:rsidR="00F421F8" w:rsidRPr="00131EED" w14:paraId="700B1F76" w14:textId="77777777">
        <w:trPr>
          <w:trHeight w:val="249"/>
          <w:tblHeader/>
          <w:jc w:val="center"/>
        </w:trPr>
        <w:tc>
          <w:tcPr>
            <w:tcW w:w="1165" w:type="dxa"/>
            <w:tcBorders>
              <w:top w:val="single" w:sz="4" w:space="0" w:color="auto"/>
              <w:left w:val="single" w:sz="4" w:space="0" w:color="auto"/>
              <w:bottom w:val="single" w:sz="4" w:space="0" w:color="auto"/>
              <w:right w:val="single" w:sz="4" w:space="0" w:color="auto"/>
            </w:tcBorders>
            <w:noWrap/>
            <w:vAlign w:val="center"/>
            <w:hideMark/>
          </w:tcPr>
          <w:p w14:paraId="27C6C8ED" w14:textId="77777777" w:rsidR="00F421F8" w:rsidRPr="00131EED" w:rsidRDefault="00F421F8">
            <w:pPr>
              <w:jc w:val="center"/>
              <w:rPr>
                <w:b/>
                <w:color w:val="000000"/>
                <w:sz w:val="20"/>
                <w:szCs w:val="20"/>
                <w:lang w:eastAsia="en-US"/>
              </w:rPr>
            </w:pPr>
            <w:r w:rsidRPr="00131EED">
              <w:rPr>
                <w:b/>
                <w:color w:val="000000"/>
                <w:sz w:val="20"/>
                <w:szCs w:val="20"/>
                <w:lang w:eastAsia="en-US"/>
              </w:rPr>
              <w:t>Municipios</w:t>
            </w:r>
          </w:p>
        </w:tc>
        <w:tc>
          <w:tcPr>
            <w:tcW w:w="1661" w:type="dxa"/>
            <w:tcBorders>
              <w:top w:val="single" w:sz="4" w:space="0" w:color="auto"/>
              <w:left w:val="nil"/>
              <w:bottom w:val="single" w:sz="4" w:space="0" w:color="auto"/>
              <w:right w:val="single" w:sz="4" w:space="0" w:color="auto"/>
            </w:tcBorders>
            <w:noWrap/>
            <w:vAlign w:val="center"/>
            <w:hideMark/>
          </w:tcPr>
          <w:p w14:paraId="1017074A" w14:textId="77777777" w:rsidR="00F421F8" w:rsidRPr="00131EED" w:rsidRDefault="00F421F8">
            <w:pPr>
              <w:jc w:val="center"/>
              <w:rPr>
                <w:b/>
                <w:color w:val="000000"/>
                <w:sz w:val="20"/>
                <w:szCs w:val="20"/>
                <w:lang w:eastAsia="en-US"/>
              </w:rPr>
            </w:pPr>
            <w:r w:rsidRPr="00131EED">
              <w:rPr>
                <w:b/>
                <w:color w:val="000000"/>
                <w:sz w:val="20"/>
                <w:szCs w:val="20"/>
                <w:lang w:eastAsia="en-US"/>
              </w:rPr>
              <w:t>Expansión Urbana</w:t>
            </w:r>
          </w:p>
        </w:tc>
        <w:tc>
          <w:tcPr>
            <w:tcW w:w="776" w:type="dxa"/>
            <w:tcBorders>
              <w:top w:val="single" w:sz="4" w:space="0" w:color="auto"/>
              <w:left w:val="nil"/>
              <w:bottom w:val="single" w:sz="4" w:space="0" w:color="auto"/>
              <w:right w:val="single" w:sz="4" w:space="0" w:color="auto"/>
            </w:tcBorders>
            <w:noWrap/>
            <w:vAlign w:val="center"/>
            <w:hideMark/>
          </w:tcPr>
          <w:p w14:paraId="5E7F5788" w14:textId="77777777" w:rsidR="00F421F8" w:rsidRPr="00131EED" w:rsidRDefault="00F421F8">
            <w:pPr>
              <w:jc w:val="center"/>
              <w:rPr>
                <w:b/>
                <w:color w:val="000000"/>
                <w:sz w:val="20"/>
                <w:szCs w:val="20"/>
                <w:lang w:eastAsia="en-US"/>
              </w:rPr>
            </w:pPr>
            <w:r w:rsidRPr="00131EED">
              <w:rPr>
                <w:b/>
                <w:color w:val="000000"/>
                <w:sz w:val="20"/>
                <w:szCs w:val="20"/>
                <w:lang w:eastAsia="en-US"/>
              </w:rPr>
              <w:t>Rural</w:t>
            </w:r>
          </w:p>
        </w:tc>
        <w:tc>
          <w:tcPr>
            <w:tcW w:w="1041" w:type="dxa"/>
            <w:tcBorders>
              <w:top w:val="single" w:sz="4" w:space="0" w:color="auto"/>
              <w:left w:val="nil"/>
              <w:bottom w:val="single" w:sz="4" w:space="0" w:color="auto"/>
              <w:right w:val="single" w:sz="4" w:space="0" w:color="auto"/>
            </w:tcBorders>
            <w:noWrap/>
            <w:vAlign w:val="center"/>
            <w:hideMark/>
          </w:tcPr>
          <w:p w14:paraId="564DD858" w14:textId="77777777" w:rsidR="00F421F8" w:rsidRPr="00131EED" w:rsidRDefault="00F421F8">
            <w:pPr>
              <w:jc w:val="center"/>
              <w:rPr>
                <w:b/>
                <w:color w:val="000000"/>
                <w:sz w:val="20"/>
                <w:szCs w:val="20"/>
                <w:lang w:eastAsia="en-US"/>
              </w:rPr>
            </w:pPr>
            <w:r w:rsidRPr="00131EED">
              <w:rPr>
                <w:b/>
                <w:color w:val="000000"/>
                <w:sz w:val="20"/>
                <w:szCs w:val="20"/>
                <w:lang w:eastAsia="en-US"/>
              </w:rPr>
              <w:t>Suburbano</w:t>
            </w:r>
          </w:p>
        </w:tc>
        <w:tc>
          <w:tcPr>
            <w:tcW w:w="794" w:type="dxa"/>
            <w:tcBorders>
              <w:top w:val="single" w:sz="4" w:space="0" w:color="auto"/>
              <w:left w:val="nil"/>
              <w:bottom w:val="single" w:sz="4" w:space="0" w:color="auto"/>
              <w:right w:val="single" w:sz="4" w:space="0" w:color="auto"/>
            </w:tcBorders>
            <w:noWrap/>
            <w:vAlign w:val="center"/>
            <w:hideMark/>
          </w:tcPr>
          <w:p w14:paraId="03717CF1" w14:textId="77777777" w:rsidR="00F421F8" w:rsidRPr="00131EED" w:rsidRDefault="00F421F8">
            <w:pPr>
              <w:jc w:val="center"/>
              <w:rPr>
                <w:b/>
                <w:color w:val="000000"/>
                <w:sz w:val="20"/>
                <w:szCs w:val="20"/>
                <w:lang w:eastAsia="en-US"/>
              </w:rPr>
            </w:pPr>
            <w:r w:rsidRPr="00131EED">
              <w:rPr>
                <w:b/>
                <w:color w:val="000000"/>
                <w:sz w:val="20"/>
                <w:szCs w:val="20"/>
                <w:lang w:eastAsia="en-US"/>
              </w:rPr>
              <w:t>Urbano</w:t>
            </w:r>
          </w:p>
        </w:tc>
        <w:tc>
          <w:tcPr>
            <w:tcW w:w="989" w:type="dxa"/>
            <w:tcBorders>
              <w:top w:val="single" w:sz="4" w:space="0" w:color="auto"/>
              <w:left w:val="nil"/>
              <w:bottom w:val="single" w:sz="4" w:space="0" w:color="auto"/>
              <w:right w:val="single" w:sz="4" w:space="0" w:color="auto"/>
            </w:tcBorders>
            <w:noWrap/>
            <w:vAlign w:val="center"/>
            <w:hideMark/>
          </w:tcPr>
          <w:p w14:paraId="33D2DC47" w14:textId="77777777" w:rsidR="00F421F8" w:rsidRPr="00131EED" w:rsidRDefault="00F421F8">
            <w:pPr>
              <w:jc w:val="center"/>
              <w:rPr>
                <w:b/>
                <w:color w:val="000000"/>
                <w:sz w:val="20"/>
                <w:szCs w:val="20"/>
                <w:lang w:eastAsia="en-US"/>
              </w:rPr>
            </w:pPr>
            <w:r w:rsidRPr="00131EED">
              <w:rPr>
                <w:b/>
                <w:color w:val="000000"/>
                <w:sz w:val="20"/>
                <w:szCs w:val="20"/>
                <w:lang w:eastAsia="en-US"/>
              </w:rPr>
              <w:t>Corredor Vial</w:t>
            </w:r>
          </w:p>
        </w:tc>
        <w:tc>
          <w:tcPr>
            <w:tcW w:w="909" w:type="dxa"/>
            <w:tcBorders>
              <w:top w:val="single" w:sz="4" w:space="0" w:color="auto"/>
              <w:left w:val="nil"/>
              <w:bottom w:val="single" w:sz="4" w:space="0" w:color="auto"/>
              <w:right w:val="single" w:sz="4" w:space="0" w:color="auto"/>
            </w:tcBorders>
            <w:noWrap/>
            <w:vAlign w:val="center"/>
            <w:hideMark/>
          </w:tcPr>
          <w:p w14:paraId="3B596882" w14:textId="77777777" w:rsidR="00F421F8" w:rsidRPr="00131EED" w:rsidRDefault="00F421F8">
            <w:pPr>
              <w:jc w:val="center"/>
              <w:rPr>
                <w:b/>
                <w:color w:val="000000"/>
                <w:sz w:val="20"/>
                <w:szCs w:val="20"/>
                <w:lang w:eastAsia="en-US"/>
              </w:rPr>
            </w:pPr>
            <w:r w:rsidRPr="00131EED">
              <w:rPr>
                <w:b/>
                <w:color w:val="000000"/>
                <w:sz w:val="20"/>
                <w:szCs w:val="20"/>
                <w:lang w:eastAsia="en-US"/>
              </w:rPr>
              <w:t>Total</w:t>
            </w:r>
          </w:p>
        </w:tc>
      </w:tr>
      <w:tr w:rsidR="00F421F8" w:rsidRPr="00131EED" w14:paraId="39A3E0DD"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75C2E2B5" w14:textId="77777777" w:rsidR="00F421F8" w:rsidRPr="00131EED" w:rsidRDefault="00F421F8">
            <w:pPr>
              <w:jc w:val="center"/>
              <w:rPr>
                <w:color w:val="000000"/>
                <w:sz w:val="20"/>
                <w:szCs w:val="20"/>
                <w:lang w:eastAsia="en-US"/>
              </w:rPr>
            </w:pPr>
            <w:r w:rsidRPr="00131EED">
              <w:rPr>
                <w:color w:val="000000"/>
                <w:sz w:val="20"/>
                <w:szCs w:val="20"/>
                <w:lang w:eastAsia="en-US"/>
              </w:rPr>
              <w:t>Bojacá</w:t>
            </w:r>
          </w:p>
        </w:tc>
        <w:tc>
          <w:tcPr>
            <w:tcW w:w="1661" w:type="dxa"/>
            <w:tcBorders>
              <w:top w:val="nil"/>
              <w:left w:val="nil"/>
              <w:bottom w:val="single" w:sz="4" w:space="0" w:color="auto"/>
              <w:right w:val="single" w:sz="4" w:space="0" w:color="auto"/>
            </w:tcBorders>
            <w:noWrap/>
            <w:vAlign w:val="center"/>
            <w:hideMark/>
          </w:tcPr>
          <w:p w14:paraId="508028DF" w14:textId="77777777" w:rsidR="00F421F8" w:rsidRPr="00131EED" w:rsidRDefault="00F421F8">
            <w:pPr>
              <w:jc w:val="center"/>
              <w:rPr>
                <w:color w:val="000000"/>
                <w:sz w:val="20"/>
                <w:szCs w:val="20"/>
                <w:lang w:eastAsia="en-US"/>
              </w:rPr>
            </w:pPr>
            <w:r w:rsidRPr="00131EED">
              <w:rPr>
                <w:color w:val="000000"/>
                <w:sz w:val="20"/>
                <w:szCs w:val="20"/>
                <w:lang w:eastAsia="en-US"/>
              </w:rPr>
              <w:t>7.40</w:t>
            </w:r>
          </w:p>
        </w:tc>
        <w:tc>
          <w:tcPr>
            <w:tcW w:w="776" w:type="dxa"/>
            <w:tcBorders>
              <w:top w:val="nil"/>
              <w:left w:val="nil"/>
              <w:bottom w:val="single" w:sz="4" w:space="0" w:color="auto"/>
              <w:right w:val="single" w:sz="4" w:space="0" w:color="auto"/>
            </w:tcBorders>
            <w:noWrap/>
            <w:vAlign w:val="center"/>
            <w:hideMark/>
          </w:tcPr>
          <w:p w14:paraId="5FACDB3C" w14:textId="77777777" w:rsidR="00F421F8" w:rsidRPr="00131EED" w:rsidRDefault="00F421F8">
            <w:pPr>
              <w:jc w:val="center"/>
              <w:rPr>
                <w:color w:val="000000"/>
                <w:sz w:val="20"/>
                <w:szCs w:val="20"/>
                <w:lang w:eastAsia="en-US"/>
              </w:rPr>
            </w:pPr>
            <w:r w:rsidRPr="00131EED">
              <w:rPr>
                <w:color w:val="000000"/>
                <w:sz w:val="20"/>
                <w:szCs w:val="20"/>
                <w:lang w:eastAsia="en-US"/>
              </w:rPr>
              <w:t>177.1</w:t>
            </w:r>
          </w:p>
        </w:tc>
        <w:tc>
          <w:tcPr>
            <w:tcW w:w="1041" w:type="dxa"/>
            <w:tcBorders>
              <w:top w:val="nil"/>
              <w:left w:val="nil"/>
              <w:bottom w:val="single" w:sz="4" w:space="0" w:color="auto"/>
              <w:right w:val="single" w:sz="4" w:space="0" w:color="auto"/>
            </w:tcBorders>
            <w:noWrap/>
            <w:vAlign w:val="center"/>
            <w:hideMark/>
          </w:tcPr>
          <w:p w14:paraId="0563800A" w14:textId="77777777" w:rsidR="00F421F8" w:rsidRPr="00131EED" w:rsidRDefault="00F421F8">
            <w:pPr>
              <w:jc w:val="center"/>
              <w:rPr>
                <w:color w:val="000000"/>
                <w:sz w:val="20"/>
                <w:szCs w:val="20"/>
                <w:lang w:eastAsia="en-US"/>
              </w:rPr>
            </w:pPr>
            <w:r w:rsidRPr="00131EED">
              <w:rPr>
                <w:color w:val="000000"/>
                <w:sz w:val="20"/>
                <w:szCs w:val="20"/>
                <w:lang w:eastAsia="en-US"/>
              </w:rPr>
              <w:t>476.4</w:t>
            </w:r>
          </w:p>
        </w:tc>
        <w:tc>
          <w:tcPr>
            <w:tcW w:w="794" w:type="dxa"/>
            <w:tcBorders>
              <w:top w:val="nil"/>
              <w:left w:val="nil"/>
              <w:bottom w:val="single" w:sz="4" w:space="0" w:color="auto"/>
              <w:right w:val="single" w:sz="4" w:space="0" w:color="auto"/>
            </w:tcBorders>
            <w:noWrap/>
            <w:vAlign w:val="center"/>
            <w:hideMark/>
          </w:tcPr>
          <w:p w14:paraId="5533C10B" w14:textId="77777777" w:rsidR="00F421F8" w:rsidRPr="00131EED" w:rsidRDefault="00F421F8">
            <w:pPr>
              <w:jc w:val="center"/>
              <w:rPr>
                <w:color w:val="000000"/>
                <w:sz w:val="20"/>
                <w:szCs w:val="20"/>
                <w:lang w:eastAsia="en-US"/>
              </w:rPr>
            </w:pPr>
            <w:r w:rsidRPr="00131EED">
              <w:rPr>
                <w:color w:val="000000"/>
                <w:sz w:val="20"/>
                <w:szCs w:val="20"/>
                <w:lang w:eastAsia="en-US"/>
              </w:rPr>
              <w:t>23.2</w:t>
            </w:r>
          </w:p>
        </w:tc>
        <w:tc>
          <w:tcPr>
            <w:tcW w:w="989" w:type="dxa"/>
            <w:tcBorders>
              <w:top w:val="nil"/>
              <w:left w:val="nil"/>
              <w:bottom w:val="single" w:sz="4" w:space="0" w:color="auto"/>
              <w:right w:val="single" w:sz="4" w:space="0" w:color="auto"/>
            </w:tcBorders>
            <w:noWrap/>
            <w:vAlign w:val="center"/>
            <w:hideMark/>
          </w:tcPr>
          <w:p w14:paraId="3D81B2CA" w14:textId="77777777" w:rsidR="00F421F8" w:rsidRPr="00131EED" w:rsidRDefault="00F421F8">
            <w:pPr>
              <w:jc w:val="center"/>
              <w:rPr>
                <w:color w:val="000000"/>
                <w:sz w:val="20"/>
                <w:szCs w:val="20"/>
                <w:lang w:eastAsia="en-US"/>
              </w:rPr>
            </w:pPr>
            <w:r w:rsidRPr="00131EED">
              <w:rPr>
                <w:color w:val="000000"/>
                <w:sz w:val="20"/>
                <w:szCs w:val="20"/>
                <w:lang w:eastAsia="en-US"/>
              </w:rPr>
              <w:t>544.60</w:t>
            </w:r>
          </w:p>
        </w:tc>
        <w:tc>
          <w:tcPr>
            <w:tcW w:w="909" w:type="dxa"/>
            <w:tcBorders>
              <w:top w:val="nil"/>
              <w:left w:val="nil"/>
              <w:bottom w:val="single" w:sz="4" w:space="0" w:color="auto"/>
              <w:right w:val="single" w:sz="4" w:space="0" w:color="auto"/>
            </w:tcBorders>
            <w:noWrap/>
            <w:vAlign w:val="center"/>
            <w:hideMark/>
          </w:tcPr>
          <w:p w14:paraId="33B4C986" w14:textId="77777777" w:rsidR="00F421F8" w:rsidRPr="00131EED" w:rsidRDefault="00F421F8">
            <w:pPr>
              <w:jc w:val="center"/>
              <w:rPr>
                <w:color w:val="000000"/>
                <w:sz w:val="20"/>
                <w:szCs w:val="20"/>
                <w:lang w:eastAsia="en-US"/>
              </w:rPr>
            </w:pPr>
            <w:r w:rsidRPr="00131EED">
              <w:rPr>
                <w:color w:val="000000"/>
                <w:sz w:val="20"/>
                <w:szCs w:val="20"/>
                <w:lang w:eastAsia="en-US"/>
              </w:rPr>
              <w:t>1228.70</w:t>
            </w:r>
          </w:p>
        </w:tc>
      </w:tr>
      <w:tr w:rsidR="00F421F8" w:rsidRPr="00131EED" w14:paraId="15809F6A"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5EF64730" w14:textId="77777777" w:rsidR="00F421F8" w:rsidRPr="00131EED" w:rsidRDefault="00F421F8">
            <w:pPr>
              <w:jc w:val="center"/>
              <w:rPr>
                <w:color w:val="000000"/>
                <w:sz w:val="20"/>
                <w:szCs w:val="20"/>
                <w:lang w:eastAsia="en-US"/>
              </w:rPr>
            </w:pPr>
            <w:r w:rsidRPr="00131EED">
              <w:rPr>
                <w:color w:val="000000"/>
                <w:sz w:val="20"/>
                <w:szCs w:val="20"/>
                <w:lang w:eastAsia="en-US"/>
              </w:rPr>
              <w:t>Cajicá</w:t>
            </w:r>
          </w:p>
        </w:tc>
        <w:tc>
          <w:tcPr>
            <w:tcW w:w="1661" w:type="dxa"/>
            <w:tcBorders>
              <w:top w:val="nil"/>
              <w:left w:val="nil"/>
              <w:bottom w:val="single" w:sz="4" w:space="0" w:color="auto"/>
              <w:right w:val="single" w:sz="4" w:space="0" w:color="auto"/>
            </w:tcBorders>
            <w:noWrap/>
            <w:vAlign w:val="center"/>
            <w:hideMark/>
          </w:tcPr>
          <w:p w14:paraId="2915F287" w14:textId="77777777" w:rsidR="00F421F8" w:rsidRPr="00131EED" w:rsidRDefault="00F421F8">
            <w:pPr>
              <w:jc w:val="center"/>
              <w:rPr>
                <w:color w:val="000000"/>
                <w:sz w:val="20"/>
                <w:szCs w:val="20"/>
                <w:lang w:eastAsia="en-US"/>
              </w:rPr>
            </w:pPr>
            <w:r w:rsidRPr="00131EED">
              <w:rPr>
                <w:color w:val="000000"/>
                <w:sz w:val="20"/>
                <w:szCs w:val="20"/>
                <w:lang w:eastAsia="en-US"/>
              </w:rPr>
              <w:t>115.30</w:t>
            </w:r>
          </w:p>
        </w:tc>
        <w:tc>
          <w:tcPr>
            <w:tcW w:w="776" w:type="dxa"/>
            <w:tcBorders>
              <w:top w:val="nil"/>
              <w:left w:val="nil"/>
              <w:bottom w:val="single" w:sz="4" w:space="0" w:color="auto"/>
              <w:right w:val="single" w:sz="4" w:space="0" w:color="auto"/>
            </w:tcBorders>
            <w:noWrap/>
            <w:vAlign w:val="center"/>
            <w:hideMark/>
          </w:tcPr>
          <w:p w14:paraId="4A05E2B5" w14:textId="77777777" w:rsidR="00F421F8" w:rsidRPr="00131EED" w:rsidRDefault="00F421F8">
            <w:pPr>
              <w:jc w:val="center"/>
              <w:rPr>
                <w:color w:val="000000"/>
                <w:sz w:val="20"/>
                <w:szCs w:val="20"/>
                <w:lang w:eastAsia="en-US"/>
              </w:rPr>
            </w:pPr>
            <w:r w:rsidRPr="00131EED">
              <w:rPr>
                <w:color w:val="000000"/>
                <w:sz w:val="20"/>
                <w:szCs w:val="20"/>
                <w:lang w:eastAsia="en-US"/>
              </w:rPr>
              <w:t>107.6</w:t>
            </w:r>
          </w:p>
        </w:tc>
        <w:tc>
          <w:tcPr>
            <w:tcW w:w="1041" w:type="dxa"/>
            <w:tcBorders>
              <w:top w:val="nil"/>
              <w:left w:val="nil"/>
              <w:bottom w:val="single" w:sz="4" w:space="0" w:color="auto"/>
              <w:right w:val="single" w:sz="4" w:space="0" w:color="auto"/>
            </w:tcBorders>
            <w:noWrap/>
            <w:vAlign w:val="center"/>
            <w:hideMark/>
          </w:tcPr>
          <w:p w14:paraId="5ED72666" w14:textId="77777777" w:rsidR="00F421F8" w:rsidRPr="00131EED" w:rsidRDefault="00F421F8">
            <w:pPr>
              <w:jc w:val="center"/>
              <w:rPr>
                <w:color w:val="000000"/>
                <w:sz w:val="20"/>
                <w:szCs w:val="20"/>
                <w:lang w:eastAsia="en-US"/>
              </w:rPr>
            </w:pPr>
            <w:r w:rsidRPr="00131EED">
              <w:rPr>
                <w:color w:val="000000"/>
                <w:sz w:val="20"/>
                <w:szCs w:val="20"/>
                <w:lang w:eastAsia="en-US"/>
              </w:rPr>
              <w:t>722.8</w:t>
            </w:r>
          </w:p>
        </w:tc>
        <w:tc>
          <w:tcPr>
            <w:tcW w:w="794" w:type="dxa"/>
            <w:tcBorders>
              <w:top w:val="nil"/>
              <w:left w:val="nil"/>
              <w:bottom w:val="single" w:sz="4" w:space="0" w:color="auto"/>
              <w:right w:val="single" w:sz="4" w:space="0" w:color="auto"/>
            </w:tcBorders>
            <w:noWrap/>
            <w:vAlign w:val="center"/>
            <w:hideMark/>
          </w:tcPr>
          <w:p w14:paraId="7EE8FF6D" w14:textId="77777777" w:rsidR="00F421F8" w:rsidRPr="00131EED" w:rsidRDefault="00F421F8">
            <w:pPr>
              <w:jc w:val="center"/>
              <w:rPr>
                <w:color w:val="000000"/>
                <w:sz w:val="20"/>
                <w:szCs w:val="20"/>
                <w:lang w:eastAsia="en-US"/>
              </w:rPr>
            </w:pPr>
            <w:r w:rsidRPr="00131EED">
              <w:rPr>
                <w:color w:val="000000"/>
                <w:sz w:val="20"/>
                <w:szCs w:val="20"/>
                <w:lang w:eastAsia="en-US"/>
              </w:rPr>
              <w:t>51.9</w:t>
            </w:r>
          </w:p>
        </w:tc>
        <w:tc>
          <w:tcPr>
            <w:tcW w:w="989" w:type="dxa"/>
            <w:tcBorders>
              <w:top w:val="nil"/>
              <w:left w:val="nil"/>
              <w:bottom w:val="single" w:sz="4" w:space="0" w:color="auto"/>
              <w:right w:val="single" w:sz="4" w:space="0" w:color="auto"/>
            </w:tcBorders>
            <w:noWrap/>
            <w:vAlign w:val="center"/>
            <w:hideMark/>
          </w:tcPr>
          <w:p w14:paraId="4B9BF9C6" w14:textId="77777777" w:rsidR="00F421F8" w:rsidRPr="00131EED" w:rsidRDefault="00F421F8">
            <w:pPr>
              <w:jc w:val="center"/>
              <w:rPr>
                <w:color w:val="000000"/>
                <w:sz w:val="20"/>
                <w:szCs w:val="20"/>
                <w:lang w:eastAsia="en-US"/>
              </w:rPr>
            </w:pPr>
            <w:r w:rsidRPr="00131EED">
              <w:rPr>
                <w:color w:val="000000"/>
                <w:sz w:val="20"/>
                <w:szCs w:val="20"/>
                <w:lang w:eastAsia="en-US"/>
              </w:rPr>
              <w:t>216.95</w:t>
            </w:r>
          </w:p>
        </w:tc>
        <w:tc>
          <w:tcPr>
            <w:tcW w:w="909" w:type="dxa"/>
            <w:tcBorders>
              <w:top w:val="nil"/>
              <w:left w:val="nil"/>
              <w:bottom w:val="single" w:sz="4" w:space="0" w:color="auto"/>
              <w:right w:val="single" w:sz="4" w:space="0" w:color="auto"/>
            </w:tcBorders>
            <w:noWrap/>
            <w:vAlign w:val="center"/>
            <w:hideMark/>
          </w:tcPr>
          <w:p w14:paraId="39CA0077" w14:textId="77777777" w:rsidR="00F421F8" w:rsidRPr="00131EED" w:rsidRDefault="00F421F8">
            <w:pPr>
              <w:jc w:val="center"/>
              <w:rPr>
                <w:color w:val="000000"/>
                <w:sz w:val="20"/>
                <w:szCs w:val="20"/>
                <w:lang w:eastAsia="en-US"/>
              </w:rPr>
            </w:pPr>
            <w:r w:rsidRPr="00131EED">
              <w:rPr>
                <w:color w:val="000000"/>
                <w:sz w:val="20"/>
                <w:szCs w:val="20"/>
                <w:lang w:eastAsia="en-US"/>
              </w:rPr>
              <w:t>1214.55</w:t>
            </w:r>
          </w:p>
        </w:tc>
      </w:tr>
      <w:tr w:rsidR="00F421F8" w:rsidRPr="00131EED" w14:paraId="21FCB948"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0270523E" w14:textId="77777777" w:rsidR="00F421F8" w:rsidRPr="00131EED" w:rsidRDefault="00F421F8">
            <w:pPr>
              <w:jc w:val="center"/>
              <w:rPr>
                <w:color w:val="000000"/>
                <w:sz w:val="20"/>
                <w:szCs w:val="20"/>
                <w:lang w:eastAsia="en-US"/>
              </w:rPr>
            </w:pPr>
            <w:r w:rsidRPr="00131EED">
              <w:rPr>
                <w:color w:val="000000"/>
                <w:sz w:val="20"/>
                <w:szCs w:val="20"/>
                <w:lang w:eastAsia="en-US"/>
              </w:rPr>
              <w:t>Chía</w:t>
            </w:r>
          </w:p>
        </w:tc>
        <w:tc>
          <w:tcPr>
            <w:tcW w:w="1661" w:type="dxa"/>
            <w:tcBorders>
              <w:top w:val="nil"/>
              <w:left w:val="nil"/>
              <w:bottom w:val="single" w:sz="4" w:space="0" w:color="auto"/>
              <w:right w:val="single" w:sz="4" w:space="0" w:color="auto"/>
            </w:tcBorders>
            <w:noWrap/>
            <w:vAlign w:val="center"/>
            <w:hideMark/>
          </w:tcPr>
          <w:p w14:paraId="2A0FD8DC" w14:textId="77777777" w:rsidR="00F421F8" w:rsidRPr="00131EED" w:rsidRDefault="00F421F8">
            <w:pPr>
              <w:jc w:val="center"/>
              <w:rPr>
                <w:color w:val="000000"/>
                <w:sz w:val="20"/>
                <w:szCs w:val="20"/>
                <w:lang w:eastAsia="en-US"/>
              </w:rPr>
            </w:pPr>
            <w:r w:rsidRPr="00131EED">
              <w:rPr>
                <w:color w:val="000000"/>
                <w:sz w:val="20"/>
                <w:szCs w:val="20"/>
                <w:lang w:eastAsia="en-US"/>
              </w:rPr>
              <w:t> 0</w:t>
            </w:r>
          </w:p>
        </w:tc>
        <w:tc>
          <w:tcPr>
            <w:tcW w:w="776" w:type="dxa"/>
            <w:tcBorders>
              <w:top w:val="nil"/>
              <w:left w:val="nil"/>
              <w:bottom w:val="single" w:sz="4" w:space="0" w:color="auto"/>
              <w:right w:val="single" w:sz="4" w:space="0" w:color="auto"/>
            </w:tcBorders>
            <w:noWrap/>
            <w:vAlign w:val="center"/>
            <w:hideMark/>
          </w:tcPr>
          <w:p w14:paraId="3CFF3C94" w14:textId="77777777" w:rsidR="00F421F8" w:rsidRPr="00131EED" w:rsidRDefault="00F421F8">
            <w:pPr>
              <w:jc w:val="center"/>
              <w:rPr>
                <w:color w:val="000000"/>
                <w:sz w:val="20"/>
                <w:szCs w:val="20"/>
                <w:lang w:eastAsia="en-US"/>
              </w:rPr>
            </w:pPr>
            <w:r w:rsidRPr="00131EED">
              <w:rPr>
                <w:color w:val="000000"/>
                <w:sz w:val="20"/>
                <w:szCs w:val="20"/>
                <w:lang w:eastAsia="en-US"/>
              </w:rPr>
              <w:t>172.6</w:t>
            </w:r>
          </w:p>
        </w:tc>
        <w:tc>
          <w:tcPr>
            <w:tcW w:w="1041" w:type="dxa"/>
            <w:tcBorders>
              <w:top w:val="nil"/>
              <w:left w:val="nil"/>
              <w:bottom w:val="single" w:sz="4" w:space="0" w:color="auto"/>
              <w:right w:val="single" w:sz="4" w:space="0" w:color="auto"/>
            </w:tcBorders>
            <w:noWrap/>
            <w:vAlign w:val="center"/>
            <w:hideMark/>
          </w:tcPr>
          <w:p w14:paraId="26C3BD47" w14:textId="77777777" w:rsidR="00F421F8" w:rsidRPr="00131EED" w:rsidRDefault="00F421F8">
            <w:pPr>
              <w:jc w:val="center"/>
              <w:rPr>
                <w:color w:val="000000"/>
                <w:sz w:val="20"/>
                <w:szCs w:val="20"/>
                <w:lang w:eastAsia="en-US"/>
              </w:rPr>
            </w:pPr>
            <w:r w:rsidRPr="00131EED">
              <w:rPr>
                <w:color w:val="000000"/>
                <w:sz w:val="20"/>
                <w:szCs w:val="20"/>
                <w:lang w:eastAsia="en-US"/>
              </w:rPr>
              <w:t>112.3</w:t>
            </w:r>
          </w:p>
        </w:tc>
        <w:tc>
          <w:tcPr>
            <w:tcW w:w="794" w:type="dxa"/>
            <w:tcBorders>
              <w:top w:val="nil"/>
              <w:left w:val="nil"/>
              <w:bottom w:val="single" w:sz="4" w:space="0" w:color="auto"/>
              <w:right w:val="single" w:sz="4" w:space="0" w:color="auto"/>
            </w:tcBorders>
            <w:noWrap/>
            <w:vAlign w:val="center"/>
            <w:hideMark/>
          </w:tcPr>
          <w:p w14:paraId="3E411985" w14:textId="77777777" w:rsidR="00F421F8" w:rsidRPr="00131EED" w:rsidRDefault="00F421F8">
            <w:pPr>
              <w:jc w:val="center"/>
              <w:rPr>
                <w:color w:val="000000"/>
                <w:sz w:val="20"/>
                <w:szCs w:val="20"/>
                <w:lang w:eastAsia="en-US"/>
              </w:rPr>
            </w:pPr>
            <w:r w:rsidRPr="00131EED">
              <w:rPr>
                <w:color w:val="000000"/>
                <w:sz w:val="20"/>
                <w:szCs w:val="20"/>
                <w:lang w:eastAsia="en-US"/>
              </w:rPr>
              <w:t>12.8</w:t>
            </w:r>
          </w:p>
        </w:tc>
        <w:tc>
          <w:tcPr>
            <w:tcW w:w="989" w:type="dxa"/>
            <w:tcBorders>
              <w:top w:val="nil"/>
              <w:left w:val="nil"/>
              <w:bottom w:val="single" w:sz="4" w:space="0" w:color="auto"/>
              <w:right w:val="single" w:sz="4" w:space="0" w:color="auto"/>
            </w:tcBorders>
            <w:noWrap/>
            <w:vAlign w:val="center"/>
            <w:hideMark/>
          </w:tcPr>
          <w:p w14:paraId="627CDD27" w14:textId="77777777" w:rsidR="00F421F8" w:rsidRPr="00131EED" w:rsidRDefault="00F421F8">
            <w:pPr>
              <w:jc w:val="center"/>
              <w:rPr>
                <w:color w:val="000000"/>
                <w:sz w:val="20"/>
                <w:szCs w:val="20"/>
                <w:lang w:eastAsia="en-US"/>
              </w:rPr>
            </w:pPr>
            <w:r w:rsidRPr="00131EED">
              <w:rPr>
                <w:color w:val="000000"/>
                <w:sz w:val="20"/>
                <w:szCs w:val="20"/>
                <w:lang w:eastAsia="en-US"/>
              </w:rPr>
              <w:t>358.21</w:t>
            </w:r>
          </w:p>
        </w:tc>
        <w:tc>
          <w:tcPr>
            <w:tcW w:w="909" w:type="dxa"/>
            <w:tcBorders>
              <w:top w:val="nil"/>
              <w:left w:val="nil"/>
              <w:bottom w:val="single" w:sz="4" w:space="0" w:color="auto"/>
              <w:right w:val="single" w:sz="4" w:space="0" w:color="auto"/>
            </w:tcBorders>
            <w:noWrap/>
            <w:vAlign w:val="center"/>
            <w:hideMark/>
          </w:tcPr>
          <w:p w14:paraId="6B3D1933" w14:textId="77777777" w:rsidR="00F421F8" w:rsidRPr="00131EED" w:rsidRDefault="00F421F8">
            <w:pPr>
              <w:jc w:val="center"/>
              <w:rPr>
                <w:color w:val="000000"/>
                <w:sz w:val="20"/>
                <w:szCs w:val="20"/>
                <w:lang w:eastAsia="en-US"/>
              </w:rPr>
            </w:pPr>
            <w:r w:rsidRPr="00131EED">
              <w:rPr>
                <w:color w:val="000000"/>
                <w:sz w:val="20"/>
                <w:szCs w:val="20"/>
                <w:lang w:eastAsia="en-US"/>
              </w:rPr>
              <w:t>655.91</w:t>
            </w:r>
          </w:p>
        </w:tc>
      </w:tr>
      <w:tr w:rsidR="00F421F8" w:rsidRPr="00131EED" w14:paraId="7A96A52A"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775CCD74" w14:textId="77777777" w:rsidR="00F421F8" w:rsidRPr="00131EED" w:rsidRDefault="00F421F8">
            <w:pPr>
              <w:jc w:val="center"/>
              <w:rPr>
                <w:color w:val="000000"/>
                <w:sz w:val="20"/>
                <w:szCs w:val="20"/>
                <w:lang w:eastAsia="en-US"/>
              </w:rPr>
            </w:pPr>
            <w:r w:rsidRPr="00131EED">
              <w:rPr>
                <w:color w:val="000000"/>
                <w:sz w:val="20"/>
                <w:szCs w:val="20"/>
                <w:lang w:eastAsia="en-US"/>
              </w:rPr>
              <w:t>Cota</w:t>
            </w:r>
          </w:p>
        </w:tc>
        <w:tc>
          <w:tcPr>
            <w:tcW w:w="1661" w:type="dxa"/>
            <w:tcBorders>
              <w:top w:val="nil"/>
              <w:left w:val="nil"/>
              <w:bottom w:val="single" w:sz="4" w:space="0" w:color="auto"/>
              <w:right w:val="single" w:sz="4" w:space="0" w:color="auto"/>
            </w:tcBorders>
            <w:noWrap/>
            <w:vAlign w:val="center"/>
            <w:hideMark/>
          </w:tcPr>
          <w:p w14:paraId="3E42D43A" w14:textId="77777777" w:rsidR="00F421F8" w:rsidRPr="00131EED" w:rsidRDefault="00F421F8">
            <w:pPr>
              <w:jc w:val="center"/>
              <w:rPr>
                <w:color w:val="000000"/>
                <w:sz w:val="20"/>
                <w:szCs w:val="20"/>
                <w:lang w:eastAsia="en-US"/>
              </w:rPr>
            </w:pPr>
            <w:r w:rsidRPr="00131EED">
              <w:rPr>
                <w:color w:val="000000"/>
                <w:sz w:val="20"/>
                <w:szCs w:val="20"/>
                <w:lang w:eastAsia="en-US"/>
              </w:rPr>
              <w:t> 0</w:t>
            </w:r>
          </w:p>
        </w:tc>
        <w:tc>
          <w:tcPr>
            <w:tcW w:w="776" w:type="dxa"/>
            <w:tcBorders>
              <w:top w:val="nil"/>
              <w:left w:val="nil"/>
              <w:bottom w:val="single" w:sz="4" w:space="0" w:color="auto"/>
              <w:right w:val="single" w:sz="4" w:space="0" w:color="auto"/>
            </w:tcBorders>
            <w:noWrap/>
            <w:vAlign w:val="center"/>
            <w:hideMark/>
          </w:tcPr>
          <w:p w14:paraId="24D47CEE" w14:textId="77777777" w:rsidR="00F421F8" w:rsidRPr="00131EED" w:rsidRDefault="00F421F8">
            <w:pPr>
              <w:jc w:val="center"/>
              <w:rPr>
                <w:color w:val="000000"/>
                <w:sz w:val="20"/>
                <w:szCs w:val="20"/>
                <w:lang w:eastAsia="en-US"/>
              </w:rPr>
            </w:pPr>
            <w:r w:rsidRPr="00131EED">
              <w:rPr>
                <w:color w:val="000000"/>
                <w:sz w:val="20"/>
                <w:szCs w:val="20"/>
                <w:lang w:eastAsia="en-US"/>
              </w:rPr>
              <w:t>0</w:t>
            </w:r>
          </w:p>
        </w:tc>
        <w:tc>
          <w:tcPr>
            <w:tcW w:w="1041" w:type="dxa"/>
            <w:tcBorders>
              <w:top w:val="nil"/>
              <w:left w:val="nil"/>
              <w:bottom w:val="single" w:sz="4" w:space="0" w:color="auto"/>
              <w:right w:val="single" w:sz="4" w:space="0" w:color="auto"/>
            </w:tcBorders>
            <w:noWrap/>
            <w:vAlign w:val="center"/>
            <w:hideMark/>
          </w:tcPr>
          <w:p w14:paraId="06C9715C" w14:textId="77777777" w:rsidR="00F421F8" w:rsidRPr="00131EED" w:rsidRDefault="00F421F8">
            <w:pPr>
              <w:jc w:val="center"/>
              <w:rPr>
                <w:color w:val="000000"/>
                <w:sz w:val="20"/>
                <w:szCs w:val="20"/>
                <w:lang w:eastAsia="en-US"/>
              </w:rPr>
            </w:pPr>
            <w:r w:rsidRPr="00131EED">
              <w:rPr>
                <w:color w:val="000000"/>
                <w:sz w:val="20"/>
                <w:szCs w:val="20"/>
                <w:lang w:eastAsia="en-US"/>
              </w:rPr>
              <w:t>573.6</w:t>
            </w:r>
          </w:p>
        </w:tc>
        <w:tc>
          <w:tcPr>
            <w:tcW w:w="794" w:type="dxa"/>
            <w:tcBorders>
              <w:top w:val="nil"/>
              <w:left w:val="nil"/>
              <w:bottom w:val="single" w:sz="4" w:space="0" w:color="auto"/>
              <w:right w:val="single" w:sz="4" w:space="0" w:color="auto"/>
            </w:tcBorders>
            <w:noWrap/>
            <w:vAlign w:val="center"/>
            <w:hideMark/>
          </w:tcPr>
          <w:p w14:paraId="790E810E" w14:textId="77777777" w:rsidR="00F421F8" w:rsidRPr="00131EED" w:rsidRDefault="00F421F8">
            <w:pPr>
              <w:jc w:val="center"/>
              <w:rPr>
                <w:color w:val="000000"/>
                <w:sz w:val="20"/>
                <w:szCs w:val="20"/>
                <w:lang w:eastAsia="en-US"/>
              </w:rPr>
            </w:pPr>
            <w:r w:rsidRPr="00131EED">
              <w:rPr>
                <w:color w:val="000000"/>
                <w:sz w:val="20"/>
                <w:szCs w:val="20"/>
                <w:lang w:eastAsia="en-US"/>
              </w:rPr>
              <w:t>29.1</w:t>
            </w:r>
          </w:p>
        </w:tc>
        <w:tc>
          <w:tcPr>
            <w:tcW w:w="989" w:type="dxa"/>
            <w:tcBorders>
              <w:top w:val="nil"/>
              <w:left w:val="nil"/>
              <w:bottom w:val="single" w:sz="4" w:space="0" w:color="auto"/>
              <w:right w:val="single" w:sz="4" w:space="0" w:color="auto"/>
            </w:tcBorders>
            <w:noWrap/>
            <w:vAlign w:val="center"/>
            <w:hideMark/>
          </w:tcPr>
          <w:p w14:paraId="3C79DD7D" w14:textId="77777777" w:rsidR="00F421F8" w:rsidRPr="00131EED" w:rsidRDefault="00F421F8">
            <w:pPr>
              <w:jc w:val="center"/>
              <w:rPr>
                <w:color w:val="000000"/>
                <w:sz w:val="20"/>
                <w:szCs w:val="20"/>
                <w:lang w:eastAsia="en-US"/>
              </w:rPr>
            </w:pPr>
            <w:r w:rsidRPr="00131EED">
              <w:rPr>
                <w:color w:val="000000"/>
                <w:sz w:val="20"/>
                <w:szCs w:val="20"/>
                <w:lang w:eastAsia="en-US"/>
              </w:rPr>
              <w:t>407.00</w:t>
            </w:r>
          </w:p>
        </w:tc>
        <w:tc>
          <w:tcPr>
            <w:tcW w:w="909" w:type="dxa"/>
            <w:tcBorders>
              <w:top w:val="nil"/>
              <w:left w:val="nil"/>
              <w:bottom w:val="single" w:sz="4" w:space="0" w:color="auto"/>
              <w:right w:val="single" w:sz="4" w:space="0" w:color="auto"/>
            </w:tcBorders>
            <w:noWrap/>
            <w:vAlign w:val="center"/>
            <w:hideMark/>
          </w:tcPr>
          <w:p w14:paraId="2A32D15D" w14:textId="77777777" w:rsidR="00F421F8" w:rsidRPr="00131EED" w:rsidRDefault="00F421F8">
            <w:pPr>
              <w:jc w:val="center"/>
              <w:rPr>
                <w:color w:val="000000"/>
                <w:sz w:val="20"/>
                <w:szCs w:val="20"/>
                <w:lang w:eastAsia="en-US"/>
              </w:rPr>
            </w:pPr>
            <w:r w:rsidRPr="00131EED">
              <w:rPr>
                <w:color w:val="000000"/>
                <w:sz w:val="20"/>
                <w:szCs w:val="20"/>
                <w:lang w:eastAsia="en-US"/>
              </w:rPr>
              <w:t>1009.70</w:t>
            </w:r>
          </w:p>
        </w:tc>
      </w:tr>
      <w:tr w:rsidR="00F421F8" w:rsidRPr="00131EED" w14:paraId="59000F5C"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004B27EF" w14:textId="77777777" w:rsidR="00F421F8" w:rsidRPr="00131EED" w:rsidRDefault="00F421F8">
            <w:pPr>
              <w:jc w:val="center"/>
              <w:rPr>
                <w:color w:val="000000"/>
                <w:sz w:val="20"/>
                <w:szCs w:val="20"/>
                <w:lang w:eastAsia="en-US"/>
              </w:rPr>
            </w:pPr>
            <w:r w:rsidRPr="00131EED">
              <w:rPr>
                <w:color w:val="000000"/>
                <w:sz w:val="20"/>
                <w:szCs w:val="20"/>
                <w:lang w:eastAsia="en-US"/>
              </w:rPr>
              <w:t>El Rosal</w:t>
            </w:r>
          </w:p>
        </w:tc>
        <w:tc>
          <w:tcPr>
            <w:tcW w:w="1661" w:type="dxa"/>
            <w:tcBorders>
              <w:top w:val="nil"/>
              <w:left w:val="nil"/>
              <w:bottom w:val="single" w:sz="4" w:space="0" w:color="auto"/>
              <w:right w:val="single" w:sz="4" w:space="0" w:color="auto"/>
            </w:tcBorders>
            <w:noWrap/>
            <w:vAlign w:val="center"/>
            <w:hideMark/>
          </w:tcPr>
          <w:p w14:paraId="5E47B00C" w14:textId="77777777" w:rsidR="00F421F8" w:rsidRPr="00131EED" w:rsidRDefault="00F421F8">
            <w:pPr>
              <w:jc w:val="center"/>
              <w:rPr>
                <w:color w:val="000000"/>
                <w:sz w:val="20"/>
                <w:szCs w:val="20"/>
                <w:lang w:eastAsia="en-US"/>
              </w:rPr>
            </w:pPr>
            <w:r w:rsidRPr="00131EED">
              <w:rPr>
                <w:color w:val="000000"/>
                <w:sz w:val="20"/>
                <w:szCs w:val="20"/>
                <w:lang w:eastAsia="en-US"/>
              </w:rPr>
              <w:t>75.00</w:t>
            </w:r>
          </w:p>
        </w:tc>
        <w:tc>
          <w:tcPr>
            <w:tcW w:w="776" w:type="dxa"/>
            <w:tcBorders>
              <w:top w:val="nil"/>
              <w:left w:val="nil"/>
              <w:bottom w:val="single" w:sz="4" w:space="0" w:color="auto"/>
              <w:right w:val="single" w:sz="4" w:space="0" w:color="auto"/>
            </w:tcBorders>
            <w:noWrap/>
            <w:vAlign w:val="center"/>
            <w:hideMark/>
          </w:tcPr>
          <w:p w14:paraId="7F39AD59" w14:textId="77777777" w:rsidR="00F421F8" w:rsidRPr="00131EED" w:rsidRDefault="00F421F8">
            <w:pPr>
              <w:jc w:val="center"/>
              <w:rPr>
                <w:color w:val="000000"/>
                <w:sz w:val="20"/>
                <w:szCs w:val="20"/>
                <w:lang w:eastAsia="en-US"/>
              </w:rPr>
            </w:pPr>
            <w:r w:rsidRPr="00131EED">
              <w:rPr>
                <w:color w:val="000000"/>
                <w:sz w:val="20"/>
                <w:szCs w:val="20"/>
                <w:lang w:eastAsia="en-US"/>
              </w:rPr>
              <w:t>259.2</w:t>
            </w:r>
          </w:p>
        </w:tc>
        <w:tc>
          <w:tcPr>
            <w:tcW w:w="1041" w:type="dxa"/>
            <w:tcBorders>
              <w:top w:val="nil"/>
              <w:left w:val="nil"/>
              <w:bottom w:val="single" w:sz="4" w:space="0" w:color="auto"/>
              <w:right w:val="single" w:sz="4" w:space="0" w:color="auto"/>
            </w:tcBorders>
            <w:noWrap/>
            <w:vAlign w:val="center"/>
            <w:hideMark/>
          </w:tcPr>
          <w:p w14:paraId="62BC3A9F" w14:textId="77777777" w:rsidR="00F421F8" w:rsidRPr="00131EED" w:rsidRDefault="00F421F8">
            <w:pPr>
              <w:jc w:val="center"/>
              <w:rPr>
                <w:color w:val="000000"/>
                <w:sz w:val="20"/>
                <w:szCs w:val="20"/>
                <w:lang w:eastAsia="en-US"/>
              </w:rPr>
            </w:pPr>
            <w:r w:rsidRPr="00131EED">
              <w:rPr>
                <w:color w:val="000000"/>
                <w:sz w:val="20"/>
                <w:szCs w:val="20"/>
                <w:lang w:eastAsia="en-US"/>
              </w:rPr>
              <w:t>131.1</w:t>
            </w:r>
          </w:p>
        </w:tc>
        <w:tc>
          <w:tcPr>
            <w:tcW w:w="794" w:type="dxa"/>
            <w:tcBorders>
              <w:top w:val="nil"/>
              <w:left w:val="nil"/>
              <w:bottom w:val="single" w:sz="4" w:space="0" w:color="auto"/>
              <w:right w:val="single" w:sz="4" w:space="0" w:color="auto"/>
            </w:tcBorders>
            <w:noWrap/>
            <w:vAlign w:val="center"/>
            <w:hideMark/>
          </w:tcPr>
          <w:p w14:paraId="6A21D960" w14:textId="77777777" w:rsidR="00F421F8" w:rsidRPr="00131EED" w:rsidRDefault="00F421F8">
            <w:pPr>
              <w:jc w:val="center"/>
              <w:rPr>
                <w:color w:val="000000"/>
                <w:sz w:val="20"/>
                <w:szCs w:val="20"/>
                <w:lang w:eastAsia="en-US"/>
              </w:rPr>
            </w:pPr>
            <w:r w:rsidRPr="00131EED">
              <w:rPr>
                <w:color w:val="000000"/>
                <w:sz w:val="20"/>
                <w:szCs w:val="20"/>
                <w:lang w:eastAsia="en-US"/>
              </w:rPr>
              <w:t>44.9</w:t>
            </w:r>
          </w:p>
        </w:tc>
        <w:tc>
          <w:tcPr>
            <w:tcW w:w="989" w:type="dxa"/>
            <w:tcBorders>
              <w:top w:val="nil"/>
              <w:left w:val="nil"/>
              <w:bottom w:val="single" w:sz="4" w:space="0" w:color="auto"/>
              <w:right w:val="single" w:sz="4" w:space="0" w:color="auto"/>
            </w:tcBorders>
            <w:noWrap/>
            <w:vAlign w:val="center"/>
            <w:hideMark/>
          </w:tcPr>
          <w:p w14:paraId="2F9D1C21" w14:textId="77777777" w:rsidR="00F421F8" w:rsidRPr="00131EED" w:rsidRDefault="00F421F8">
            <w:pPr>
              <w:jc w:val="center"/>
              <w:rPr>
                <w:color w:val="000000"/>
                <w:sz w:val="20"/>
                <w:szCs w:val="20"/>
                <w:lang w:eastAsia="en-US"/>
              </w:rPr>
            </w:pPr>
            <w:r w:rsidRPr="00131EED">
              <w:rPr>
                <w:color w:val="000000"/>
                <w:sz w:val="20"/>
                <w:szCs w:val="20"/>
                <w:lang w:eastAsia="en-US"/>
              </w:rPr>
              <w:t>599.09</w:t>
            </w:r>
          </w:p>
        </w:tc>
        <w:tc>
          <w:tcPr>
            <w:tcW w:w="909" w:type="dxa"/>
            <w:tcBorders>
              <w:top w:val="nil"/>
              <w:left w:val="nil"/>
              <w:bottom w:val="single" w:sz="4" w:space="0" w:color="auto"/>
              <w:right w:val="single" w:sz="4" w:space="0" w:color="auto"/>
            </w:tcBorders>
            <w:noWrap/>
            <w:vAlign w:val="center"/>
            <w:hideMark/>
          </w:tcPr>
          <w:p w14:paraId="394CF92D" w14:textId="77777777" w:rsidR="00F421F8" w:rsidRPr="00131EED" w:rsidRDefault="00F421F8">
            <w:pPr>
              <w:jc w:val="center"/>
              <w:rPr>
                <w:color w:val="000000"/>
                <w:sz w:val="20"/>
                <w:szCs w:val="20"/>
                <w:lang w:eastAsia="en-US"/>
              </w:rPr>
            </w:pPr>
            <w:r w:rsidRPr="00131EED">
              <w:rPr>
                <w:color w:val="000000"/>
                <w:sz w:val="20"/>
                <w:szCs w:val="20"/>
                <w:lang w:eastAsia="en-US"/>
              </w:rPr>
              <w:t>1109.29</w:t>
            </w:r>
          </w:p>
        </w:tc>
      </w:tr>
      <w:tr w:rsidR="00F421F8" w:rsidRPr="00131EED" w14:paraId="2B363491"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725A185B" w14:textId="77777777" w:rsidR="00F421F8" w:rsidRPr="00131EED" w:rsidRDefault="00F421F8">
            <w:pPr>
              <w:jc w:val="center"/>
              <w:rPr>
                <w:color w:val="000000"/>
                <w:sz w:val="20"/>
                <w:szCs w:val="20"/>
                <w:lang w:eastAsia="en-US"/>
              </w:rPr>
            </w:pPr>
            <w:r w:rsidRPr="00131EED">
              <w:rPr>
                <w:color w:val="000000"/>
                <w:sz w:val="20"/>
                <w:szCs w:val="20"/>
                <w:lang w:eastAsia="en-US"/>
              </w:rPr>
              <w:t>Facatativá</w:t>
            </w:r>
          </w:p>
        </w:tc>
        <w:tc>
          <w:tcPr>
            <w:tcW w:w="1661" w:type="dxa"/>
            <w:tcBorders>
              <w:top w:val="nil"/>
              <w:left w:val="nil"/>
              <w:bottom w:val="single" w:sz="4" w:space="0" w:color="auto"/>
              <w:right w:val="single" w:sz="4" w:space="0" w:color="auto"/>
            </w:tcBorders>
            <w:noWrap/>
            <w:vAlign w:val="center"/>
            <w:hideMark/>
          </w:tcPr>
          <w:p w14:paraId="05655665" w14:textId="77777777" w:rsidR="00F421F8" w:rsidRPr="00131EED" w:rsidRDefault="00F421F8">
            <w:pPr>
              <w:jc w:val="center"/>
              <w:rPr>
                <w:color w:val="000000"/>
                <w:sz w:val="20"/>
                <w:szCs w:val="20"/>
                <w:lang w:eastAsia="en-US"/>
              </w:rPr>
            </w:pPr>
            <w:r w:rsidRPr="00131EED">
              <w:rPr>
                <w:color w:val="000000"/>
                <w:sz w:val="20"/>
                <w:szCs w:val="20"/>
                <w:lang w:eastAsia="en-US"/>
              </w:rPr>
              <w:t>61.90</w:t>
            </w:r>
          </w:p>
        </w:tc>
        <w:tc>
          <w:tcPr>
            <w:tcW w:w="776" w:type="dxa"/>
            <w:tcBorders>
              <w:top w:val="nil"/>
              <w:left w:val="nil"/>
              <w:bottom w:val="single" w:sz="4" w:space="0" w:color="auto"/>
              <w:right w:val="single" w:sz="4" w:space="0" w:color="auto"/>
            </w:tcBorders>
            <w:noWrap/>
            <w:vAlign w:val="center"/>
            <w:hideMark/>
          </w:tcPr>
          <w:p w14:paraId="1BB01392" w14:textId="77777777" w:rsidR="00F421F8" w:rsidRPr="00131EED" w:rsidRDefault="00F421F8">
            <w:pPr>
              <w:jc w:val="center"/>
              <w:rPr>
                <w:color w:val="000000"/>
                <w:sz w:val="20"/>
                <w:szCs w:val="20"/>
                <w:lang w:eastAsia="en-US"/>
              </w:rPr>
            </w:pPr>
            <w:r w:rsidRPr="00131EED">
              <w:rPr>
                <w:color w:val="000000"/>
                <w:sz w:val="20"/>
                <w:szCs w:val="20"/>
                <w:lang w:eastAsia="en-US"/>
              </w:rPr>
              <w:t>0</w:t>
            </w:r>
          </w:p>
        </w:tc>
        <w:tc>
          <w:tcPr>
            <w:tcW w:w="1041" w:type="dxa"/>
            <w:tcBorders>
              <w:top w:val="nil"/>
              <w:left w:val="nil"/>
              <w:bottom w:val="single" w:sz="4" w:space="0" w:color="auto"/>
              <w:right w:val="single" w:sz="4" w:space="0" w:color="auto"/>
            </w:tcBorders>
            <w:noWrap/>
            <w:vAlign w:val="center"/>
            <w:hideMark/>
          </w:tcPr>
          <w:p w14:paraId="4CEB8854" w14:textId="77777777" w:rsidR="00F421F8" w:rsidRPr="00131EED" w:rsidRDefault="00F421F8">
            <w:pPr>
              <w:jc w:val="center"/>
              <w:rPr>
                <w:color w:val="000000"/>
                <w:sz w:val="20"/>
                <w:szCs w:val="20"/>
                <w:lang w:eastAsia="en-US"/>
              </w:rPr>
            </w:pPr>
            <w:r w:rsidRPr="00131EED">
              <w:rPr>
                <w:color w:val="000000"/>
                <w:sz w:val="20"/>
                <w:szCs w:val="20"/>
                <w:lang w:eastAsia="en-US"/>
              </w:rPr>
              <w:t>529.1</w:t>
            </w:r>
          </w:p>
        </w:tc>
        <w:tc>
          <w:tcPr>
            <w:tcW w:w="794" w:type="dxa"/>
            <w:tcBorders>
              <w:top w:val="nil"/>
              <w:left w:val="nil"/>
              <w:bottom w:val="single" w:sz="4" w:space="0" w:color="auto"/>
              <w:right w:val="single" w:sz="4" w:space="0" w:color="auto"/>
            </w:tcBorders>
            <w:noWrap/>
            <w:vAlign w:val="center"/>
            <w:hideMark/>
          </w:tcPr>
          <w:p w14:paraId="02D9D284" w14:textId="77777777" w:rsidR="00F421F8" w:rsidRPr="00131EED" w:rsidRDefault="00F421F8">
            <w:pPr>
              <w:jc w:val="center"/>
              <w:rPr>
                <w:color w:val="000000"/>
                <w:sz w:val="20"/>
                <w:szCs w:val="20"/>
                <w:lang w:eastAsia="en-US"/>
              </w:rPr>
            </w:pPr>
            <w:r w:rsidRPr="00131EED">
              <w:rPr>
                <w:color w:val="000000"/>
                <w:sz w:val="20"/>
                <w:szCs w:val="20"/>
                <w:lang w:eastAsia="en-US"/>
              </w:rPr>
              <w:t>31</w:t>
            </w:r>
          </w:p>
        </w:tc>
        <w:tc>
          <w:tcPr>
            <w:tcW w:w="989" w:type="dxa"/>
            <w:tcBorders>
              <w:top w:val="nil"/>
              <w:left w:val="nil"/>
              <w:bottom w:val="single" w:sz="4" w:space="0" w:color="auto"/>
              <w:right w:val="single" w:sz="4" w:space="0" w:color="auto"/>
            </w:tcBorders>
            <w:noWrap/>
            <w:vAlign w:val="center"/>
            <w:hideMark/>
          </w:tcPr>
          <w:p w14:paraId="796DB6D1" w14:textId="77777777" w:rsidR="00F421F8" w:rsidRPr="00131EED" w:rsidRDefault="00F421F8">
            <w:pPr>
              <w:jc w:val="center"/>
              <w:rPr>
                <w:color w:val="000000"/>
                <w:sz w:val="20"/>
                <w:szCs w:val="20"/>
                <w:lang w:eastAsia="en-US"/>
              </w:rPr>
            </w:pPr>
            <w:r w:rsidRPr="00131EED">
              <w:rPr>
                <w:color w:val="000000"/>
                <w:sz w:val="20"/>
                <w:szCs w:val="20"/>
                <w:lang w:eastAsia="en-US"/>
              </w:rPr>
              <w:t>1538.38</w:t>
            </w:r>
          </w:p>
        </w:tc>
        <w:tc>
          <w:tcPr>
            <w:tcW w:w="909" w:type="dxa"/>
            <w:tcBorders>
              <w:top w:val="nil"/>
              <w:left w:val="nil"/>
              <w:bottom w:val="single" w:sz="4" w:space="0" w:color="auto"/>
              <w:right w:val="single" w:sz="4" w:space="0" w:color="auto"/>
            </w:tcBorders>
            <w:noWrap/>
            <w:vAlign w:val="center"/>
            <w:hideMark/>
          </w:tcPr>
          <w:p w14:paraId="010B57DC" w14:textId="77777777" w:rsidR="00F421F8" w:rsidRPr="00131EED" w:rsidRDefault="00F421F8">
            <w:pPr>
              <w:jc w:val="center"/>
              <w:rPr>
                <w:color w:val="000000"/>
                <w:sz w:val="20"/>
                <w:szCs w:val="20"/>
                <w:lang w:eastAsia="en-US"/>
              </w:rPr>
            </w:pPr>
            <w:r w:rsidRPr="00131EED">
              <w:rPr>
                <w:color w:val="000000"/>
                <w:sz w:val="20"/>
                <w:szCs w:val="20"/>
                <w:lang w:eastAsia="en-US"/>
              </w:rPr>
              <w:t>2160.38</w:t>
            </w:r>
          </w:p>
        </w:tc>
      </w:tr>
      <w:tr w:rsidR="00F421F8" w:rsidRPr="00131EED" w14:paraId="04CFCFDB"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598B6782" w14:textId="77777777" w:rsidR="00F421F8" w:rsidRPr="00131EED" w:rsidRDefault="00F421F8">
            <w:pPr>
              <w:jc w:val="center"/>
              <w:rPr>
                <w:color w:val="000000"/>
                <w:sz w:val="20"/>
                <w:szCs w:val="20"/>
                <w:lang w:eastAsia="en-US"/>
              </w:rPr>
            </w:pPr>
            <w:r w:rsidRPr="00131EED">
              <w:rPr>
                <w:color w:val="000000"/>
                <w:sz w:val="20"/>
                <w:szCs w:val="20"/>
                <w:lang w:eastAsia="en-US"/>
              </w:rPr>
              <w:t>Funza</w:t>
            </w:r>
          </w:p>
        </w:tc>
        <w:tc>
          <w:tcPr>
            <w:tcW w:w="1661" w:type="dxa"/>
            <w:tcBorders>
              <w:top w:val="nil"/>
              <w:left w:val="nil"/>
              <w:bottom w:val="single" w:sz="4" w:space="0" w:color="auto"/>
              <w:right w:val="single" w:sz="4" w:space="0" w:color="auto"/>
            </w:tcBorders>
            <w:noWrap/>
            <w:vAlign w:val="center"/>
            <w:hideMark/>
          </w:tcPr>
          <w:p w14:paraId="540EBA7C" w14:textId="77777777" w:rsidR="00F421F8" w:rsidRPr="00131EED" w:rsidRDefault="00F421F8">
            <w:pPr>
              <w:jc w:val="center"/>
              <w:rPr>
                <w:color w:val="000000"/>
                <w:sz w:val="20"/>
                <w:szCs w:val="20"/>
                <w:lang w:eastAsia="en-US"/>
              </w:rPr>
            </w:pPr>
            <w:r w:rsidRPr="00131EED">
              <w:rPr>
                <w:color w:val="000000"/>
                <w:sz w:val="20"/>
                <w:szCs w:val="20"/>
                <w:lang w:eastAsia="en-US"/>
              </w:rPr>
              <w:t>90.20</w:t>
            </w:r>
          </w:p>
        </w:tc>
        <w:tc>
          <w:tcPr>
            <w:tcW w:w="776" w:type="dxa"/>
            <w:tcBorders>
              <w:top w:val="nil"/>
              <w:left w:val="nil"/>
              <w:bottom w:val="single" w:sz="4" w:space="0" w:color="auto"/>
              <w:right w:val="single" w:sz="4" w:space="0" w:color="auto"/>
            </w:tcBorders>
            <w:noWrap/>
            <w:vAlign w:val="center"/>
            <w:hideMark/>
          </w:tcPr>
          <w:p w14:paraId="5414F785" w14:textId="77777777" w:rsidR="00F421F8" w:rsidRPr="00131EED" w:rsidRDefault="00F421F8">
            <w:pPr>
              <w:jc w:val="center"/>
              <w:rPr>
                <w:color w:val="000000"/>
                <w:sz w:val="20"/>
                <w:szCs w:val="20"/>
                <w:lang w:eastAsia="en-US"/>
              </w:rPr>
            </w:pPr>
            <w:r w:rsidRPr="00131EED">
              <w:rPr>
                <w:color w:val="000000"/>
                <w:sz w:val="20"/>
                <w:szCs w:val="20"/>
                <w:lang w:eastAsia="en-US"/>
              </w:rPr>
              <w:t>0</w:t>
            </w:r>
          </w:p>
        </w:tc>
        <w:tc>
          <w:tcPr>
            <w:tcW w:w="1041" w:type="dxa"/>
            <w:tcBorders>
              <w:top w:val="nil"/>
              <w:left w:val="nil"/>
              <w:bottom w:val="single" w:sz="4" w:space="0" w:color="auto"/>
              <w:right w:val="single" w:sz="4" w:space="0" w:color="auto"/>
            </w:tcBorders>
            <w:noWrap/>
            <w:vAlign w:val="center"/>
            <w:hideMark/>
          </w:tcPr>
          <w:p w14:paraId="4368864D" w14:textId="77777777" w:rsidR="00F421F8" w:rsidRPr="00131EED" w:rsidRDefault="00F421F8">
            <w:pPr>
              <w:jc w:val="center"/>
              <w:rPr>
                <w:color w:val="000000"/>
                <w:sz w:val="20"/>
                <w:szCs w:val="20"/>
                <w:lang w:eastAsia="en-US"/>
              </w:rPr>
            </w:pPr>
            <w:r w:rsidRPr="00131EED">
              <w:rPr>
                <w:color w:val="000000"/>
                <w:sz w:val="20"/>
                <w:szCs w:val="20"/>
                <w:lang w:eastAsia="en-US"/>
              </w:rPr>
              <w:t>547.7</w:t>
            </w:r>
          </w:p>
        </w:tc>
        <w:tc>
          <w:tcPr>
            <w:tcW w:w="794" w:type="dxa"/>
            <w:tcBorders>
              <w:top w:val="nil"/>
              <w:left w:val="nil"/>
              <w:bottom w:val="single" w:sz="4" w:space="0" w:color="auto"/>
              <w:right w:val="single" w:sz="4" w:space="0" w:color="auto"/>
            </w:tcBorders>
            <w:noWrap/>
            <w:vAlign w:val="center"/>
            <w:hideMark/>
          </w:tcPr>
          <w:p w14:paraId="1BF521C6" w14:textId="77777777" w:rsidR="00F421F8" w:rsidRPr="00131EED" w:rsidRDefault="00F421F8">
            <w:pPr>
              <w:jc w:val="center"/>
              <w:rPr>
                <w:color w:val="000000"/>
                <w:sz w:val="20"/>
                <w:szCs w:val="20"/>
                <w:lang w:eastAsia="en-US"/>
              </w:rPr>
            </w:pPr>
            <w:r w:rsidRPr="00131EED">
              <w:rPr>
                <w:color w:val="000000"/>
                <w:sz w:val="20"/>
                <w:szCs w:val="20"/>
                <w:lang w:eastAsia="en-US"/>
              </w:rPr>
              <w:t>19.5</w:t>
            </w:r>
          </w:p>
        </w:tc>
        <w:tc>
          <w:tcPr>
            <w:tcW w:w="989" w:type="dxa"/>
            <w:tcBorders>
              <w:top w:val="nil"/>
              <w:left w:val="nil"/>
              <w:bottom w:val="single" w:sz="4" w:space="0" w:color="auto"/>
              <w:right w:val="single" w:sz="4" w:space="0" w:color="auto"/>
            </w:tcBorders>
            <w:noWrap/>
            <w:vAlign w:val="center"/>
            <w:hideMark/>
          </w:tcPr>
          <w:p w14:paraId="261D6EB1" w14:textId="77777777" w:rsidR="00F421F8" w:rsidRPr="00131EED" w:rsidRDefault="00F421F8">
            <w:pPr>
              <w:jc w:val="center"/>
              <w:rPr>
                <w:color w:val="000000"/>
                <w:sz w:val="20"/>
                <w:szCs w:val="20"/>
                <w:lang w:eastAsia="en-US"/>
              </w:rPr>
            </w:pPr>
            <w:r w:rsidRPr="00131EED">
              <w:rPr>
                <w:color w:val="000000"/>
                <w:sz w:val="20"/>
                <w:szCs w:val="20"/>
                <w:lang w:eastAsia="en-US"/>
              </w:rPr>
              <w:t>332.25</w:t>
            </w:r>
          </w:p>
        </w:tc>
        <w:tc>
          <w:tcPr>
            <w:tcW w:w="909" w:type="dxa"/>
            <w:tcBorders>
              <w:top w:val="nil"/>
              <w:left w:val="nil"/>
              <w:bottom w:val="single" w:sz="4" w:space="0" w:color="auto"/>
              <w:right w:val="single" w:sz="4" w:space="0" w:color="auto"/>
            </w:tcBorders>
            <w:noWrap/>
            <w:vAlign w:val="center"/>
            <w:hideMark/>
          </w:tcPr>
          <w:p w14:paraId="522C33E6" w14:textId="77777777" w:rsidR="00F421F8" w:rsidRPr="00131EED" w:rsidRDefault="00F421F8">
            <w:pPr>
              <w:jc w:val="center"/>
              <w:rPr>
                <w:color w:val="000000"/>
                <w:sz w:val="20"/>
                <w:szCs w:val="20"/>
                <w:lang w:eastAsia="en-US"/>
              </w:rPr>
            </w:pPr>
            <w:r w:rsidRPr="00131EED">
              <w:rPr>
                <w:color w:val="000000"/>
                <w:sz w:val="20"/>
                <w:szCs w:val="20"/>
                <w:lang w:eastAsia="en-US"/>
              </w:rPr>
              <w:t>989.65</w:t>
            </w:r>
          </w:p>
        </w:tc>
      </w:tr>
      <w:tr w:rsidR="00F421F8" w:rsidRPr="00131EED" w14:paraId="61AB58F4"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3365BB1C" w14:textId="77777777" w:rsidR="00F421F8" w:rsidRPr="00131EED" w:rsidRDefault="00F421F8">
            <w:pPr>
              <w:jc w:val="center"/>
              <w:rPr>
                <w:color w:val="000000"/>
                <w:sz w:val="20"/>
                <w:szCs w:val="20"/>
                <w:lang w:eastAsia="en-US"/>
              </w:rPr>
            </w:pPr>
            <w:r w:rsidRPr="00131EED">
              <w:rPr>
                <w:color w:val="000000"/>
                <w:sz w:val="20"/>
                <w:szCs w:val="20"/>
                <w:lang w:eastAsia="en-US"/>
              </w:rPr>
              <w:t>Gachancipá</w:t>
            </w:r>
          </w:p>
        </w:tc>
        <w:tc>
          <w:tcPr>
            <w:tcW w:w="1661" w:type="dxa"/>
            <w:tcBorders>
              <w:top w:val="nil"/>
              <w:left w:val="nil"/>
              <w:bottom w:val="single" w:sz="4" w:space="0" w:color="auto"/>
              <w:right w:val="single" w:sz="4" w:space="0" w:color="auto"/>
            </w:tcBorders>
            <w:noWrap/>
            <w:vAlign w:val="center"/>
            <w:hideMark/>
          </w:tcPr>
          <w:p w14:paraId="60C7DDA3" w14:textId="77777777" w:rsidR="00F421F8" w:rsidRPr="00131EED" w:rsidRDefault="00F421F8">
            <w:pPr>
              <w:jc w:val="center"/>
              <w:rPr>
                <w:color w:val="000000"/>
                <w:sz w:val="20"/>
                <w:szCs w:val="20"/>
                <w:lang w:eastAsia="en-US"/>
              </w:rPr>
            </w:pPr>
            <w:r w:rsidRPr="00131EED">
              <w:rPr>
                <w:color w:val="000000"/>
                <w:sz w:val="20"/>
                <w:szCs w:val="20"/>
                <w:lang w:eastAsia="en-US"/>
              </w:rPr>
              <w:t>21.20</w:t>
            </w:r>
          </w:p>
        </w:tc>
        <w:tc>
          <w:tcPr>
            <w:tcW w:w="776" w:type="dxa"/>
            <w:tcBorders>
              <w:top w:val="nil"/>
              <w:left w:val="nil"/>
              <w:bottom w:val="single" w:sz="4" w:space="0" w:color="auto"/>
              <w:right w:val="single" w:sz="4" w:space="0" w:color="auto"/>
            </w:tcBorders>
            <w:noWrap/>
            <w:vAlign w:val="center"/>
            <w:hideMark/>
          </w:tcPr>
          <w:p w14:paraId="6E8EA674" w14:textId="77777777" w:rsidR="00F421F8" w:rsidRPr="00131EED" w:rsidRDefault="00F421F8">
            <w:pPr>
              <w:jc w:val="center"/>
              <w:rPr>
                <w:color w:val="000000"/>
                <w:sz w:val="20"/>
                <w:szCs w:val="20"/>
                <w:lang w:eastAsia="en-US"/>
              </w:rPr>
            </w:pPr>
            <w:r w:rsidRPr="00131EED">
              <w:rPr>
                <w:color w:val="000000"/>
                <w:sz w:val="20"/>
                <w:szCs w:val="20"/>
                <w:lang w:eastAsia="en-US"/>
              </w:rPr>
              <w:t>31.3</w:t>
            </w:r>
          </w:p>
        </w:tc>
        <w:tc>
          <w:tcPr>
            <w:tcW w:w="1041" w:type="dxa"/>
            <w:tcBorders>
              <w:top w:val="nil"/>
              <w:left w:val="nil"/>
              <w:bottom w:val="single" w:sz="4" w:space="0" w:color="auto"/>
              <w:right w:val="single" w:sz="4" w:space="0" w:color="auto"/>
            </w:tcBorders>
            <w:noWrap/>
            <w:vAlign w:val="center"/>
            <w:hideMark/>
          </w:tcPr>
          <w:p w14:paraId="7194B416" w14:textId="77777777" w:rsidR="00F421F8" w:rsidRPr="00131EED" w:rsidRDefault="00F421F8">
            <w:pPr>
              <w:jc w:val="center"/>
              <w:rPr>
                <w:color w:val="000000"/>
                <w:sz w:val="20"/>
                <w:szCs w:val="20"/>
                <w:lang w:eastAsia="en-US"/>
              </w:rPr>
            </w:pPr>
            <w:r w:rsidRPr="00131EED">
              <w:rPr>
                <w:color w:val="000000"/>
                <w:sz w:val="20"/>
                <w:szCs w:val="20"/>
                <w:lang w:eastAsia="en-US"/>
              </w:rPr>
              <w:t>389.7</w:t>
            </w:r>
          </w:p>
        </w:tc>
        <w:tc>
          <w:tcPr>
            <w:tcW w:w="794" w:type="dxa"/>
            <w:tcBorders>
              <w:top w:val="nil"/>
              <w:left w:val="nil"/>
              <w:bottom w:val="single" w:sz="4" w:space="0" w:color="auto"/>
              <w:right w:val="single" w:sz="4" w:space="0" w:color="auto"/>
            </w:tcBorders>
            <w:noWrap/>
            <w:vAlign w:val="center"/>
            <w:hideMark/>
          </w:tcPr>
          <w:p w14:paraId="70CDAB3F" w14:textId="77777777" w:rsidR="00F421F8" w:rsidRPr="00131EED" w:rsidRDefault="00F421F8">
            <w:pPr>
              <w:jc w:val="center"/>
              <w:rPr>
                <w:color w:val="000000"/>
                <w:sz w:val="20"/>
                <w:szCs w:val="20"/>
                <w:lang w:eastAsia="en-US"/>
              </w:rPr>
            </w:pPr>
            <w:r w:rsidRPr="00131EED">
              <w:rPr>
                <w:color w:val="000000"/>
                <w:sz w:val="20"/>
                <w:szCs w:val="20"/>
                <w:lang w:eastAsia="en-US"/>
              </w:rPr>
              <w:t>1.3</w:t>
            </w:r>
          </w:p>
        </w:tc>
        <w:tc>
          <w:tcPr>
            <w:tcW w:w="989" w:type="dxa"/>
            <w:tcBorders>
              <w:top w:val="nil"/>
              <w:left w:val="nil"/>
              <w:bottom w:val="single" w:sz="4" w:space="0" w:color="auto"/>
              <w:right w:val="single" w:sz="4" w:space="0" w:color="auto"/>
            </w:tcBorders>
            <w:noWrap/>
            <w:vAlign w:val="center"/>
            <w:hideMark/>
          </w:tcPr>
          <w:p w14:paraId="1D2F8873" w14:textId="77777777" w:rsidR="00F421F8" w:rsidRPr="00131EED" w:rsidRDefault="00F421F8">
            <w:pPr>
              <w:jc w:val="center"/>
              <w:rPr>
                <w:color w:val="000000"/>
                <w:sz w:val="20"/>
                <w:szCs w:val="20"/>
                <w:lang w:eastAsia="en-US"/>
              </w:rPr>
            </w:pPr>
            <w:r w:rsidRPr="00131EED">
              <w:rPr>
                <w:color w:val="000000"/>
                <w:sz w:val="20"/>
                <w:szCs w:val="20"/>
                <w:lang w:eastAsia="en-US"/>
              </w:rPr>
              <w:t>146.79</w:t>
            </w:r>
          </w:p>
        </w:tc>
        <w:tc>
          <w:tcPr>
            <w:tcW w:w="909" w:type="dxa"/>
            <w:tcBorders>
              <w:top w:val="nil"/>
              <w:left w:val="nil"/>
              <w:bottom w:val="single" w:sz="4" w:space="0" w:color="auto"/>
              <w:right w:val="single" w:sz="4" w:space="0" w:color="auto"/>
            </w:tcBorders>
            <w:noWrap/>
            <w:vAlign w:val="center"/>
            <w:hideMark/>
          </w:tcPr>
          <w:p w14:paraId="4392614B" w14:textId="77777777" w:rsidR="00F421F8" w:rsidRPr="00131EED" w:rsidRDefault="00F421F8">
            <w:pPr>
              <w:jc w:val="center"/>
              <w:rPr>
                <w:color w:val="000000"/>
                <w:sz w:val="20"/>
                <w:szCs w:val="20"/>
                <w:lang w:eastAsia="en-US"/>
              </w:rPr>
            </w:pPr>
            <w:r w:rsidRPr="00131EED">
              <w:rPr>
                <w:color w:val="000000"/>
                <w:sz w:val="20"/>
                <w:szCs w:val="20"/>
                <w:lang w:eastAsia="en-US"/>
              </w:rPr>
              <w:t>590.29</w:t>
            </w:r>
          </w:p>
        </w:tc>
      </w:tr>
      <w:tr w:rsidR="00F421F8" w:rsidRPr="00131EED" w14:paraId="7EF98F1E"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05807943" w14:textId="77777777" w:rsidR="00F421F8" w:rsidRPr="00131EED" w:rsidRDefault="00F421F8">
            <w:pPr>
              <w:jc w:val="center"/>
              <w:rPr>
                <w:color w:val="000000"/>
                <w:sz w:val="20"/>
                <w:szCs w:val="20"/>
                <w:lang w:eastAsia="en-US"/>
              </w:rPr>
            </w:pPr>
            <w:r w:rsidRPr="00131EED">
              <w:rPr>
                <w:color w:val="000000"/>
                <w:sz w:val="20"/>
                <w:szCs w:val="20"/>
                <w:lang w:eastAsia="en-US"/>
              </w:rPr>
              <w:t>La Calera</w:t>
            </w:r>
          </w:p>
        </w:tc>
        <w:tc>
          <w:tcPr>
            <w:tcW w:w="1661" w:type="dxa"/>
            <w:tcBorders>
              <w:top w:val="nil"/>
              <w:left w:val="nil"/>
              <w:bottom w:val="single" w:sz="4" w:space="0" w:color="auto"/>
              <w:right w:val="single" w:sz="4" w:space="0" w:color="auto"/>
            </w:tcBorders>
            <w:noWrap/>
            <w:vAlign w:val="center"/>
            <w:hideMark/>
          </w:tcPr>
          <w:p w14:paraId="2CB8B30B" w14:textId="77777777" w:rsidR="00F421F8" w:rsidRPr="00131EED" w:rsidRDefault="00F421F8">
            <w:pPr>
              <w:jc w:val="center"/>
              <w:rPr>
                <w:color w:val="000000"/>
                <w:sz w:val="20"/>
                <w:szCs w:val="20"/>
                <w:lang w:eastAsia="en-US"/>
              </w:rPr>
            </w:pPr>
            <w:r w:rsidRPr="00131EED">
              <w:rPr>
                <w:color w:val="000000"/>
                <w:sz w:val="20"/>
                <w:szCs w:val="20"/>
                <w:lang w:eastAsia="en-US"/>
              </w:rPr>
              <w:t>114.80</w:t>
            </w:r>
          </w:p>
        </w:tc>
        <w:tc>
          <w:tcPr>
            <w:tcW w:w="776" w:type="dxa"/>
            <w:tcBorders>
              <w:top w:val="nil"/>
              <w:left w:val="nil"/>
              <w:bottom w:val="single" w:sz="4" w:space="0" w:color="auto"/>
              <w:right w:val="single" w:sz="4" w:space="0" w:color="auto"/>
            </w:tcBorders>
            <w:noWrap/>
            <w:vAlign w:val="center"/>
            <w:hideMark/>
          </w:tcPr>
          <w:p w14:paraId="44B96D36" w14:textId="77777777" w:rsidR="00F421F8" w:rsidRPr="00131EED" w:rsidRDefault="00F421F8">
            <w:pPr>
              <w:jc w:val="center"/>
              <w:rPr>
                <w:color w:val="000000"/>
                <w:sz w:val="20"/>
                <w:szCs w:val="20"/>
                <w:lang w:eastAsia="en-US"/>
              </w:rPr>
            </w:pPr>
            <w:r w:rsidRPr="00131EED">
              <w:rPr>
                <w:color w:val="000000"/>
                <w:sz w:val="20"/>
                <w:szCs w:val="20"/>
                <w:lang w:eastAsia="en-US"/>
              </w:rPr>
              <w:t>0</w:t>
            </w:r>
          </w:p>
        </w:tc>
        <w:tc>
          <w:tcPr>
            <w:tcW w:w="1041" w:type="dxa"/>
            <w:tcBorders>
              <w:top w:val="nil"/>
              <w:left w:val="nil"/>
              <w:bottom w:val="single" w:sz="4" w:space="0" w:color="auto"/>
              <w:right w:val="single" w:sz="4" w:space="0" w:color="auto"/>
            </w:tcBorders>
            <w:noWrap/>
            <w:vAlign w:val="center"/>
            <w:hideMark/>
          </w:tcPr>
          <w:p w14:paraId="189F7DA5" w14:textId="77777777" w:rsidR="00F421F8" w:rsidRPr="00131EED" w:rsidRDefault="00F421F8">
            <w:pPr>
              <w:jc w:val="center"/>
              <w:rPr>
                <w:color w:val="000000"/>
                <w:sz w:val="20"/>
                <w:szCs w:val="20"/>
                <w:lang w:eastAsia="en-US"/>
              </w:rPr>
            </w:pPr>
            <w:r w:rsidRPr="00131EED">
              <w:rPr>
                <w:color w:val="000000"/>
                <w:sz w:val="20"/>
                <w:szCs w:val="20"/>
                <w:lang w:eastAsia="en-US"/>
              </w:rPr>
              <w:t>405.2</w:t>
            </w:r>
          </w:p>
        </w:tc>
        <w:tc>
          <w:tcPr>
            <w:tcW w:w="794" w:type="dxa"/>
            <w:tcBorders>
              <w:top w:val="nil"/>
              <w:left w:val="nil"/>
              <w:bottom w:val="single" w:sz="4" w:space="0" w:color="auto"/>
              <w:right w:val="single" w:sz="4" w:space="0" w:color="auto"/>
            </w:tcBorders>
            <w:noWrap/>
            <w:vAlign w:val="center"/>
            <w:hideMark/>
          </w:tcPr>
          <w:p w14:paraId="39A3F24B" w14:textId="77777777" w:rsidR="00F421F8" w:rsidRPr="00131EED" w:rsidRDefault="00F421F8">
            <w:pPr>
              <w:jc w:val="center"/>
              <w:rPr>
                <w:color w:val="000000"/>
                <w:sz w:val="20"/>
                <w:szCs w:val="20"/>
                <w:lang w:eastAsia="en-US"/>
              </w:rPr>
            </w:pPr>
            <w:r w:rsidRPr="00131EED">
              <w:rPr>
                <w:color w:val="000000"/>
                <w:sz w:val="20"/>
                <w:szCs w:val="20"/>
                <w:lang w:eastAsia="en-US"/>
              </w:rPr>
              <w:t>80.7</w:t>
            </w:r>
          </w:p>
        </w:tc>
        <w:tc>
          <w:tcPr>
            <w:tcW w:w="989" w:type="dxa"/>
            <w:tcBorders>
              <w:top w:val="nil"/>
              <w:left w:val="nil"/>
              <w:bottom w:val="single" w:sz="4" w:space="0" w:color="auto"/>
              <w:right w:val="single" w:sz="4" w:space="0" w:color="auto"/>
            </w:tcBorders>
            <w:noWrap/>
            <w:vAlign w:val="center"/>
            <w:hideMark/>
          </w:tcPr>
          <w:p w14:paraId="6192E86F" w14:textId="77777777" w:rsidR="00F421F8" w:rsidRPr="00131EED" w:rsidRDefault="00F421F8">
            <w:pPr>
              <w:jc w:val="center"/>
              <w:rPr>
                <w:color w:val="000000"/>
                <w:sz w:val="20"/>
                <w:szCs w:val="20"/>
                <w:lang w:eastAsia="en-US"/>
              </w:rPr>
            </w:pPr>
            <w:r w:rsidRPr="00131EED">
              <w:rPr>
                <w:color w:val="000000"/>
                <w:sz w:val="20"/>
                <w:szCs w:val="20"/>
                <w:lang w:eastAsia="en-US"/>
              </w:rPr>
              <w:t>981.56</w:t>
            </w:r>
          </w:p>
        </w:tc>
        <w:tc>
          <w:tcPr>
            <w:tcW w:w="909" w:type="dxa"/>
            <w:tcBorders>
              <w:top w:val="nil"/>
              <w:left w:val="nil"/>
              <w:bottom w:val="single" w:sz="4" w:space="0" w:color="auto"/>
              <w:right w:val="single" w:sz="4" w:space="0" w:color="auto"/>
            </w:tcBorders>
            <w:noWrap/>
            <w:vAlign w:val="center"/>
            <w:hideMark/>
          </w:tcPr>
          <w:p w14:paraId="5BEBC536" w14:textId="77777777" w:rsidR="00F421F8" w:rsidRPr="00131EED" w:rsidRDefault="00F421F8">
            <w:pPr>
              <w:jc w:val="center"/>
              <w:rPr>
                <w:color w:val="000000"/>
                <w:sz w:val="20"/>
                <w:szCs w:val="20"/>
                <w:lang w:eastAsia="en-US"/>
              </w:rPr>
            </w:pPr>
            <w:r w:rsidRPr="00131EED">
              <w:rPr>
                <w:color w:val="000000"/>
                <w:sz w:val="20"/>
                <w:szCs w:val="20"/>
                <w:lang w:eastAsia="en-US"/>
              </w:rPr>
              <w:t>1582.26</w:t>
            </w:r>
          </w:p>
        </w:tc>
      </w:tr>
      <w:tr w:rsidR="00F421F8" w:rsidRPr="00131EED" w14:paraId="56B0B616"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46F45E52" w14:textId="77777777" w:rsidR="00F421F8" w:rsidRPr="00131EED" w:rsidRDefault="00F421F8">
            <w:pPr>
              <w:jc w:val="center"/>
              <w:rPr>
                <w:color w:val="000000"/>
                <w:sz w:val="20"/>
                <w:szCs w:val="20"/>
                <w:lang w:eastAsia="en-US"/>
              </w:rPr>
            </w:pPr>
            <w:r w:rsidRPr="00131EED">
              <w:rPr>
                <w:color w:val="000000"/>
                <w:sz w:val="20"/>
                <w:szCs w:val="20"/>
                <w:lang w:eastAsia="en-US"/>
              </w:rPr>
              <w:t>Madrid</w:t>
            </w:r>
          </w:p>
        </w:tc>
        <w:tc>
          <w:tcPr>
            <w:tcW w:w="1661" w:type="dxa"/>
            <w:tcBorders>
              <w:top w:val="nil"/>
              <w:left w:val="nil"/>
              <w:bottom w:val="single" w:sz="4" w:space="0" w:color="auto"/>
              <w:right w:val="single" w:sz="4" w:space="0" w:color="auto"/>
            </w:tcBorders>
            <w:noWrap/>
            <w:vAlign w:val="center"/>
            <w:hideMark/>
          </w:tcPr>
          <w:p w14:paraId="27D34356" w14:textId="77777777" w:rsidR="00F421F8" w:rsidRPr="00131EED" w:rsidRDefault="00F421F8">
            <w:pPr>
              <w:jc w:val="center"/>
              <w:rPr>
                <w:color w:val="000000"/>
                <w:sz w:val="20"/>
                <w:szCs w:val="20"/>
                <w:lang w:eastAsia="en-US"/>
              </w:rPr>
            </w:pPr>
            <w:r w:rsidRPr="00131EED">
              <w:rPr>
                <w:color w:val="000000"/>
                <w:sz w:val="20"/>
                <w:szCs w:val="20"/>
                <w:lang w:eastAsia="en-US"/>
              </w:rPr>
              <w:t>72.50</w:t>
            </w:r>
          </w:p>
        </w:tc>
        <w:tc>
          <w:tcPr>
            <w:tcW w:w="776" w:type="dxa"/>
            <w:tcBorders>
              <w:top w:val="nil"/>
              <w:left w:val="nil"/>
              <w:bottom w:val="single" w:sz="4" w:space="0" w:color="auto"/>
              <w:right w:val="single" w:sz="4" w:space="0" w:color="auto"/>
            </w:tcBorders>
            <w:noWrap/>
            <w:vAlign w:val="center"/>
            <w:hideMark/>
          </w:tcPr>
          <w:p w14:paraId="6ECB0205" w14:textId="77777777" w:rsidR="00F421F8" w:rsidRPr="00131EED" w:rsidRDefault="00F421F8">
            <w:pPr>
              <w:jc w:val="center"/>
              <w:rPr>
                <w:color w:val="000000"/>
                <w:sz w:val="20"/>
                <w:szCs w:val="20"/>
                <w:lang w:eastAsia="en-US"/>
              </w:rPr>
            </w:pPr>
            <w:r w:rsidRPr="00131EED">
              <w:rPr>
                <w:color w:val="000000"/>
                <w:sz w:val="20"/>
                <w:szCs w:val="20"/>
                <w:lang w:eastAsia="en-US"/>
              </w:rPr>
              <w:t>111</w:t>
            </w:r>
          </w:p>
        </w:tc>
        <w:tc>
          <w:tcPr>
            <w:tcW w:w="1041" w:type="dxa"/>
            <w:tcBorders>
              <w:top w:val="nil"/>
              <w:left w:val="nil"/>
              <w:bottom w:val="single" w:sz="4" w:space="0" w:color="auto"/>
              <w:right w:val="single" w:sz="4" w:space="0" w:color="auto"/>
            </w:tcBorders>
            <w:noWrap/>
            <w:vAlign w:val="center"/>
            <w:hideMark/>
          </w:tcPr>
          <w:p w14:paraId="7D197A77" w14:textId="77777777" w:rsidR="00F421F8" w:rsidRPr="00131EED" w:rsidRDefault="00F421F8">
            <w:pPr>
              <w:jc w:val="center"/>
              <w:rPr>
                <w:color w:val="000000"/>
                <w:sz w:val="20"/>
                <w:szCs w:val="20"/>
                <w:lang w:eastAsia="en-US"/>
              </w:rPr>
            </w:pPr>
            <w:r w:rsidRPr="00131EED">
              <w:rPr>
                <w:color w:val="000000"/>
                <w:sz w:val="20"/>
                <w:szCs w:val="20"/>
                <w:lang w:eastAsia="en-US"/>
              </w:rPr>
              <w:t>527.2</w:t>
            </w:r>
          </w:p>
        </w:tc>
        <w:tc>
          <w:tcPr>
            <w:tcW w:w="794" w:type="dxa"/>
            <w:tcBorders>
              <w:top w:val="nil"/>
              <w:left w:val="nil"/>
              <w:bottom w:val="single" w:sz="4" w:space="0" w:color="auto"/>
              <w:right w:val="single" w:sz="4" w:space="0" w:color="auto"/>
            </w:tcBorders>
            <w:noWrap/>
            <w:vAlign w:val="center"/>
            <w:hideMark/>
          </w:tcPr>
          <w:p w14:paraId="557C22C9" w14:textId="77777777" w:rsidR="00F421F8" w:rsidRPr="00131EED" w:rsidRDefault="00F421F8">
            <w:pPr>
              <w:jc w:val="center"/>
              <w:rPr>
                <w:color w:val="000000"/>
                <w:sz w:val="20"/>
                <w:szCs w:val="20"/>
                <w:lang w:eastAsia="en-US"/>
              </w:rPr>
            </w:pPr>
            <w:r w:rsidRPr="00131EED">
              <w:rPr>
                <w:color w:val="000000"/>
                <w:sz w:val="20"/>
                <w:szCs w:val="20"/>
                <w:lang w:eastAsia="en-US"/>
              </w:rPr>
              <w:t>32.7</w:t>
            </w:r>
          </w:p>
        </w:tc>
        <w:tc>
          <w:tcPr>
            <w:tcW w:w="989" w:type="dxa"/>
            <w:tcBorders>
              <w:top w:val="nil"/>
              <w:left w:val="nil"/>
              <w:bottom w:val="single" w:sz="4" w:space="0" w:color="auto"/>
              <w:right w:val="single" w:sz="4" w:space="0" w:color="auto"/>
            </w:tcBorders>
            <w:noWrap/>
            <w:vAlign w:val="center"/>
            <w:hideMark/>
          </w:tcPr>
          <w:p w14:paraId="164F6718" w14:textId="77777777" w:rsidR="00F421F8" w:rsidRPr="00131EED" w:rsidRDefault="00F421F8">
            <w:pPr>
              <w:jc w:val="center"/>
              <w:rPr>
                <w:color w:val="000000"/>
                <w:sz w:val="20"/>
                <w:szCs w:val="20"/>
                <w:lang w:eastAsia="en-US"/>
              </w:rPr>
            </w:pPr>
            <w:r w:rsidRPr="00131EED">
              <w:rPr>
                <w:color w:val="000000"/>
                <w:sz w:val="20"/>
                <w:szCs w:val="20"/>
                <w:lang w:eastAsia="en-US"/>
              </w:rPr>
              <w:t>1107.56</w:t>
            </w:r>
          </w:p>
        </w:tc>
        <w:tc>
          <w:tcPr>
            <w:tcW w:w="909" w:type="dxa"/>
            <w:tcBorders>
              <w:top w:val="nil"/>
              <w:left w:val="nil"/>
              <w:bottom w:val="single" w:sz="4" w:space="0" w:color="auto"/>
              <w:right w:val="single" w:sz="4" w:space="0" w:color="auto"/>
            </w:tcBorders>
            <w:noWrap/>
            <w:vAlign w:val="center"/>
            <w:hideMark/>
          </w:tcPr>
          <w:p w14:paraId="7F32B0AC" w14:textId="77777777" w:rsidR="00F421F8" w:rsidRPr="00131EED" w:rsidRDefault="00F421F8">
            <w:pPr>
              <w:jc w:val="center"/>
              <w:rPr>
                <w:color w:val="000000"/>
                <w:sz w:val="20"/>
                <w:szCs w:val="20"/>
                <w:lang w:eastAsia="en-US"/>
              </w:rPr>
            </w:pPr>
            <w:r w:rsidRPr="00131EED">
              <w:rPr>
                <w:color w:val="000000"/>
                <w:sz w:val="20"/>
                <w:szCs w:val="20"/>
                <w:lang w:eastAsia="en-US"/>
              </w:rPr>
              <w:t>1850.96</w:t>
            </w:r>
          </w:p>
        </w:tc>
      </w:tr>
      <w:tr w:rsidR="00F421F8" w:rsidRPr="00131EED" w14:paraId="56F1118B"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544650B8" w14:textId="77777777" w:rsidR="00F421F8" w:rsidRPr="00131EED" w:rsidRDefault="00F421F8">
            <w:pPr>
              <w:jc w:val="center"/>
              <w:rPr>
                <w:color w:val="000000"/>
                <w:sz w:val="20"/>
                <w:szCs w:val="20"/>
                <w:lang w:eastAsia="en-US"/>
              </w:rPr>
            </w:pPr>
            <w:r w:rsidRPr="00131EED">
              <w:rPr>
                <w:color w:val="000000"/>
                <w:sz w:val="20"/>
                <w:szCs w:val="20"/>
                <w:lang w:eastAsia="en-US"/>
              </w:rPr>
              <w:t>Mosquera</w:t>
            </w:r>
          </w:p>
        </w:tc>
        <w:tc>
          <w:tcPr>
            <w:tcW w:w="1661" w:type="dxa"/>
            <w:tcBorders>
              <w:top w:val="nil"/>
              <w:left w:val="nil"/>
              <w:bottom w:val="single" w:sz="4" w:space="0" w:color="auto"/>
              <w:right w:val="single" w:sz="4" w:space="0" w:color="auto"/>
            </w:tcBorders>
            <w:noWrap/>
            <w:vAlign w:val="center"/>
            <w:hideMark/>
          </w:tcPr>
          <w:p w14:paraId="28937DCF" w14:textId="77777777" w:rsidR="00F421F8" w:rsidRPr="00131EED" w:rsidRDefault="00F421F8">
            <w:pPr>
              <w:jc w:val="center"/>
              <w:rPr>
                <w:color w:val="000000"/>
                <w:sz w:val="20"/>
                <w:szCs w:val="20"/>
                <w:lang w:eastAsia="en-US"/>
              </w:rPr>
            </w:pPr>
            <w:r w:rsidRPr="00131EED">
              <w:rPr>
                <w:color w:val="000000"/>
                <w:sz w:val="20"/>
                <w:szCs w:val="20"/>
                <w:lang w:eastAsia="en-US"/>
              </w:rPr>
              <w:t>137.40</w:t>
            </w:r>
          </w:p>
        </w:tc>
        <w:tc>
          <w:tcPr>
            <w:tcW w:w="776" w:type="dxa"/>
            <w:tcBorders>
              <w:top w:val="nil"/>
              <w:left w:val="nil"/>
              <w:bottom w:val="single" w:sz="4" w:space="0" w:color="auto"/>
              <w:right w:val="single" w:sz="4" w:space="0" w:color="auto"/>
            </w:tcBorders>
            <w:noWrap/>
            <w:vAlign w:val="center"/>
            <w:hideMark/>
          </w:tcPr>
          <w:p w14:paraId="3D4E354F" w14:textId="77777777" w:rsidR="00F421F8" w:rsidRPr="00131EED" w:rsidRDefault="00F421F8">
            <w:pPr>
              <w:jc w:val="center"/>
              <w:rPr>
                <w:color w:val="000000"/>
                <w:sz w:val="20"/>
                <w:szCs w:val="20"/>
                <w:lang w:eastAsia="en-US"/>
              </w:rPr>
            </w:pPr>
            <w:r w:rsidRPr="00131EED">
              <w:rPr>
                <w:color w:val="000000"/>
                <w:sz w:val="20"/>
                <w:szCs w:val="20"/>
                <w:lang w:eastAsia="en-US"/>
              </w:rPr>
              <w:t>0</w:t>
            </w:r>
          </w:p>
        </w:tc>
        <w:tc>
          <w:tcPr>
            <w:tcW w:w="1041" w:type="dxa"/>
            <w:tcBorders>
              <w:top w:val="nil"/>
              <w:left w:val="nil"/>
              <w:bottom w:val="single" w:sz="4" w:space="0" w:color="auto"/>
              <w:right w:val="single" w:sz="4" w:space="0" w:color="auto"/>
            </w:tcBorders>
            <w:noWrap/>
            <w:vAlign w:val="center"/>
            <w:hideMark/>
          </w:tcPr>
          <w:p w14:paraId="7C5FD9A2" w14:textId="77777777" w:rsidR="00F421F8" w:rsidRPr="00131EED" w:rsidRDefault="00F421F8">
            <w:pPr>
              <w:jc w:val="center"/>
              <w:rPr>
                <w:color w:val="000000"/>
                <w:sz w:val="20"/>
                <w:szCs w:val="20"/>
                <w:lang w:eastAsia="en-US"/>
              </w:rPr>
            </w:pPr>
            <w:r w:rsidRPr="00131EED">
              <w:rPr>
                <w:color w:val="000000"/>
                <w:sz w:val="20"/>
                <w:szCs w:val="20"/>
                <w:lang w:eastAsia="en-US"/>
              </w:rPr>
              <w:t>941.5</w:t>
            </w:r>
          </w:p>
        </w:tc>
        <w:tc>
          <w:tcPr>
            <w:tcW w:w="794" w:type="dxa"/>
            <w:tcBorders>
              <w:top w:val="nil"/>
              <w:left w:val="nil"/>
              <w:bottom w:val="single" w:sz="4" w:space="0" w:color="auto"/>
              <w:right w:val="single" w:sz="4" w:space="0" w:color="auto"/>
            </w:tcBorders>
            <w:noWrap/>
            <w:vAlign w:val="center"/>
            <w:hideMark/>
          </w:tcPr>
          <w:p w14:paraId="042D1610" w14:textId="77777777" w:rsidR="00F421F8" w:rsidRPr="00131EED" w:rsidRDefault="00F421F8">
            <w:pPr>
              <w:jc w:val="center"/>
              <w:rPr>
                <w:color w:val="000000"/>
                <w:sz w:val="20"/>
                <w:szCs w:val="20"/>
                <w:lang w:eastAsia="en-US"/>
              </w:rPr>
            </w:pPr>
            <w:r w:rsidRPr="00131EED">
              <w:rPr>
                <w:color w:val="000000"/>
                <w:sz w:val="20"/>
                <w:szCs w:val="20"/>
                <w:lang w:eastAsia="en-US"/>
              </w:rPr>
              <w:t>137.6</w:t>
            </w:r>
          </w:p>
        </w:tc>
        <w:tc>
          <w:tcPr>
            <w:tcW w:w="989" w:type="dxa"/>
            <w:tcBorders>
              <w:top w:val="nil"/>
              <w:left w:val="nil"/>
              <w:bottom w:val="single" w:sz="4" w:space="0" w:color="auto"/>
              <w:right w:val="single" w:sz="4" w:space="0" w:color="auto"/>
            </w:tcBorders>
            <w:noWrap/>
            <w:vAlign w:val="center"/>
            <w:hideMark/>
          </w:tcPr>
          <w:p w14:paraId="50B4212E" w14:textId="77777777" w:rsidR="00F421F8" w:rsidRPr="00131EED" w:rsidRDefault="00F421F8">
            <w:pPr>
              <w:jc w:val="center"/>
              <w:rPr>
                <w:color w:val="000000"/>
                <w:sz w:val="20"/>
                <w:szCs w:val="20"/>
                <w:lang w:eastAsia="en-US"/>
              </w:rPr>
            </w:pPr>
            <w:r w:rsidRPr="00131EED">
              <w:rPr>
                <w:color w:val="000000"/>
                <w:sz w:val="20"/>
                <w:szCs w:val="20"/>
                <w:lang w:eastAsia="en-US"/>
              </w:rPr>
              <w:t>209.67</w:t>
            </w:r>
          </w:p>
        </w:tc>
        <w:tc>
          <w:tcPr>
            <w:tcW w:w="909" w:type="dxa"/>
            <w:tcBorders>
              <w:top w:val="nil"/>
              <w:left w:val="nil"/>
              <w:bottom w:val="single" w:sz="4" w:space="0" w:color="auto"/>
              <w:right w:val="single" w:sz="4" w:space="0" w:color="auto"/>
            </w:tcBorders>
            <w:noWrap/>
            <w:vAlign w:val="center"/>
            <w:hideMark/>
          </w:tcPr>
          <w:p w14:paraId="2969B27C" w14:textId="77777777" w:rsidR="00F421F8" w:rsidRPr="00131EED" w:rsidRDefault="00F421F8">
            <w:pPr>
              <w:jc w:val="center"/>
              <w:rPr>
                <w:color w:val="000000"/>
                <w:sz w:val="20"/>
                <w:szCs w:val="20"/>
                <w:lang w:eastAsia="en-US"/>
              </w:rPr>
            </w:pPr>
            <w:r w:rsidRPr="00131EED">
              <w:rPr>
                <w:color w:val="000000"/>
                <w:sz w:val="20"/>
                <w:szCs w:val="20"/>
                <w:lang w:eastAsia="en-US"/>
              </w:rPr>
              <w:t>1426.17</w:t>
            </w:r>
          </w:p>
        </w:tc>
      </w:tr>
      <w:tr w:rsidR="00F421F8" w:rsidRPr="00131EED" w14:paraId="216C3DE8"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793ADACF" w14:textId="77777777" w:rsidR="00F421F8" w:rsidRPr="00131EED" w:rsidRDefault="00F421F8">
            <w:pPr>
              <w:jc w:val="center"/>
              <w:rPr>
                <w:color w:val="000000"/>
                <w:sz w:val="20"/>
                <w:szCs w:val="20"/>
                <w:lang w:eastAsia="en-US"/>
              </w:rPr>
            </w:pPr>
            <w:r w:rsidRPr="00131EED">
              <w:rPr>
                <w:color w:val="000000"/>
                <w:sz w:val="20"/>
                <w:szCs w:val="20"/>
                <w:lang w:eastAsia="en-US"/>
              </w:rPr>
              <w:t>Sibaté</w:t>
            </w:r>
          </w:p>
        </w:tc>
        <w:tc>
          <w:tcPr>
            <w:tcW w:w="1661" w:type="dxa"/>
            <w:tcBorders>
              <w:top w:val="nil"/>
              <w:left w:val="nil"/>
              <w:bottom w:val="single" w:sz="4" w:space="0" w:color="auto"/>
              <w:right w:val="single" w:sz="4" w:space="0" w:color="auto"/>
            </w:tcBorders>
            <w:noWrap/>
            <w:vAlign w:val="center"/>
            <w:hideMark/>
          </w:tcPr>
          <w:p w14:paraId="61E924D1" w14:textId="77777777" w:rsidR="00F421F8" w:rsidRPr="00131EED" w:rsidRDefault="00F421F8">
            <w:pPr>
              <w:jc w:val="center"/>
              <w:rPr>
                <w:color w:val="000000"/>
                <w:sz w:val="20"/>
                <w:szCs w:val="20"/>
                <w:lang w:eastAsia="en-US"/>
              </w:rPr>
            </w:pPr>
            <w:r w:rsidRPr="00131EED">
              <w:rPr>
                <w:color w:val="000000"/>
                <w:sz w:val="20"/>
                <w:szCs w:val="20"/>
                <w:lang w:eastAsia="en-US"/>
              </w:rPr>
              <w:t>16.10</w:t>
            </w:r>
          </w:p>
        </w:tc>
        <w:tc>
          <w:tcPr>
            <w:tcW w:w="776" w:type="dxa"/>
            <w:tcBorders>
              <w:top w:val="nil"/>
              <w:left w:val="nil"/>
              <w:bottom w:val="single" w:sz="4" w:space="0" w:color="auto"/>
              <w:right w:val="single" w:sz="4" w:space="0" w:color="auto"/>
            </w:tcBorders>
            <w:noWrap/>
            <w:vAlign w:val="center"/>
            <w:hideMark/>
          </w:tcPr>
          <w:p w14:paraId="48365C3D" w14:textId="77777777" w:rsidR="00F421F8" w:rsidRPr="00131EED" w:rsidRDefault="00F421F8">
            <w:pPr>
              <w:jc w:val="center"/>
              <w:rPr>
                <w:color w:val="000000"/>
                <w:sz w:val="20"/>
                <w:szCs w:val="20"/>
                <w:lang w:eastAsia="en-US"/>
              </w:rPr>
            </w:pPr>
            <w:r w:rsidRPr="00131EED">
              <w:rPr>
                <w:color w:val="000000"/>
                <w:sz w:val="20"/>
                <w:szCs w:val="20"/>
                <w:lang w:eastAsia="en-US"/>
              </w:rPr>
              <w:t>0</w:t>
            </w:r>
          </w:p>
        </w:tc>
        <w:tc>
          <w:tcPr>
            <w:tcW w:w="1041" w:type="dxa"/>
            <w:tcBorders>
              <w:top w:val="nil"/>
              <w:left w:val="nil"/>
              <w:bottom w:val="single" w:sz="4" w:space="0" w:color="auto"/>
              <w:right w:val="single" w:sz="4" w:space="0" w:color="auto"/>
            </w:tcBorders>
            <w:noWrap/>
            <w:vAlign w:val="center"/>
            <w:hideMark/>
          </w:tcPr>
          <w:p w14:paraId="687D62BB" w14:textId="77777777" w:rsidR="00F421F8" w:rsidRPr="00131EED" w:rsidRDefault="00F421F8">
            <w:pPr>
              <w:jc w:val="center"/>
              <w:rPr>
                <w:color w:val="000000"/>
                <w:sz w:val="20"/>
                <w:szCs w:val="20"/>
                <w:lang w:eastAsia="en-US"/>
              </w:rPr>
            </w:pPr>
            <w:r w:rsidRPr="00131EED">
              <w:rPr>
                <w:color w:val="000000"/>
                <w:sz w:val="20"/>
                <w:szCs w:val="20"/>
                <w:lang w:eastAsia="en-US"/>
              </w:rPr>
              <w:t>0</w:t>
            </w:r>
          </w:p>
        </w:tc>
        <w:tc>
          <w:tcPr>
            <w:tcW w:w="794" w:type="dxa"/>
            <w:tcBorders>
              <w:top w:val="nil"/>
              <w:left w:val="nil"/>
              <w:bottom w:val="single" w:sz="4" w:space="0" w:color="auto"/>
              <w:right w:val="single" w:sz="4" w:space="0" w:color="auto"/>
            </w:tcBorders>
            <w:noWrap/>
            <w:vAlign w:val="center"/>
            <w:hideMark/>
          </w:tcPr>
          <w:p w14:paraId="2D418038" w14:textId="77777777" w:rsidR="00F421F8" w:rsidRPr="00131EED" w:rsidRDefault="00F421F8">
            <w:pPr>
              <w:jc w:val="center"/>
              <w:rPr>
                <w:color w:val="000000"/>
                <w:sz w:val="20"/>
                <w:szCs w:val="20"/>
                <w:lang w:eastAsia="en-US"/>
              </w:rPr>
            </w:pPr>
            <w:r w:rsidRPr="00131EED">
              <w:rPr>
                <w:color w:val="000000"/>
                <w:sz w:val="20"/>
                <w:szCs w:val="20"/>
                <w:lang w:eastAsia="en-US"/>
              </w:rPr>
              <w:t>29.1</w:t>
            </w:r>
          </w:p>
        </w:tc>
        <w:tc>
          <w:tcPr>
            <w:tcW w:w="989" w:type="dxa"/>
            <w:tcBorders>
              <w:top w:val="nil"/>
              <w:left w:val="nil"/>
              <w:bottom w:val="single" w:sz="4" w:space="0" w:color="auto"/>
              <w:right w:val="single" w:sz="4" w:space="0" w:color="auto"/>
            </w:tcBorders>
            <w:noWrap/>
            <w:vAlign w:val="center"/>
            <w:hideMark/>
          </w:tcPr>
          <w:p w14:paraId="44E0A77B" w14:textId="77777777" w:rsidR="00F421F8" w:rsidRPr="00131EED" w:rsidRDefault="00F421F8">
            <w:pPr>
              <w:jc w:val="center"/>
              <w:rPr>
                <w:color w:val="000000"/>
                <w:sz w:val="20"/>
                <w:szCs w:val="20"/>
                <w:lang w:eastAsia="en-US"/>
              </w:rPr>
            </w:pPr>
            <w:r w:rsidRPr="00131EED">
              <w:rPr>
                <w:color w:val="000000"/>
                <w:sz w:val="20"/>
                <w:szCs w:val="20"/>
                <w:lang w:eastAsia="en-US"/>
              </w:rPr>
              <w:t>590.68</w:t>
            </w:r>
          </w:p>
        </w:tc>
        <w:tc>
          <w:tcPr>
            <w:tcW w:w="909" w:type="dxa"/>
            <w:tcBorders>
              <w:top w:val="nil"/>
              <w:left w:val="nil"/>
              <w:bottom w:val="single" w:sz="4" w:space="0" w:color="auto"/>
              <w:right w:val="single" w:sz="4" w:space="0" w:color="auto"/>
            </w:tcBorders>
            <w:noWrap/>
            <w:vAlign w:val="center"/>
            <w:hideMark/>
          </w:tcPr>
          <w:p w14:paraId="7985E9EE" w14:textId="77777777" w:rsidR="00F421F8" w:rsidRPr="00131EED" w:rsidRDefault="00F421F8">
            <w:pPr>
              <w:jc w:val="center"/>
              <w:rPr>
                <w:color w:val="000000"/>
                <w:sz w:val="20"/>
                <w:szCs w:val="20"/>
                <w:lang w:eastAsia="en-US"/>
              </w:rPr>
            </w:pPr>
            <w:r w:rsidRPr="00131EED">
              <w:rPr>
                <w:color w:val="000000"/>
                <w:sz w:val="20"/>
                <w:szCs w:val="20"/>
                <w:lang w:eastAsia="en-US"/>
              </w:rPr>
              <w:t>635.88</w:t>
            </w:r>
          </w:p>
        </w:tc>
      </w:tr>
      <w:tr w:rsidR="00F421F8" w:rsidRPr="00131EED" w14:paraId="2698EA1A"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508FBD3B" w14:textId="77777777" w:rsidR="00F421F8" w:rsidRPr="00131EED" w:rsidRDefault="00F421F8">
            <w:pPr>
              <w:jc w:val="center"/>
              <w:rPr>
                <w:color w:val="000000"/>
                <w:sz w:val="20"/>
                <w:szCs w:val="20"/>
                <w:lang w:eastAsia="en-US"/>
              </w:rPr>
            </w:pPr>
            <w:r w:rsidRPr="00131EED">
              <w:rPr>
                <w:color w:val="000000"/>
                <w:sz w:val="20"/>
                <w:szCs w:val="20"/>
                <w:lang w:eastAsia="en-US"/>
              </w:rPr>
              <w:t>Soacha</w:t>
            </w:r>
          </w:p>
        </w:tc>
        <w:tc>
          <w:tcPr>
            <w:tcW w:w="1661" w:type="dxa"/>
            <w:tcBorders>
              <w:top w:val="nil"/>
              <w:left w:val="nil"/>
              <w:bottom w:val="single" w:sz="4" w:space="0" w:color="auto"/>
              <w:right w:val="single" w:sz="4" w:space="0" w:color="auto"/>
            </w:tcBorders>
            <w:noWrap/>
            <w:vAlign w:val="center"/>
            <w:hideMark/>
          </w:tcPr>
          <w:p w14:paraId="355B5301" w14:textId="77777777" w:rsidR="00F421F8" w:rsidRPr="00131EED" w:rsidRDefault="00F421F8">
            <w:pPr>
              <w:jc w:val="center"/>
              <w:rPr>
                <w:color w:val="000000"/>
                <w:sz w:val="20"/>
                <w:szCs w:val="20"/>
                <w:lang w:eastAsia="en-US"/>
              </w:rPr>
            </w:pPr>
            <w:r w:rsidRPr="00131EED">
              <w:rPr>
                <w:color w:val="000000"/>
                <w:sz w:val="20"/>
                <w:szCs w:val="20"/>
                <w:lang w:eastAsia="en-US"/>
              </w:rPr>
              <w:t>135.60</w:t>
            </w:r>
          </w:p>
        </w:tc>
        <w:tc>
          <w:tcPr>
            <w:tcW w:w="776" w:type="dxa"/>
            <w:tcBorders>
              <w:top w:val="nil"/>
              <w:left w:val="nil"/>
              <w:bottom w:val="single" w:sz="4" w:space="0" w:color="auto"/>
              <w:right w:val="single" w:sz="4" w:space="0" w:color="auto"/>
            </w:tcBorders>
            <w:noWrap/>
            <w:vAlign w:val="center"/>
            <w:hideMark/>
          </w:tcPr>
          <w:p w14:paraId="0B8C2DA6" w14:textId="77777777" w:rsidR="00F421F8" w:rsidRPr="00131EED" w:rsidRDefault="00F421F8">
            <w:pPr>
              <w:jc w:val="center"/>
              <w:rPr>
                <w:color w:val="000000"/>
                <w:sz w:val="20"/>
                <w:szCs w:val="20"/>
                <w:lang w:eastAsia="en-US"/>
              </w:rPr>
            </w:pPr>
            <w:r w:rsidRPr="00131EED">
              <w:rPr>
                <w:color w:val="000000"/>
                <w:sz w:val="20"/>
                <w:szCs w:val="20"/>
                <w:lang w:eastAsia="en-US"/>
              </w:rPr>
              <w:t>0</w:t>
            </w:r>
          </w:p>
        </w:tc>
        <w:tc>
          <w:tcPr>
            <w:tcW w:w="1041" w:type="dxa"/>
            <w:tcBorders>
              <w:top w:val="nil"/>
              <w:left w:val="nil"/>
              <w:bottom w:val="single" w:sz="4" w:space="0" w:color="auto"/>
              <w:right w:val="single" w:sz="4" w:space="0" w:color="auto"/>
            </w:tcBorders>
            <w:noWrap/>
            <w:vAlign w:val="center"/>
            <w:hideMark/>
          </w:tcPr>
          <w:p w14:paraId="1BBFFC71" w14:textId="77777777" w:rsidR="00F421F8" w:rsidRPr="00131EED" w:rsidRDefault="00F421F8">
            <w:pPr>
              <w:jc w:val="center"/>
              <w:rPr>
                <w:color w:val="000000"/>
                <w:sz w:val="20"/>
                <w:szCs w:val="20"/>
                <w:lang w:eastAsia="en-US"/>
              </w:rPr>
            </w:pPr>
            <w:r w:rsidRPr="00131EED">
              <w:rPr>
                <w:color w:val="000000"/>
                <w:sz w:val="20"/>
                <w:szCs w:val="20"/>
                <w:lang w:eastAsia="en-US"/>
              </w:rPr>
              <w:t>1218.6</w:t>
            </w:r>
          </w:p>
        </w:tc>
        <w:tc>
          <w:tcPr>
            <w:tcW w:w="794" w:type="dxa"/>
            <w:tcBorders>
              <w:top w:val="nil"/>
              <w:left w:val="nil"/>
              <w:bottom w:val="single" w:sz="4" w:space="0" w:color="auto"/>
              <w:right w:val="single" w:sz="4" w:space="0" w:color="auto"/>
            </w:tcBorders>
            <w:noWrap/>
            <w:vAlign w:val="center"/>
            <w:hideMark/>
          </w:tcPr>
          <w:p w14:paraId="2F444B4D" w14:textId="77777777" w:rsidR="00F421F8" w:rsidRPr="00131EED" w:rsidRDefault="00F421F8">
            <w:pPr>
              <w:jc w:val="center"/>
              <w:rPr>
                <w:color w:val="000000"/>
                <w:sz w:val="20"/>
                <w:szCs w:val="20"/>
                <w:lang w:eastAsia="en-US"/>
              </w:rPr>
            </w:pPr>
            <w:r w:rsidRPr="00131EED">
              <w:rPr>
                <w:color w:val="000000"/>
                <w:sz w:val="20"/>
                <w:szCs w:val="20"/>
                <w:lang w:eastAsia="en-US"/>
              </w:rPr>
              <w:t>422.2</w:t>
            </w:r>
          </w:p>
        </w:tc>
        <w:tc>
          <w:tcPr>
            <w:tcW w:w="989" w:type="dxa"/>
            <w:tcBorders>
              <w:top w:val="nil"/>
              <w:left w:val="nil"/>
              <w:bottom w:val="single" w:sz="4" w:space="0" w:color="auto"/>
              <w:right w:val="single" w:sz="4" w:space="0" w:color="auto"/>
            </w:tcBorders>
            <w:noWrap/>
            <w:vAlign w:val="center"/>
            <w:hideMark/>
          </w:tcPr>
          <w:p w14:paraId="6A09910D" w14:textId="77777777" w:rsidR="00F421F8" w:rsidRPr="00131EED" w:rsidRDefault="00F421F8">
            <w:pPr>
              <w:jc w:val="center"/>
              <w:rPr>
                <w:color w:val="000000"/>
                <w:sz w:val="20"/>
                <w:szCs w:val="20"/>
                <w:lang w:eastAsia="en-US"/>
              </w:rPr>
            </w:pPr>
            <w:r w:rsidRPr="00131EED">
              <w:rPr>
                <w:color w:val="000000"/>
                <w:sz w:val="20"/>
                <w:szCs w:val="20"/>
                <w:lang w:eastAsia="en-US"/>
              </w:rPr>
              <w:t>395.33</w:t>
            </w:r>
          </w:p>
        </w:tc>
        <w:tc>
          <w:tcPr>
            <w:tcW w:w="909" w:type="dxa"/>
            <w:tcBorders>
              <w:top w:val="nil"/>
              <w:left w:val="nil"/>
              <w:bottom w:val="single" w:sz="4" w:space="0" w:color="auto"/>
              <w:right w:val="single" w:sz="4" w:space="0" w:color="auto"/>
            </w:tcBorders>
            <w:noWrap/>
            <w:vAlign w:val="center"/>
            <w:hideMark/>
          </w:tcPr>
          <w:p w14:paraId="0C0E95E3" w14:textId="77777777" w:rsidR="00F421F8" w:rsidRPr="00131EED" w:rsidRDefault="00F421F8">
            <w:pPr>
              <w:jc w:val="center"/>
              <w:rPr>
                <w:color w:val="000000"/>
                <w:sz w:val="20"/>
                <w:szCs w:val="20"/>
                <w:lang w:eastAsia="en-US"/>
              </w:rPr>
            </w:pPr>
            <w:r w:rsidRPr="00131EED">
              <w:rPr>
                <w:color w:val="000000"/>
                <w:sz w:val="20"/>
                <w:szCs w:val="20"/>
                <w:lang w:eastAsia="en-US"/>
              </w:rPr>
              <w:t>2171.73</w:t>
            </w:r>
          </w:p>
        </w:tc>
      </w:tr>
      <w:tr w:rsidR="00F421F8" w:rsidRPr="00131EED" w14:paraId="11191BC6"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5359A99B" w14:textId="77777777" w:rsidR="00F421F8" w:rsidRPr="00131EED" w:rsidRDefault="00F421F8">
            <w:pPr>
              <w:jc w:val="center"/>
              <w:rPr>
                <w:color w:val="000000"/>
                <w:sz w:val="20"/>
                <w:szCs w:val="20"/>
                <w:lang w:eastAsia="en-US"/>
              </w:rPr>
            </w:pPr>
            <w:r w:rsidRPr="00131EED">
              <w:rPr>
                <w:color w:val="000000"/>
                <w:sz w:val="20"/>
                <w:szCs w:val="20"/>
                <w:lang w:eastAsia="en-US"/>
              </w:rPr>
              <w:t>Sopó</w:t>
            </w:r>
          </w:p>
        </w:tc>
        <w:tc>
          <w:tcPr>
            <w:tcW w:w="1661" w:type="dxa"/>
            <w:tcBorders>
              <w:top w:val="nil"/>
              <w:left w:val="nil"/>
              <w:bottom w:val="single" w:sz="4" w:space="0" w:color="auto"/>
              <w:right w:val="single" w:sz="4" w:space="0" w:color="auto"/>
            </w:tcBorders>
            <w:noWrap/>
            <w:vAlign w:val="center"/>
            <w:hideMark/>
          </w:tcPr>
          <w:p w14:paraId="31CC880F" w14:textId="77777777" w:rsidR="00F421F8" w:rsidRPr="00131EED" w:rsidRDefault="00F421F8">
            <w:pPr>
              <w:jc w:val="center"/>
              <w:rPr>
                <w:color w:val="000000"/>
                <w:sz w:val="20"/>
                <w:szCs w:val="20"/>
                <w:lang w:eastAsia="en-US"/>
              </w:rPr>
            </w:pPr>
            <w:r w:rsidRPr="00131EED">
              <w:rPr>
                <w:color w:val="000000"/>
                <w:sz w:val="20"/>
                <w:szCs w:val="20"/>
                <w:lang w:eastAsia="en-US"/>
              </w:rPr>
              <w:t>35.30</w:t>
            </w:r>
          </w:p>
        </w:tc>
        <w:tc>
          <w:tcPr>
            <w:tcW w:w="776" w:type="dxa"/>
            <w:tcBorders>
              <w:top w:val="nil"/>
              <w:left w:val="nil"/>
              <w:bottom w:val="single" w:sz="4" w:space="0" w:color="auto"/>
              <w:right w:val="single" w:sz="4" w:space="0" w:color="auto"/>
            </w:tcBorders>
            <w:noWrap/>
            <w:vAlign w:val="center"/>
            <w:hideMark/>
          </w:tcPr>
          <w:p w14:paraId="0E8C7EBE" w14:textId="77777777" w:rsidR="00F421F8" w:rsidRPr="00131EED" w:rsidRDefault="00F421F8">
            <w:pPr>
              <w:jc w:val="center"/>
              <w:rPr>
                <w:color w:val="000000"/>
                <w:sz w:val="20"/>
                <w:szCs w:val="20"/>
                <w:lang w:eastAsia="en-US"/>
              </w:rPr>
            </w:pPr>
            <w:r w:rsidRPr="00131EED">
              <w:rPr>
                <w:color w:val="000000"/>
                <w:sz w:val="20"/>
                <w:szCs w:val="20"/>
                <w:lang w:eastAsia="en-US"/>
              </w:rPr>
              <w:t>0</w:t>
            </w:r>
          </w:p>
        </w:tc>
        <w:tc>
          <w:tcPr>
            <w:tcW w:w="1041" w:type="dxa"/>
            <w:tcBorders>
              <w:top w:val="nil"/>
              <w:left w:val="nil"/>
              <w:bottom w:val="single" w:sz="4" w:space="0" w:color="auto"/>
              <w:right w:val="single" w:sz="4" w:space="0" w:color="auto"/>
            </w:tcBorders>
            <w:noWrap/>
            <w:vAlign w:val="center"/>
            <w:hideMark/>
          </w:tcPr>
          <w:p w14:paraId="3EE709F4" w14:textId="77777777" w:rsidR="00F421F8" w:rsidRPr="00131EED" w:rsidRDefault="00F421F8">
            <w:pPr>
              <w:jc w:val="center"/>
              <w:rPr>
                <w:color w:val="000000"/>
                <w:sz w:val="20"/>
                <w:szCs w:val="20"/>
                <w:lang w:eastAsia="en-US"/>
              </w:rPr>
            </w:pPr>
            <w:r w:rsidRPr="00131EED">
              <w:rPr>
                <w:color w:val="000000"/>
                <w:sz w:val="20"/>
                <w:szCs w:val="20"/>
                <w:lang w:eastAsia="en-US"/>
              </w:rPr>
              <w:t>1839.2</w:t>
            </w:r>
          </w:p>
        </w:tc>
        <w:tc>
          <w:tcPr>
            <w:tcW w:w="794" w:type="dxa"/>
            <w:tcBorders>
              <w:top w:val="nil"/>
              <w:left w:val="nil"/>
              <w:bottom w:val="single" w:sz="4" w:space="0" w:color="auto"/>
              <w:right w:val="single" w:sz="4" w:space="0" w:color="auto"/>
            </w:tcBorders>
            <w:noWrap/>
            <w:vAlign w:val="center"/>
            <w:hideMark/>
          </w:tcPr>
          <w:p w14:paraId="4075A1B1" w14:textId="77777777" w:rsidR="00F421F8" w:rsidRPr="00131EED" w:rsidRDefault="00F421F8">
            <w:pPr>
              <w:jc w:val="center"/>
              <w:rPr>
                <w:color w:val="000000"/>
                <w:sz w:val="20"/>
                <w:szCs w:val="20"/>
                <w:lang w:eastAsia="en-US"/>
              </w:rPr>
            </w:pPr>
            <w:r w:rsidRPr="00131EED">
              <w:rPr>
                <w:color w:val="000000"/>
                <w:sz w:val="20"/>
                <w:szCs w:val="20"/>
                <w:lang w:eastAsia="en-US"/>
              </w:rPr>
              <w:t>36.8</w:t>
            </w:r>
          </w:p>
        </w:tc>
        <w:tc>
          <w:tcPr>
            <w:tcW w:w="989" w:type="dxa"/>
            <w:tcBorders>
              <w:top w:val="nil"/>
              <w:left w:val="nil"/>
              <w:bottom w:val="single" w:sz="4" w:space="0" w:color="auto"/>
              <w:right w:val="single" w:sz="4" w:space="0" w:color="auto"/>
            </w:tcBorders>
            <w:noWrap/>
            <w:vAlign w:val="center"/>
            <w:hideMark/>
          </w:tcPr>
          <w:p w14:paraId="7BC8EB26" w14:textId="77777777" w:rsidR="00F421F8" w:rsidRPr="00131EED" w:rsidRDefault="00F421F8">
            <w:pPr>
              <w:jc w:val="center"/>
              <w:rPr>
                <w:color w:val="000000"/>
                <w:sz w:val="20"/>
                <w:szCs w:val="20"/>
                <w:lang w:eastAsia="en-US"/>
              </w:rPr>
            </w:pPr>
            <w:r w:rsidRPr="00131EED">
              <w:rPr>
                <w:color w:val="000000"/>
                <w:sz w:val="20"/>
                <w:szCs w:val="20"/>
                <w:lang w:eastAsia="en-US"/>
              </w:rPr>
              <w:t>394.37</w:t>
            </w:r>
          </w:p>
        </w:tc>
        <w:tc>
          <w:tcPr>
            <w:tcW w:w="909" w:type="dxa"/>
            <w:tcBorders>
              <w:top w:val="nil"/>
              <w:left w:val="nil"/>
              <w:bottom w:val="single" w:sz="4" w:space="0" w:color="auto"/>
              <w:right w:val="single" w:sz="4" w:space="0" w:color="auto"/>
            </w:tcBorders>
            <w:noWrap/>
            <w:vAlign w:val="center"/>
            <w:hideMark/>
          </w:tcPr>
          <w:p w14:paraId="65F20790" w14:textId="77777777" w:rsidR="00F421F8" w:rsidRPr="00131EED" w:rsidRDefault="00F421F8">
            <w:pPr>
              <w:jc w:val="center"/>
              <w:rPr>
                <w:color w:val="000000"/>
                <w:sz w:val="20"/>
                <w:szCs w:val="20"/>
                <w:lang w:eastAsia="en-US"/>
              </w:rPr>
            </w:pPr>
            <w:r w:rsidRPr="00131EED">
              <w:rPr>
                <w:color w:val="000000"/>
                <w:sz w:val="20"/>
                <w:szCs w:val="20"/>
                <w:lang w:eastAsia="en-US"/>
              </w:rPr>
              <w:t>2305.67</w:t>
            </w:r>
          </w:p>
        </w:tc>
      </w:tr>
      <w:tr w:rsidR="00F421F8" w:rsidRPr="00131EED" w14:paraId="1030F46C"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0B4B2318" w14:textId="77777777" w:rsidR="00F421F8" w:rsidRPr="00131EED" w:rsidRDefault="00F421F8">
            <w:pPr>
              <w:jc w:val="center"/>
              <w:rPr>
                <w:color w:val="000000"/>
                <w:sz w:val="20"/>
                <w:szCs w:val="20"/>
                <w:lang w:eastAsia="en-US"/>
              </w:rPr>
            </w:pPr>
            <w:r w:rsidRPr="00131EED">
              <w:rPr>
                <w:color w:val="000000"/>
                <w:sz w:val="20"/>
                <w:szCs w:val="20"/>
                <w:lang w:eastAsia="en-US"/>
              </w:rPr>
              <w:t>Tabio</w:t>
            </w:r>
          </w:p>
        </w:tc>
        <w:tc>
          <w:tcPr>
            <w:tcW w:w="1661" w:type="dxa"/>
            <w:tcBorders>
              <w:top w:val="nil"/>
              <w:left w:val="nil"/>
              <w:bottom w:val="single" w:sz="4" w:space="0" w:color="auto"/>
              <w:right w:val="single" w:sz="4" w:space="0" w:color="auto"/>
            </w:tcBorders>
            <w:noWrap/>
            <w:vAlign w:val="center"/>
            <w:hideMark/>
          </w:tcPr>
          <w:p w14:paraId="5C8E10FB" w14:textId="77777777" w:rsidR="00F421F8" w:rsidRPr="00131EED" w:rsidRDefault="00F421F8">
            <w:pPr>
              <w:jc w:val="center"/>
              <w:rPr>
                <w:color w:val="000000"/>
                <w:sz w:val="20"/>
                <w:szCs w:val="20"/>
                <w:lang w:eastAsia="en-US"/>
              </w:rPr>
            </w:pPr>
            <w:r w:rsidRPr="00131EED">
              <w:rPr>
                <w:color w:val="000000"/>
                <w:sz w:val="20"/>
                <w:szCs w:val="20"/>
                <w:lang w:eastAsia="en-US"/>
              </w:rPr>
              <w:t>0 </w:t>
            </w:r>
          </w:p>
        </w:tc>
        <w:tc>
          <w:tcPr>
            <w:tcW w:w="776" w:type="dxa"/>
            <w:tcBorders>
              <w:top w:val="nil"/>
              <w:left w:val="nil"/>
              <w:bottom w:val="single" w:sz="4" w:space="0" w:color="auto"/>
              <w:right w:val="single" w:sz="4" w:space="0" w:color="auto"/>
            </w:tcBorders>
            <w:noWrap/>
            <w:vAlign w:val="center"/>
            <w:hideMark/>
          </w:tcPr>
          <w:p w14:paraId="512E4F0A" w14:textId="77777777" w:rsidR="00F421F8" w:rsidRPr="00131EED" w:rsidRDefault="00F421F8">
            <w:pPr>
              <w:jc w:val="center"/>
              <w:rPr>
                <w:color w:val="000000"/>
                <w:sz w:val="20"/>
                <w:szCs w:val="20"/>
                <w:lang w:eastAsia="en-US"/>
              </w:rPr>
            </w:pPr>
            <w:r w:rsidRPr="00131EED">
              <w:rPr>
                <w:color w:val="000000"/>
                <w:sz w:val="20"/>
                <w:szCs w:val="20"/>
                <w:lang w:eastAsia="en-US"/>
              </w:rPr>
              <w:t>0</w:t>
            </w:r>
          </w:p>
        </w:tc>
        <w:tc>
          <w:tcPr>
            <w:tcW w:w="1041" w:type="dxa"/>
            <w:tcBorders>
              <w:top w:val="nil"/>
              <w:left w:val="nil"/>
              <w:bottom w:val="single" w:sz="4" w:space="0" w:color="auto"/>
              <w:right w:val="single" w:sz="4" w:space="0" w:color="auto"/>
            </w:tcBorders>
            <w:noWrap/>
            <w:vAlign w:val="center"/>
            <w:hideMark/>
          </w:tcPr>
          <w:p w14:paraId="789B1503" w14:textId="77777777" w:rsidR="00F421F8" w:rsidRPr="00131EED" w:rsidRDefault="00F421F8">
            <w:pPr>
              <w:jc w:val="center"/>
              <w:rPr>
                <w:color w:val="000000"/>
                <w:sz w:val="20"/>
                <w:szCs w:val="20"/>
                <w:lang w:eastAsia="en-US"/>
              </w:rPr>
            </w:pPr>
            <w:r w:rsidRPr="00131EED">
              <w:rPr>
                <w:color w:val="000000"/>
                <w:sz w:val="20"/>
                <w:szCs w:val="20"/>
                <w:lang w:eastAsia="en-US"/>
              </w:rPr>
              <w:t>12.2</w:t>
            </w:r>
          </w:p>
        </w:tc>
        <w:tc>
          <w:tcPr>
            <w:tcW w:w="794" w:type="dxa"/>
            <w:tcBorders>
              <w:top w:val="nil"/>
              <w:left w:val="nil"/>
              <w:bottom w:val="single" w:sz="4" w:space="0" w:color="auto"/>
              <w:right w:val="single" w:sz="4" w:space="0" w:color="auto"/>
            </w:tcBorders>
            <w:noWrap/>
            <w:vAlign w:val="center"/>
            <w:hideMark/>
          </w:tcPr>
          <w:p w14:paraId="708200E2" w14:textId="77777777" w:rsidR="00F421F8" w:rsidRPr="00131EED" w:rsidRDefault="00F421F8">
            <w:pPr>
              <w:jc w:val="center"/>
              <w:rPr>
                <w:color w:val="000000"/>
                <w:sz w:val="20"/>
                <w:szCs w:val="20"/>
                <w:lang w:eastAsia="en-US"/>
              </w:rPr>
            </w:pPr>
            <w:r w:rsidRPr="00131EED">
              <w:rPr>
                <w:color w:val="000000"/>
                <w:sz w:val="20"/>
                <w:szCs w:val="20"/>
                <w:lang w:eastAsia="en-US"/>
              </w:rPr>
              <w:t>27.3</w:t>
            </w:r>
          </w:p>
        </w:tc>
        <w:tc>
          <w:tcPr>
            <w:tcW w:w="989" w:type="dxa"/>
            <w:tcBorders>
              <w:top w:val="nil"/>
              <w:left w:val="nil"/>
              <w:bottom w:val="single" w:sz="4" w:space="0" w:color="auto"/>
              <w:right w:val="single" w:sz="4" w:space="0" w:color="auto"/>
            </w:tcBorders>
            <w:noWrap/>
            <w:vAlign w:val="center"/>
            <w:hideMark/>
          </w:tcPr>
          <w:p w14:paraId="4668D46A" w14:textId="77777777" w:rsidR="00F421F8" w:rsidRPr="00131EED" w:rsidRDefault="00F421F8">
            <w:pPr>
              <w:jc w:val="center"/>
              <w:rPr>
                <w:color w:val="000000"/>
                <w:sz w:val="20"/>
                <w:szCs w:val="20"/>
                <w:lang w:eastAsia="en-US"/>
              </w:rPr>
            </w:pPr>
            <w:r w:rsidRPr="00131EED">
              <w:rPr>
                <w:color w:val="000000"/>
                <w:sz w:val="20"/>
                <w:szCs w:val="20"/>
                <w:lang w:eastAsia="en-US"/>
              </w:rPr>
              <w:t>289.52</w:t>
            </w:r>
          </w:p>
        </w:tc>
        <w:tc>
          <w:tcPr>
            <w:tcW w:w="909" w:type="dxa"/>
            <w:tcBorders>
              <w:top w:val="nil"/>
              <w:left w:val="nil"/>
              <w:bottom w:val="single" w:sz="4" w:space="0" w:color="auto"/>
              <w:right w:val="single" w:sz="4" w:space="0" w:color="auto"/>
            </w:tcBorders>
            <w:noWrap/>
            <w:vAlign w:val="center"/>
            <w:hideMark/>
          </w:tcPr>
          <w:p w14:paraId="3EA9B927" w14:textId="77777777" w:rsidR="00F421F8" w:rsidRPr="00131EED" w:rsidRDefault="00F421F8">
            <w:pPr>
              <w:jc w:val="center"/>
              <w:rPr>
                <w:color w:val="000000"/>
                <w:sz w:val="20"/>
                <w:szCs w:val="20"/>
                <w:lang w:eastAsia="en-US"/>
              </w:rPr>
            </w:pPr>
            <w:r w:rsidRPr="00131EED">
              <w:rPr>
                <w:color w:val="000000"/>
                <w:sz w:val="20"/>
                <w:szCs w:val="20"/>
                <w:lang w:eastAsia="en-US"/>
              </w:rPr>
              <w:t>329.02</w:t>
            </w:r>
          </w:p>
        </w:tc>
      </w:tr>
      <w:tr w:rsidR="00F421F8" w:rsidRPr="00131EED" w14:paraId="765C6A7E"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411D9240" w14:textId="77777777" w:rsidR="00F421F8" w:rsidRPr="00131EED" w:rsidRDefault="00F421F8">
            <w:pPr>
              <w:jc w:val="center"/>
              <w:rPr>
                <w:color w:val="000000"/>
                <w:sz w:val="20"/>
                <w:szCs w:val="20"/>
                <w:lang w:eastAsia="en-US"/>
              </w:rPr>
            </w:pPr>
            <w:r w:rsidRPr="00131EED">
              <w:rPr>
                <w:color w:val="000000"/>
                <w:sz w:val="20"/>
                <w:szCs w:val="20"/>
                <w:lang w:eastAsia="en-US"/>
              </w:rPr>
              <w:t>Tenjo</w:t>
            </w:r>
          </w:p>
        </w:tc>
        <w:tc>
          <w:tcPr>
            <w:tcW w:w="1661" w:type="dxa"/>
            <w:tcBorders>
              <w:top w:val="nil"/>
              <w:left w:val="nil"/>
              <w:bottom w:val="single" w:sz="4" w:space="0" w:color="auto"/>
              <w:right w:val="single" w:sz="4" w:space="0" w:color="auto"/>
            </w:tcBorders>
            <w:noWrap/>
            <w:vAlign w:val="center"/>
            <w:hideMark/>
          </w:tcPr>
          <w:p w14:paraId="268071E0" w14:textId="77777777" w:rsidR="00F421F8" w:rsidRPr="00131EED" w:rsidRDefault="00F421F8">
            <w:pPr>
              <w:jc w:val="center"/>
              <w:rPr>
                <w:color w:val="000000"/>
                <w:sz w:val="20"/>
                <w:szCs w:val="20"/>
                <w:lang w:eastAsia="en-US"/>
              </w:rPr>
            </w:pPr>
            <w:r w:rsidRPr="00131EED">
              <w:rPr>
                <w:color w:val="000000"/>
                <w:sz w:val="20"/>
                <w:szCs w:val="20"/>
                <w:lang w:eastAsia="en-US"/>
              </w:rPr>
              <w:t>137.60</w:t>
            </w:r>
          </w:p>
        </w:tc>
        <w:tc>
          <w:tcPr>
            <w:tcW w:w="776" w:type="dxa"/>
            <w:tcBorders>
              <w:top w:val="nil"/>
              <w:left w:val="nil"/>
              <w:bottom w:val="single" w:sz="4" w:space="0" w:color="auto"/>
              <w:right w:val="single" w:sz="4" w:space="0" w:color="auto"/>
            </w:tcBorders>
            <w:noWrap/>
            <w:vAlign w:val="center"/>
            <w:hideMark/>
          </w:tcPr>
          <w:p w14:paraId="289D62F0" w14:textId="77777777" w:rsidR="00F421F8" w:rsidRPr="00131EED" w:rsidRDefault="00F421F8">
            <w:pPr>
              <w:jc w:val="center"/>
              <w:rPr>
                <w:color w:val="000000"/>
                <w:sz w:val="20"/>
                <w:szCs w:val="20"/>
                <w:lang w:eastAsia="en-US"/>
              </w:rPr>
            </w:pPr>
            <w:r w:rsidRPr="00131EED">
              <w:rPr>
                <w:color w:val="000000"/>
                <w:sz w:val="20"/>
                <w:szCs w:val="20"/>
                <w:lang w:eastAsia="en-US"/>
              </w:rPr>
              <w:t>303.8</w:t>
            </w:r>
          </w:p>
        </w:tc>
        <w:tc>
          <w:tcPr>
            <w:tcW w:w="1041" w:type="dxa"/>
            <w:tcBorders>
              <w:top w:val="nil"/>
              <w:left w:val="nil"/>
              <w:bottom w:val="single" w:sz="4" w:space="0" w:color="auto"/>
              <w:right w:val="single" w:sz="4" w:space="0" w:color="auto"/>
            </w:tcBorders>
            <w:noWrap/>
            <w:vAlign w:val="center"/>
            <w:hideMark/>
          </w:tcPr>
          <w:p w14:paraId="38E94C62" w14:textId="77777777" w:rsidR="00F421F8" w:rsidRPr="00131EED" w:rsidRDefault="00F421F8">
            <w:pPr>
              <w:jc w:val="center"/>
              <w:rPr>
                <w:color w:val="000000"/>
                <w:sz w:val="20"/>
                <w:szCs w:val="20"/>
                <w:lang w:eastAsia="en-US"/>
              </w:rPr>
            </w:pPr>
            <w:r w:rsidRPr="00131EED">
              <w:rPr>
                <w:color w:val="000000"/>
                <w:sz w:val="20"/>
                <w:szCs w:val="20"/>
                <w:lang w:eastAsia="en-US"/>
              </w:rPr>
              <w:t>999.1</w:t>
            </w:r>
          </w:p>
        </w:tc>
        <w:tc>
          <w:tcPr>
            <w:tcW w:w="794" w:type="dxa"/>
            <w:tcBorders>
              <w:top w:val="nil"/>
              <w:left w:val="nil"/>
              <w:bottom w:val="single" w:sz="4" w:space="0" w:color="auto"/>
              <w:right w:val="single" w:sz="4" w:space="0" w:color="auto"/>
            </w:tcBorders>
            <w:noWrap/>
            <w:vAlign w:val="center"/>
            <w:hideMark/>
          </w:tcPr>
          <w:p w14:paraId="6924121B" w14:textId="77777777" w:rsidR="00F421F8" w:rsidRPr="00131EED" w:rsidRDefault="00F421F8">
            <w:pPr>
              <w:jc w:val="center"/>
              <w:rPr>
                <w:color w:val="000000"/>
                <w:sz w:val="20"/>
                <w:szCs w:val="20"/>
                <w:lang w:eastAsia="en-US"/>
              </w:rPr>
            </w:pPr>
            <w:r w:rsidRPr="00131EED">
              <w:rPr>
                <w:color w:val="000000"/>
                <w:sz w:val="20"/>
                <w:szCs w:val="20"/>
                <w:lang w:eastAsia="en-US"/>
              </w:rPr>
              <w:t>99.3</w:t>
            </w:r>
          </w:p>
        </w:tc>
        <w:tc>
          <w:tcPr>
            <w:tcW w:w="989" w:type="dxa"/>
            <w:tcBorders>
              <w:top w:val="nil"/>
              <w:left w:val="nil"/>
              <w:bottom w:val="single" w:sz="4" w:space="0" w:color="auto"/>
              <w:right w:val="single" w:sz="4" w:space="0" w:color="auto"/>
            </w:tcBorders>
            <w:noWrap/>
            <w:vAlign w:val="center"/>
            <w:hideMark/>
          </w:tcPr>
          <w:p w14:paraId="27D79317" w14:textId="77777777" w:rsidR="00F421F8" w:rsidRPr="00131EED" w:rsidRDefault="00F421F8">
            <w:pPr>
              <w:jc w:val="center"/>
              <w:rPr>
                <w:color w:val="000000"/>
                <w:sz w:val="20"/>
                <w:szCs w:val="20"/>
                <w:lang w:eastAsia="en-US"/>
              </w:rPr>
            </w:pPr>
            <w:r w:rsidRPr="00131EED">
              <w:rPr>
                <w:color w:val="000000"/>
                <w:sz w:val="20"/>
                <w:szCs w:val="20"/>
                <w:lang w:eastAsia="en-US"/>
              </w:rPr>
              <w:t>699.11</w:t>
            </w:r>
          </w:p>
        </w:tc>
        <w:tc>
          <w:tcPr>
            <w:tcW w:w="909" w:type="dxa"/>
            <w:tcBorders>
              <w:top w:val="nil"/>
              <w:left w:val="nil"/>
              <w:bottom w:val="single" w:sz="4" w:space="0" w:color="auto"/>
              <w:right w:val="single" w:sz="4" w:space="0" w:color="auto"/>
            </w:tcBorders>
            <w:noWrap/>
            <w:vAlign w:val="center"/>
            <w:hideMark/>
          </w:tcPr>
          <w:p w14:paraId="1432A7CF" w14:textId="77777777" w:rsidR="00F421F8" w:rsidRPr="00131EED" w:rsidRDefault="00F421F8">
            <w:pPr>
              <w:jc w:val="center"/>
              <w:rPr>
                <w:color w:val="000000"/>
                <w:sz w:val="20"/>
                <w:szCs w:val="20"/>
                <w:lang w:eastAsia="en-US"/>
              </w:rPr>
            </w:pPr>
            <w:r w:rsidRPr="00131EED">
              <w:rPr>
                <w:color w:val="000000"/>
                <w:sz w:val="20"/>
                <w:szCs w:val="20"/>
                <w:lang w:eastAsia="en-US"/>
              </w:rPr>
              <w:t>2238.91</w:t>
            </w:r>
          </w:p>
        </w:tc>
      </w:tr>
      <w:tr w:rsidR="00F421F8" w:rsidRPr="00131EED" w14:paraId="107EDBFC"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526E49C0" w14:textId="77777777" w:rsidR="00F421F8" w:rsidRPr="00131EED" w:rsidRDefault="00F421F8">
            <w:pPr>
              <w:jc w:val="center"/>
              <w:rPr>
                <w:color w:val="000000"/>
                <w:sz w:val="20"/>
                <w:szCs w:val="20"/>
                <w:lang w:eastAsia="en-US"/>
              </w:rPr>
            </w:pPr>
            <w:r w:rsidRPr="00131EED">
              <w:rPr>
                <w:color w:val="000000"/>
                <w:sz w:val="20"/>
                <w:szCs w:val="20"/>
                <w:lang w:eastAsia="en-US"/>
              </w:rPr>
              <w:t>Tocancipá</w:t>
            </w:r>
          </w:p>
        </w:tc>
        <w:tc>
          <w:tcPr>
            <w:tcW w:w="1661" w:type="dxa"/>
            <w:tcBorders>
              <w:top w:val="nil"/>
              <w:left w:val="nil"/>
              <w:bottom w:val="single" w:sz="4" w:space="0" w:color="auto"/>
              <w:right w:val="single" w:sz="4" w:space="0" w:color="auto"/>
            </w:tcBorders>
            <w:noWrap/>
            <w:vAlign w:val="center"/>
            <w:hideMark/>
          </w:tcPr>
          <w:p w14:paraId="6C102CD4" w14:textId="77777777" w:rsidR="00F421F8" w:rsidRPr="00131EED" w:rsidRDefault="00F421F8">
            <w:pPr>
              <w:jc w:val="center"/>
              <w:rPr>
                <w:color w:val="000000"/>
                <w:sz w:val="20"/>
                <w:szCs w:val="20"/>
                <w:lang w:eastAsia="en-US"/>
              </w:rPr>
            </w:pPr>
            <w:r w:rsidRPr="00131EED">
              <w:rPr>
                <w:color w:val="000000"/>
                <w:sz w:val="20"/>
                <w:szCs w:val="20"/>
                <w:lang w:eastAsia="en-US"/>
              </w:rPr>
              <w:t>104.70</w:t>
            </w:r>
          </w:p>
        </w:tc>
        <w:tc>
          <w:tcPr>
            <w:tcW w:w="776" w:type="dxa"/>
            <w:tcBorders>
              <w:top w:val="nil"/>
              <w:left w:val="nil"/>
              <w:bottom w:val="single" w:sz="4" w:space="0" w:color="auto"/>
              <w:right w:val="single" w:sz="4" w:space="0" w:color="auto"/>
            </w:tcBorders>
            <w:noWrap/>
            <w:vAlign w:val="center"/>
            <w:hideMark/>
          </w:tcPr>
          <w:p w14:paraId="4394B84D" w14:textId="77777777" w:rsidR="00F421F8" w:rsidRPr="00131EED" w:rsidRDefault="00F421F8">
            <w:pPr>
              <w:jc w:val="center"/>
              <w:rPr>
                <w:color w:val="000000"/>
                <w:sz w:val="20"/>
                <w:szCs w:val="20"/>
                <w:lang w:eastAsia="en-US"/>
              </w:rPr>
            </w:pPr>
            <w:r w:rsidRPr="00131EED">
              <w:rPr>
                <w:color w:val="000000"/>
                <w:sz w:val="20"/>
                <w:szCs w:val="20"/>
                <w:lang w:eastAsia="en-US"/>
              </w:rPr>
              <w:t>45.3</w:t>
            </w:r>
          </w:p>
        </w:tc>
        <w:tc>
          <w:tcPr>
            <w:tcW w:w="1041" w:type="dxa"/>
            <w:tcBorders>
              <w:top w:val="nil"/>
              <w:left w:val="nil"/>
              <w:bottom w:val="single" w:sz="4" w:space="0" w:color="auto"/>
              <w:right w:val="single" w:sz="4" w:space="0" w:color="auto"/>
            </w:tcBorders>
            <w:noWrap/>
            <w:vAlign w:val="center"/>
            <w:hideMark/>
          </w:tcPr>
          <w:p w14:paraId="3B6F4268" w14:textId="77777777" w:rsidR="00F421F8" w:rsidRPr="00131EED" w:rsidRDefault="00F421F8">
            <w:pPr>
              <w:jc w:val="center"/>
              <w:rPr>
                <w:color w:val="000000"/>
                <w:sz w:val="20"/>
                <w:szCs w:val="20"/>
                <w:lang w:eastAsia="en-US"/>
              </w:rPr>
            </w:pPr>
            <w:r w:rsidRPr="00131EED">
              <w:rPr>
                <w:color w:val="000000"/>
                <w:sz w:val="20"/>
                <w:szCs w:val="20"/>
                <w:lang w:eastAsia="en-US"/>
              </w:rPr>
              <w:t>600.6</w:t>
            </w:r>
          </w:p>
        </w:tc>
        <w:tc>
          <w:tcPr>
            <w:tcW w:w="794" w:type="dxa"/>
            <w:tcBorders>
              <w:top w:val="nil"/>
              <w:left w:val="nil"/>
              <w:bottom w:val="single" w:sz="4" w:space="0" w:color="auto"/>
              <w:right w:val="single" w:sz="4" w:space="0" w:color="auto"/>
            </w:tcBorders>
            <w:noWrap/>
            <w:vAlign w:val="center"/>
            <w:hideMark/>
          </w:tcPr>
          <w:p w14:paraId="365360DB" w14:textId="77777777" w:rsidR="00F421F8" w:rsidRPr="00131EED" w:rsidRDefault="00F421F8">
            <w:pPr>
              <w:jc w:val="center"/>
              <w:rPr>
                <w:color w:val="000000"/>
                <w:sz w:val="20"/>
                <w:szCs w:val="20"/>
                <w:lang w:eastAsia="en-US"/>
              </w:rPr>
            </w:pPr>
            <w:r w:rsidRPr="00131EED">
              <w:rPr>
                <w:color w:val="000000"/>
                <w:sz w:val="20"/>
                <w:szCs w:val="20"/>
                <w:lang w:eastAsia="en-US"/>
              </w:rPr>
              <w:t>103.2</w:t>
            </w:r>
          </w:p>
        </w:tc>
        <w:tc>
          <w:tcPr>
            <w:tcW w:w="989" w:type="dxa"/>
            <w:tcBorders>
              <w:top w:val="nil"/>
              <w:left w:val="nil"/>
              <w:bottom w:val="single" w:sz="4" w:space="0" w:color="auto"/>
              <w:right w:val="single" w:sz="4" w:space="0" w:color="auto"/>
            </w:tcBorders>
            <w:noWrap/>
            <w:vAlign w:val="center"/>
            <w:hideMark/>
          </w:tcPr>
          <w:p w14:paraId="37B77991" w14:textId="77777777" w:rsidR="00F421F8" w:rsidRPr="00131EED" w:rsidRDefault="00F421F8">
            <w:pPr>
              <w:jc w:val="center"/>
              <w:rPr>
                <w:color w:val="000000"/>
                <w:sz w:val="20"/>
                <w:szCs w:val="20"/>
                <w:lang w:eastAsia="en-US"/>
              </w:rPr>
            </w:pPr>
            <w:r w:rsidRPr="00131EED">
              <w:rPr>
                <w:color w:val="000000"/>
                <w:sz w:val="20"/>
                <w:szCs w:val="20"/>
                <w:lang w:eastAsia="en-US"/>
              </w:rPr>
              <w:t>180.73</w:t>
            </w:r>
          </w:p>
        </w:tc>
        <w:tc>
          <w:tcPr>
            <w:tcW w:w="909" w:type="dxa"/>
            <w:tcBorders>
              <w:top w:val="nil"/>
              <w:left w:val="nil"/>
              <w:bottom w:val="single" w:sz="4" w:space="0" w:color="auto"/>
              <w:right w:val="single" w:sz="4" w:space="0" w:color="auto"/>
            </w:tcBorders>
            <w:noWrap/>
            <w:vAlign w:val="center"/>
            <w:hideMark/>
          </w:tcPr>
          <w:p w14:paraId="14BF7882" w14:textId="77777777" w:rsidR="00F421F8" w:rsidRPr="00131EED" w:rsidRDefault="00F421F8">
            <w:pPr>
              <w:jc w:val="center"/>
              <w:rPr>
                <w:color w:val="000000"/>
                <w:sz w:val="20"/>
                <w:szCs w:val="20"/>
                <w:lang w:eastAsia="en-US"/>
              </w:rPr>
            </w:pPr>
            <w:r w:rsidRPr="00131EED">
              <w:rPr>
                <w:color w:val="000000"/>
                <w:sz w:val="20"/>
                <w:szCs w:val="20"/>
                <w:lang w:eastAsia="en-US"/>
              </w:rPr>
              <w:t>1034.53</w:t>
            </w:r>
          </w:p>
        </w:tc>
      </w:tr>
      <w:tr w:rsidR="00F421F8" w:rsidRPr="00131EED" w14:paraId="7C17A4A2"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6DCA1455" w14:textId="77777777" w:rsidR="00F421F8" w:rsidRPr="00131EED" w:rsidRDefault="00F421F8">
            <w:pPr>
              <w:jc w:val="center"/>
              <w:rPr>
                <w:color w:val="000000"/>
                <w:sz w:val="20"/>
                <w:szCs w:val="20"/>
                <w:lang w:eastAsia="en-US"/>
              </w:rPr>
            </w:pPr>
            <w:r w:rsidRPr="00131EED">
              <w:rPr>
                <w:color w:val="000000"/>
                <w:sz w:val="20"/>
                <w:szCs w:val="20"/>
                <w:lang w:eastAsia="en-US"/>
              </w:rPr>
              <w:t>Zipaquirá</w:t>
            </w:r>
          </w:p>
        </w:tc>
        <w:tc>
          <w:tcPr>
            <w:tcW w:w="1661" w:type="dxa"/>
            <w:tcBorders>
              <w:top w:val="nil"/>
              <w:left w:val="nil"/>
              <w:bottom w:val="single" w:sz="4" w:space="0" w:color="auto"/>
              <w:right w:val="single" w:sz="4" w:space="0" w:color="auto"/>
            </w:tcBorders>
            <w:noWrap/>
            <w:vAlign w:val="center"/>
            <w:hideMark/>
          </w:tcPr>
          <w:p w14:paraId="7C7AED26" w14:textId="77777777" w:rsidR="00F421F8" w:rsidRPr="00131EED" w:rsidRDefault="00F421F8">
            <w:pPr>
              <w:jc w:val="center"/>
              <w:rPr>
                <w:color w:val="000000"/>
                <w:sz w:val="20"/>
                <w:szCs w:val="20"/>
                <w:lang w:eastAsia="en-US"/>
              </w:rPr>
            </w:pPr>
            <w:r w:rsidRPr="00131EED">
              <w:rPr>
                <w:color w:val="000000"/>
                <w:sz w:val="20"/>
                <w:szCs w:val="20"/>
                <w:lang w:eastAsia="en-US"/>
              </w:rPr>
              <w:t>258.70</w:t>
            </w:r>
          </w:p>
        </w:tc>
        <w:tc>
          <w:tcPr>
            <w:tcW w:w="776" w:type="dxa"/>
            <w:tcBorders>
              <w:top w:val="nil"/>
              <w:left w:val="nil"/>
              <w:bottom w:val="single" w:sz="4" w:space="0" w:color="auto"/>
              <w:right w:val="single" w:sz="4" w:space="0" w:color="auto"/>
            </w:tcBorders>
            <w:noWrap/>
            <w:vAlign w:val="center"/>
            <w:hideMark/>
          </w:tcPr>
          <w:p w14:paraId="12E8B6C8" w14:textId="77777777" w:rsidR="00F421F8" w:rsidRPr="00131EED" w:rsidRDefault="00F421F8">
            <w:pPr>
              <w:jc w:val="center"/>
              <w:rPr>
                <w:color w:val="000000"/>
                <w:sz w:val="20"/>
                <w:szCs w:val="20"/>
                <w:lang w:eastAsia="en-US"/>
              </w:rPr>
            </w:pPr>
            <w:r w:rsidRPr="00131EED">
              <w:rPr>
                <w:color w:val="000000"/>
                <w:sz w:val="20"/>
                <w:szCs w:val="20"/>
                <w:lang w:eastAsia="en-US"/>
              </w:rPr>
              <w:t>83.7</w:t>
            </w:r>
          </w:p>
        </w:tc>
        <w:tc>
          <w:tcPr>
            <w:tcW w:w="1041" w:type="dxa"/>
            <w:tcBorders>
              <w:top w:val="nil"/>
              <w:left w:val="nil"/>
              <w:bottom w:val="single" w:sz="4" w:space="0" w:color="auto"/>
              <w:right w:val="single" w:sz="4" w:space="0" w:color="auto"/>
            </w:tcBorders>
            <w:noWrap/>
            <w:vAlign w:val="center"/>
            <w:hideMark/>
          </w:tcPr>
          <w:p w14:paraId="04B8C065" w14:textId="77777777" w:rsidR="00F421F8" w:rsidRPr="00131EED" w:rsidRDefault="00F421F8">
            <w:pPr>
              <w:jc w:val="center"/>
              <w:rPr>
                <w:color w:val="000000"/>
                <w:sz w:val="20"/>
                <w:szCs w:val="20"/>
                <w:lang w:eastAsia="en-US"/>
              </w:rPr>
            </w:pPr>
            <w:r w:rsidRPr="00131EED">
              <w:rPr>
                <w:color w:val="000000"/>
                <w:sz w:val="20"/>
                <w:szCs w:val="20"/>
                <w:lang w:eastAsia="en-US"/>
              </w:rPr>
              <w:t>432.9</w:t>
            </w:r>
          </w:p>
        </w:tc>
        <w:tc>
          <w:tcPr>
            <w:tcW w:w="794" w:type="dxa"/>
            <w:tcBorders>
              <w:top w:val="nil"/>
              <w:left w:val="nil"/>
              <w:bottom w:val="single" w:sz="4" w:space="0" w:color="auto"/>
              <w:right w:val="single" w:sz="4" w:space="0" w:color="auto"/>
            </w:tcBorders>
            <w:noWrap/>
            <w:vAlign w:val="center"/>
            <w:hideMark/>
          </w:tcPr>
          <w:p w14:paraId="3EB99CD6" w14:textId="77777777" w:rsidR="00F421F8" w:rsidRPr="00131EED" w:rsidRDefault="00F421F8">
            <w:pPr>
              <w:jc w:val="center"/>
              <w:rPr>
                <w:color w:val="000000"/>
                <w:sz w:val="20"/>
                <w:szCs w:val="20"/>
                <w:lang w:eastAsia="en-US"/>
              </w:rPr>
            </w:pPr>
            <w:r w:rsidRPr="00131EED">
              <w:rPr>
                <w:color w:val="000000"/>
                <w:sz w:val="20"/>
                <w:szCs w:val="20"/>
                <w:lang w:eastAsia="en-US"/>
              </w:rPr>
              <w:t>109.6</w:t>
            </w:r>
          </w:p>
        </w:tc>
        <w:tc>
          <w:tcPr>
            <w:tcW w:w="989" w:type="dxa"/>
            <w:tcBorders>
              <w:top w:val="nil"/>
              <w:left w:val="nil"/>
              <w:bottom w:val="single" w:sz="4" w:space="0" w:color="auto"/>
              <w:right w:val="single" w:sz="4" w:space="0" w:color="auto"/>
            </w:tcBorders>
            <w:noWrap/>
            <w:vAlign w:val="center"/>
            <w:hideMark/>
          </w:tcPr>
          <w:p w14:paraId="71C295C8" w14:textId="77777777" w:rsidR="00F421F8" w:rsidRPr="00131EED" w:rsidRDefault="00F421F8">
            <w:pPr>
              <w:jc w:val="center"/>
              <w:rPr>
                <w:color w:val="000000"/>
                <w:sz w:val="20"/>
                <w:szCs w:val="20"/>
                <w:lang w:eastAsia="en-US"/>
              </w:rPr>
            </w:pPr>
            <w:r w:rsidRPr="00131EED">
              <w:rPr>
                <w:color w:val="000000"/>
                <w:sz w:val="20"/>
                <w:szCs w:val="20"/>
                <w:lang w:eastAsia="en-US"/>
              </w:rPr>
              <w:t>896.74</w:t>
            </w:r>
          </w:p>
        </w:tc>
        <w:tc>
          <w:tcPr>
            <w:tcW w:w="909" w:type="dxa"/>
            <w:tcBorders>
              <w:top w:val="nil"/>
              <w:left w:val="nil"/>
              <w:bottom w:val="single" w:sz="4" w:space="0" w:color="auto"/>
              <w:right w:val="single" w:sz="4" w:space="0" w:color="auto"/>
            </w:tcBorders>
            <w:noWrap/>
            <w:vAlign w:val="center"/>
            <w:hideMark/>
          </w:tcPr>
          <w:p w14:paraId="50F903E7" w14:textId="77777777" w:rsidR="00F421F8" w:rsidRPr="00131EED" w:rsidRDefault="00F421F8">
            <w:pPr>
              <w:jc w:val="center"/>
              <w:rPr>
                <w:color w:val="000000"/>
                <w:sz w:val="20"/>
                <w:szCs w:val="20"/>
                <w:lang w:eastAsia="en-US"/>
              </w:rPr>
            </w:pPr>
            <w:r w:rsidRPr="00131EED">
              <w:rPr>
                <w:color w:val="000000"/>
                <w:sz w:val="20"/>
                <w:szCs w:val="20"/>
                <w:lang w:eastAsia="en-US"/>
              </w:rPr>
              <w:t>1781.64</w:t>
            </w:r>
          </w:p>
        </w:tc>
      </w:tr>
      <w:tr w:rsidR="00F421F8" w:rsidRPr="00131EED" w14:paraId="38E3B994" w14:textId="77777777">
        <w:trPr>
          <w:trHeight w:val="249"/>
          <w:tblHeader/>
          <w:jc w:val="center"/>
        </w:trPr>
        <w:tc>
          <w:tcPr>
            <w:tcW w:w="1165" w:type="dxa"/>
            <w:tcBorders>
              <w:top w:val="nil"/>
              <w:left w:val="single" w:sz="4" w:space="0" w:color="auto"/>
              <w:bottom w:val="single" w:sz="4" w:space="0" w:color="auto"/>
              <w:right w:val="single" w:sz="4" w:space="0" w:color="auto"/>
            </w:tcBorders>
            <w:noWrap/>
            <w:vAlign w:val="center"/>
            <w:hideMark/>
          </w:tcPr>
          <w:p w14:paraId="3213D463" w14:textId="77777777" w:rsidR="00F421F8" w:rsidRPr="00131EED" w:rsidRDefault="00F421F8">
            <w:pPr>
              <w:jc w:val="center"/>
              <w:rPr>
                <w:color w:val="000000"/>
                <w:sz w:val="20"/>
                <w:szCs w:val="20"/>
                <w:lang w:eastAsia="en-US"/>
              </w:rPr>
            </w:pPr>
            <w:r w:rsidRPr="00131EED">
              <w:rPr>
                <w:color w:val="000000"/>
                <w:sz w:val="20"/>
                <w:szCs w:val="20"/>
                <w:lang w:eastAsia="en-US"/>
              </w:rPr>
              <w:t>Total</w:t>
            </w:r>
          </w:p>
        </w:tc>
        <w:tc>
          <w:tcPr>
            <w:tcW w:w="1661" w:type="dxa"/>
            <w:tcBorders>
              <w:top w:val="nil"/>
              <w:left w:val="nil"/>
              <w:bottom w:val="single" w:sz="4" w:space="0" w:color="auto"/>
              <w:right w:val="single" w:sz="4" w:space="0" w:color="auto"/>
            </w:tcBorders>
            <w:noWrap/>
            <w:vAlign w:val="center"/>
            <w:hideMark/>
          </w:tcPr>
          <w:p w14:paraId="3DC7A56B" w14:textId="77777777" w:rsidR="00F421F8" w:rsidRPr="00131EED" w:rsidRDefault="00F421F8">
            <w:pPr>
              <w:jc w:val="center"/>
              <w:rPr>
                <w:color w:val="000000"/>
                <w:sz w:val="20"/>
                <w:szCs w:val="20"/>
                <w:lang w:eastAsia="en-US"/>
              </w:rPr>
            </w:pPr>
            <w:r w:rsidRPr="00131EED">
              <w:rPr>
                <w:color w:val="000000"/>
                <w:sz w:val="20"/>
                <w:szCs w:val="20"/>
                <w:lang w:eastAsia="en-US"/>
              </w:rPr>
              <w:t>1383.7</w:t>
            </w:r>
          </w:p>
        </w:tc>
        <w:tc>
          <w:tcPr>
            <w:tcW w:w="776" w:type="dxa"/>
            <w:tcBorders>
              <w:top w:val="nil"/>
              <w:left w:val="nil"/>
              <w:bottom w:val="single" w:sz="4" w:space="0" w:color="auto"/>
              <w:right w:val="single" w:sz="4" w:space="0" w:color="auto"/>
            </w:tcBorders>
            <w:noWrap/>
            <w:vAlign w:val="center"/>
            <w:hideMark/>
          </w:tcPr>
          <w:p w14:paraId="2F21D057" w14:textId="77777777" w:rsidR="00F421F8" w:rsidRPr="00131EED" w:rsidRDefault="00F421F8">
            <w:pPr>
              <w:jc w:val="center"/>
              <w:rPr>
                <w:color w:val="000000"/>
                <w:sz w:val="20"/>
                <w:szCs w:val="20"/>
                <w:lang w:eastAsia="en-US"/>
              </w:rPr>
            </w:pPr>
            <w:r w:rsidRPr="00131EED">
              <w:rPr>
                <w:color w:val="000000"/>
                <w:sz w:val="20"/>
                <w:szCs w:val="20"/>
                <w:lang w:eastAsia="en-US"/>
              </w:rPr>
              <w:t>1291.6</w:t>
            </w:r>
          </w:p>
        </w:tc>
        <w:tc>
          <w:tcPr>
            <w:tcW w:w="1041" w:type="dxa"/>
            <w:tcBorders>
              <w:top w:val="nil"/>
              <w:left w:val="nil"/>
              <w:bottom w:val="single" w:sz="4" w:space="0" w:color="auto"/>
              <w:right w:val="single" w:sz="4" w:space="0" w:color="auto"/>
            </w:tcBorders>
            <w:noWrap/>
            <w:vAlign w:val="center"/>
            <w:hideMark/>
          </w:tcPr>
          <w:p w14:paraId="3F42649C" w14:textId="77777777" w:rsidR="00F421F8" w:rsidRPr="00131EED" w:rsidRDefault="00F421F8">
            <w:pPr>
              <w:jc w:val="center"/>
              <w:rPr>
                <w:color w:val="000000"/>
                <w:sz w:val="20"/>
                <w:szCs w:val="20"/>
                <w:lang w:eastAsia="en-US"/>
              </w:rPr>
            </w:pPr>
            <w:r w:rsidRPr="00131EED">
              <w:rPr>
                <w:color w:val="000000"/>
                <w:sz w:val="20"/>
                <w:szCs w:val="20"/>
                <w:lang w:eastAsia="en-US"/>
              </w:rPr>
              <w:t>10459.2</w:t>
            </w:r>
          </w:p>
        </w:tc>
        <w:tc>
          <w:tcPr>
            <w:tcW w:w="794" w:type="dxa"/>
            <w:tcBorders>
              <w:top w:val="nil"/>
              <w:left w:val="nil"/>
              <w:bottom w:val="single" w:sz="4" w:space="0" w:color="auto"/>
              <w:right w:val="single" w:sz="4" w:space="0" w:color="auto"/>
            </w:tcBorders>
            <w:noWrap/>
            <w:vAlign w:val="center"/>
            <w:hideMark/>
          </w:tcPr>
          <w:p w14:paraId="711A87B1" w14:textId="77777777" w:rsidR="00F421F8" w:rsidRPr="00131EED" w:rsidRDefault="00F421F8">
            <w:pPr>
              <w:jc w:val="center"/>
              <w:rPr>
                <w:color w:val="000000"/>
                <w:sz w:val="20"/>
                <w:szCs w:val="20"/>
                <w:lang w:eastAsia="en-US"/>
              </w:rPr>
            </w:pPr>
            <w:r w:rsidRPr="00131EED">
              <w:rPr>
                <w:color w:val="000000"/>
                <w:sz w:val="20"/>
                <w:szCs w:val="20"/>
                <w:lang w:eastAsia="en-US"/>
              </w:rPr>
              <w:t>1292.2</w:t>
            </w:r>
          </w:p>
        </w:tc>
        <w:tc>
          <w:tcPr>
            <w:tcW w:w="989" w:type="dxa"/>
            <w:tcBorders>
              <w:top w:val="nil"/>
              <w:left w:val="nil"/>
              <w:bottom w:val="single" w:sz="4" w:space="0" w:color="auto"/>
              <w:right w:val="single" w:sz="4" w:space="0" w:color="auto"/>
            </w:tcBorders>
            <w:noWrap/>
            <w:vAlign w:val="center"/>
            <w:hideMark/>
          </w:tcPr>
          <w:p w14:paraId="21D47508" w14:textId="77777777" w:rsidR="00F421F8" w:rsidRPr="00131EED" w:rsidRDefault="00F421F8">
            <w:pPr>
              <w:jc w:val="center"/>
              <w:rPr>
                <w:color w:val="000000"/>
                <w:sz w:val="20"/>
                <w:szCs w:val="20"/>
                <w:lang w:eastAsia="en-US"/>
              </w:rPr>
            </w:pPr>
            <w:r w:rsidRPr="00131EED">
              <w:rPr>
                <w:color w:val="000000"/>
                <w:sz w:val="20"/>
                <w:szCs w:val="20"/>
                <w:lang w:eastAsia="en-US"/>
              </w:rPr>
              <w:t>9888.54</w:t>
            </w:r>
          </w:p>
        </w:tc>
        <w:tc>
          <w:tcPr>
            <w:tcW w:w="909" w:type="dxa"/>
            <w:tcBorders>
              <w:top w:val="nil"/>
              <w:left w:val="nil"/>
              <w:bottom w:val="single" w:sz="4" w:space="0" w:color="auto"/>
              <w:right w:val="single" w:sz="4" w:space="0" w:color="auto"/>
            </w:tcBorders>
            <w:noWrap/>
            <w:vAlign w:val="center"/>
            <w:hideMark/>
          </w:tcPr>
          <w:p w14:paraId="6E9A84C0" w14:textId="77777777" w:rsidR="00F421F8" w:rsidRPr="00131EED" w:rsidRDefault="00F421F8">
            <w:pPr>
              <w:jc w:val="center"/>
              <w:rPr>
                <w:color w:val="000000"/>
                <w:sz w:val="20"/>
                <w:szCs w:val="20"/>
                <w:lang w:eastAsia="en-US"/>
              </w:rPr>
            </w:pPr>
            <w:r w:rsidRPr="00131EED">
              <w:rPr>
                <w:color w:val="000000"/>
                <w:sz w:val="20"/>
                <w:szCs w:val="20"/>
                <w:lang w:eastAsia="en-US"/>
              </w:rPr>
              <w:t>24315.24</w:t>
            </w:r>
          </w:p>
        </w:tc>
      </w:tr>
    </w:tbl>
    <w:p w14:paraId="7A9C5FBD" w14:textId="7661431D" w:rsidR="00F421F8" w:rsidRPr="00131EED" w:rsidRDefault="00F421F8" w:rsidP="00F421F8">
      <w:pPr>
        <w:jc w:val="center"/>
        <w:rPr>
          <w:rFonts w:cs="Arial"/>
          <w:sz w:val="20"/>
          <w:szCs w:val="20"/>
        </w:rPr>
      </w:pPr>
      <w:r w:rsidRPr="00131EED">
        <w:rPr>
          <w:rFonts w:cs="Arial"/>
          <w:sz w:val="20"/>
          <w:szCs w:val="20"/>
        </w:rPr>
        <w:t xml:space="preserve">Fuente: </w:t>
      </w:r>
      <w:sdt>
        <w:sdtPr>
          <w:rPr>
            <w:rFonts w:cs="Arial"/>
            <w:sz w:val="20"/>
            <w:szCs w:val="20"/>
          </w:rPr>
          <w:id w:val="-454638226"/>
          <w:citation/>
        </w:sdtPr>
        <w:sdtEndPr/>
        <w:sdtContent>
          <w:r w:rsidRPr="00131EED">
            <w:rPr>
              <w:rFonts w:cs="Arial"/>
              <w:sz w:val="20"/>
              <w:szCs w:val="20"/>
            </w:rPr>
            <w:fldChar w:fldCharType="begin"/>
          </w:r>
          <w:r w:rsidRPr="00131EED">
            <w:rPr>
              <w:rFonts w:cs="Arial"/>
              <w:sz w:val="20"/>
              <w:szCs w:val="20"/>
            </w:rPr>
            <w:instrText xml:space="preserve"> CITATION Sec20 \l 9226 </w:instrText>
          </w:r>
          <w:r w:rsidRPr="00131EED">
            <w:rPr>
              <w:rFonts w:cs="Arial"/>
              <w:sz w:val="20"/>
              <w:szCs w:val="20"/>
            </w:rPr>
            <w:fldChar w:fldCharType="separate"/>
          </w:r>
          <w:r w:rsidRPr="00131EED">
            <w:rPr>
              <w:rFonts w:cs="Arial"/>
              <w:sz w:val="20"/>
              <w:szCs w:val="20"/>
            </w:rPr>
            <w:t>(Secretaría del Hábitat, 2020)</w:t>
          </w:r>
          <w:r w:rsidRPr="00131EED">
            <w:rPr>
              <w:rFonts w:cs="Arial"/>
              <w:sz w:val="20"/>
              <w:szCs w:val="20"/>
            </w:rPr>
            <w:fldChar w:fldCharType="end"/>
          </w:r>
        </w:sdtContent>
      </w:sdt>
    </w:p>
    <w:p w14:paraId="5C11C022" w14:textId="77777777" w:rsidR="00F421F8" w:rsidRPr="00131EED" w:rsidRDefault="00F421F8" w:rsidP="00F421F8">
      <w:pPr>
        <w:rPr>
          <w:rFonts w:cs="Arial"/>
        </w:rPr>
      </w:pPr>
    </w:p>
    <w:p w14:paraId="3004B68A" w14:textId="77777777" w:rsidR="00F421F8" w:rsidRPr="00131EED" w:rsidRDefault="00F421F8" w:rsidP="00F421F8">
      <w:pPr>
        <w:rPr>
          <w:rFonts w:cs="Arial"/>
        </w:rPr>
      </w:pPr>
      <w:r w:rsidRPr="00131EED">
        <w:rPr>
          <w:rFonts w:cs="Arial"/>
        </w:rPr>
        <w:t xml:space="preserve">De manera posterior, en el Análisis de vivienda en la Región Metropolitana Bogotá – Cundinamarca del Observatorio de Hábitat de Bogotá, se estimó un potencial de producción de vivienda de 1.164.860 unidades, que permitirían tener un remanente destinado a la movilidad de hogares desde Bogotá de alrededor de 735.136 viviendas. </w:t>
      </w:r>
    </w:p>
    <w:p w14:paraId="3FDB8BF9" w14:textId="77777777" w:rsidR="00F421F8" w:rsidRPr="00131EED" w:rsidRDefault="00F421F8" w:rsidP="00F421F8">
      <w:pPr>
        <w:rPr>
          <w:rFonts w:cs="Arial"/>
        </w:rPr>
      </w:pPr>
    </w:p>
    <w:p w14:paraId="6495A001" w14:textId="77777777" w:rsidR="00F421F8" w:rsidRPr="00131EED" w:rsidRDefault="00F421F8" w:rsidP="00F421F8">
      <w:pPr>
        <w:rPr>
          <w:rFonts w:cs="Arial"/>
        </w:rPr>
      </w:pPr>
      <w:r w:rsidRPr="00131EED">
        <w:rPr>
          <w:rFonts w:cs="Arial"/>
        </w:rPr>
        <w:t>La estimación del POT de Bogotá establece la necesidad de proporcionar 1,067,525 soluciones habitacionales para 2035 en Bogotá. No obstante, el DANE actual estima que solo se requerirán 812,111 soluciones habitacionales para ese periodo en Bogotá. </w:t>
      </w:r>
    </w:p>
    <w:p w14:paraId="5B282A51" w14:textId="77777777" w:rsidR="00F421F8" w:rsidRPr="00131EED" w:rsidRDefault="00F421F8" w:rsidP="00F421F8">
      <w:pPr>
        <w:rPr>
          <w:rFonts w:cs="Arial"/>
        </w:rPr>
      </w:pPr>
    </w:p>
    <w:p w14:paraId="2EEC4B1B" w14:textId="77777777" w:rsidR="00F421F8" w:rsidRPr="00131EED" w:rsidRDefault="00F421F8" w:rsidP="00F421F8">
      <w:pPr>
        <w:rPr>
          <w:rFonts w:cs="Arial"/>
        </w:rPr>
      </w:pPr>
      <w:r w:rsidRPr="00131EED">
        <w:rPr>
          <w:rFonts w:cs="Arial"/>
        </w:rPr>
        <w:t>A partir de los resultados descritos, se puede afirmar que en el ámbito Sabana, incluyendo Bogotá, existe un potencial de 1,754,042 soluciones habitacionales el marco de las decisiones de ordenamiento territorial vigentes.</w:t>
      </w:r>
    </w:p>
    <w:p w14:paraId="3A0A10F1" w14:textId="77777777" w:rsidR="00F421F8" w:rsidRPr="00131EED" w:rsidRDefault="00F421F8" w:rsidP="00F421F8">
      <w:pPr>
        <w:rPr>
          <w:rFonts w:cs="Arial"/>
        </w:rPr>
      </w:pPr>
    </w:p>
    <w:p w14:paraId="2F38C7FE" w14:textId="77777777" w:rsidR="00F421F8" w:rsidRPr="00131EED" w:rsidRDefault="00F421F8" w:rsidP="00F421F8">
      <w:pPr>
        <w:rPr>
          <w:rFonts w:cs="Arial"/>
        </w:rPr>
      </w:pPr>
      <w:r w:rsidRPr="00131EED">
        <w:rPr>
          <w:rFonts w:cs="Arial"/>
        </w:rPr>
        <w:t>Según los datos anteriores, se puede concluir que existe suficiente suelo urbanizable en los Planes de Ordenamiento Territorial del ámbito Sabana, para la provisión de la necesidad habitacionales demandadas por el crecimiento poblacional y la nueva conformación de hogares hasta el año 2035, sin necesidad de incorporar o ampliar perímetros urbanos o suburbanos, y por tanto garantizar la protección del suelo rural frente a procesos de endurecimiento y sellamiento.</w:t>
      </w:r>
    </w:p>
    <w:p w14:paraId="7E6D3D83" w14:textId="77777777" w:rsidR="00F421F8" w:rsidRPr="00131EED" w:rsidRDefault="00F421F8" w:rsidP="00F421F8">
      <w:pPr>
        <w:pStyle w:val="Heading4"/>
      </w:pPr>
      <w:bookmarkStart w:id="310" w:name="_Toc216468733"/>
      <w:r w:rsidRPr="00131EED">
        <w:t>Escenarios de Crecimiento Poblacional y Demanda de Suelo en la Región SMOB</w:t>
      </w:r>
      <w:bookmarkEnd w:id="310"/>
    </w:p>
    <w:p w14:paraId="3FDDC22D" w14:textId="77777777" w:rsidR="00F421F8" w:rsidRPr="00131EED" w:rsidRDefault="00F421F8" w:rsidP="00F421F8">
      <w:pPr>
        <w:rPr>
          <w:rFonts w:cs="Arial"/>
        </w:rPr>
      </w:pPr>
    </w:p>
    <w:p w14:paraId="396F0E4B" w14:textId="77777777" w:rsidR="00F421F8" w:rsidRPr="00131EED" w:rsidRDefault="00F421F8" w:rsidP="00F421F8">
      <w:pPr>
        <w:rPr>
          <w:rFonts w:cs="Arial"/>
        </w:rPr>
      </w:pPr>
      <w:r w:rsidRPr="00131EED">
        <w:rPr>
          <w:rFonts w:cs="Arial"/>
        </w:rPr>
        <w:t>La Región SMOB, conformada por los municipios de la Sabana de Bogotá junto con la ciudad de Bogotá, enfrenta un punto de inflexión en su dinámica demográfica y territorial.</w:t>
      </w:r>
    </w:p>
    <w:p w14:paraId="748413D5" w14:textId="77777777" w:rsidR="00F421F8" w:rsidRPr="00131EED" w:rsidRDefault="00F421F8" w:rsidP="00F421F8">
      <w:pPr>
        <w:rPr>
          <w:rFonts w:cs="Arial"/>
        </w:rPr>
      </w:pPr>
    </w:p>
    <w:p w14:paraId="09F9C240" w14:textId="77777777" w:rsidR="00F421F8" w:rsidRPr="00131EED" w:rsidRDefault="00F421F8" w:rsidP="00F421F8">
      <w:pPr>
        <w:rPr>
          <w:rFonts w:cs="Arial"/>
        </w:rPr>
      </w:pPr>
      <w:r w:rsidRPr="00131EED">
        <w:rPr>
          <w:rFonts w:cs="Arial"/>
        </w:rPr>
        <w:t>El análisis presentado por la Sociedad de Mejoras y Ornato de Bogotá (SMOB) propone ajustar las proyecciones oficiales mediante una revisión de las estadísticas de natalidad, con el fin de estimar el crecimiento poblacional y el cambio en la estructura de los hogares durante el periodo 2025–2035.</w:t>
      </w:r>
    </w:p>
    <w:p w14:paraId="4D9DCC11" w14:textId="77777777" w:rsidR="00F421F8" w:rsidRPr="00131EED" w:rsidRDefault="00F421F8" w:rsidP="00F421F8">
      <w:pPr>
        <w:rPr>
          <w:rFonts w:cs="Arial"/>
        </w:rPr>
      </w:pPr>
    </w:p>
    <w:p w14:paraId="39AA9892" w14:textId="77777777" w:rsidR="00F421F8" w:rsidRPr="00131EED" w:rsidRDefault="00F421F8" w:rsidP="00F421F8">
      <w:pPr>
        <w:rPr>
          <w:rFonts w:cs="Arial"/>
        </w:rPr>
      </w:pPr>
      <w:r w:rsidRPr="00131EED">
        <w:rPr>
          <w:rFonts w:cs="Arial"/>
        </w:rPr>
        <w:t>Según el estudio, las estadísticas oficiales de nacimientos en Bogotá Región presentan inconsistencias, lo anterior se visibiliza, ya que históricamente, los nacimientos no han sido menores a 75.000 por año, sin embargo, las proyecciones recientes muestran una tendencia decreciente poco realista.</w:t>
      </w:r>
    </w:p>
    <w:p w14:paraId="60ABDE32" w14:textId="77777777" w:rsidR="00F421F8" w:rsidRPr="00131EED" w:rsidRDefault="00F421F8" w:rsidP="00F421F8">
      <w:pPr>
        <w:rPr>
          <w:rFonts w:cs="Arial"/>
        </w:rPr>
      </w:pPr>
    </w:p>
    <w:p w14:paraId="3C78171B" w14:textId="77777777" w:rsidR="00F421F8" w:rsidRPr="00131EED" w:rsidRDefault="00F421F8" w:rsidP="00F421F8">
      <w:pPr>
        <w:rPr>
          <w:rFonts w:cs="Arial"/>
        </w:rPr>
      </w:pPr>
      <w:r w:rsidRPr="00131EED">
        <w:rPr>
          <w:rFonts w:cs="Arial"/>
        </w:rPr>
        <w:t xml:space="preserve">Para corregir esto, SMOB formuló una </w:t>
      </w:r>
      <w:r w:rsidRPr="00131EED">
        <w:rPr>
          <w:rFonts w:cs="Arial"/>
          <w:b/>
        </w:rPr>
        <w:t>“ecuación compensadora”</w:t>
      </w:r>
      <w:r w:rsidRPr="00131EED">
        <w:rPr>
          <w:rFonts w:cs="Arial"/>
        </w:rPr>
        <w:t xml:space="preserve"> que ajusta la natalidad a partir del comportamiento observado entre 2005 y 2024.</w:t>
      </w:r>
    </w:p>
    <w:p w14:paraId="661B32B5" w14:textId="77777777" w:rsidR="00F421F8" w:rsidRPr="00131EED" w:rsidRDefault="00F421F8" w:rsidP="00F421F8">
      <w:pPr>
        <w:rPr>
          <w:rFonts w:cs="Arial"/>
        </w:rPr>
      </w:pPr>
    </w:p>
    <w:p w14:paraId="3C754A08" w14:textId="77777777" w:rsidR="00F421F8" w:rsidRPr="00131EED" w:rsidRDefault="00F421F8" w:rsidP="00F421F8">
      <w:pPr>
        <w:rPr>
          <w:rFonts w:cs="Arial"/>
        </w:rPr>
      </w:pPr>
      <w:r w:rsidRPr="00131EED">
        <w:rPr>
          <w:rFonts w:cs="Arial"/>
        </w:rPr>
        <w:t>Este ajuste genera dos efectos de análisis clave:</w:t>
      </w:r>
    </w:p>
    <w:p w14:paraId="7AA5ED8B" w14:textId="77777777" w:rsidR="00F421F8" w:rsidRPr="00131EED" w:rsidRDefault="00F421F8" w:rsidP="00F421F8">
      <w:pPr>
        <w:rPr>
          <w:rFonts w:cs="Arial"/>
        </w:rPr>
      </w:pPr>
    </w:p>
    <w:p w14:paraId="4A96E921" w14:textId="77777777" w:rsidR="00F421F8" w:rsidRPr="00131EED" w:rsidRDefault="00F421F8" w:rsidP="00410194">
      <w:pPr>
        <w:numPr>
          <w:ilvl w:val="0"/>
          <w:numId w:val="25"/>
        </w:numPr>
        <w:rPr>
          <w:rFonts w:cs="Arial"/>
        </w:rPr>
      </w:pPr>
      <w:r w:rsidRPr="00131EED">
        <w:rPr>
          <w:rFonts w:cs="Arial"/>
        </w:rPr>
        <w:t>Disminuye el peso del crecimiento vegetativo en el total de crecimiento poblacional.</w:t>
      </w:r>
    </w:p>
    <w:p w14:paraId="1A7A65BE" w14:textId="77777777" w:rsidR="00F421F8" w:rsidRPr="00131EED" w:rsidRDefault="00F421F8" w:rsidP="00410194">
      <w:pPr>
        <w:numPr>
          <w:ilvl w:val="0"/>
          <w:numId w:val="25"/>
        </w:numPr>
        <w:rPr>
          <w:rFonts w:cs="Arial"/>
        </w:rPr>
      </w:pPr>
      <w:r w:rsidRPr="00131EED">
        <w:rPr>
          <w:rFonts w:cs="Arial"/>
        </w:rPr>
        <w:t xml:space="preserve">Aumenta el peso relativo de la </w:t>
      </w:r>
      <w:r w:rsidRPr="00131EED">
        <w:rPr>
          <w:rFonts w:cs="Arial"/>
          <w:b/>
        </w:rPr>
        <w:t>migración interna</w:t>
      </w:r>
      <w:r w:rsidRPr="00131EED">
        <w:rPr>
          <w:rFonts w:cs="Arial"/>
        </w:rPr>
        <w:t xml:space="preserve"> como principal motor de crecimiento en los municipios de la Sabana.</w:t>
      </w:r>
    </w:p>
    <w:p w14:paraId="16BA6F83" w14:textId="1B545E8E" w:rsidR="00F421F8" w:rsidRPr="00131EED" w:rsidRDefault="00F421F8" w:rsidP="00BB03CA">
      <w:pPr>
        <w:spacing w:after="200" w:line="276" w:lineRule="auto"/>
        <w:jc w:val="left"/>
      </w:pPr>
      <w:bookmarkStart w:id="311" w:name="_Toc216468846"/>
      <w:r w:rsidRPr="00131EED">
        <w:t xml:space="preserve">Ilustración </w:t>
      </w:r>
      <w:fldSimple w:instr=" SEQ Ilustración \* ARABIC ">
        <w:r w:rsidR="00CE096F">
          <w:rPr>
            <w:noProof/>
          </w:rPr>
          <w:t>81</w:t>
        </w:r>
      </w:fldSimple>
      <w:r w:rsidRPr="00131EED">
        <w:t>. Ecuación compensadora Bogotá región (DANE).</w:t>
      </w:r>
      <w:bookmarkEnd w:id="311"/>
    </w:p>
    <w:p w14:paraId="0954B1BC" w14:textId="77777777" w:rsidR="00F421F8" w:rsidRPr="00131EED" w:rsidRDefault="00F421F8" w:rsidP="00F421F8">
      <w:pPr>
        <w:jc w:val="center"/>
      </w:pPr>
      <w:r w:rsidRPr="00131EED">
        <w:rPr>
          <w:noProof/>
          <w:lang w:eastAsia="en-US"/>
        </w:rPr>
        <w:drawing>
          <wp:inline distT="0" distB="0" distL="0" distR="0" wp14:anchorId="7BBC8E57" wp14:editId="6CD5C920">
            <wp:extent cx="3707074" cy="1664435"/>
            <wp:effectExtent l="0" t="0" r="8255" b="0"/>
            <wp:docPr id="1608927923" name="Imagen 7" descr="A graph of different colored lines&#10;&#10;AI-generated content may be incorrect.">
              <a:extLst xmlns:a="http://schemas.openxmlformats.org/drawingml/2006/main">
                <a:ext uri="{FF2B5EF4-FFF2-40B4-BE49-F238E27FC236}">
                  <a16:creationId xmlns:a16="http://schemas.microsoft.com/office/drawing/2014/main" id="{6006F4E4-DBDF-9D7B-6708-C2F5B93933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561754" name="Imagen 7" descr="A graph of different colored lines&#10;&#10;AI-generated content may be incorrect.">
                      <a:extLst>
                        <a:ext uri="{FF2B5EF4-FFF2-40B4-BE49-F238E27FC236}">
                          <a16:creationId xmlns:a16="http://schemas.microsoft.com/office/drawing/2014/main" id="{6006F4E4-DBDF-9D7B-6708-C2F5B93933A6}"/>
                        </a:ext>
                      </a:extLst>
                    </pic:cNvPr>
                    <pic:cNvPicPr>
                      <a:picLocks noChangeAspect="1"/>
                    </pic:cNvPicPr>
                  </pic:nvPicPr>
                  <pic:blipFill rotWithShape="1">
                    <a:blip r:embed="rId147"/>
                    <a:srcRect b="10283"/>
                    <a:stretch>
                      <a:fillRect/>
                    </a:stretch>
                  </pic:blipFill>
                  <pic:spPr bwMode="auto">
                    <a:xfrm>
                      <a:off x="0" y="0"/>
                      <a:ext cx="3727566" cy="1673636"/>
                    </a:xfrm>
                    <a:prstGeom prst="rect">
                      <a:avLst/>
                    </a:prstGeom>
                    <a:ln>
                      <a:noFill/>
                    </a:ln>
                    <a:extLst>
                      <a:ext uri="{53640926-AAD7-44D8-BBD7-CCE9431645EC}">
                        <a14:shadowObscured xmlns:a14="http://schemas.microsoft.com/office/drawing/2010/main"/>
                      </a:ext>
                    </a:extLst>
                  </pic:spPr>
                </pic:pic>
              </a:graphicData>
            </a:graphic>
          </wp:inline>
        </w:drawing>
      </w:r>
    </w:p>
    <w:p w14:paraId="1133352B" w14:textId="77777777" w:rsidR="00F421F8" w:rsidRPr="00131EED" w:rsidRDefault="00F421F8" w:rsidP="00F421F8">
      <w:pPr>
        <w:pStyle w:val="Caption"/>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Fuente: SMOB (2025)</w:t>
      </w:r>
    </w:p>
    <w:p w14:paraId="23993617" w14:textId="77777777" w:rsidR="00F421F8" w:rsidRPr="00131EED" w:rsidRDefault="00F421F8" w:rsidP="00F421F8">
      <w:pPr>
        <w:rPr>
          <w:rFonts w:cs="Arial"/>
        </w:rPr>
      </w:pPr>
      <w:r w:rsidRPr="00131EED">
        <w:rPr>
          <w:rFonts w:cs="Arial"/>
        </w:rPr>
        <w:t>Al ajustar los nacimientos a la tendencia de los últimos 4 años, el crecimiento vegetativo en Bogotá región es mucho menor.</w:t>
      </w:r>
    </w:p>
    <w:p w14:paraId="34409F8C" w14:textId="77777777" w:rsidR="00F421F8" w:rsidRPr="00131EED" w:rsidRDefault="00F421F8" w:rsidP="00F421F8">
      <w:pPr>
        <w:rPr>
          <w:rFonts w:cs="Arial"/>
        </w:rPr>
      </w:pPr>
    </w:p>
    <w:p w14:paraId="2E357FB9" w14:textId="77777777" w:rsidR="00F421F8" w:rsidRPr="00131EED" w:rsidRDefault="00F421F8" w:rsidP="00F421F8">
      <w:pPr>
        <w:rPr>
          <w:rFonts w:ascii="Baskerville" w:hAnsi="Baskerville" w:cs="Arial"/>
        </w:rPr>
      </w:pPr>
      <w:r w:rsidRPr="00131EED">
        <w:rPr>
          <w:rFonts w:cs="Arial"/>
        </w:rPr>
        <w:t>A partir de la ecuación compensadora se proyectaron los nacimientos hasta 2035 en cada municipio, empleando un modelo combinado asintótico, logarítmico y potencial</w:t>
      </w:r>
      <w:r w:rsidRPr="00131EED">
        <w:rPr>
          <w:rFonts w:ascii="Baskerville" w:hAnsi="Baskerville" w:cs="Arial"/>
        </w:rPr>
        <w:t xml:space="preserve">. </w:t>
      </w:r>
    </w:p>
    <w:p w14:paraId="04707269" w14:textId="77777777" w:rsidR="00F421F8" w:rsidRPr="00131EED" w:rsidRDefault="00F421F8" w:rsidP="00F421F8">
      <w:pPr>
        <w:rPr>
          <w:rFonts w:ascii="Baskerville" w:hAnsi="Baskerville" w:cs="Arial"/>
        </w:rPr>
      </w:pPr>
    </w:p>
    <w:p w14:paraId="68E1C935" w14:textId="49EF6844" w:rsidR="00F421F8" w:rsidRPr="00131EED" w:rsidRDefault="00F421F8" w:rsidP="00F421F8">
      <w:pPr>
        <w:pStyle w:val="Caption"/>
        <w:jc w:val="center"/>
        <w:rPr>
          <w:rFonts w:ascii="Baskerville" w:hAnsi="Baskerville"/>
        </w:rPr>
      </w:pPr>
      <w:bookmarkStart w:id="312" w:name="_Toc216468847"/>
      <w:r w:rsidRPr="00131EED">
        <w:t xml:space="preserve">Ilustración </w:t>
      </w:r>
      <w:fldSimple w:instr=" SEQ Ilustración \* ARABIC ">
        <w:r w:rsidR="00CE096F">
          <w:rPr>
            <w:noProof/>
          </w:rPr>
          <w:t>82</w:t>
        </w:r>
      </w:fldSimple>
      <w:r w:rsidRPr="00131EED">
        <w:t>. Proyección de nacimientos en municipios de la sabana. Fuente: SMOB (2025)</w:t>
      </w:r>
      <w:bookmarkEnd w:id="312"/>
    </w:p>
    <w:p w14:paraId="38F0F6C2" w14:textId="77777777" w:rsidR="00F421F8" w:rsidRPr="00131EED" w:rsidRDefault="00F421F8" w:rsidP="00F421F8">
      <w:pPr>
        <w:keepNext/>
        <w:jc w:val="center"/>
      </w:pPr>
      <w:r w:rsidRPr="00131EED">
        <w:rPr>
          <w:noProof/>
          <w:lang w:eastAsia="en-US"/>
        </w:rPr>
        <w:drawing>
          <wp:inline distT="0" distB="0" distL="0" distR="0" wp14:anchorId="1E460078" wp14:editId="7E8CC0F9">
            <wp:extent cx="4964430" cy="1934544"/>
            <wp:effectExtent l="0" t="0" r="7620" b="8890"/>
            <wp:docPr id="1952146410" name="Imagen 5" descr="A graph with numbers and a line&#10;&#10;AI-generated content may be incorrect.">
              <a:extLst xmlns:a="http://schemas.openxmlformats.org/drawingml/2006/main">
                <a:ext uri="{FF2B5EF4-FFF2-40B4-BE49-F238E27FC236}">
                  <a16:creationId xmlns:a16="http://schemas.microsoft.com/office/drawing/2014/main" id="{7106B39A-F7CD-450E-6AD4-C713818507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530235" name="Imagen 5" descr="A graph with numbers and a line&#10;&#10;AI-generated content may be incorrect.">
                      <a:extLst>
                        <a:ext uri="{FF2B5EF4-FFF2-40B4-BE49-F238E27FC236}">
                          <a16:creationId xmlns:a16="http://schemas.microsoft.com/office/drawing/2014/main" id="{7106B39A-F7CD-450E-6AD4-C71381850739}"/>
                        </a:ext>
                      </a:extLst>
                    </pic:cNvPr>
                    <pic:cNvPicPr>
                      <a:picLocks noChangeAspect="1"/>
                    </pic:cNvPicPr>
                  </pic:nvPicPr>
                  <pic:blipFill rotWithShape="1">
                    <a:blip r:embed="rId148"/>
                    <a:srcRect b="10569"/>
                    <a:stretch>
                      <a:fillRect/>
                    </a:stretch>
                  </pic:blipFill>
                  <pic:spPr bwMode="auto">
                    <a:xfrm>
                      <a:off x="0" y="0"/>
                      <a:ext cx="4976709" cy="1939329"/>
                    </a:xfrm>
                    <a:prstGeom prst="rect">
                      <a:avLst/>
                    </a:prstGeom>
                    <a:ln>
                      <a:noFill/>
                    </a:ln>
                    <a:extLst>
                      <a:ext uri="{53640926-AAD7-44D8-BBD7-CCE9431645EC}">
                        <a14:shadowObscured xmlns:a14="http://schemas.microsoft.com/office/drawing/2010/main"/>
                      </a:ext>
                    </a:extLst>
                  </pic:spPr>
                </pic:pic>
              </a:graphicData>
            </a:graphic>
          </wp:inline>
        </w:drawing>
      </w:r>
    </w:p>
    <w:p w14:paraId="0F3737A9" w14:textId="77777777" w:rsidR="00F421F8" w:rsidRPr="00131EED" w:rsidRDefault="00F421F8" w:rsidP="00F421F8">
      <w:pPr>
        <w:pStyle w:val="Caption"/>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Fuente: SMOB (2025)</w:t>
      </w:r>
    </w:p>
    <w:p w14:paraId="5F0DB4B2" w14:textId="77777777" w:rsidR="00F421F8" w:rsidRPr="00131EED" w:rsidRDefault="00F421F8" w:rsidP="00F421F8">
      <w:pPr>
        <w:rPr>
          <w:rFonts w:cs="Arial"/>
        </w:rPr>
      </w:pPr>
      <w:r w:rsidRPr="00131EED">
        <w:rPr>
          <w:rFonts w:cs="Arial"/>
        </w:rPr>
        <w:t>Con ello se construyeron tres escenarios de crecimiento poblacional:</w:t>
      </w:r>
    </w:p>
    <w:p w14:paraId="2BD9F4B2" w14:textId="77777777" w:rsidR="00F421F8" w:rsidRPr="00131EED" w:rsidRDefault="00F421F8" w:rsidP="00F421F8">
      <w:pPr>
        <w:rPr>
          <w:rFonts w:cs="Arial"/>
        </w:rPr>
      </w:pPr>
    </w:p>
    <w:p w14:paraId="638D16F2" w14:textId="77777777" w:rsidR="00F421F8" w:rsidRPr="00131EED" w:rsidRDefault="00F421F8" w:rsidP="00F421F8">
      <w:pPr>
        <w:rPr>
          <w:rFonts w:cs="Arial"/>
        </w:rPr>
      </w:pPr>
      <w:r w:rsidRPr="00131EED">
        <w:rPr>
          <w:rFonts w:cs="Arial"/>
        </w:rPr>
        <w:t>Alto: Se toma como base las últimas proyecciones de población del DANE a nivel municipal, además, de proyectar estadísticas vitales a partir de la tendencia 2005 a 2024.</w:t>
      </w:r>
    </w:p>
    <w:p w14:paraId="36B62A4A" w14:textId="77777777" w:rsidR="00F421F8" w:rsidRPr="00131EED" w:rsidRDefault="00F421F8" w:rsidP="00F421F8">
      <w:pPr>
        <w:rPr>
          <w:rFonts w:cs="Arial"/>
        </w:rPr>
      </w:pPr>
    </w:p>
    <w:p w14:paraId="058133B3" w14:textId="77777777" w:rsidR="00F421F8" w:rsidRPr="00131EED" w:rsidRDefault="00F421F8" w:rsidP="00F421F8">
      <w:pPr>
        <w:rPr>
          <w:rFonts w:cs="Arial"/>
        </w:rPr>
      </w:pPr>
      <w:r w:rsidRPr="00131EED">
        <w:rPr>
          <w:rFonts w:cs="Arial"/>
        </w:rPr>
        <w:t>Medio: Se utilizan datos de natalidad proyectados a partir de la tendencia identificada en los nacimientos de 2021 a 2024 y se mantiene la migración del escenario alto.</w:t>
      </w:r>
    </w:p>
    <w:p w14:paraId="48A91333" w14:textId="77777777" w:rsidR="00F421F8" w:rsidRPr="00131EED" w:rsidRDefault="00F421F8" w:rsidP="00F421F8">
      <w:pPr>
        <w:rPr>
          <w:rFonts w:cs="Arial"/>
        </w:rPr>
      </w:pPr>
    </w:p>
    <w:p w14:paraId="195255B6" w14:textId="77777777" w:rsidR="00F421F8" w:rsidRPr="00131EED" w:rsidRDefault="00F421F8" w:rsidP="00F421F8">
      <w:pPr>
        <w:rPr>
          <w:rFonts w:cs="Arial"/>
        </w:rPr>
      </w:pPr>
      <w:r w:rsidRPr="00131EED">
        <w:rPr>
          <w:rFonts w:cs="Arial"/>
        </w:rPr>
        <w:t>Bajo: Se utilizan los datos de natalidad del escenario medio y se reduce la migración del escenario alto en 10%, esto teniendo en cuenta que según el DANE, el incremento de la población es principalmente vegetativo.</w:t>
      </w:r>
    </w:p>
    <w:p w14:paraId="06AED3DA" w14:textId="77777777" w:rsidR="00F421F8" w:rsidRPr="00131EED" w:rsidRDefault="00F421F8" w:rsidP="00F421F8">
      <w:pPr>
        <w:rPr>
          <w:rFonts w:cs="Arial"/>
        </w:rPr>
      </w:pPr>
    </w:p>
    <w:p w14:paraId="7C021687" w14:textId="77777777" w:rsidR="00F421F8" w:rsidRPr="00131EED" w:rsidRDefault="00F421F8" w:rsidP="00F421F8">
      <w:pPr>
        <w:rPr>
          <w:rFonts w:cs="Arial"/>
        </w:rPr>
      </w:pPr>
      <w:r w:rsidRPr="00131EED">
        <w:rPr>
          <w:rFonts w:cs="Arial"/>
        </w:rPr>
        <w:t>Con base en estos ajustes y escenarios, se plantearon las correspondientes proyecciones poblacionales en los municipios de la Sabana y en Bogotá, arrojando los siguientes resultados.</w:t>
      </w:r>
    </w:p>
    <w:p w14:paraId="77272C0E" w14:textId="77777777" w:rsidR="00F421F8" w:rsidRPr="00131EED" w:rsidRDefault="00F421F8" w:rsidP="00F421F8">
      <w:pPr>
        <w:rPr>
          <w:rFonts w:cs="Arial"/>
        </w:rPr>
      </w:pPr>
    </w:p>
    <w:p w14:paraId="41C10D6F" w14:textId="68830F91" w:rsidR="00F421F8" w:rsidRPr="00131EED" w:rsidRDefault="00F421F8" w:rsidP="00F421F8">
      <w:pPr>
        <w:pStyle w:val="Caption"/>
        <w:jc w:val="center"/>
        <w:rPr>
          <w:rFonts w:ascii="Baskerville" w:hAnsi="Baskerville"/>
        </w:rPr>
      </w:pPr>
      <w:bookmarkStart w:id="313" w:name="_Toc216468848"/>
      <w:r w:rsidRPr="00131EED">
        <w:t xml:space="preserve">Ilustración </w:t>
      </w:r>
      <w:fldSimple w:instr=" SEQ Ilustración \* ARABIC ">
        <w:r w:rsidR="00CE096F">
          <w:rPr>
            <w:noProof/>
          </w:rPr>
          <w:t>83</w:t>
        </w:r>
      </w:fldSimple>
      <w:r w:rsidRPr="00131EED">
        <w:t>. Proyección de población - municipios de la sabana. Fuente: SMOB (2025)</w:t>
      </w:r>
      <w:bookmarkEnd w:id="313"/>
    </w:p>
    <w:p w14:paraId="262D201C" w14:textId="77777777" w:rsidR="00F421F8" w:rsidRPr="00131EED" w:rsidRDefault="00F421F8" w:rsidP="00F421F8">
      <w:pPr>
        <w:keepNext/>
        <w:jc w:val="center"/>
      </w:pPr>
      <w:r w:rsidRPr="00131EED">
        <w:rPr>
          <w:noProof/>
          <w:lang w:eastAsia="en-US"/>
        </w:rPr>
        <w:drawing>
          <wp:inline distT="0" distB="0" distL="0" distR="0" wp14:anchorId="78D4184D" wp14:editId="3F6CB21C">
            <wp:extent cx="4259580" cy="1775547"/>
            <wp:effectExtent l="0" t="0" r="7620" b="0"/>
            <wp:docPr id="806243244" name="Imagen 6" descr="A graph showing the number of individuals&#10;&#10;AI-generated content may be incorrect.">
              <a:extLst xmlns:a="http://schemas.openxmlformats.org/drawingml/2006/main">
                <a:ext uri="{FF2B5EF4-FFF2-40B4-BE49-F238E27FC236}">
                  <a16:creationId xmlns:a16="http://schemas.microsoft.com/office/drawing/2014/main" id="{2391D874-1017-F55B-3477-5877630946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716541" name="Imagen 6" descr="A graph showing the number of individuals&#10;&#10;AI-generated content may be incorrect.">
                      <a:extLst>
                        <a:ext uri="{FF2B5EF4-FFF2-40B4-BE49-F238E27FC236}">
                          <a16:creationId xmlns:a16="http://schemas.microsoft.com/office/drawing/2014/main" id="{2391D874-1017-F55B-3477-587763094606}"/>
                        </a:ext>
                      </a:extLst>
                    </pic:cNvPr>
                    <pic:cNvPicPr>
                      <a:picLocks noChangeAspect="1"/>
                    </pic:cNvPicPr>
                  </pic:nvPicPr>
                  <pic:blipFill rotWithShape="1">
                    <a:blip r:embed="rId149"/>
                    <a:srcRect b="3963"/>
                    <a:stretch>
                      <a:fillRect/>
                    </a:stretch>
                  </pic:blipFill>
                  <pic:spPr bwMode="auto">
                    <a:xfrm>
                      <a:off x="0" y="0"/>
                      <a:ext cx="4281803" cy="1784810"/>
                    </a:xfrm>
                    <a:prstGeom prst="rect">
                      <a:avLst/>
                    </a:prstGeom>
                    <a:ln>
                      <a:noFill/>
                    </a:ln>
                    <a:extLst>
                      <a:ext uri="{53640926-AAD7-44D8-BBD7-CCE9431645EC}">
                        <a14:shadowObscured xmlns:a14="http://schemas.microsoft.com/office/drawing/2010/main"/>
                      </a:ext>
                    </a:extLst>
                  </pic:spPr>
                </pic:pic>
              </a:graphicData>
            </a:graphic>
          </wp:inline>
        </w:drawing>
      </w:r>
    </w:p>
    <w:p w14:paraId="2C35A246" w14:textId="77777777" w:rsidR="00F421F8" w:rsidRPr="00131EED" w:rsidRDefault="00F421F8" w:rsidP="00F421F8">
      <w:pPr>
        <w:pStyle w:val="Caption"/>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Fuente: SMOB (2025)</w:t>
      </w:r>
    </w:p>
    <w:p w14:paraId="7E384455" w14:textId="77777777" w:rsidR="00F421F8" w:rsidRPr="00131EED" w:rsidRDefault="00F421F8" w:rsidP="00F421F8">
      <w:pPr>
        <w:rPr>
          <w:lang w:eastAsia="en-US"/>
        </w:rPr>
      </w:pPr>
    </w:p>
    <w:p w14:paraId="4FA27E45" w14:textId="69ADBBC1" w:rsidR="00F421F8" w:rsidRPr="00131EED" w:rsidRDefault="00F421F8" w:rsidP="00F421F8">
      <w:pPr>
        <w:pStyle w:val="Caption"/>
        <w:jc w:val="center"/>
        <w:rPr>
          <w:rFonts w:ascii="Baskerville" w:hAnsi="Baskerville"/>
        </w:rPr>
      </w:pPr>
      <w:bookmarkStart w:id="314" w:name="_Toc216468849"/>
      <w:r w:rsidRPr="00131EED">
        <w:t xml:space="preserve">Ilustración </w:t>
      </w:r>
      <w:fldSimple w:instr=" SEQ Ilustración \* ARABIC ">
        <w:r w:rsidR="00CE096F">
          <w:rPr>
            <w:noProof/>
          </w:rPr>
          <w:t>84</w:t>
        </w:r>
      </w:fldSimple>
      <w:r w:rsidRPr="00131EED">
        <w:t>. Proyección de población – Bogotá. Fuente: SMOB (2025)</w:t>
      </w:r>
      <w:bookmarkEnd w:id="314"/>
    </w:p>
    <w:p w14:paraId="27D2ED9E" w14:textId="77777777" w:rsidR="00F421F8" w:rsidRPr="00131EED" w:rsidRDefault="00F421F8" w:rsidP="00F421F8">
      <w:pPr>
        <w:keepNext/>
        <w:jc w:val="center"/>
      </w:pPr>
      <w:r w:rsidRPr="00131EED">
        <w:rPr>
          <w:noProof/>
          <w:lang w:eastAsia="en-US"/>
        </w:rPr>
        <w:drawing>
          <wp:inline distT="0" distB="0" distL="0" distR="0" wp14:anchorId="6FCA775B" wp14:editId="74076795">
            <wp:extent cx="4355012" cy="1773936"/>
            <wp:effectExtent l="0" t="0" r="7620" b="0"/>
            <wp:docPr id="1617345382" name="Imagen 3">
              <a:extLst xmlns:a="http://schemas.openxmlformats.org/drawingml/2006/main">
                <a:ext uri="{FF2B5EF4-FFF2-40B4-BE49-F238E27FC236}">
                  <a16:creationId xmlns:a16="http://schemas.microsoft.com/office/drawing/2014/main" id="{154CE5C2-7F8A-67C3-0AA5-AA71260453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154CE5C2-7F8A-67C3-0AA5-AA71260453B4}"/>
                        </a:ext>
                      </a:extLst>
                    </pic:cNvPr>
                    <pic:cNvPicPr>
                      <a:picLocks noChangeAspect="1"/>
                    </pic:cNvPicPr>
                  </pic:nvPicPr>
                  <pic:blipFill rotWithShape="1">
                    <a:blip r:embed="rId150"/>
                    <a:srcRect b="7264"/>
                    <a:stretch>
                      <a:fillRect/>
                    </a:stretch>
                  </pic:blipFill>
                  <pic:spPr bwMode="auto">
                    <a:xfrm>
                      <a:off x="0" y="0"/>
                      <a:ext cx="4355012" cy="1773936"/>
                    </a:xfrm>
                    <a:prstGeom prst="rect">
                      <a:avLst/>
                    </a:prstGeom>
                    <a:ln>
                      <a:noFill/>
                    </a:ln>
                    <a:extLst>
                      <a:ext uri="{53640926-AAD7-44D8-BBD7-CCE9431645EC}">
                        <a14:shadowObscured xmlns:a14="http://schemas.microsoft.com/office/drawing/2010/main"/>
                      </a:ext>
                    </a:extLst>
                  </pic:spPr>
                </pic:pic>
              </a:graphicData>
            </a:graphic>
          </wp:inline>
        </w:drawing>
      </w:r>
    </w:p>
    <w:p w14:paraId="61F283FD" w14:textId="77777777" w:rsidR="00F421F8" w:rsidRPr="00131EED" w:rsidRDefault="00F421F8" w:rsidP="00F421F8">
      <w:pPr>
        <w:pStyle w:val="Caption"/>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Fuente: SMOB (2025)</w:t>
      </w:r>
    </w:p>
    <w:p w14:paraId="367274FD" w14:textId="77777777" w:rsidR="00F421F8" w:rsidRPr="00131EED" w:rsidRDefault="00F421F8" w:rsidP="00F421F8">
      <w:pPr>
        <w:rPr>
          <w:rFonts w:cs="Arial"/>
        </w:rPr>
      </w:pPr>
      <w:r w:rsidRPr="00131EED">
        <w:rPr>
          <w:rFonts w:cs="Arial"/>
        </w:rPr>
        <w:t>De acuerdo con las gráficas, los resultados muestran que, mientras Bogotá perdería población neta, los municipios de la Sabana absorberían entre medio millón y seiscientas mil personas adicionales en la próxima década.</w:t>
      </w:r>
    </w:p>
    <w:p w14:paraId="5FFEE859" w14:textId="77777777" w:rsidR="00F421F8" w:rsidRPr="00131EED" w:rsidRDefault="00F421F8" w:rsidP="00F421F8">
      <w:pPr>
        <w:rPr>
          <w:rFonts w:cs="Arial"/>
        </w:rPr>
      </w:pPr>
    </w:p>
    <w:p w14:paraId="51248163" w14:textId="77777777" w:rsidR="00F421F8" w:rsidRPr="00131EED" w:rsidRDefault="00F421F8" w:rsidP="00F421F8">
      <w:pPr>
        <w:rPr>
          <w:rFonts w:cs="Arial"/>
        </w:rPr>
      </w:pPr>
      <w:r w:rsidRPr="00131EED">
        <w:rPr>
          <w:rFonts w:cs="Arial"/>
        </w:rPr>
        <w:t>El estudio también evidencia un cambio profundo en la composición de los hogares:</w:t>
      </w:r>
    </w:p>
    <w:p w14:paraId="78D843F8" w14:textId="77777777" w:rsidR="00F421F8" w:rsidRPr="00131EED" w:rsidRDefault="00F421F8" w:rsidP="00F421F8">
      <w:pPr>
        <w:rPr>
          <w:rFonts w:cs="Arial"/>
        </w:rPr>
      </w:pPr>
    </w:p>
    <w:p w14:paraId="1BB47D67" w14:textId="3552FF6F" w:rsidR="00F421F8" w:rsidRPr="00131EED" w:rsidRDefault="00F421F8" w:rsidP="00F421F8">
      <w:pPr>
        <w:pStyle w:val="Caption"/>
        <w:jc w:val="center"/>
      </w:pPr>
      <w:bookmarkStart w:id="315" w:name="_Toc216468850"/>
      <w:r w:rsidRPr="00131EED">
        <w:t xml:space="preserve">Ilustración </w:t>
      </w:r>
      <w:fldSimple w:instr=" SEQ Ilustración \* ARABIC ">
        <w:r w:rsidR="00CE096F">
          <w:rPr>
            <w:noProof/>
          </w:rPr>
          <w:t>85</w:t>
        </w:r>
      </w:fldSimple>
      <w:r w:rsidRPr="00131EED">
        <w:t>. Cambio en la composición del hogar – municipios de la sabana. Fuente: SMOB (2025)</w:t>
      </w:r>
      <w:bookmarkEnd w:id="315"/>
    </w:p>
    <w:p w14:paraId="763BA49E" w14:textId="77777777" w:rsidR="00F421F8" w:rsidRPr="00131EED" w:rsidRDefault="00F421F8" w:rsidP="00F421F8">
      <w:pPr>
        <w:jc w:val="center"/>
      </w:pPr>
      <w:r w:rsidRPr="00131EED">
        <w:rPr>
          <w:noProof/>
          <w:lang w:eastAsia="en-US"/>
        </w:rPr>
        <w:drawing>
          <wp:inline distT="0" distB="0" distL="0" distR="0" wp14:anchorId="6F755158" wp14:editId="02BE9741">
            <wp:extent cx="4632414" cy="2302055"/>
            <wp:effectExtent l="0" t="0" r="0" b="3175"/>
            <wp:docPr id="189977754" name="Imagen 3" descr="A graph of different colored bars&#10;&#10;AI-generated content may be incorrect.">
              <a:extLst xmlns:a="http://schemas.openxmlformats.org/drawingml/2006/main">
                <a:ext uri="{FF2B5EF4-FFF2-40B4-BE49-F238E27FC236}">
                  <a16:creationId xmlns:a16="http://schemas.microsoft.com/office/drawing/2014/main" id="{25ED6837-51C0-45BB-F613-AF3AFD67F3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159254" name="Imagen 3" descr="A graph of different colored bars&#10;&#10;AI-generated content may be incorrect.">
                      <a:extLst>
                        <a:ext uri="{FF2B5EF4-FFF2-40B4-BE49-F238E27FC236}">
                          <a16:creationId xmlns:a16="http://schemas.microsoft.com/office/drawing/2014/main" id="{25ED6837-51C0-45BB-F613-AF3AFD67F325}"/>
                        </a:ext>
                      </a:extLst>
                    </pic:cNvPr>
                    <pic:cNvPicPr>
                      <a:picLocks noChangeAspect="1"/>
                    </pic:cNvPicPr>
                  </pic:nvPicPr>
                  <pic:blipFill rotWithShape="1">
                    <a:blip r:embed="rId151"/>
                    <a:srcRect b="12684"/>
                    <a:stretch>
                      <a:fillRect/>
                    </a:stretch>
                  </pic:blipFill>
                  <pic:spPr bwMode="auto">
                    <a:xfrm>
                      <a:off x="0" y="0"/>
                      <a:ext cx="4647199" cy="2309403"/>
                    </a:xfrm>
                    <a:prstGeom prst="rect">
                      <a:avLst/>
                    </a:prstGeom>
                    <a:ln>
                      <a:noFill/>
                    </a:ln>
                    <a:extLst>
                      <a:ext uri="{53640926-AAD7-44D8-BBD7-CCE9431645EC}">
                        <a14:shadowObscured xmlns:a14="http://schemas.microsoft.com/office/drawing/2010/main"/>
                      </a:ext>
                    </a:extLst>
                  </pic:spPr>
                </pic:pic>
              </a:graphicData>
            </a:graphic>
          </wp:inline>
        </w:drawing>
      </w:r>
    </w:p>
    <w:p w14:paraId="6927372F" w14:textId="77777777" w:rsidR="00F421F8" w:rsidRPr="00131EED" w:rsidRDefault="00F421F8" w:rsidP="00F421F8">
      <w:pPr>
        <w:pStyle w:val="Caption"/>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Fuente: SMOB (2025)</w:t>
      </w:r>
    </w:p>
    <w:p w14:paraId="0EB0476D" w14:textId="70E511D2" w:rsidR="00F421F8" w:rsidRPr="00131EED" w:rsidRDefault="00F421F8" w:rsidP="00F421F8">
      <w:pPr>
        <w:pStyle w:val="Caption"/>
        <w:jc w:val="center"/>
      </w:pPr>
      <w:bookmarkStart w:id="316" w:name="_Toc216468851"/>
      <w:r w:rsidRPr="00131EED">
        <w:t xml:space="preserve">Ilustración </w:t>
      </w:r>
      <w:fldSimple w:instr=" SEQ Ilustración \* ARABIC ">
        <w:r w:rsidR="00CE096F">
          <w:rPr>
            <w:noProof/>
          </w:rPr>
          <w:t>86</w:t>
        </w:r>
      </w:fldSimple>
      <w:r w:rsidRPr="00131EED">
        <w:t>. Cambio en la composición del hogar – Bogotá. Fuente: SMOB (2025)</w:t>
      </w:r>
      <w:bookmarkEnd w:id="316"/>
    </w:p>
    <w:p w14:paraId="1BB0E336" w14:textId="77777777" w:rsidR="00F421F8" w:rsidRPr="00131EED" w:rsidRDefault="00F421F8" w:rsidP="00F421F8">
      <w:pPr>
        <w:keepNext/>
        <w:jc w:val="center"/>
      </w:pPr>
      <w:r w:rsidRPr="00131EED">
        <w:rPr>
          <w:noProof/>
          <w:lang w:eastAsia="en-US"/>
        </w:rPr>
        <w:drawing>
          <wp:inline distT="0" distB="0" distL="0" distR="0" wp14:anchorId="64BD5CDF" wp14:editId="4FA0C30F">
            <wp:extent cx="4287725" cy="2200624"/>
            <wp:effectExtent l="0" t="0" r="0" b="9525"/>
            <wp:docPr id="1374402198" name="Imagen 5" descr="A graph of different colored bars&#10;&#10;AI-generated content may be incorrect.">
              <a:extLst xmlns:a="http://schemas.openxmlformats.org/drawingml/2006/main">
                <a:ext uri="{FF2B5EF4-FFF2-40B4-BE49-F238E27FC236}">
                  <a16:creationId xmlns:a16="http://schemas.microsoft.com/office/drawing/2014/main" id="{6F9E9888-B827-17B5-CD3D-93B229DE10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070341" name="Imagen 5" descr="A graph of different colored bars&#10;&#10;AI-generated content may be incorrect.">
                      <a:extLst>
                        <a:ext uri="{FF2B5EF4-FFF2-40B4-BE49-F238E27FC236}">
                          <a16:creationId xmlns:a16="http://schemas.microsoft.com/office/drawing/2014/main" id="{6F9E9888-B827-17B5-CD3D-93B229DE10EF}"/>
                        </a:ext>
                      </a:extLst>
                    </pic:cNvPr>
                    <pic:cNvPicPr>
                      <a:picLocks noChangeAspect="1"/>
                    </pic:cNvPicPr>
                  </pic:nvPicPr>
                  <pic:blipFill rotWithShape="1">
                    <a:blip r:embed="rId152"/>
                    <a:srcRect b="11128"/>
                    <a:stretch>
                      <a:fillRect/>
                    </a:stretch>
                  </pic:blipFill>
                  <pic:spPr bwMode="auto">
                    <a:xfrm>
                      <a:off x="0" y="0"/>
                      <a:ext cx="4294906" cy="2204310"/>
                    </a:xfrm>
                    <a:prstGeom prst="rect">
                      <a:avLst/>
                    </a:prstGeom>
                    <a:ln>
                      <a:noFill/>
                    </a:ln>
                    <a:extLst>
                      <a:ext uri="{53640926-AAD7-44D8-BBD7-CCE9431645EC}">
                        <a14:shadowObscured xmlns:a14="http://schemas.microsoft.com/office/drawing/2010/main"/>
                      </a:ext>
                    </a:extLst>
                  </pic:spPr>
                </pic:pic>
              </a:graphicData>
            </a:graphic>
          </wp:inline>
        </w:drawing>
      </w:r>
    </w:p>
    <w:p w14:paraId="6C095473" w14:textId="77777777" w:rsidR="00F421F8" w:rsidRPr="00131EED" w:rsidRDefault="00F421F8" w:rsidP="00F421F8">
      <w:pPr>
        <w:pStyle w:val="Caption"/>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Fuente: SMOB (2025)</w:t>
      </w:r>
    </w:p>
    <w:p w14:paraId="50308101" w14:textId="77777777" w:rsidR="00F421F8" w:rsidRPr="00131EED" w:rsidRDefault="00F421F8" w:rsidP="00F421F8">
      <w:pPr>
        <w:rPr>
          <w:lang w:eastAsia="en-US"/>
        </w:rPr>
      </w:pPr>
      <w:r w:rsidRPr="00131EED">
        <w:rPr>
          <w:lang w:eastAsia="en-US"/>
        </w:rPr>
        <w:t xml:space="preserve">De acuerdo con los datos, se destacan dos tendencias importantes: </w:t>
      </w:r>
    </w:p>
    <w:p w14:paraId="6FD1E79D" w14:textId="77777777" w:rsidR="00F421F8" w:rsidRPr="00131EED" w:rsidRDefault="00F421F8" w:rsidP="00F421F8">
      <w:pPr>
        <w:rPr>
          <w:lang w:eastAsia="en-US"/>
        </w:rPr>
      </w:pPr>
    </w:p>
    <w:p w14:paraId="62AF7396" w14:textId="77777777" w:rsidR="00F421F8" w:rsidRPr="00131EED" w:rsidRDefault="00F421F8" w:rsidP="00410194">
      <w:pPr>
        <w:numPr>
          <w:ilvl w:val="0"/>
          <w:numId w:val="26"/>
        </w:numPr>
        <w:rPr>
          <w:rFonts w:cs="Arial"/>
        </w:rPr>
      </w:pPr>
      <w:r w:rsidRPr="00131EED">
        <w:rPr>
          <w:rFonts w:cs="Arial"/>
        </w:rPr>
        <w:t>Disminución del tamaño promedio de los hogares.</w:t>
      </w:r>
    </w:p>
    <w:p w14:paraId="7FF21D93" w14:textId="77777777" w:rsidR="00F421F8" w:rsidRPr="00131EED" w:rsidRDefault="00F421F8" w:rsidP="00410194">
      <w:pPr>
        <w:numPr>
          <w:ilvl w:val="0"/>
          <w:numId w:val="26"/>
        </w:numPr>
        <w:rPr>
          <w:rFonts w:cs="Arial"/>
        </w:rPr>
      </w:pPr>
      <w:r w:rsidRPr="00131EED">
        <w:rPr>
          <w:rFonts w:cs="Arial"/>
        </w:rPr>
        <w:t>Aumento de hogares unipersonales y nucleares pequeños.</w:t>
      </w:r>
    </w:p>
    <w:p w14:paraId="066599AD" w14:textId="77777777" w:rsidR="00F421F8" w:rsidRPr="00131EED" w:rsidRDefault="00F421F8" w:rsidP="00F421F8">
      <w:pPr>
        <w:rPr>
          <w:rFonts w:cs="Arial"/>
        </w:rPr>
      </w:pPr>
    </w:p>
    <w:p w14:paraId="02C52C56" w14:textId="77777777" w:rsidR="00F421F8" w:rsidRPr="00131EED" w:rsidRDefault="00F421F8" w:rsidP="00F421F8">
      <w:pPr>
        <w:rPr>
          <w:rFonts w:cs="Arial"/>
        </w:rPr>
      </w:pPr>
      <w:r w:rsidRPr="00131EED">
        <w:rPr>
          <w:rFonts w:cs="Arial"/>
        </w:rPr>
        <w:t xml:space="preserve">En Bogotá se proyecta una </w:t>
      </w:r>
      <w:r w:rsidRPr="00131EED">
        <w:rPr>
          <w:rFonts w:cs="Arial"/>
          <w:b/>
        </w:rPr>
        <w:t>reducción del número total de hogares</w:t>
      </w:r>
      <w:r w:rsidRPr="00131EED">
        <w:rPr>
          <w:rFonts w:cs="Arial"/>
        </w:rPr>
        <w:t xml:space="preserve">, mientras que en los municipios de la Sabana se espera un </w:t>
      </w:r>
      <w:r w:rsidRPr="00131EED">
        <w:rPr>
          <w:rFonts w:cs="Arial"/>
          <w:b/>
        </w:rPr>
        <w:t>incremento acelerado del número de hogares</w:t>
      </w:r>
      <w:r w:rsidRPr="00131EED">
        <w:rPr>
          <w:rFonts w:cs="Arial"/>
        </w:rPr>
        <w:t xml:space="preserve"> entre 2025 y 2035. A pesar de lo anterior, también en el estudio se contrasta que a la par, la Sabana de Bogotá se encuentra con suficiente área disponible en la Sabana de Bogotá, principalmente en suelos de expansión urbana para soportar la demanda de área requerida.</w:t>
      </w:r>
    </w:p>
    <w:p w14:paraId="61429257" w14:textId="77777777" w:rsidR="00F421F8" w:rsidRPr="00131EED" w:rsidRDefault="00F421F8" w:rsidP="00F421F8">
      <w:pPr>
        <w:rPr>
          <w:rFonts w:ascii="Baskerville" w:hAnsi="Baskerville" w:cs="Arial"/>
        </w:rPr>
      </w:pPr>
    </w:p>
    <w:p w14:paraId="51F50F2A" w14:textId="5A9E71EC" w:rsidR="00F421F8" w:rsidRPr="00131EED" w:rsidRDefault="00F421F8" w:rsidP="00F421F8">
      <w:pPr>
        <w:pStyle w:val="Caption"/>
        <w:jc w:val="center"/>
      </w:pPr>
      <w:bookmarkStart w:id="317" w:name="_Toc216468852"/>
      <w:r w:rsidRPr="00131EED">
        <w:t xml:space="preserve">Ilustración </w:t>
      </w:r>
      <w:fldSimple w:instr=" SEQ Ilustración \* ARABIC ">
        <w:r w:rsidR="00CE096F">
          <w:rPr>
            <w:noProof/>
          </w:rPr>
          <w:t>87</w:t>
        </w:r>
      </w:fldSimple>
      <w:r w:rsidRPr="00131EED">
        <w:t>. Área requerida vs área disponible (2025 – 2035).</w:t>
      </w:r>
      <w:bookmarkEnd w:id="317"/>
    </w:p>
    <w:p w14:paraId="3FB6C07A" w14:textId="77777777" w:rsidR="00F421F8" w:rsidRPr="00131EED" w:rsidRDefault="00F421F8" w:rsidP="00F421F8">
      <w:pPr>
        <w:keepNext/>
        <w:jc w:val="center"/>
      </w:pPr>
      <w:r w:rsidRPr="00131EED">
        <w:rPr>
          <w:noProof/>
          <w:lang w:eastAsia="en-US"/>
        </w:rPr>
        <w:drawing>
          <wp:inline distT="0" distB="0" distL="0" distR="0" wp14:anchorId="65680471" wp14:editId="6F3DA065">
            <wp:extent cx="4060678" cy="1527234"/>
            <wp:effectExtent l="0" t="0" r="0" b="0"/>
            <wp:docPr id="661605170" name="Imagen 7" descr="A graph of a number of people&#10;&#10;AI-generated content may be incorrect.">
              <a:extLst xmlns:a="http://schemas.openxmlformats.org/drawingml/2006/main">
                <a:ext uri="{FF2B5EF4-FFF2-40B4-BE49-F238E27FC236}">
                  <a16:creationId xmlns:a16="http://schemas.microsoft.com/office/drawing/2014/main" id="{EA96125C-1252-CD5E-7F91-6A4CF2678F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527883" name="Imagen 7" descr="A graph of a number of people&#10;&#10;AI-generated content may be incorrect.">
                      <a:extLst>
                        <a:ext uri="{FF2B5EF4-FFF2-40B4-BE49-F238E27FC236}">
                          <a16:creationId xmlns:a16="http://schemas.microsoft.com/office/drawing/2014/main" id="{EA96125C-1252-CD5E-7F91-6A4CF2678FC0}"/>
                        </a:ext>
                      </a:extLst>
                    </pic:cNvPr>
                    <pic:cNvPicPr>
                      <a:picLocks noChangeAspect="1"/>
                    </pic:cNvPicPr>
                  </pic:nvPicPr>
                  <pic:blipFill rotWithShape="1">
                    <a:blip r:embed="rId153"/>
                    <a:srcRect b="12778"/>
                    <a:stretch>
                      <a:fillRect/>
                    </a:stretch>
                  </pic:blipFill>
                  <pic:spPr bwMode="auto">
                    <a:xfrm>
                      <a:off x="0" y="0"/>
                      <a:ext cx="4082733" cy="1535529"/>
                    </a:xfrm>
                    <a:prstGeom prst="rect">
                      <a:avLst/>
                    </a:prstGeom>
                    <a:ln>
                      <a:noFill/>
                    </a:ln>
                    <a:extLst>
                      <a:ext uri="{53640926-AAD7-44D8-BBD7-CCE9431645EC}">
                        <a14:shadowObscured xmlns:a14="http://schemas.microsoft.com/office/drawing/2010/main"/>
                      </a:ext>
                    </a:extLst>
                  </pic:spPr>
                </pic:pic>
              </a:graphicData>
            </a:graphic>
          </wp:inline>
        </w:drawing>
      </w:r>
    </w:p>
    <w:p w14:paraId="4751C911" w14:textId="77777777" w:rsidR="00F421F8" w:rsidRPr="00131EED" w:rsidRDefault="00F421F8" w:rsidP="00F421F8">
      <w:pPr>
        <w:pStyle w:val="Caption"/>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Fuente: SMOB (2025)</w:t>
      </w:r>
    </w:p>
    <w:p w14:paraId="2083E325" w14:textId="77777777" w:rsidR="003A0966" w:rsidRPr="00131EED" w:rsidRDefault="003A0966" w:rsidP="00BB03CA">
      <w:pPr>
        <w:pStyle w:val="Caption"/>
        <w:jc w:val="center"/>
      </w:pPr>
    </w:p>
    <w:p w14:paraId="69F4E0DC" w14:textId="77777777" w:rsidR="003A0966" w:rsidRPr="00131EED" w:rsidRDefault="003A0966" w:rsidP="00BB03CA">
      <w:pPr>
        <w:pStyle w:val="Caption"/>
        <w:jc w:val="center"/>
      </w:pPr>
    </w:p>
    <w:p w14:paraId="648F7F75" w14:textId="77777777" w:rsidR="003A0966" w:rsidRPr="00131EED" w:rsidRDefault="003A0966" w:rsidP="00BB03CA">
      <w:pPr>
        <w:pStyle w:val="Caption"/>
        <w:jc w:val="center"/>
      </w:pPr>
    </w:p>
    <w:p w14:paraId="1E28D220" w14:textId="77777777" w:rsidR="003A0966" w:rsidRPr="00131EED" w:rsidRDefault="003A0966" w:rsidP="00BB03CA">
      <w:pPr>
        <w:pStyle w:val="Caption"/>
        <w:jc w:val="center"/>
      </w:pPr>
    </w:p>
    <w:p w14:paraId="279B61BA" w14:textId="7AB58156" w:rsidR="00F421F8" w:rsidRPr="00131EED" w:rsidRDefault="00BB03CA" w:rsidP="00BB03CA">
      <w:pPr>
        <w:pStyle w:val="Caption"/>
        <w:jc w:val="center"/>
      </w:pPr>
      <w:bookmarkStart w:id="318" w:name="_Toc216468853"/>
      <w:r w:rsidRPr="00131EED">
        <w:t xml:space="preserve">Ilustración </w:t>
      </w:r>
      <w:fldSimple w:instr=" SEQ Ilustración \* ARABIC ">
        <w:r w:rsidR="00CE096F">
          <w:rPr>
            <w:noProof/>
          </w:rPr>
          <w:t>88</w:t>
        </w:r>
      </w:fldSimple>
      <w:r w:rsidRPr="00131EED">
        <w:t>. Pérdida de capacidad por la localización de asentamientos e infraestructuras.</w:t>
      </w:r>
      <w:bookmarkEnd w:id="318"/>
    </w:p>
    <w:p w14:paraId="2EBE3C93" w14:textId="77777777" w:rsidR="00F421F8" w:rsidRPr="00131EED" w:rsidRDefault="00F421F8" w:rsidP="00F421F8">
      <w:pPr>
        <w:ind w:left="-142"/>
        <w:rPr>
          <w:rFonts w:ascii="Baskerville" w:eastAsia="Century Gothic" w:hAnsi="Baskerville" w:cs="Arial"/>
        </w:rPr>
      </w:pPr>
      <w:r w:rsidRPr="00131EED">
        <w:rPr>
          <w:rFonts w:ascii="Baskerville" w:hAnsi="Baskerville" w:cs="Arial"/>
          <w:noProof/>
          <w:lang w:eastAsia="en-US"/>
        </w:rPr>
        <w:drawing>
          <wp:inline distT="0" distB="0" distL="0" distR="0" wp14:anchorId="4A0A1D90" wp14:editId="011D0398">
            <wp:extent cx="6294755" cy="3190602"/>
            <wp:effectExtent l="0" t="0" r="0" b="0"/>
            <wp:docPr id="1629237781" name="Imagen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237781" name="Imagen 1" descr="A diagram of a company&#10;&#10;AI-generated content may be incorrect."/>
                    <pic:cNvPicPr>
                      <a:picLocks noChangeAspect="1" noChangeArrowheads="1"/>
                    </pic:cNvPicPr>
                  </pic:nvPicPr>
                  <pic:blipFill rotWithShape="1">
                    <a:blip r:embed="rId154">
                      <a:extLst>
                        <a:ext uri="{28A0092B-C50C-407E-A947-70E740481C1C}">
                          <a14:useLocalDpi xmlns:a14="http://schemas.microsoft.com/office/drawing/2010/main" val="0"/>
                        </a:ext>
                      </a:extLst>
                    </a:blip>
                    <a:srcRect t="9947"/>
                    <a:stretch/>
                  </pic:blipFill>
                  <pic:spPr bwMode="auto">
                    <a:xfrm>
                      <a:off x="0" y="0"/>
                      <a:ext cx="6299132" cy="3192821"/>
                    </a:xfrm>
                    <a:prstGeom prst="rect">
                      <a:avLst/>
                    </a:prstGeom>
                    <a:noFill/>
                    <a:ln>
                      <a:noFill/>
                    </a:ln>
                    <a:extLst>
                      <a:ext uri="{53640926-AAD7-44D8-BBD7-CCE9431645EC}">
                        <a14:shadowObscured xmlns:a14="http://schemas.microsoft.com/office/drawing/2010/main"/>
                      </a:ext>
                    </a:extLst>
                  </pic:spPr>
                </pic:pic>
              </a:graphicData>
            </a:graphic>
          </wp:inline>
        </w:drawing>
      </w:r>
    </w:p>
    <w:p w14:paraId="458E5D6E" w14:textId="77777777" w:rsidR="002C1207" w:rsidRPr="00131EED" w:rsidRDefault="002C1207" w:rsidP="002C1207">
      <w:pPr>
        <w:jc w:val="center"/>
        <w:rPr>
          <w:sz w:val="20"/>
          <w:szCs w:val="20"/>
        </w:rPr>
      </w:pPr>
      <w:r w:rsidRPr="00131EED">
        <w:rPr>
          <w:sz w:val="20"/>
          <w:szCs w:val="20"/>
        </w:rPr>
        <w:t>Fuente: MinAmbiente (2025)</w:t>
      </w:r>
    </w:p>
    <w:p w14:paraId="53269989" w14:textId="77777777" w:rsidR="00F421F8" w:rsidRPr="00131EED" w:rsidRDefault="00F421F8" w:rsidP="00F421F8">
      <w:pPr>
        <w:ind w:left="-142"/>
        <w:rPr>
          <w:rFonts w:eastAsia="Century Gothic" w:cs="Arial"/>
        </w:rPr>
      </w:pPr>
    </w:p>
    <w:p w14:paraId="0ADCF736" w14:textId="77777777" w:rsidR="00F421F8" w:rsidRPr="00131EED" w:rsidRDefault="00F421F8" w:rsidP="00F421F8">
      <w:pPr>
        <w:ind w:left="-142"/>
        <w:rPr>
          <w:rFonts w:eastAsia="Century Gothic" w:cs="Arial"/>
        </w:rPr>
      </w:pPr>
      <w:r w:rsidRPr="00131EED">
        <w:rPr>
          <w:rFonts w:eastAsia="Century Gothic" w:cs="Arial"/>
        </w:rPr>
        <w:t>Para entender las causas y consecuencias de la pérdida de la capacidad adaptativa de la Sabana de Bogotá frente a las presiones urbanas, sociales y ambientales, se propone el siguiente árbol de conflictos o árbol de problemas así:</w:t>
      </w:r>
    </w:p>
    <w:p w14:paraId="5A048F4F" w14:textId="77777777" w:rsidR="00F421F8" w:rsidRPr="00131EED" w:rsidRDefault="00F421F8" w:rsidP="00F421F8">
      <w:pPr>
        <w:ind w:left="-142"/>
        <w:rPr>
          <w:rFonts w:eastAsia="Century Gothic" w:cs="Arial"/>
        </w:rPr>
      </w:pPr>
    </w:p>
    <w:p w14:paraId="7BFAA87B" w14:textId="77777777" w:rsidR="00F421F8" w:rsidRPr="00131EED" w:rsidRDefault="00F421F8" w:rsidP="00F421F8">
      <w:pPr>
        <w:rPr>
          <w:rFonts w:eastAsia="Century Gothic" w:cs="Arial"/>
        </w:rPr>
      </w:pPr>
      <w:r w:rsidRPr="00131EED">
        <w:rPr>
          <w:rFonts w:eastAsia="Century Gothic" w:cs="Arial"/>
        </w:rPr>
        <w:t>Problema central (tronco):</w:t>
      </w:r>
    </w:p>
    <w:p w14:paraId="5A1E6E45" w14:textId="77777777" w:rsidR="00F421F8" w:rsidRPr="00131EED" w:rsidRDefault="00F421F8" w:rsidP="00F421F8">
      <w:pPr>
        <w:rPr>
          <w:rFonts w:eastAsia="Century Gothic" w:cs="Arial"/>
        </w:rPr>
      </w:pPr>
      <w:r w:rsidRPr="00131EED">
        <w:rPr>
          <w:rFonts w:eastAsia="Century Gothic" w:cs="Arial"/>
        </w:rPr>
        <w:br/>
      </w:r>
      <w:r w:rsidRPr="00131EED">
        <w:rPr>
          <w:rFonts w:eastAsia="Century Gothic" w:cs="Arial"/>
          <w:i/>
        </w:rPr>
        <w:t>La pérdida de capacidad adaptativa</w:t>
      </w:r>
      <w:r w:rsidRPr="00131EED">
        <w:rPr>
          <w:rFonts w:eastAsia="Century Gothic" w:cs="Arial"/>
        </w:rPr>
        <w:t>. La Sabana de Bogotá cada vez tiene menos posibilidades de responder de manera sostenible a los cambios (crecimiento poblacional, expansión urbana, presión sobre ecosistemas, efectos del cambio climático). Esto significa que el territorio cada vez tiene menos margen para sostener simultáneamente sus funciones ambientales, sociales y urbanas frente a presiones de expansión constructiva, crecimiento demográfico y transformaciones económicas.</w:t>
      </w:r>
    </w:p>
    <w:p w14:paraId="5C792302" w14:textId="77777777" w:rsidR="00F421F8" w:rsidRPr="00131EED" w:rsidRDefault="00F421F8" w:rsidP="00F421F8">
      <w:pPr>
        <w:ind w:left="720"/>
        <w:rPr>
          <w:rFonts w:eastAsia="Century Gothic" w:cs="Arial"/>
        </w:rPr>
      </w:pPr>
    </w:p>
    <w:p w14:paraId="2E40EAAE" w14:textId="77777777" w:rsidR="00F421F8" w:rsidRPr="00131EED" w:rsidRDefault="00F421F8" w:rsidP="00F421F8">
      <w:pPr>
        <w:rPr>
          <w:rFonts w:eastAsia="Century Gothic" w:cs="Arial"/>
        </w:rPr>
      </w:pPr>
      <w:r w:rsidRPr="00131EED">
        <w:rPr>
          <w:rFonts w:eastAsia="Century Gothic" w:cs="Arial"/>
        </w:rPr>
        <w:t>Causas (raíces):</w:t>
      </w:r>
    </w:p>
    <w:p w14:paraId="0B77DEB8" w14:textId="77777777" w:rsidR="00F421F8" w:rsidRPr="00131EED" w:rsidRDefault="00F421F8" w:rsidP="00F421F8">
      <w:pPr>
        <w:pStyle w:val="ListParagraph"/>
        <w:ind w:left="0"/>
        <w:rPr>
          <w:rFonts w:eastAsia="Century Gothic" w:cs="Arial"/>
          <w:sz w:val="24"/>
          <w:szCs w:val="24"/>
        </w:rPr>
      </w:pPr>
      <w:r w:rsidRPr="00131EED">
        <w:rPr>
          <w:rFonts w:eastAsia="Century Gothic" w:cs="Arial"/>
          <w:sz w:val="24"/>
          <w:szCs w:val="24"/>
        </w:rPr>
        <w:br/>
        <w:t xml:space="preserve">Entre los factores que originan el problema se tienen: </w:t>
      </w:r>
    </w:p>
    <w:p w14:paraId="10A7F397" w14:textId="77777777" w:rsidR="00F421F8" w:rsidRPr="00131EED" w:rsidRDefault="00F421F8" w:rsidP="00F421F8">
      <w:pPr>
        <w:pStyle w:val="ListParagraph"/>
        <w:ind w:left="0"/>
        <w:rPr>
          <w:rFonts w:eastAsia="Century Gothic" w:cs="Arial"/>
        </w:rPr>
      </w:pPr>
    </w:p>
    <w:p w14:paraId="1638AAEB" w14:textId="77777777" w:rsidR="00F421F8" w:rsidRPr="00131EED" w:rsidRDefault="00F421F8" w:rsidP="00410194">
      <w:pPr>
        <w:pStyle w:val="ListParagraph"/>
        <w:numPr>
          <w:ilvl w:val="1"/>
          <w:numId w:val="30"/>
        </w:numPr>
        <w:ind w:left="720"/>
        <w:rPr>
          <w:rFonts w:eastAsia="Century Gothic" w:cs="Arial"/>
        </w:rPr>
      </w:pPr>
      <w:r w:rsidRPr="00131EED">
        <w:rPr>
          <w:rFonts w:eastAsia="Century Gothic" w:cs="Arial"/>
          <w:sz w:val="24"/>
          <w:szCs w:val="24"/>
        </w:rPr>
        <w:t>La expansión urbana y suburbanización desordenada que fragmenta ecosistemas y ocupa suelos rurales.</w:t>
      </w:r>
    </w:p>
    <w:p w14:paraId="1701C2A7" w14:textId="77777777" w:rsidR="00F421F8" w:rsidRPr="00131EED" w:rsidRDefault="00F421F8" w:rsidP="00410194">
      <w:pPr>
        <w:pStyle w:val="ListParagraph"/>
        <w:numPr>
          <w:ilvl w:val="1"/>
          <w:numId w:val="30"/>
        </w:numPr>
        <w:ind w:left="720"/>
        <w:rPr>
          <w:rFonts w:eastAsia="Century Gothic" w:cs="Arial"/>
        </w:rPr>
      </w:pPr>
      <w:r w:rsidRPr="00131EED">
        <w:rPr>
          <w:rFonts w:eastAsia="Century Gothic" w:cs="Arial"/>
          <w:sz w:val="24"/>
          <w:szCs w:val="24"/>
        </w:rPr>
        <w:t>La debilidad normativa y de control en la aplicación de límites como el Umbral Máximo de Suburbanización (UMS).</w:t>
      </w:r>
    </w:p>
    <w:p w14:paraId="39954CDF" w14:textId="77777777" w:rsidR="00F421F8" w:rsidRPr="00131EED" w:rsidRDefault="00F421F8" w:rsidP="00410194">
      <w:pPr>
        <w:pStyle w:val="ListParagraph"/>
        <w:numPr>
          <w:ilvl w:val="1"/>
          <w:numId w:val="30"/>
        </w:numPr>
        <w:ind w:left="720"/>
        <w:rPr>
          <w:rFonts w:eastAsia="Century Gothic" w:cs="Arial"/>
        </w:rPr>
      </w:pPr>
      <w:r w:rsidRPr="00131EED">
        <w:rPr>
          <w:rFonts w:eastAsia="Century Gothic" w:cs="Arial"/>
          <w:sz w:val="24"/>
          <w:szCs w:val="24"/>
        </w:rPr>
        <w:t>La sobreestimación de la demanda de suelo y vivienda en los POT y proyecciones oficiales, que incentiva habilitar más áreas urbanizables de las necesarias.</w:t>
      </w:r>
    </w:p>
    <w:p w14:paraId="2FB2D670" w14:textId="77777777" w:rsidR="00F421F8" w:rsidRPr="00131EED" w:rsidRDefault="00F421F8" w:rsidP="00410194">
      <w:pPr>
        <w:pStyle w:val="ListParagraph"/>
        <w:numPr>
          <w:ilvl w:val="1"/>
          <w:numId w:val="30"/>
        </w:numPr>
        <w:ind w:left="720"/>
        <w:rPr>
          <w:rFonts w:eastAsia="Century Gothic" w:cs="Arial"/>
        </w:rPr>
      </w:pPr>
      <w:r w:rsidRPr="00131EED">
        <w:rPr>
          <w:rFonts w:eastAsia="Century Gothic" w:cs="Arial"/>
          <w:sz w:val="24"/>
          <w:szCs w:val="24"/>
        </w:rPr>
        <w:t>La desarticulación regional entre Bogotá y los municipios, que produce competencia en vez de planificación coordinada.</w:t>
      </w:r>
    </w:p>
    <w:p w14:paraId="7AD94ED7" w14:textId="77777777" w:rsidR="00F421F8" w:rsidRPr="00131EED" w:rsidRDefault="00F421F8" w:rsidP="00F421F8">
      <w:pPr>
        <w:pStyle w:val="ListParagraph"/>
        <w:ind w:left="0"/>
        <w:rPr>
          <w:rFonts w:eastAsia="Century Gothic" w:cs="Arial"/>
          <w:sz w:val="24"/>
          <w:szCs w:val="24"/>
        </w:rPr>
      </w:pPr>
    </w:p>
    <w:p w14:paraId="7DB28B3B" w14:textId="77777777" w:rsidR="00F421F8" w:rsidRPr="00131EED" w:rsidRDefault="00F421F8" w:rsidP="00F421F8">
      <w:pPr>
        <w:pStyle w:val="ListParagraph"/>
        <w:ind w:left="0"/>
        <w:rPr>
          <w:rFonts w:eastAsia="Century Gothic" w:cs="Arial"/>
          <w:sz w:val="24"/>
          <w:szCs w:val="24"/>
        </w:rPr>
      </w:pPr>
      <w:r w:rsidRPr="00131EED">
        <w:rPr>
          <w:rFonts w:eastAsia="Century Gothic" w:cs="Arial"/>
          <w:sz w:val="24"/>
          <w:szCs w:val="24"/>
        </w:rPr>
        <w:t>Efectos (ramas):</w:t>
      </w:r>
    </w:p>
    <w:p w14:paraId="459463D3" w14:textId="77777777" w:rsidR="00F421F8" w:rsidRPr="00131EED" w:rsidRDefault="00F421F8" w:rsidP="00F421F8">
      <w:pPr>
        <w:pStyle w:val="ListParagraph"/>
        <w:ind w:left="0"/>
        <w:rPr>
          <w:rFonts w:eastAsia="Century Gothic" w:cs="Arial"/>
          <w:sz w:val="24"/>
          <w:szCs w:val="24"/>
        </w:rPr>
      </w:pPr>
      <w:r w:rsidRPr="00131EED">
        <w:rPr>
          <w:rFonts w:eastAsia="Century Gothic" w:cs="Arial"/>
          <w:sz w:val="24"/>
          <w:szCs w:val="24"/>
        </w:rPr>
        <w:br/>
        <w:t>Entre los efectos o consecuencias de mantener este problema sin resolver se encuentran:</w:t>
      </w:r>
    </w:p>
    <w:p w14:paraId="68C66633" w14:textId="77777777" w:rsidR="00F421F8" w:rsidRPr="00131EED" w:rsidRDefault="00F421F8" w:rsidP="00F421F8">
      <w:pPr>
        <w:pStyle w:val="ListParagraph"/>
        <w:ind w:left="0"/>
        <w:rPr>
          <w:rFonts w:eastAsia="Century Gothic" w:cs="Arial"/>
        </w:rPr>
      </w:pPr>
    </w:p>
    <w:p w14:paraId="1E4B967C" w14:textId="77777777" w:rsidR="00F421F8" w:rsidRPr="00131EED" w:rsidRDefault="00F421F8" w:rsidP="00410194">
      <w:pPr>
        <w:pStyle w:val="ListParagraph"/>
        <w:numPr>
          <w:ilvl w:val="1"/>
          <w:numId w:val="30"/>
        </w:numPr>
        <w:ind w:left="720"/>
        <w:rPr>
          <w:rFonts w:eastAsia="Century Gothic" w:cs="Arial"/>
        </w:rPr>
      </w:pPr>
      <w:r w:rsidRPr="00131EED">
        <w:rPr>
          <w:rFonts w:eastAsia="Century Gothic" w:cs="Arial"/>
          <w:sz w:val="24"/>
          <w:szCs w:val="24"/>
        </w:rPr>
        <w:t>Pérdida de biodiversidad y servicios ecosistémicos en la Sabana.</w:t>
      </w:r>
    </w:p>
    <w:p w14:paraId="54D8D25C" w14:textId="77777777" w:rsidR="00F421F8" w:rsidRPr="00131EED" w:rsidRDefault="00F421F8" w:rsidP="00410194">
      <w:pPr>
        <w:pStyle w:val="ListParagraph"/>
        <w:numPr>
          <w:ilvl w:val="1"/>
          <w:numId w:val="30"/>
        </w:numPr>
        <w:ind w:left="720"/>
        <w:rPr>
          <w:rFonts w:eastAsia="Century Gothic" w:cs="Arial"/>
        </w:rPr>
      </w:pPr>
      <w:r w:rsidRPr="00131EED">
        <w:rPr>
          <w:rFonts w:eastAsia="Century Gothic" w:cs="Arial"/>
          <w:sz w:val="24"/>
          <w:szCs w:val="24"/>
        </w:rPr>
        <w:t>Mayor vulnerabilidad frente al cambio climático, ya que se reduce la capacidad de los ecosistemas para regular agua, temperatura y calidad del aire.</w:t>
      </w:r>
    </w:p>
    <w:p w14:paraId="1D0AFFEC" w14:textId="77777777" w:rsidR="00F421F8" w:rsidRPr="00131EED" w:rsidRDefault="00F421F8" w:rsidP="00410194">
      <w:pPr>
        <w:pStyle w:val="ListParagraph"/>
        <w:numPr>
          <w:ilvl w:val="1"/>
          <w:numId w:val="30"/>
        </w:numPr>
        <w:ind w:left="720"/>
        <w:rPr>
          <w:rFonts w:eastAsia="Century Gothic" w:cs="Arial"/>
        </w:rPr>
      </w:pPr>
      <w:r w:rsidRPr="00131EED">
        <w:rPr>
          <w:rFonts w:eastAsia="Century Gothic" w:cs="Arial"/>
          <w:sz w:val="24"/>
          <w:szCs w:val="24"/>
        </w:rPr>
        <w:t>Desigualdad social y territorial, porque el modelo expansivo genera vivienda dispersa con servicios incompletos, mientras persiste el déficit en sectores vulnerables.</w:t>
      </w:r>
    </w:p>
    <w:p w14:paraId="4A08B4CF" w14:textId="77777777" w:rsidR="00F421F8" w:rsidRPr="00131EED" w:rsidRDefault="00F421F8" w:rsidP="00410194">
      <w:pPr>
        <w:pStyle w:val="ListParagraph"/>
        <w:numPr>
          <w:ilvl w:val="1"/>
          <w:numId w:val="30"/>
        </w:numPr>
        <w:ind w:left="720"/>
        <w:rPr>
          <w:rFonts w:eastAsia="Century Gothic" w:cs="Arial"/>
          <w:sz w:val="24"/>
          <w:szCs w:val="24"/>
        </w:rPr>
      </w:pPr>
      <w:r w:rsidRPr="00131EED">
        <w:rPr>
          <w:rFonts w:eastAsia="Century Gothic" w:cs="Arial"/>
          <w:sz w:val="24"/>
          <w:szCs w:val="24"/>
        </w:rPr>
        <w:t>Conflictos entre actores (ambientales, económicos, sociales y políticos), porque los intereses de conservación y urbanización entran en choque.</w:t>
      </w:r>
    </w:p>
    <w:p w14:paraId="4B0D4C41" w14:textId="77777777" w:rsidR="00F421F8" w:rsidRPr="00131EED" w:rsidRDefault="00F421F8" w:rsidP="00F421F8">
      <w:pPr>
        <w:pStyle w:val="ListParagraph"/>
        <w:ind w:left="0"/>
        <w:rPr>
          <w:rFonts w:eastAsia="Century Gothic" w:cs="Arial"/>
          <w:sz w:val="24"/>
          <w:szCs w:val="24"/>
        </w:rPr>
      </w:pPr>
    </w:p>
    <w:p w14:paraId="58333865" w14:textId="77777777" w:rsidR="00F421F8" w:rsidRPr="00131EED" w:rsidRDefault="00F421F8" w:rsidP="00F421F8">
      <w:pPr>
        <w:pStyle w:val="ListParagraph"/>
        <w:ind w:left="0"/>
        <w:rPr>
          <w:rFonts w:eastAsia="Century Gothic" w:cs="Arial"/>
          <w:sz w:val="24"/>
          <w:szCs w:val="24"/>
        </w:rPr>
      </w:pPr>
      <w:r w:rsidRPr="00131EED">
        <w:rPr>
          <w:rFonts w:eastAsia="Century Gothic" w:cs="Arial"/>
          <w:sz w:val="24"/>
          <w:szCs w:val="24"/>
        </w:rPr>
        <w:t>En términos prácticos, el árbol plantea que la pérdida de capacidad adaptativa no es un hecho aislado, sino el resultado de causas estructurales (uso inadecuado del suelo, planeación fragmentada, presión inmobiliaria) y que deriva en efectos que ponen en riesgo la sostenibilidad regional.</w:t>
      </w:r>
    </w:p>
    <w:p w14:paraId="40077247" w14:textId="77777777" w:rsidR="00F421F8" w:rsidRPr="00131EED" w:rsidRDefault="00F421F8" w:rsidP="00F421F8">
      <w:pPr>
        <w:spacing w:before="100" w:beforeAutospacing="1" w:after="100" w:afterAutospacing="1"/>
        <w:rPr>
          <w:rFonts w:eastAsia="Century Gothic" w:cs="Arial"/>
        </w:rPr>
      </w:pPr>
      <w:r w:rsidRPr="00131EED">
        <w:rPr>
          <w:rFonts w:eastAsia="Century Gothic" w:cs="Arial"/>
          <w:lang w:eastAsia="en-US"/>
        </w:rPr>
        <w:t>Esto se evidencia en las raíces del problema (expansión desordenada, normativa laxa, sobreestimaciones y mercado desarticulado) y que han sido documentadas en cifras de licenciamiento, proyecciones poblacionales y huella construida a lo largo de este capítulo.</w:t>
      </w:r>
    </w:p>
    <w:p w14:paraId="78B7E3BC" w14:textId="77777777" w:rsidR="00F421F8" w:rsidRPr="00131EED" w:rsidRDefault="00F421F8" w:rsidP="00F421F8">
      <w:pPr>
        <w:spacing w:before="100" w:beforeAutospacing="1" w:after="100" w:afterAutospacing="1"/>
        <w:rPr>
          <w:rFonts w:eastAsia="Century Gothic" w:cs="Arial"/>
        </w:rPr>
      </w:pPr>
      <w:r w:rsidRPr="00131EED">
        <w:rPr>
          <w:rFonts w:eastAsia="Century Gothic" w:cs="Arial"/>
          <w:lang w:eastAsia="en-US"/>
        </w:rPr>
        <w:t>Los efectos de la pérdida de biodiversidad también se reflejan en las cifras derivadas de los estudios presentados (35% de huella construida fuera de cabeceras), desigualdad en vivienda (solo 22,5% de VIS en suelo habilitado), y desequilibrio demográfico (Bogotá pierde población mientras los municipios se sobrecargan).</w:t>
      </w:r>
    </w:p>
    <w:p w14:paraId="41A88A40" w14:textId="77777777" w:rsidR="00F421F8" w:rsidRPr="00131EED" w:rsidRDefault="00F421F8" w:rsidP="00F421F8">
      <w:pPr>
        <w:spacing w:before="100" w:beforeAutospacing="1" w:after="100" w:afterAutospacing="1"/>
        <w:rPr>
          <w:rFonts w:eastAsia="Century Gothic" w:cs="Arial"/>
          <w:lang w:eastAsia="en-US"/>
        </w:rPr>
      </w:pPr>
      <w:r w:rsidRPr="00131EED">
        <w:rPr>
          <w:rFonts w:eastAsia="Century Gothic" w:cs="Arial"/>
          <w:lang w:eastAsia="en-US"/>
        </w:rPr>
        <w:t>Dados estos elementos, la pérdida de capacidad adaptativa no es un concepto abstracto, sino el resultado concreto de cómo se están gestionando los suelos de la Sabana de Bogotá, fenómeno que se ha caracterizado a lo largo del presente capitulo y que se sintetiza mediante este árbol de problemas propuesto.</w:t>
      </w:r>
    </w:p>
    <w:p w14:paraId="79CC82E7" w14:textId="77777777" w:rsidR="00F421F8" w:rsidRPr="00131EED" w:rsidRDefault="00F421F8" w:rsidP="00410194">
      <w:pPr>
        <w:pStyle w:val="Heading4"/>
        <w:numPr>
          <w:ilvl w:val="3"/>
          <w:numId w:val="31"/>
        </w:numPr>
      </w:pPr>
      <w:bookmarkStart w:id="319" w:name="_Toc216468734"/>
      <w:r w:rsidRPr="00131EED">
        <w:t>Discusión sobre el crecimiento constructivo y demográfico en la Sabana de Bogotá</w:t>
      </w:r>
      <w:bookmarkEnd w:id="319"/>
    </w:p>
    <w:p w14:paraId="35C6C6F6" w14:textId="77777777" w:rsidR="00F421F8" w:rsidRPr="00131EED" w:rsidRDefault="00F421F8" w:rsidP="00F421F8">
      <w:r w:rsidRPr="00131EED">
        <w:br/>
        <w:t>Como se ha resaltado a lo largo de este capítulo, el análisis del crecimiento constructivo y demográfico en la Sabana de Bogotá ha sido objeto de múltiples que reflejan tanto la complejidad del territorio como las tensiones derivadas de la presión urbana sobre suelos rurales. A partir de los distintos aportes de entidades públicas, académicos, métodos de proyección y observatorios especializados, se puede evidenciar que la región se encuentra en un punto de inflexión donde confluyen dinámicas de expansión acelerada, procesos de suburbanización y retos en materia de sostenibilidad y planificación.</w:t>
      </w:r>
    </w:p>
    <w:p w14:paraId="25CBACB3" w14:textId="77777777" w:rsidR="00F421F8" w:rsidRPr="00131EED" w:rsidRDefault="00F421F8" w:rsidP="00F421F8">
      <w:r w:rsidRPr="00131EED">
        <w:br/>
        <w:t>Esto se refleja en el diagnóstico elaborado por IDOM y la Secretaría Distrital de Hábitat (SDH), los cuales resaltan cómo la huella de ocupación por fuera de las cabeceras municipales supera con creces la ocupación en las áreas urbanas tradicionales. Casos como Cota, Tabio, La Calera y Tenjo muestran que el tejido construido en suelo rural y suburbano es entre ocho y doce veces mayor que dentro de las cabeceras. Esto evidencia una presión creciente sobre los suelos no urbanos que contrasta con las intenciones de contención establecidas en los POT.</w:t>
      </w:r>
    </w:p>
    <w:p w14:paraId="11AD26FF" w14:textId="77777777" w:rsidR="00F421F8" w:rsidRPr="00131EED" w:rsidRDefault="00F421F8" w:rsidP="00F421F8">
      <w:r w:rsidRPr="00131EED">
        <w:br/>
        <w:t>En sintonía, el análisis de Romero Mejía (2020) describe la Sabana como un “mosaico territorial antropizado”, donde los suelos agrícolas han perdido valor y funcionalidad frente al avance de urbanizaciones dispersas, análisis que enfatiza que el suelo rural ha pasado de ser concebido como parte del sistema ambiental a convertirse en un espacio expectante para la urbanización, lo que genera una interpenetración de asentamientos en el suelo rural de los entes territoriales que erosiona la capacidad de resiliencia ecológica.</w:t>
      </w:r>
    </w:p>
    <w:p w14:paraId="3ABDC18E" w14:textId="77777777" w:rsidR="00F421F8" w:rsidRPr="00131EED" w:rsidRDefault="00F421F8" w:rsidP="00F421F8">
      <w:r w:rsidRPr="00131EED">
        <w:br/>
        <w:t>Por su parte, mediante los métodos de estimación de GHSL Data Package (2013) y los datos recientes de Building Footprint (2025) confirman la magnitud del crecimiento constructivo de manera convergente. Municipios como Madrid, Soacha, Chía y Facatativá se consolidan como los principales focos de expansión edificatoria en la Sabana, sumando más de 20.000 hectáreas de huella construida. De ellas, un 35% corresponde a áreas rurales por fuera de centros poblados, lo que implica un patrón de suburbanización que dispersa el uso del suelo y genera retos en provisión de servicios, movilidad y sostenibilidad. Aunque existe cierta tendencia a la reducción en la tasa de crecimiento del área construida, ambos estudios conducen a dimensionar la urgencia de fortalecer estrategias de densificación urbana que eviten la expansión descontrolada.</w:t>
      </w:r>
    </w:p>
    <w:p w14:paraId="510BA82A" w14:textId="77777777" w:rsidR="00D9551A" w:rsidRPr="00131EED" w:rsidRDefault="00D9551A" w:rsidP="00F421F8"/>
    <w:p w14:paraId="74B88AC6" w14:textId="5B5C03E8" w:rsidR="00D9551A" w:rsidRPr="00131EED" w:rsidRDefault="006B4BB4" w:rsidP="00D9551A">
      <w:r w:rsidRPr="00131EED">
        <w:t xml:space="preserve">Lo anterior, teniendo en cuenta que </w:t>
      </w:r>
      <w:r w:rsidR="006B6D95" w:rsidRPr="00131EED">
        <w:t xml:space="preserve">entes territoriales tales como, </w:t>
      </w:r>
      <w:r w:rsidR="00D9551A" w:rsidRPr="00131EED">
        <w:t>Bogotá, D.C., Madrid, Soacha, Chía y Facatativá, son los que mayor área construida presentan en la Sabana de Bogotá, por lo que son en estos municipios, donde se recomienda una mayor atención en continuar y fortalecer estrategias que permitan el desarrollo de modelos de ocupación del territorio orientados al desarrollo sostenible, equilibrado e implementado alrededor del agua.</w:t>
      </w:r>
    </w:p>
    <w:p w14:paraId="66B0D553" w14:textId="77777777" w:rsidR="00D9551A" w:rsidRPr="00131EED" w:rsidRDefault="00D9551A" w:rsidP="00D9551A"/>
    <w:p w14:paraId="28F4B3AF" w14:textId="6F3DDAA8" w:rsidR="00D9551A" w:rsidRPr="00131EED" w:rsidRDefault="006B6D95" w:rsidP="00D9551A">
      <w:r w:rsidRPr="00131EED">
        <w:t>Ambos estudios indican también, que v</w:t>
      </w:r>
      <w:r w:rsidR="00D9551A" w:rsidRPr="00131EED">
        <w:t>arias de las zonas de mayor crecimiento suelen reflejar relaciones funcionales y espaciales entre más de un ente territorial, por lo que se recomienda continuar profundizando en instrumentos de ordenamiento y planeación territorial que aborden una mirada prospectiva regional mediante modelos de ocupación que aporten al fortalecimiento de formas asociativas territoriales a la par en permitan el aumento de capacidades adaptativas entorno al cambio climático, sostenibilidad y económica, gobernanza, recuperación y conservación de la biodiversidad y su integridad ecológica en condiciones de mayor justicia ambiental.</w:t>
      </w:r>
    </w:p>
    <w:p w14:paraId="3ED1B7A0" w14:textId="77777777" w:rsidR="00D9551A" w:rsidRPr="00131EED" w:rsidRDefault="00D9551A" w:rsidP="00D9551A"/>
    <w:p w14:paraId="5CFCD1E6" w14:textId="4E9E14F1" w:rsidR="00D9551A" w:rsidRPr="00131EED" w:rsidRDefault="00D9551A" w:rsidP="00D9551A">
      <w:r w:rsidRPr="00131EED">
        <w:t>Si bien hay una tendencia a la reducción de la tasa de crecimiento del área construida en la Sabana, es importante continuar monitoreando e incentivando la densificación del suelo urbano, con el propósito de seguir frenando la expansión planimétrica del límite de la ciudad hacia los demás usos del suelo.</w:t>
      </w:r>
    </w:p>
    <w:p w14:paraId="1CB731EA" w14:textId="77777777" w:rsidR="00F421F8" w:rsidRPr="00131EED" w:rsidRDefault="00F421F8" w:rsidP="00F421F8">
      <w:r w:rsidRPr="00131EED">
        <w:br/>
        <w:t>Este crecimiento constructivo se contrasta con las tendencias demográficas para la Sabana de Bogotá que refuerzan estas conclusiones. El análisis de la Sociedad de Mejoras y Ornato de Bogotá (SMOB, 2025) plantea que el motor principal del crecimiento en la Sabana no será el crecimiento vegetativo, sino la migración interna desde Bogotá hacia los municipios periféricos. Según sus proyecciones, mientras la capital perdería población neta hacia 2035, los municipios de la Sabana absorberían entre 500.000 y 600.000 nuevos habitantes. Esto no solo representa un cambio en el peso relativo de Bogotá frente a la región, sino también una transformación en la composición de los hogares, con un aumento de hogares unipersonales y nucleares pequeños.</w:t>
      </w:r>
    </w:p>
    <w:p w14:paraId="3B02A2DE" w14:textId="77777777" w:rsidR="00F421F8" w:rsidRPr="00131EED" w:rsidRDefault="00F421F8" w:rsidP="00F421F8">
      <w:r w:rsidRPr="00131EED">
        <w:br/>
        <w:t xml:space="preserve">Las cifras del DANE (2024) confirman esta tendencia. Bogotá pasará de 7,9 millones de habitantes en 2024 a 7,8 millones en 2035, una disminución del 1,6%. En contraste, los municipios de la Sabana crecerán un 28,7% en el mismo periodo, pasando de 2,4 a 3,1 millones de habitantes. En total, la región superará los 10,9 millones de personas en 2035. </w:t>
      </w:r>
    </w:p>
    <w:p w14:paraId="6F2EF5B6" w14:textId="77777777" w:rsidR="00F421F8" w:rsidRPr="00131EED" w:rsidRDefault="00F421F8" w:rsidP="00F421F8"/>
    <w:p w14:paraId="779549DD" w14:textId="77777777" w:rsidR="00F421F8" w:rsidRPr="00131EED" w:rsidRDefault="00F421F8" w:rsidP="00F421F8">
      <w:r w:rsidRPr="00131EED">
        <w:t>En términos de hogares, el salto es aún más significativo: de 3,9 millones en 2024 a más de 5,1 millones en 2035, impulsado por la reducción del tamaño promedio de los hogares de 2,62 a 2,11 personas.</w:t>
      </w:r>
    </w:p>
    <w:p w14:paraId="353FA224" w14:textId="77777777" w:rsidR="00F421F8" w:rsidRPr="00131EED" w:rsidRDefault="00F421F8" w:rsidP="00F421F8">
      <w:r w:rsidRPr="00131EED">
        <w:br/>
        <w:t>Este desbalance poblacional y constructivo genera un efecto de “expulsión” y “absorción” territorial: Bogotá se densifica y frena su crecimiento planimétrico, mientras los municipios circundantes experimentan un boom inmobiliario y demográfico que transforma su estructura socioespacial. Se configura, así, una región policéntrica con tensiones entre urbanización acelerada y la capacidad de los ecosistemas para sostenerla.</w:t>
      </w:r>
    </w:p>
    <w:p w14:paraId="653C067C" w14:textId="77777777" w:rsidR="00F421F8" w:rsidRPr="00131EED" w:rsidRDefault="00F421F8" w:rsidP="00F421F8">
      <w:r w:rsidRPr="00131EED">
        <w:br/>
        <w:t>Desde ambas miradas (la constructiva y la demográfica), la discusión sobre la disponibilidad de suelo muestra visiones divergentes entre las proyecciones poblacionales y la oferta normativa. El POT de Bogotá (Decreto 555 de 2021) estimaba un crecimiento poblacional superior al que finalmente proyectó el DANE en 2024, lo que ha generado sobreestimaciones en las necesidades de vivienda. Mientras el POT proyectaba 8,7 millones de personas en 2035, las cifras más recientes corrigen esta estimación a 7,8 millones, una diferencia de más de 900.000 habitantes. Esta discrepancia afecta la planeación de suelo urbanizable y las metas de producción habitacional.</w:t>
      </w:r>
    </w:p>
    <w:p w14:paraId="4AD1A0DB" w14:textId="77777777" w:rsidR="00F421F8" w:rsidRPr="00131EED" w:rsidRDefault="00F421F8" w:rsidP="00F421F8">
      <w:r w:rsidRPr="00131EED">
        <w:br/>
        <w:t>A nivel regional, el Observatorio de Hábitat de Bogotá (2020) identificó un potencial de más de 24.000 hectáreas de suelo urbanizable en los municipios de la Sabana, con capacidad para producir más de 1,1 millones de viviendas. Esto significa que, en términos de suelo, la región tiene suficiente capacidad para absorber la demanda proyectada hasta 2035 sin necesidad de ampliar perímetros urbanos o suburbanos. Sin embargo, el desafío está en orientar este suelo hacia modelos sostenibles que prioricen la vivienda de interés social (VIS y VIP), dado que actualmente la mayor proporción del suelo habilitado se destina a segmentos No VIS con densidades más bajas.</w:t>
      </w:r>
    </w:p>
    <w:p w14:paraId="6714DB48" w14:textId="77777777" w:rsidR="00F421F8" w:rsidRPr="00131EED" w:rsidRDefault="00F421F8" w:rsidP="00F421F8">
      <w:r w:rsidRPr="00131EED">
        <w:br/>
        <w:t>El análisis del licenciamiento de vivienda entre 2005 y 2018 muestra que, aunque se licenciaron más de 765.000 viviendas en la región, una gran proporción quedó concentrada en Bogotá y Soacha. Al mismo tiempo, el fenómeno de la vivienda desocupada plantea interrogantes sobre la eficacia de los mercados inmobiliarios para responder a las necesidades reales de los hogares en déficit. En municipios como Zipaquirá o Restrepo, el stock de vivienda vacía supera en varias veces el déficit cuantitativo, lo que sugiere desajustes entre oferta y demanda.</w:t>
      </w:r>
    </w:p>
    <w:p w14:paraId="262D3E50" w14:textId="77777777" w:rsidR="00F421F8" w:rsidRPr="00131EED" w:rsidRDefault="00F421F8" w:rsidP="00F421F8">
      <w:pPr>
        <w:rPr>
          <w:lang w:eastAsia="en-US"/>
        </w:rPr>
      </w:pPr>
    </w:p>
    <w:p w14:paraId="30BC3EC8" w14:textId="77777777" w:rsidR="00F421F8" w:rsidRPr="00131EED" w:rsidRDefault="00F421F8" w:rsidP="00F421F8">
      <w:pPr>
        <w:rPr>
          <w:lang w:eastAsia="en-US"/>
        </w:rPr>
      </w:pPr>
      <w:r w:rsidRPr="00131EED">
        <w:rPr>
          <w:lang w:eastAsia="en-US"/>
        </w:rPr>
        <w:t>En conclusión, el análisis presentado sobre el crecimiento constructivo y demográfico de la Sabana de Bogotá muestra una tensión entre tres dimensiones: la presión inmobiliaria que expande la huella construida sobre suelos rurales, la dinámica demográfica que desplaza población desde Bogotá hacia los municipios vecinos, y la planificación normativa que, a pesar de contar con suficiente suelo urbanizable, enfrenta dificultades para articular una ocupación ordenada y equitativa.</w:t>
      </w:r>
    </w:p>
    <w:p w14:paraId="40C14F94" w14:textId="77777777" w:rsidR="00F421F8" w:rsidRPr="00131EED" w:rsidRDefault="00F421F8" w:rsidP="00F421F8">
      <w:pPr>
        <w:rPr>
          <w:lang w:eastAsia="en-US"/>
        </w:rPr>
      </w:pPr>
    </w:p>
    <w:p w14:paraId="5316C133" w14:textId="77777777" w:rsidR="00F421F8" w:rsidRPr="00131EED" w:rsidRDefault="00F421F8" w:rsidP="00F421F8">
      <w:pPr>
        <w:rPr>
          <w:lang w:eastAsia="en-US"/>
        </w:rPr>
      </w:pPr>
      <w:r w:rsidRPr="00131EED">
        <w:rPr>
          <w:lang w:eastAsia="en-US"/>
        </w:rPr>
        <w:t>Los distintos estudios y autores desarrollados en este capítulo coinciden en amplios patrones de crecimiento urbano que implican un deterioro ambiental de la Sabana, los cuales, en principio, no deben seguir basándose en la expansión horizontal ni en la concepción del suelo rural como mera reserva para urbanizar. Por el contrario, se requieren de directrices que apunten a cohesionar una visión de Sabana que proponga una densificación compacta, la gestión integral del suelo y mecanismos de gobernanza regional que reconozcan la interdependencia funcional entre Bogotá y los municipios de la Sabana., de tal manera en que se logre garantizar que el crecimiento prospectivo de la Sabana de Bogotá no comprometa la integridad ecológica ni profundice las inequidades socioespaciales del territorio.</w:t>
      </w:r>
    </w:p>
    <w:p w14:paraId="034AE5F5" w14:textId="77777777" w:rsidR="00F421F8" w:rsidRPr="00131EED" w:rsidRDefault="00F421F8" w:rsidP="00F421F8">
      <w:pPr>
        <w:autoSpaceDE w:val="0"/>
        <w:autoSpaceDN w:val="0"/>
        <w:adjustRightInd w:val="0"/>
        <w:rPr>
          <w:rFonts w:ascii="Baskerville" w:hAnsi="Baskerville" w:cs="Arial"/>
        </w:rPr>
      </w:pPr>
    </w:p>
    <w:p w14:paraId="6B648A78" w14:textId="77777777" w:rsidR="00F421F8" w:rsidRPr="00131EED" w:rsidRDefault="00F421F8" w:rsidP="00410194">
      <w:pPr>
        <w:pStyle w:val="Heading2"/>
        <w:keepNext w:val="0"/>
        <w:keepLines w:val="0"/>
        <w:numPr>
          <w:ilvl w:val="1"/>
          <w:numId w:val="31"/>
        </w:numPr>
        <w:spacing w:before="0" w:line="240" w:lineRule="auto"/>
      </w:pPr>
      <w:bookmarkStart w:id="320" w:name="_Toc216468735"/>
      <w:r w:rsidRPr="00131EED">
        <w:t>Mitigación y Adaptación al Cambio Climático</w:t>
      </w:r>
      <w:bookmarkEnd w:id="320"/>
      <w:r w:rsidRPr="00131EED">
        <w:t xml:space="preserve"> </w:t>
      </w:r>
    </w:p>
    <w:p w14:paraId="0B210CB8" w14:textId="77777777" w:rsidR="00F421F8" w:rsidRPr="00131EED" w:rsidRDefault="00F421F8" w:rsidP="00F421F8">
      <w:pPr>
        <w:rPr>
          <w:lang w:eastAsia="en-US"/>
        </w:rPr>
      </w:pPr>
    </w:p>
    <w:p w14:paraId="0DF1A146" w14:textId="77777777" w:rsidR="00F421F8" w:rsidRPr="00131EED" w:rsidRDefault="00F421F8" w:rsidP="00410194">
      <w:pPr>
        <w:pStyle w:val="Heading3"/>
        <w:keepNext w:val="0"/>
        <w:keepLines w:val="0"/>
        <w:numPr>
          <w:ilvl w:val="2"/>
          <w:numId w:val="31"/>
        </w:numPr>
        <w:spacing w:before="0" w:line="240" w:lineRule="auto"/>
      </w:pPr>
      <w:bookmarkStart w:id="321" w:name="_Toc216468736"/>
      <w:r w:rsidRPr="00131EED">
        <w:t>La Sabana de Bogotá, las áreas de amenazas de origen natural y la adaptación al cambio climático</w:t>
      </w:r>
      <w:bookmarkEnd w:id="321"/>
      <w:r w:rsidRPr="00131EED">
        <w:t xml:space="preserve"> </w:t>
      </w:r>
    </w:p>
    <w:p w14:paraId="09C4B746" w14:textId="77777777" w:rsidR="00F421F8" w:rsidRPr="00131EED" w:rsidRDefault="00F421F8" w:rsidP="00F421F8">
      <w:pPr>
        <w:rPr>
          <w:rFonts w:ascii="Baskerville" w:eastAsia="Century Gothic" w:hAnsi="Baskerville" w:cs="Arial"/>
        </w:rPr>
      </w:pPr>
    </w:p>
    <w:p w14:paraId="5AB7BEC9" w14:textId="77777777" w:rsidR="00F421F8" w:rsidRPr="00131EED" w:rsidRDefault="00F421F8" w:rsidP="00F421F8">
      <w:pPr>
        <w:rPr>
          <w:rFonts w:eastAsia="Baskerville Old Face" w:cs="Baskerville Old Face"/>
        </w:rPr>
      </w:pPr>
      <w:r w:rsidRPr="00131EED">
        <w:rPr>
          <w:rFonts w:eastAsia="Baskerville Old Face" w:cs="Baskerville Old Face"/>
        </w:rPr>
        <w:t>En la Sabana de Bogotá se presentan un conjunto de riesgos que pueden llegar a afectar a la población, los bienes y la infraestructura existente en el territorio, entre los cuales se pueden mencionar las inundaciones, los deslizamientos, los eventos sísmicos, las aglomeraciones de público, los riesgos tecnológicos, y por supuesto, aquellos derivados de los efectos del cambio climático, entre otros. Al adoptar una visión comprensiva de la gestión del riesgo, se revela que los perjuicios sufridos en términos de bienes, infraestructura y medios de subsistencia no son simplemente eventos naturales, sino más bien consecuencias derivadas de modelos de desarrollo desacertados que pasan por alto la interacción entre la sociedad y el entorno natural (Banco Mundial, 2012).</w:t>
      </w:r>
    </w:p>
    <w:p w14:paraId="561F145D" w14:textId="77777777" w:rsidR="00F421F8" w:rsidRPr="00131EED" w:rsidRDefault="00F421F8" w:rsidP="00F421F8">
      <w:pPr>
        <w:rPr>
          <w:rFonts w:eastAsia="Baskerville Old Face" w:cs="Baskerville Old Face"/>
        </w:rPr>
      </w:pPr>
    </w:p>
    <w:p w14:paraId="015D0A7B" w14:textId="77777777" w:rsidR="00F421F8" w:rsidRPr="00131EED" w:rsidRDefault="00F421F8" w:rsidP="00F421F8">
      <w:pPr>
        <w:rPr>
          <w:rFonts w:eastAsia="Baskerville Old Face" w:cs="Baskerville Old Face"/>
        </w:rPr>
      </w:pPr>
      <w:r w:rsidRPr="00131EED">
        <w:rPr>
          <w:rFonts w:eastAsia="Baskerville Old Face" w:cs="Baskerville Old Face"/>
        </w:rPr>
        <w:t xml:space="preserve">En la Región Sabana el crecimiento de la población y de los bienes localizados en áreas expuestas a fenómenos hidrometeorológicos son factores determinantes en el aumento del riesgo. Las deficiencias en el conocimiento y en la incorporación de los condicionamientos ambientales y de riesgo en los procesos de planificación territorial, así como la falta de capacidad para cubrir las necesidades de vivienda, generan el aumento de los asentamientos en zonas no aptas y con infraestructura deficitaria. </w:t>
      </w:r>
    </w:p>
    <w:p w14:paraId="6967CA3A" w14:textId="77777777" w:rsidR="00F421F8" w:rsidRPr="00131EED" w:rsidRDefault="00F421F8" w:rsidP="00F421F8">
      <w:pPr>
        <w:rPr>
          <w:rFonts w:eastAsia="Baskerville Old Face" w:cs="Baskerville Old Face"/>
        </w:rPr>
      </w:pPr>
    </w:p>
    <w:p w14:paraId="4DC60017" w14:textId="77777777" w:rsidR="00F421F8" w:rsidRPr="00131EED" w:rsidRDefault="00F421F8" w:rsidP="00F421F8">
      <w:pPr>
        <w:rPr>
          <w:rFonts w:eastAsia="Baskerville Old Face" w:cs="Baskerville Old Face"/>
        </w:rPr>
      </w:pPr>
      <w:r w:rsidRPr="00131EED">
        <w:rPr>
          <w:rFonts w:eastAsia="Baskerville Old Face" w:cs="Baskerville Old Face"/>
        </w:rPr>
        <w:t>La susceptibilidad de un área a sufrir daños o pérdidas tanto en términos humanos como en sus sistemas físicos, sociales, económicos y de soporte, debido a eventos físicos peligrosos, ya sea relacionados con cambios climáticos o no, constituye su vulnerabilidad. Esta vulnerabilidad se caracteriza mediante el análisis de la sensibilidad, exposición y capacidad de adaptación. Estas variables son cambiantes tanto en el tiempo como en el espacio, y están influenciadas por una serie de factores como culturales, demográficos, económicos, educativos, institucionales, de salud, ambientales y de uso del suelo, entre otros.</w:t>
      </w:r>
    </w:p>
    <w:p w14:paraId="3FFE62AC" w14:textId="77777777" w:rsidR="00F421F8" w:rsidRPr="00131EED" w:rsidRDefault="00F421F8" w:rsidP="00F421F8">
      <w:pPr>
        <w:rPr>
          <w:rFonts w:eastAsia="Baskerville Old Face" w:cs="Baskerville Old Face"/>
        </w:rPr>
      </w:pPr>
    </w:p>
    <w:p w14:paraId="1D1C450A" w14:textId="77777777" w:rsidR="00F421F8" w:rsidRPr="00131EED" w:rsidRDefault="00F421F8" w:rsidP="00F421F8">
      <w:pPr>
        <w:rPr>
          <w:rFonts w:eastAsia="Baskerville Old Face" w:cs="Baskerville Old Face"/>
        </w:rPr>
      </w:pPr>
      <w:r w:rsidRPr="00131EED">
        <w:rPr>
          <w:rFonts w:eastAsia="Baskerville Old Face" w:cs="Baskerville Old Face"/>
        </w:rPr>
        <w:t>Es importante destacar que la vulnerabilidad de un territorio al cambio climático no se limita únicamente a los patrones previstos de precipitación y temperatura. Otros factores antropogénicos, como la expansión de la frontera agrícola, la urbanización y la modificación de los ecosistemas naturales, también contribuyen a aumentar el riesgo de desastres en situaciones de eventos climáticos extremos, como inundaciones, avalanchas, deslizamientos e incendios forestales, lo cual pone en peligro a la sociedad.</w:t>
      </w:r>
    </w:p>
    <w:p w14:paraId="60916154" w14:textId="77777777" w:rsidR="00F421F8" w:rsidRPr="00131EED" w:rsidRDefault="00F421F8" w:rsidP="00F421F8">
      <w:pPr>
        <w:rPr>
          <w:rFonts w:eastAsia="Baskerville Old Face" w:cs="Baskerville Old Face"/>
        </w:rPr>
      </w:pPr>
    </w:p>
    <w:p w14:paraId="444FC568" w14:textId="43F6E948" w:rsidR="00F421F8" w:rsidRPr="00131EED" w:rsidRDefault="00F421F8" w:rsidP="00F421F8">
      <w:pPr>
        <w:rPr>
          <w:rFonts w:eastAsia="Baskerville Old Face" w:cs="Baskerville Old Face"/>
        </w:rPr>
      </w:pPr>
      <w:r w:rsidRPr="00131EED">
        <w:rPr>
          <w:rFonts w:eastAsia="Baskerville Old Face" w:cs="Baskerville Old Face"/>
        </w:rPr>
        <w:t xml:space="preserve">El análisis de vulnerabilidad y riesgos por cambio climático (IDEAM, 2017) muestra a Bogotá D.C., Cota, Cajicá, Funza, Tocancipá, Cucunubá, Mosquera, Madrid, El Rosal y Chía con valores de riesgo Muy alto y Alto por cambio climático; lo anterior indica la alta vulnerabilidad asociada a temas como agua, biodiversidad, seguridad alimentaria y salud (ver </w:t>
      </w:r>
    </w:p>
    <w:p w14:paraId="43550438" w14:textId="77777777" w:rsidR="00F421F8" w:rsidRPr="00131EED" w:rsidRDefault="00F421F8" w:rsidP="00F421F8">
      <w:pPr>
        <w:rPr>
          <w:rFonts w:ascii="Baskerville" w:eastAsia="Century Gothic" w:hAnsi="Baskerville" w:cs="Arial"/>
        </w:rPr>
      </w:pPr>
    </w:p>
    <w:p w14:paraId="2F8F9F3A" w14:textId="0BCF34E9" w:rsidR="00F421F8" w:rsidRPr="00131EED" w:rsidRDefault="00F421F8" w:rsidP="00F421F8">
      <w:pPr>
        <w:rPr>
          <w:rFonts w:eastAsia="Century Gothic" w:cs="Arial"/>
        </w:rPr>
      </w:pPr>
      <w:bookmarkStart w:id="322" w:name="_Ref210848749"/>
      <w:r w:rsidRPr="00131EED">
        <w:rPr>
          <w:rFonts w:eastAsia="Century Gothic" w:cs="Arial"/>
        </w:rPr>
        <w:t xml:space="preserve">Los análisis para la cuenca del río Bogotá, dieron como resultado que bajo los escenarios proyectados SSP2 4.5 y SSP 7.32 la temperatura media aumentaría en toda la cuenca alta, media y baja del río Bogotá, teniendo temperaturas de 1,5° a 2°C más alta hacia el año 2040, y de 2° a 4,2°C hacia finales de siglo, en comparación a la que se ha tenido en el periodo 1991-2020 (PGAR. CAR, 2024), como se observa en la </w:t>
      </w:r>
      <w:r w:rsidR="00F81FE8" w:rsidRPr="00131EED">
        <w:rPr>
          <w:rFonts w:eastAsia="Century Gothic" w:cs="Arial"/>
        </w:rPr>
        <w:fldChar w:fldCharType="begin"/>
      </w:r>
      <w:r w:rsidR="00F81FE8" w:rsidRPr="00131EED">
        <w:rPr>
          <w:rFonts w:eastAsia="Century Gothic" w:cs="Arial"/>
        </w:rPr>
        <w:instrText xml:space="preserve"> REF _Ref211337321 \h </w:instrText>
      </w:r>
      <w:r w:rsidR="00F81FE8" w:rsidRPr="00131EED">
        <w:rPr>
          <w:rFonts w:eastAsia="Century Gothic" w:cs="Arial"/>
        </w:rPr>
      </w:r>
      <w:r w:rsidR="00F81FE8" w:rsidRPr="00131EED">
        <w:rPr>
          <w:rFonts w:eastAsia="Century Gothic" w:cs="Arial"/>
        </w:rPr>
        <w:fldChar w:fldCharType="separate"/>
      </w:r>
      <w:r w:rsidR="00CE096F" w:rsidRPr="00131EED">
        <w:t xml:space="preserve">Ilustración </w:t>
      </w:r>
      <w:r w:rsidR="00CE096F">
        <w:rPr>
          <w:noProof/>
        </w:rPr>
        <w:t>90</w:t>
      </w:r>
      <w:r w:rsidR="00F81FE8" w:rsidRPr="00131EED">
        <w:rPr>
          <w:rFonts w:eastAsia="Century Gothic" w:cs="Arial"/>
        </w:rPr>
        <w:fldChar w:fldCharType="end"/>
      </w:r>
      <w:r w:rsidR="00561753" w:rsidRPr="00131EED">
        <w:rPr>
          <w:rFonts w:eastAsia="Century Gothic" w:cs="Arial"/>
        </w:rPr>
        <w:t>.</w:t>
      </w:r>
    </w:p>
    <w:p w14:paraId="400913C2" w14:textId="77777777" w:rsidR="00561753" w:rsidRPr="00131EED" w:rsidRDefault="00561753" w:rsidP="00F421F8">
      <w:pPr>
        <w:rPr>
          <w:rFonts w:eastAsia="Century Gothic" w:cs="Arial"/>
        </w:rPr>
      </w:pPr>
    </w:p>
    <w:p w14:paraId="24AE8071" w14:textId="2E8543D9" w:rsidR="00F421F8" w:rsidRPr="00131EED" w:rsidRDefault="00F421F8" w:rsidP="00F421F8">
      <w:pPr>
        <w:pStyle w:val="Caption"/>
        <w:jc w:val="center"/>
      </w:pPr>
      <w:bookmarkStart w:id="323" w:name="_Toc216468854"/>
      <w:r w:rsidRPr="00131EED">
        <w:t xml:space="preserve">Ilustración </w:t>
      </w:r>
      <w:bookmarkEnd w:id="322"/>
      <w:r w:rsidRPr="00131EED">
        <w:fldChar w:fldCharType="begin"/>
      </w:r>
      <w:r w:rsidRPr="00131EED">
        <w:instrText>SEQ Ilustración \* ARABIC</w:instrText>
      </w:r>
      <w:r w:rsidRPr="00131EED">
        <w:fldChar w:fldCharType="separate"/>
      </w:r>
      <w:r w:rsidR="00CE096F">
        <w:rPr>
          <w:noProof/>
        </w:rPr>
        <w:t>89</w:t>
      </w:r>
      <w:r w:rsidRPr="00131EED">
        <w:fldChar w:fldCharType="end"/>
      </w:r>
      <w:r w:rsidRPr="00131EED">
        <w:t xml:space="preserve">. </w:t>
      </w:r>
      <w:r w:rsidRPr="00131EED">
        <w:rPr>
          <w:rStyle w:val="SubtleReference"/>
          <w:smallCaps w:val="0"/>
          <w:color w:val="44546A"/>
        </w:rPr>
        <w:t>Análisis de vulnerabilidad y riesgo por cambio climático. IDEAM, 2017</w:t>
      </w:r>
      <w:bookmarkEnd w:id="323"/>
    </w:p>
    <w:p w14:paraId="55822B38" w14:textId="12600C00" w:rsidR="00F421F8" w:rsidRPr="00131EED" w:rsidRDefault="00F421F8" w:rsidP="00F421F8">
      <w:pPr>
        <w:jc w:val="center"/>
        <w:rPr>
          <w:rFonts w:ascii="Baskerville" w:eastAsia="Century Gothic" w:hAnsi="Baskerville" w:cs="Arial"/>
        </w:rPr>
      </w:pPr>
      <w:r w:rsidRPr="00131EED">
        <w:rPr>
          <w:noProof/>
          <w:lang w:eastAsia="en-US"/>
        </w:rPr>
        <w:drawing>
          <wp:inline distT="0" distB="0" distL="0" distR="0" wp14:anchorId="511F8F5F" wp14:editId="3BE89647">
            <wp:extent cx="3238500" cy="2371725"/>
            <wp:effectExtent l="0" t="0" r="0" b="9525"/>
            <wp:docPr id="40" name="image25.png" descr="A map of different colors&#10;&#10;AI-generated content may be incorrect."/>
            <wp:cNvGraphicFramePr/>
            <a:graphic xmlns:a="http://schemas.openxmlformats.org/drawingml/2006/main">
              <a:graphicData uri="http://schemas.openxmlformats.org/drawingml/2006/picture">
                <pic:pic xmlns:pic="http://schemas.openxmlformats.org/drawingml/2006/picture">
                  <pic:nvPicPr>
                    <pic:cNvPr id="40" name="image25.png" descr="A map of different colors&#10;&#10;AI-generated content may be incorrect."/>
                    <pic:cNvPicPr preferRelativeResize="0"/>
                  </pic:nvPicPr>
                  <pic:blipFill rotWithShape="1">
                    <a:blip r:embed="rId155"/>
                    <a:srcRect t="1735" b="3250"/>
                    <a:stretch/>
                  </pic:blipFill>
                  <pic:spPr bwMode="auto">
                    <a:xfrm>
                      <a:off x="0" y="0"/>
                      <a:ext cx="3269918" cy="2394734"/>
                    </a:xfrm>
                    <a:prstGeom prst="rect">
                      <a:avLst/>
                    </a:prstGeom>
                    <a:ln>
                      <a:noFill/>
                    </a:ln>
                    <a:extLst>
                      <a:ext uri="{53640926-AAD7-44D8-BBD7-CCE9431645EC}">
                        <a14:shadowObscured xmlns:a14="http://schemas.microsoft.com/office/drawing/2010/main"/>
                      </a:ext>
                    </a:extLst>
                  </pic:spPr>
                </pic:pic>
              </a:graphicData>
            </a:graphic>
          </wp:inline>
        </w:drawing>
      </w:r>
    </w:p>
    <w:p w14:paraId="6A204F2F" w14:textId="77777777" w:rsidR="00F421F8" w:rsidRPr="00131EED" w:rsidRDefault="00F421F8" w:rsidP="00F421F8">
      <w:pPr>
        <w:jc w:val="center"/>
        <w:rPr>
          <w:rFonts w:eastAsia="Century Gothic" w:cs="Arial"/>
          <w:sz w:val="20"/>
          <w:szCs w:val="20"/>
        </w:rPr>
      </w:pPr>
      <w:r w:rsidRPr="00131EED">
        <w:rPr>
          <w:rFonts w:eastAsia="Century Gothic" w:cs="Arial"/>
          <w:sz w:val="20"/>
          <w:szCs w:val="20"/>
        </w:rPr>
        <w:t>Fuente: IDEAM, 2017</w:t>
      </w:r>
    </w:p>
    <w:p w14:paraId="748AB7D4" w14:textId="77777777" w:rsidR="00F421F8" w:rsidRPr="00131EED" w:rsidRDefault="00F421F8" w:rsidP="00F421F8">
      <w:pPr>
        <w:rPr>
          <w:rFonts w:ascii="Baskerville" w:eastAsia="Century Gothic" w:hAnsi="Baskerville" w:cs="Arial"/>
        </w:rPr>
      </w:pPr>
    </w:p>
    <w:p w14:paraId="18183ED9" w14:textId="77777777" w:rsidR="00561753" w:rsidRPr="00131EED" w:rsidRDefault="00561753" w:rsidP="00F421F8">
      <w:pPr>
        <w:rPr>
          <w:rFonts w:ascii="Baskerville" w:eastAsia="Century Gothic" w:hAnsi="Baskerville" w:cs="Arial"/>
        </w:rPr>
      </w:pPr>
    </w:p>
    <w:p w14:paraId="59B8C538" w14:textId="77777777" w:rsidR="00561753" w:rsidRPr="00131EED" w:rsidRDefault="00561753" w:rsidP="00F421F8">
      <w:pPr>
        <w:rPr>
          <w:rFonts w:ascii="Baskerville" w:eastAsia="Century Gothic" w:hAnsi="Baskerville" w:cs="Arial"/>
        </w:rPr>
      </w:pPr>
    </w:p>
    <w:p w14:paraId="513B6DF0" w14:textId="77777777" w:rsidR="00561753" w:rsidRPr="00131EED" w:rsidRDefault="00561753" w:rsidP="00F421F8">
      <w:pPr>
        <w:rPr>
          <w:rFonts w:ascii="Baskerville" w:eastAsia="Century Gothic" w:hAnsi="Baskerville" w:cs="Arial"/>
        </w:rPr>
      </w:pPr>
    </w:p>
    <w:p w14:paraId="675D5831" w14:textId="77777777" w:rsidR="00561753" w:rsidRPr="00131EED" w:rsidRDefault="00561753" w:rsidP="00F421F8">
      <w:pPr>
        <w:rPr>
          <w:rFonts w:ascii="Baskerville" w:eastAsia="Century Gothic" w:hAnsi="Baskerville" w:cs="Arial"/>
        </w:rPr>
      </w:pPr>
    </w:p>
    <w:p w14:paraId="6ABECB57" w14:textId="77777777" w:rsidR="00561753" w:rsidRPr="00131EED" w:rsidRDefault="00561753" w:rsidP="00F421F8">
      <w:pPr>
        <w:rPr>
          <w:rFonts w:ascii="Baskerville" w:eastAsia="Century Gothic" w:hAnsi="Baskerville" w:cs="Arial"/>
        </w:rPr>
      </w:pPr>
    </w:p>
    <w:p w14:paraId="20C41137" w14:textId="77777777" w:rsidR="00561753" w:rsidRPr="00131EED" w:rsidRDefault="00561753" w:rsidP="00F421F8">
      <w:pPr>
        <w:rPr>
          <w:rFonts w:ascii="Baskerville" w:eastAsia="Century Gothic" w:hAnsi="Baskerville" w:cs="Arial"/>
        </w:rPr>
      </w:pPr>
    </w:p>
    <w:p w14:paraId="1842E4F1" w14:textId="77777777" w:rsidR="00561753" w:rsidRPr="00131EED" w:rsidRDefault="00561753" w:rsidP="00F421F8">
      <w:pPr>
        <w:rPr>
          <w:rFonts w:ascii="Baskerville" w:eastAsia="Century Gothic" w:hAnsi="Baskerville" w:cs="Arial"/>
        </w:rPr>
      </w:pPr>
    </w:p>
    <w:p w14:paraId="7E6E2935" w14:textId="77777777" w:rsidR="00561753" w:rsidRPr="00131EED" w:rsidRDefault="00561753" w:rsidP="00F421F8">
      <w:pPr>
        <w:rPr>
          <w:rFonts w:ascii="Baskerville" w:eastAsia="Century Gothic" w:hAnsi="Baskerville" w:cs="Arial"/>
        </w:rPr>
      </w:pPr>
    </w:p>
    <w:p w14:paraId="64467362" w14:textId="77777777" w:rsidR="00561753" w:rsidRPr="00131EED" w:rsidRDefault="00561753" w:rsidP="00F421F8">
      <w:pPr>
        <w:rPr>
          <w:rFonts w:ascii="Baskerville" w:eastAsia="Century Gothic" w:hAnsi="Baskerville" w:cs="Arial"/>
        </w:rPr>
      </w:pPr>
    </w:p>
    <w:p w14:paraId="0C73A200" w14:textId="77777777" w:rsidR="00561753" w:rsidRPr="00131EED" w:rsidRDefault="00561753" w:rsidP="00F421F8">
      <w:pPr>
        <w:rPr>
          <w:rFonts w:ascii="Baskerville" w:eastAsia="Century Gothic" w:hAnsi="Baskerville" w:cs="Arial"/>
        </w:rPr>
      </w:pPr>
    </w:p>
    <w:p w14:paraId="60EAF97D" w14:textId="77777777" w:rsidR="00561753" w:rsidRPr="00131EED" w:rsidRDefault="00561753" w:rsidP="00F421F8">
      <w:pPr>
        <w:rPr>
          <w:rFonts w:ascii="Baskerville" w:eastAsia="Century Gothic" w:hAnsi="Baskerville" w:cs="Arial"/>
        </w:rPr>
      </w:pPr>
    </w:p>
    <w:p w14:paraId="336AB09C" w14:textId="57E5F93E" w:rsidR="00F421F8" w:rsidRPr="00131EED" w:rsidRDefault="00F421F8" w:rsidP="00F421F8">
      <w:pPr>
        <w:pStyle w:val="Caption"/>
        <w:jc w:val="center"/>
        <w:rPr>
          <w:rStyle w:val="SubtleReference"/>
          <w:smallCaps w:val="0"/>
          <w:color w:val="44546A"/>
        </w:rPr>
      </w:pPr>
      <w:bookmarkStart w:id="324" w:name="_Ref210848782"/>
      <w:bookmarkStart w:id="325" w:name="_Ref211337321"/>
      <w:bookmarkStart w:id="326" w:name="_Toc216468855"/>
      <w:r w:rsidRPr="00131EED">
        <w:t xml:space="preserve">Ilustración </w:t>
      </w:r>
      <w:bookmarkEnd w:id="324"/>
      <w:r w:rsidRPr="00131EED">
        <w:fldChar w:fldCharType="begin"/>
      </w:r>
      <w:r w:rsidRPr="00131EED">
        <w:instrText>SEQ Ilustración \* ARABIC</w:instrText>
      </w:r>
      <w:r w:rsidRPr="00131EED">
        <w:fldChar w:fldCharType="separate"/>
      </w:r>
      <w:r w:rsidR="00CE096F">
        <w:rPr>
          <w:noProof/>
        </w:rPr>
        <w:t>90</w:t>
      </w:r>
      <w:r w:rsidRPr="00131EED">
        <w:fldChar w:fldCharType="end"/>
      </w:r>
      <w:bookmarkEnd w:id="325"/>
      <w:r w:rsidRPr="00131EED">
        <w:t xml:space="preserve">. </w:t>
      </w:r>
      <w:r w:rsidRPr="00131EED">
        <w:rPr>
          <w:rStyle w:val="SubtleReference"/>
          <w:smallCaps w:val="0"/>
          <w:color w:val="44546A"/>
        </w:rPr>
        <w:t>Cambios de temperatura en escenarios de cambio climático. IDEAM, 2017</w:t>
      </w:r>
      <w:bookmarkEnd w:id="326"/>
    </w:p>
    <w:tbl>
      <w:tblPr>
        <w:tblStyle w:val="TableGrid"/>
        <w:tblW w:w="0" w:type="auto"/>
        <w:jc w:val="center"/>
        <w:tblLook w:val="04A0" w:firstRow="1" w:lastRow="0" w:firstColumn="1" w:lastColumn="0" w:noHBand="0" w:noVBand="1"/>
      </w:tblPr>
      <w:tblGrid>
        <w:gridCol w:w="4414"/>
        <w:gridCol w:w="2496"/>
      </w:tblGrid>
      <w:tr w:rsidR="00526FEC" w:rsidRPr="00131EED" w14:paraId="2AF8FC26" w14:textId="77777777" w:rsidTr="00F81FE8">
        <w:trPr>
          <w:jc w:val="center"/>
        </w:trPr>
        <w:tc>
          <w:tcPr>
            <w:tcW w:w="4414" w:type="dxa"/>
            <w:vMerge w:val="restart"/>
            <w:vAlign w:val="center"/>
          </w:tcPr>
          <w:p w14:paraId="796A74EE" w14:textId="4D054424" w:rsidR="00526FEC" w:rsidRPr="00131EED" w:rsidRDefault="00526FEC" w:rsidP="00526FEC">
            <w:pPr>
              <w:jc w:val="center"/>
              <w:rPr>
                <w:lang w:eastAsia="en-US"/>
              </w:rPr>
            </w:pPr>
            <w:r w:rsidRPr="00131EED">
              <w:rPr>
                <w:rFonts w:ascii="Baskerville" w:eastAsia="Century Gothic" w:hAnsi="Baskerville" w:cs="Arial"/>
                <w:noProof/>
                <w:lang w:eastAsia="en-US"/>
              </w:rPr>
              <w:drawing>
                <wp:inline distT="0" distB="0" distL="0" distR="0" wp14:anchorId="5E14063F" wp14:editId="414091AD">
                  <wp:extent cx="2228973" cy="2884954"/>
                  <wp:effectExtent l="19050" t="19050" r="19050" b="10795"/>
                  <wp:docPr id="187273830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40861" cy="2900340"/>
                          </a:xfrm>
                          <a:prstGeom prst="rect">
                            <a:avLst/>
                          </a:prstGeom>
                          <a:noFill/>
                          <a:ln>
                            <a:solidFill>
                              <a:schemeClr val="tx1"/>
                            </a:solidFill>
                          </a:ln>
                        </pic:spPr>
                      </pic:pic>
                    </a:graphicData>
                  </a:graphic>
                </wp:inline>
              </w:drawing>
            </w:r>
          </w:p>
        </w:tc>
        <w:tc>
          <w:tcPr>
            <w:tcW w:w="2496" w:type="dxa"/>
          </w:tcPr>
          <w:p w14:paraId="0414BF3B" w14:textId="41A87FB7" w:rsidR="00526FEC" w:rsidRPr="00131EED" w:rsidRDefault="00526FEC" w:rsidP="009512AC">
            <w:pPr>
              <w:rPr>
                <w:lang w:eastAsia="en-US"/>
              </w:rPr>
            </w:pPr>
            <w:r w:rsidRPr="00131EED">
              <w:rPr>
                <w:rFonts w:ascii="Baskerville" w:eastAsia="Century Gothic" w:hAnsi="Baskerville" w:cs="Arial"/>
                <w:noProof/>
                <w:lang w:eastAsia="en-US"/>
              </w:rPr>
              <w:drawing>
                <wp:inline distT="0" distB="0" distL="0" distR="0" wp14:anchorId="783855D6" wp14:editId="59995A60">
                  <wp:extent cx="1375552" cy="1780373"/>
                  <wp:effectExtent l="19050" t="19050" r="15240" b="10795"/>
                  <wp:docPr id="1872738310"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379672" cy="1785705"/>
                          </a:xfrm>
                          <a:prstGeom prst="rect">
                            <a:avLst/>
                          </a:prstGeom>
                          <a:noFill/>
                          <a:ln>
                            <a:solidFill>
                              <a:schemeClr val="tx1"/>
                            </a:solidFill>
                          </a:ln>
                        </pic:spPr>
                      </pic:pic>
                    </a:graphicData>
                  </a:graphic>
                </wp:inline>
              </w:drawing>
            </w:r>
          </w:p>
        </w:tc>
      </w:tr>
      <w:tr w:rsidR="00526FEC" w:rsidRPr="00131EED" w14:paraId="1C966FAE" w14:textId="77777777" w:rsidTr="00F81FE8">
        <w:trPr>
          <w:jc w:val="center"/>
        </w:trPr>
        <w:tc>
          <w:tcPr>
            <w:tcW w:w="4414" w:type="dxa"/>
            <w:vMerge/>
          </w:tcPr>
          <w:p w14:paraId="2CEDFCBF" w14:textId="77777777" w:rsidR="00526FEC" w:rsidRPr="00131EED" w:rsidRDefault="00526FEC" w:rsidP="009512AC">
            <w:pPr>
              <w:rPr>
                <w:lang w:eastAsia="en-US"/>
              </w:rPr>
            </w:pPr>
          </w:p>
        </w:tc>
        <w:tc>
          <w:tcPr>
            <w:tcW w:w="2496" w:type="dxa"/>
          </w:tcPr>
          <w:p w14:paraId="4105F50B" w14:textId="47E4EE55" w:rsidR="00526FEC" w:rsidRPr="00131EED" w:rsidRDefault="00526FEC" w:rsidP="009512AC">
            <w:pPr>
              <w:rPr>
                <w:lang w:eastAsia="en-US"/>
              </w:rPr>
            </w:pPr>
            <w:r w:rsidRPr="00131EED">
              <w:rPr>
                <w:rFonts w:ascii="Baskerville" w:eastAsia="Century Gothic" w:hAnsi="Baskerville" w:cs="Arial"/>
                <w:noProof/>
                <w:lang w:eastAsia="en-US"/>
              </w:rPr>
              <w:drawing>
                <wp:inline distT="0" distB="0" distL="0" distR="0" wp14:anchorId="3497FDA9" wp14:editId="036BCCB8">
                  <wp:extent cx="1402848" cy="1815702"/>
                  <wp:effectExtent l="19050" t="19050" r="26035" b="13335"/>
                  <wp:docPr id="187273831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410383" cy="1825454"/>
                          </a:xfrm>
                          <a:prstGeom prst="rect">
                            <a:avLst/>
                          </a:prstGeom>
                          <a:noFill/>
                          <a:ln>
                            <a:solidFill>
                              <a:schemeClr val="tx1"/>
                            </a:solidFill>
                          </a:ln>
                        </pic:spPr>
                      </pic:pic>
                    </a:graphicData>
                  </a:graphic>
                </wp:inline>
              </w:drawing>
            </w:r>
          </w:p>
        </w:tc>
      </w:tr>
    </w:tbl>
    <w:p w14:paraId="663560E9" w14:textId="0B261AEF" w:rsidR="00F421F8" w:rsidRPr="00131EED" w:rsidRDefault="00F421F8" w:rsidP="00F421F8">
      <w:pPr>
        <w:jc w:val="center"/>
        <w:rPr>
          <w:rFonts w:eastAsia="Century Gothic" w:cs="Arial"/>
          <w:sz w:val="20"/>
          <w:szCs w:val="20"/>
        </w:rPr>
      </w:pPr>
      <w:r w:rsidRPr="00131EED">
        <w:rPr>
          <w:rFonts w:eastAsia="Century Gothic" w:cs="Arial"/>
          <w:sz w:val="20"/>
          <w:szCs w:val="20"/>
        </w:rPr>
        <w:t>Fuente: IDEAM, 2017</w:t>
      </w:r>
    </w:p>
    <w:p w14:paraId="3E2FDE5D" w14:textId="77777777" w:rsidR="002C1207" w:rsidRPr="00131EED" w:rsidRDefault="002C1207" w:rsidP="00F421F8">
      <w:pPr>
        <w:jc w:val="center"/>
        <w:rPr>
          <w:rFonts w:eastAsia="Century Gothic" w:cs="Arial"/>
          <w:sz w:val="20"/>
          <w:szCs w:val="20"/>
        </w:rPr>
      </w:pPr>
    </w:p>
    <w:p w14:paraId="7781770B" w14:textId="0993CE0E" w:rsidR="00F421F8" w:rsidRPr="00131EED" w:rsidRDefault="00F421F8" w:rsidP="00561753">
      <w:pPr>
        <w:pStyle w:val="Caption"/>
        <w:jc w:val="center"/>
      </w:pPr>
      <w:bookmarkStart w:id="327" w:name="_Toc216468856"/>
      <w:r w:rsidRPr="00131EED">
        <w:t xml:space="preserve">Ilustración </w:t>
      </w:r>
      <w:r w:rsidRPr="00131EED">
        <w:fldChar w:fldCharType="begin"/>
      </w:r>
      <w:r w:rsidRPr="00131EED">
        <w:instrText>SEQ Ilustración \* ARABIC</w:instrText>
      </w:r>
      <w:r w:rsidRPr="00131EED">
        <w:fldChar w:fldCharType="separate"/>
      </w:r>
      <w:r w:rsidR="00CE096F">
        <w:rPr>
          <w:noProof/>
        </w:rPr>
        <w:t>91</w:t>
      </w:r>
      <w:r w:rsidRPr="00131EED">
        <w:fldChar w:fldCharType="end"/>
      </w:r>
      <w:r w:rsidRPr="00131EED">
        <w:t xml:space="preserve"> </w:t>
      </w:r>
      <w:r w:rsidRPr="00131EED">
        <w:rPr>
          <w:rStyle w:val="SubtleReference"/>
          <w:smallCaps w:val="0"/>
          <w:color w:val="44546A"/>
        </w:rPr>
        <w:t>Cambios de precipitación en escenarios de cambio climático. IDEAM, 2017</w:t>
      </w:r>
      <w:bookmarkEnd w:id="327"/>
    </w:p>
    <w:tbl>
      <w:tblPr>
        <w:tblStyle w:val="TableGrid"/>
        <w:tblW w:w="0" w:type="auto"/>
        <w:jc w:val="center"/>
        <w:tblLook w:val="04A0" w:firstRow="1" w:lastRow="0" w:firstColumn="1" w:lastColumn="0" w:noHBand="0" w:noVBand="1"/>
      </w:tblPr>
      <w:tblGrid>
        <w:gridCol w:w="4414"/>
        <w:gridCol w:w="2916"/>
      </w:tblGrid>
      <w:tr w:rsidR="00DD2A6E" w:rsidRPr="00131EED" w14:paraId="5704E8B2" w14:textId="77777777" w:rsidTr="00526FEC">
        <w:trPr>
          <w:jc w:val="center"/>
        </w:trPr>
        <w:tc>
          <w:tcPr>
            <w:tcW w:w="4414" w:type="dxa"/>
            <w:vMerge w:val="restart"/>
            <w:vAlign w:val="center"/>
          </w:tcPr>
          <w:p w14:paraId="1F70B130" w14:textId="3DD66878" w:rsidR="00DD2A6E" w:rsidRPr="00131EED" w:rsidRDefault="00DD2A6E" w:rsidP="00DD2A6E">
            <w:pPr>
              <w:jc w:val="center"/>
              <w:rPr>
                <w:rFonts w:ascii="Baskerville" w:eastAsia="Century Gothic" w:hAnsi="Baskerville" w:cs="Arial"/>
              </w:rPr>
            </w:pPr>
            <w:r w:rsidRPr="00131EED">
              <w:rPr>
                <w:rFonts w:ascii="Baskerville" w:eastAsia="Century Gothic" w:hAnsi="Baskerville" w:cs="Arial"/>
                <w:noProof/>
                <w:lang w:eastAsia="en-US"/>
              </w:rPr>
              <w:drawing>
                <wp:inline distT="0" distB="0" distL="0" distR="0" wp14:anchorId="6572926B" wp14:editId="5EC5A0C1">
                  <wp:extent cx="2464130" cy="3223895"/>
                  <wp:effectExtent l="0" t="0" r="0" b="0"/>
                  <wp:docPr id="496971508"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59" cstate="print">
                            <a:extLst>
                              <a:ext uri="{28A0092B-C50C-407E-A947-70E740481C1C}">
                                <a14:useLocalDpi xmlns:a14="http://schemas.microsoft.com/office/drawing/2010/main" val="0"/>
                              </a:ext>
                            </a:extLst>
                          </a:blip>
                          <a:srcRect l="3199" t="2294" r="1983" b="1859"/>
                          <a:stretch>
                            <a:fillRect/>
                          </a:stretch>
                        </pic:blipFill>
                        <pic:spPr bwMode="auto">
                          <a:xfrm>
                            <a:off x="0" y="0"/>
                            <a:ext cx="2485239" cy="325151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916" w:type="dxa"/>
          </w:tcPr>
          <w:p w14:paraId="414A35F6" w14:textId="329657BB" w:rsidR="00DD2A6E" w:rsidRPr="00131EED" w:rsidRDefault="00DD2A6E" w:rsidP="00DD2A6E">
            <w:pPr>
              <w:jc w:val="center"/>
              <w:rPr>
                <w:rFonts w:ascii="Baskerville" w:eastAsia="Century Gothic" w:hAnsi="Baskerville" w:cs="Arial"/>
              </w:rPr>
            </w:pPr>
            <w:r w:rsidRPr="00131EED">
              <w:rPr>
                <w:rFonts w:ascii="Baskerville" w:eastAsia="Century Gothic" w:hAnsi="Baskerville" w:cs="Arial"/>
                <w:noProof/>
                <w:lang w:eastAsia="en-US"/>
              </w:rPr>
              <w:drawing>
                <wp:inline distT="0" distB="0" distL="0" distR="0" wp14:anchorId="4CB07F1E" wp14:editId="6AE23092">
                  <wp:extent cx="1710047" cy="2237856"/>
                  <wp:effectExtent l="0" t="0" r="5080" b="0"/>
                  <wp:docPr id="1484718864"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160" cstate="print">
                            <a:extLst>
                              <a:ext uri="{28A0092B-C50C-407E-A947-70E740481C1C}">
                                <a14:useLocalDpi xmlns:a14="http://schemas.microsoft.com/office/drawing/2010/main" val="0"/>
                              </a:ext>
                            </a:extLst>
                          </a:blip>
                          <a:srcRect r="2990" b="1915"/>
                          <a:stretch>
                            <a:fillRect/>
                          </a:stretch>
                        </pic:blipFill>
                        <pic:spPr bwMode="auto">
                          <a:xfrm>
                            <a:off x="0" y="0"/>
                            <a:ext cx="1724401" cy="225664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D2A6E" w:rsidRPr="00131EED" w14:paraId="5029A2D0" w14:textId="77777777" w:rsidTr="00526FEC">
        <w:trPr>
          <w:jc w:val="center"/>
        </w:trPr>
        <w:tc>
          <w:tcPr>
            <w:tcW w:w="4414" w:type="dxa"/>
            <w:vMerge/>
          </w:tcPr>
          <w:p w14:paraId="725FD5B2" w14:textId="77777777" w:rsidR="00DD2A6E" w:rsidRPr="00131EED" w:rsidRDefault="00DD2A6E" w:rsidP="00F421F8">
            <w:pPr>
              <w:rPr>
                <w:rFonts w:ascii="Baskerville" w:eastAsia="Century Gothic" w:hAnsi="Baskerville" w:cs="Arial"/>
              </w:rPr>
            </w:pPr>
          </w:p>
        </w:tc>
        <w:tc>
          <w:tcPr>
            <w:tcW w:w="2916" w:type="dxa"/>
          </w:tcPr>
          <w:p w14:paraId="6195F01E" w14:textId="49E9E5F0" w:rsidR="00DD2A6E" w:rsidRPr="00131EED" w:rsidRDefault="00DD2A6E" w:rsidP="00DD2A6E">
            <w:pPr>
              <w:jc w:val="center"/>
              <w:rPr>
                <w:rFonts w:ascii="Baskerville" w:eastAsia="Century Gothic" w:hAnsi="Baskerville" w:cs="Arial"/>
              </w:rPr>
            </w:pPr>
            <w:r w:rsidRPr="00131EED">
              <w:rPr>
                <w:rFonts w:ascii="Baskerville" w:eastAsia="Century Gothic" w:hAnsi="Baskerville" w:cs="Arial"/>
                <w:noProof/>
                <w:lang w:eastAsia="en-US"/>
              </w:rPr>
              <w:drawing>
                <wp:inline distT="0" distB="0" distL="0" distR="0" wp14:anchorId="2D26FBF5" wp14:editId="5AE7A32D">
                  <wp:extent cx="1709420" cy="2202873"/>
                  <wp:effectExtent l="0" t="0" r="5080" b="6985"/>
                  <wp:docPr id="1049540846"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161" cstate="print">
                            <a:extLst>
                              <a:ext uri="{28A0092B-C50C-407E-A947-70E740481C1C}">
                                <a14:useLocalDpi xmlns:a14="http://schemas.microsoft.com/office/drawing/2010/main" val="0"/>
                              </a:ext>
                            </a:extLst>
                          </a:blip>
                          <a:srcRect t="-1" r="2037" b="2463"/>
                          <a:stretch>
                            <a:fillRect/>
                          </a:stretch>
                        </pic:blipFill>
                        <pic:spPr bwMode="auto">
                          <a:xfrm>
                            <a:off x="0" y="0"/>
                            <a:ext cx="1710115" cy="220376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CC0D399" w14:textId="1A26F060" w:rsidR="00F421F8" w:rsidRPr="00131EED" w:rsidRDefault="00DB7746" w:rsidP="00F421F8">
      <w:pPr>
        <w:jc w:val="center"/>
        <w:rPr>
          <w:rFonts w:eastAsia="Century Gothic" w:cs="Arial"/>
          <w:sz w:val="20"/>
          <w:szCs w:val="20"/>
        </w:rPr>
      </w:pPr>
      <w:r w:rsidRPr="00131EED">
        <w:rPr>
          <w:rFonts w:eastAsia="Century Gothic" w:cs="Arial"/>
          <w:sz w:val="20"/>
          <w:szCs w:val="20"/>
        </w:rPr>
        <w:t>Fuente: IDEAM, 2024</w:t>
      </w:r>
    </w:p>
    <w:p w14:paraId="4C827AB5" w14:textId="77777777" w:rsidR="00F421F8" w:rsidRPr="00131EED" w:rsidRDefault="00F421F8" w:rsidP="00F421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Baskerville Old Face" w:cs="Baskerville Old Face"/>
          <w:color w:val="000000" w:themeColor="text1"/>
          <w:lang w:eastAsia="es-CO"/>
        </w:rPr>
      </w:pPr>
    </w:p>
    <w:p w14:paraId="44AA61B2" w14:textId="77777777" w:rsidR="00F421F8" w:rsidRPr="00131EED" w:rsidRDefault="00F421F8" w:rsidP="00F421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Baskerville Old Face" w:cs="Baskerville Old Face"/>
          <w:color w:val="000000"/>
          <w:lang w:eastAsia="es-CO"/>
        </w:rPr>
      </w:pPr>
      <w:r w:rsidRPr="00131EED">
        <w:rPr>
          <w:rFonts w:eastAsia="Baskerville Old Face" w:cs="Baskerville Old Face"/>
          <w:color w:val="000000" w:themeColor="text1"/>
          <w:lang w:eastAsia="es-CO"/>
        </w:rPr>
        <w:t xml:space="preserve">La precipitación presentaría un comportamiento variable en el futuro. Se espera un aumento en la mayor parte de la cuenca alta y media del río Bogotá, con incrementos en el volumen anual que oscilarían entre el 5 y el 25%, tanto para el periodo 2021-2040 como para 2081-2100. En contraste, hacia el sur del río Teusacá, el suroriente del sector Tibitoc- Soacha y la zona central del río Balsillas, las lluvias disminuirían, mostrando una reducción de entre el 5% y el 25% en comparación con el periodo 1991-2020 </w:t>
      </w:r>
      <w:r w:rsidRPr="00131EED">
        <w:rPr>
          <w:rFonts w:eastAsia="Baskerville Old Face" w:cs="Baskerville Old Face"/>
        </w:rPr>
        <w:t>(PGAR. CAR, 2024)</w:t>
      </w:r>
      <w:r w:rsidRPr="00131EED">
        <w:rPr>
          <w:rFonts w:eastAsia="Baskerville Old Face" w:cs="Baskerville Old Face"/>
          <w:color w:val="000000" w:themeColor="text1"/>
          <w:lang w:eastAsia="es-CO"/>
        </w:rPr>
        <w:t>.</w:t>
      </w:r>
    </w:p>
    <w:p w14:paraId="5772D1BD" w14:textId="77777777" w:rsidR="00F421F8" w:rsidRPr="00131EED" w:rsidRDefault="00F421F8" w:rsidP="00F421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Baskerville" w:eastAsia="Century Gothic" w:hAnsi="Baskerville" w:cs="Arial"/>
        </w:rPr>
      </w:pPr>
    </w:p>
    <w:p w14:paraId="6AE524F6" w14:textId="1434080D" w:rsidR="00F421F8" w:rsidRPr="00131EED" w:rsidRDefault="00F421F8" w:rsidP="00F421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entury Gothic" w:cs="Arial"/>
        </w:rPr>
      </w:pPr>
      <w:r w:rsidRPr="00131EED">
        <w:rPr>
          <w:rFonts w:eastAsia="Century Gothic" w:cs="Arial"/>
        </w:rPr>
        <w:t>El análisis de posibles cambios en la disponibilidad hídrica bajo escenarios de cambio climático revela una mayor v</w:t>
      </w:r>
      <w:r w:rsidR="00DB7746" w:rsidRPr="00131EED">
        <w:rPr>
          <w:rFonts w:eastAsia="Century Gothic" w:cs="Arial"/>
        </w:rPr>
        <w:t>ulnerabilidad para el año 2050</w:t>
      </w:r>
      <w:r w:rsidRPr="00131EED">
        <w:rPr>
          <w:rFonts w:eastAsia="Century Gothic" w:cs="Arial"/>
        </w:rPr>
        <w:t>. Esta vulnerabilidad se observa principalmente en una reducción en la disponibilidad hídrica a lo largo de la Sabana de Bogotá, afectando municipios como Tausa, Facatativá, Subachoque, Cáqueza y Fómeque; se prevén las mayores disminuciones en la disponibilidad de agua en las zonas que alimentan los embalses de Chivor y Guavio. Además, se identifica una mayor vulnerabilidad debido a la potencial disminución en la calidad del agua en algunas áreas de municipios como Mosquera, Soacha, Pasca, Facatativá, Subachoque, Supatá, Tausa, El Rosal, San Francisco, La Vega, Silvania, así como algunas zonas de los municipios de Ubaque y Choachí.</w:t>
      </w:r>
    </w:p>
    <w:p w14:paraId="73C7E162" w14:textId="77777777" w:rsidR="00F421F8" w:rsidRPr="00131EED" w:rsidRDefault="00F421F8" w:rsidP="00F421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eastAsia="Century Gothic" w:cs="Arial"/>
        </w:rPr>
      </w:pPr>
    </w:p>
    <w:p w14:paraId="561E5BB8" w14:textId="77777777" w:rsidR="00F421F8" w:rsidRPr="00131EED" w:rsidRDefault="00F421F8" w:rsidP="00F421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131EED">
        <w:rPr>
          <w:rFonts w:cs="Arial"/>
          <w:color w:val="000000"/>
          <w:lang w:eastAsia="es-CO"/>
        </w:rPr>
        <w:t xml:space="preserve">La amenaza por reducción en el rendimiento hídrico se cataloga como alta para el SSP 3 7.0 periodo 2080-2100 para los municipios Cajicá, Chía, El Rosal, Cota, Funza, Madrid, Mosquera, Sopó, Tabio, Tenjo, Zipaquirá. La vulnerabilidad en el agua se cataloga como Alta para los municipios de El Rosal, Madrid, Mosquera y Gachancipá y media para los municipios de Bojacá, Cajicá, Facatativá, Funza, La Calera, Sibaté, Soacha, Sopó, Subachoque, Tabio, Tenjo, Cogua, Cucunubá, Guasca, Guatavita, Nemocón, Suesca, Tausa y Tocancipá </w:t>
      </w:r>
      <w:r w:rsidRPr="00131EED">
        <w:rPr>
          <w:rFonts w:eastAsia="Century Gothic" w:cs="Arial"/>
        </w:rPr>
        <w:t>(PGAR. CAR, 2024)</w:t>
      </w:r>
      <w:r w:rsidRPr="00131EED">
        <w:rPr>
          <w:rFonts w:cs="Arial"/>
          <w:color w:val="000000"/>
          <w:lang w:eastAsia="es-CO"/>
        </w:rPr>
        <w:t>.</w:t>
      </w:r>
    </w:p>
    <w:p w14:paraId="65B18A11" w14:textId="77777777" w:rsidR="00F421F8" w:rsidRPr="00131EED" w:rsidRDefault="00F421F8" w:rsidP="00F421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670AA16A" w14:textId="77777777" w:rsidR="00F421F8" w:rsidRPr="00131EED" w:rsidRDefault="00F421F8" w:rsidP="00F421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131EED">
        <w:rPr>
          <w:rFonts w:cs="Arial"/>
          <w:color w:val="000000"/>
          <w:lang w:eastAsia="es-CO"/>
        </w:rPr>
        <w:t xml:space="preserve">De acuerdo con las proyecciones de cambio climático en la cuenca alta y media del río Bogotá, habría un aumento del área con vegetación de tipo bosque andino seco, y reducciones en las áreas con bosques húmedos. En cuanto a la cuenca alta del río Bogotá, para el componente biótico los municipios de Gachancipá y Nemocón presentan vulnerabilidad alta ante el cambio climático; los demás municipios tienen vulnerabilidad media, excepto Tausa, Subachoque y Zipaquirá que tienen vulnerabilidad baja. Respecto a la dimensión del agua, el municipio de Gachancipá se destaca por presentar vulnerabilidad alta, mientras que los demás municipios presentan vulnerabilidad moderada, excepto Zipaquirá, Sesquilé, Chocontá y Villapinzón cuya vulnerabilidad es baja </w:t>
      </w:r>
      <w:r w:rsidRPr="00131EED">
        <w:rPr>
          <w:rFonts w:eastAsia="Century Gothic" w:cs="Arial"/>
        </w:rPr>
        <w:t>(PGAR. CAR, 2024)</w:t>
      </w:r>
      <w:r w:rsidRPr="00131EED">
        <w:rPr>
          <w:rFonts w:cs="Arial"/>
          <w:color w:val="000000"/>
          <w:lang w:eastAsia="es-CO"/>
        </w:rPr>
        <w:t>.</w:t>
      </w:r>
    </w:p>
    <w:p w14:paraId="1DDF4749" w14:textId="77777777" w:rsidR="00F421F8" w:rsidRPr="00131EED" w:rsidRDefault="00F421F8" w:rsidP="00F421F8">
      <w:pPr>
        <w:rPr>
          <w:rFonts w:cs="Arial"/>
        </w:rPr>
      </w:pPr>
    </w:p>
    <w:p w14:paraId="19BE84F4" w14:textId="77777777" w:rsidR="00F421F8" w:rsidRPr="00131EED" w:rsidRDefault="00F421F8" w:rsidP="00F421F8">
      <w:pPr>
        <w:rPr>
          <w:rFonts w:cs="Arial"/>
        </w:rPr>
      </w:pPr>
      <w:r w:rsidRPr="00131EED">
        <w:rPr>
          <w:rFonts w:cs="Arial"/>
        </w:rPr>
        <w:t xml:space="preserve">Según el diagnóstico del PGAR 2024, en el territorio CAR se presentó el mayor porcentaje (14%) de emergencias en el periodo 2010-2020. Durante el periodo 2010-2020, el número de emergencias aumentó con respecto a la década anterior. Las emergencias hidrometeorológicas en el periodo 2010-2020 se triplicaron respecto a las reportadas en el periodo 1999 – 2009. Las emergencias generadas por incendios forestales aumentaron 26 veces y las de origen geológico (asociadas a deslizamientos y fenómenos de remoción en masa) aumentaron 4 veces. </w:t>
      </w:r>
    </w:p>
    <w:p w14:paraId="3CFF386B" w14:textId="77777777" w:rsidR="00F421F8" w:rsidRPr="00131EED" w:rsidRDefault="00F421F8" w:rsidP="00F421F8">
      <w:pPr>
        <w:rPr>
          <w:rFonts w:cs="Arial"/>
        </w:rPr>
      </w:pPr>
    </w:p>
    <w:p w14:paraId="2624280E" w14:textId="77777777" w:rsidR="00F421F8" w:rsidRPr="00131EED" w:rsidRDefault="00F421F8" w:rsidP="00F421F8">
      <w:pPr>
        <w:rPr>
          <w:rFonts w:cs="Arial"/>
        </w:rPr>
      </w:pPr>
      <w:r w:rsidRPr="00131EED">
        <w:rPr>
          <w:rFonts w:cs="Arial"/>
        </w:rPr>
        <w:t>El tipo de eventos con mayores personas afectadas fueron las inundaciones y deslizamientos. Durante el periodo 2010-2020, las personas afectadas por desastres fueron 343.029; 3,5% mayor que la década anterior, el 76% de las afectaciones la causaron las inundaciones y el 11%, los deslizamientos.</w:t>
      </w:r>
    </w:p>
    <w:p w14:paraId="542169FE" w14:textId="77777777" w:rsidR="00F421F8" w:rsidRPr="00131EED" w:rsidRDefault="00F421F8" w:rsidP="00F421F8">
      <w:pPr>
        <w:rPr>
          <w:rFonts w:cs="Arial"/>
        </w:rPr>
      </w:pPr>
    </w:p>
    <w:p w14:paraId="20EC0500" w14:textId="77777777" w:rsidR="00F421F8" w:rsidRPr="00131EED" w:rsidRDefault="00F421F8" w:rsidP="00F421F8">
      <w:pPr>
        <w:rPr>
          <w:rFonts w:ascii="Baskerville" w:hAnsi="Baskerville" w:cs="Arial"/>
        </w:rPr>
      </w:pPr>
      <w:r w:rsidRPr="00131EED">
        <w:rPr>
          <w:rFonts w:cs="Arial"/>
        </w:rPr>
        <w:t xml:space="preserve">De acuerdo con el visor territorial de la UNGRD, 2025, desde el año 2000 a 2024 se han presentado 3238 eventos asociados a incendios forestales, inundaciones, deslizamientos, vendavales, granizadas, </w:t>
      </w:r>
      <w:bookmarkStart w:id="328" w:name="_Int_5MigMpDO"/>
      <w:r w:rsidRPr="00131EED">
        <w:rPr>
          <w:rFonts w:cs="Arial"/>
        </w:rPr>
        <w:t>crecientes súbitas</w:t>
      </w:r>
      <w:bookmarkEnd w:id="328"/>
      <w:r w:rsidRPr="00131EED">
        <w:rPr>
          <w:rFonts w:cs="Arial"/>
        </w:rPr>
        <w:t xml:space="preserve"> y avenidas torrenciales en Bogotá y los municipios de la Sabana de Bogotá. Allí se reportan 50.186 familias y 297.905 personas afectadas. Igualmente se reportan 48.140 viviendas averiadas y 948 destruidas. Sobre estos eventos hay un balance en dicho periodo de 472 heridos y 113 personas fallecidas.</w:t>
      </w:r>
    </w:p>
    <w:p w14:paraId="26D5FC68" w14:textId="77777777" w:rsidR="00F421F8" w:rsidRPr="00131EED" w:rsidRDefault="00F421F8" w:rsidP="00F421F8">
      <w:pPr>
        <w:rPr>
          <w:rFonts w:eastAsia="Century Gothic" w:cs="Arial"/>
        </w:rPr>
      </w:pPr>
      <w:r w:rsidRPr="00131EED">
        <w:rPr>
          <w:rFonts w:eastAsia="Century Gothic" w:cs="Arial"/>
        </w:rPr>
        <w:t xml:space="preserve">Por otra parte, se evidencia una alta vulnerabilidad frente a otras amenazas como remociones en masa y degradación del suelo en la mayoría de la Sabana, lo que pone en riesgo la soberanía alimentaria. En cuanto a los incendios forestales, la vulnerabilidad se concentra en los municipios de la sabana de Bogotá, principalmente debido a la presencia de especies pirófilas y pirogénicas introducidas, así como a las condiciones de bosques secos y subxerofíticos. </w:t>
      </w:r>
    </w:p>
    <w:p w14:paraId="7A40E3CA" w14:textId="77777777" w:rsidR="00F421F8" w:rsidRPr="00131EED" w:rsidRDefault="00F421F8" w:rsidP="00F421F8">
      <w:pPr>
        <w:rPr>
          <w:rFonts w:eastAsia="Century Gothic" w:cs="Arial"/>
        </w:rPr>
      </w:pPr>
    </w:p>
    <w:p w14:paraId="266FBD90" w14:textId="77777777" w:rsidR="00F421F8" w:rsidRPr="00131EED" w:rsidRDefault="00F421F8" w:rsidP="00F421F8">
      <w:pPr>
        <w:rPr>
          <w:rFonts w:eastAsia="Century Gothic" w:cs="Arial"/>
        </w:rPr>
      </w:pPr>
      <w:r w:rsidRPr="00131EED">
        <w:rPr>
          <w:rFonts w:eastAsia="Century Gothic" w:cs="Arial"/>
        </w:rPr>
        <w:t xml:space="preserve">En Bogotá, las localidades más vulnerables ante inundaciones y eventos de remoción en masa son aquellas con mayores índices de pobreza y densidad poblacional, como Bosa, Kennedy, Engativá, Fontibón, Suba, Tunjuelito, Rafael Uribe Uribe, Usme, Ciudad Bolívar y San Cristóbal. Chapinero y Usaquén presentan una alta vulnerabilidad a los incendios forestales. </w:t>
      </w:r>
    </w:p>
    <w:p w14:paraId="27C7F67C" w14:textId="77777777" w:rsidR="00F421F8" w:rsidRPr="00131EED" w:rsidRDefault="00F421F8" w:rsidP="00F421F8">
      <w:pPr>
        <w:rPr>
          <w:rFonts w:eastAsia="Century Gothic" w:cs="Arial"/>
        </w:rPr>
      </w:pPr>
    </w:p>
    <w:p w14:paraId="3D47BD3A" w14:textId="77777777" w:rsidR="00F421F8" w:rsidRPr="00131EED" w:rsidRDefault="00F421F8" w:rsidP="00F421F8">
      <w:pPr>
        <w:rPr>
          <w:rFonts w:eastAsia="Century Gothic" w:cs="Arial"/>
        </w:rPr>
      </w:pPr>
      <w:r w:rsidRPr="00131EED">
        <w:rPr>
          <w:rFonts w:eastAsia="Century Gothic" w:cs="Arial"/>
        </w:rPr>
        <w:t>Según el POMCA del Río Bogotá, elaborado por la CAR en 2019, más de 21.570 hectáreas de la Sabana de Bogotá se encuentran dentro de áreas con amenazas naturales, clasificadas como zonas de alta amenaza por inundaciones, movimientos en masa o avenidas torrenciales. A esta información deben sumarse las áreas identificadas con amenaza alta en los estudios básicos de riesgo realizados en el marco de la formulación o actualización de los Planes de Ordenamiento Territorial (POT). Estas áreas deben ser consideradas como determinantes ambientales del medio natural, con el fin de garantizar la protección y el adecuado funcionamiento del ciclo del agua y los ecosistemas asociados. Además, su inclusión busca salvaguardar la vida, la integridad y el patrimonio de las comunidades y sectores productivos que habitan o interactúan en la Sabana de Bogotá.</w:t>
      </w:r>
    </w:p>
    <w:p w14:paraId="04332D2B" w14:textId="77777777" w:rsidR="00F421F8" w:rsidRPr="00131EED" w:rsidRDefault="00F421F8" w:rsidP="00F421F8">
      <w:pPr>
        <w:rPr>
          <w:rFonts w:eastAsia="Century Gothic" w:cs="Arial"/>
        </w:rPr>
      </w:pPr>
    </w:p>
    <w:p w14:paraId="2655644F" w14:textId="77777777" w:rsidR="009572DB" w:rsidRPr="00131EED" w:rsidRDefault="009572DB">
      <w:pPr>
        <w:spacing w:after="200" w:line="276" w:lineRule="auto"/>
        <w:jc w:val="left"/>
        <w:rPr>
          <w:rFonts w:ascii="Arial" w:eastAsia="Calibri" w:hAnsi="Arial" w:cs="Arial"/>
          <w:i/>
          <w:iCs/>
          <w:color w:val="44546A"/>
          <w:sz w:val="18"/>
          <w:szCs w:val="18"/>
          <w:lang w:eastAsia="en-US"/>
        </w:rPr>
      </w:pPr>
      <w:r w:rsidRPr="00131EED">
        <w:br w:type="page"/>
      </w:r>
    </w:p>
    <w:p w14:paraId="3A588EF5" w14:textId="62C7718C" w:rsidR="00F421F8" w:rsidRPr="00131EED" w:rsidRDefault="00F421F8" w:rsidP="00F421F8">
      <w:pPr>
        <w:pStyle w:val="Caption"/>
        <w:jc w:val="center"/>
        <w:rPr>
          <w:rStyle w:val="SubtleReference"/>
          <w:smallCaps w:val="0"/>
          <w:color w:val="445369"/>
        </w:rPr>
      </w:pPr>
      <w:bookmarkStart w:id="329" w:name="_Toc216468857"/>
      <w:r w:rsidRPr="00131EED">
        <w:t xml:space="preserve">Ilustración </w:t>
      </w:r>
      <w:r w:rsidRPr="00131EED">
        <w:fldChar w:fldCharType="begin"/>
      </w:r>
      <w:r w:rsidRPr="00131EED">
        <w:instrText>SEQ Ilustración \* ARABIC</w:instrText>
      </w:r>
      <w:r w:rsidRPr="00131EED">
        <w:fldChar w:fldCharType="separate"/>
      </w:r>
      <w:r w:rsidR="00CE096F">
        <w:rPr>
          <w:noProof/>
        </w:rPr>
        <w:t>92</w:t>
      </w:r>
      <w:r w:rsidRPr="00131EED">
        <w:fldChar w:fldCharType="end"/>
      </w:r>
      <w:r w:rsidRPr="00131EED">
        <w:rPr>
          <w:rStyle w:val="SubtleReference"/>
          <w:smallCaps w:val="0"/>
          <w:color w:val="445369"/>
        </w:rPr>
        <w:t xml:space="preserve"> Áreas de Amenazas Naturales en la Sabana de Bogotá</w:t>
      </w:r>
      <w:bookmarkEnd w:id="329"/>
    </w:p>
    <w:p w14:paraId="727119A7" w14:textId="77777777" w:rsidR="00F421F8" w:rsidRPr="00131EED" w:rsidRDefault="00F421F8" w:rsidP="00F421F8">
      <w:pPr>
        <w:jc w:val="center"/>
        <w:rPr>
          <w:rFonts w:eastAsia="Century Gothic"/>
        </w:rPr>
      </w:pPr>
      <w:r w:rsidRPr="00131EED">
        <w:rPr>
          <w:noProof/>
          <w:lang w:eastAsia="en-US"/>
        </w:rPr>
        <w:drawing>
          <wp:inline distT="0" distB="0" distL="0" distR="0" wp14:anchorId="27EFCFC4" wp14:editId="393F031A">
            <wp:extent cx="3053288" cy="4320000"/>
            <wp:effectExtent l="0" t="0" r="0" b="4445"/>
            <wp:docPr id="186976048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760489" name=""/>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3053288" cy="4320000"/>
                    </a:xfrm>
                    <a:prstGeom prst="rect">
                      <a:avLst/>
                    </a:prstGeom>
                  </pic:spPr>
                </pic:pic>
              </a:graphicData>
            </a:graphic>
          </wp:inline>
        </w:drawing>
      </w:r>
    </w:p>
    <w:p w14:paraId="77F214E6" w14:textId="77777777" w:rsidR="00F421F8" w:rsidRPr="00131EED" w:rsidRDefault="00F421F8" w:rsidP="00F421F8">
      <w:pPr>
        <w:jc w:val="center"/>
        <w:rPr>
          <w:rFonts w:eastAsia="Century Gothic" w:cs="Arial"/>
          <w:sz w:val="20"/>
          <w:szCs w:val="20"/>
        </w:rPr>
      </w:pPr>
      <w:r w:rsidRPr="00131EED">
        <w:rPr>
          <w:rFonts w:eastAsia="Century Gothic" w:cs="Arial"/>
          <w:sz w:val="20"/>
          <w:szCs w:val="20"/>
        </w:rPr>
        <w:t>Fuente: CAR Cundinamarca. POMCA Río Bogotá, 2019.</w:t>
      </w:r>
    </w:p>
    <w:p w14:paraId="1D18B7DD" w14:textId="77777777" w:rsidR="00F421F8" w:rsidRPr="00131EED" w:rsidRDefault="00F421F8" w:rsidP="00F421F8">
      <w:pPr>
        <w:rPr>
          <w:rFonts w:ascii="Baskerville" w:eastAsia="Century Gothic" w:hAnsi="Baskerville" w:cs="Arial"/>
        </w:rPr>
      </w:pPr>
    </w:p>
    <w:p w14:paraId="585259F2" w14:textId="77777777" w:rsidR="00F421F8" w:rsidRPr="00131EED" w:rsidRDefault="00F421F8" w:rsidP="00F421F8">
      <w:pPr>
        <w:rPr>
          <w:rFonts w:eastAsia="Century Gothic" w:cs="Arial"/>
        </w:rPr>
      </w:pPr>
      <w:r w:rsidRPr="00131EED">
        <w:rPr>
          <w:rFonts w:eastAsia="Century Gothic" w:cs="Arial"/>
        </w:rPr>
        <w:t xml:space="preserve">A partir de lo anterior es relevante la aplicación en la Sabana de Bogotá de la </w:t>
      </w:r>
      <w:r w:rsidRPr="00131EED">
        <w:rPr>
          <w:rFonts w:eastAsia="Century Gothic" w:cs="Arial"/>
          <w:b/>
        </w:rPr>
        <w:t>Reducción del Riesgo de Desastres basada en Ecosistemas (Eco-RRD o eco-reducción)</w:t>
      </w:r>
      <w:r w:rsidRPr="00131EED">
        <w:rPr>
          <w:rFonts w:eastAsia="Century Gothic" w:cs="Arial"/>
        </w:rPr>
        <w:t>, un enfoque promovido por el Ministerio de Ambiente y Desarrollo Sostenible de Colombia que implica la gestión sostenible, conservación y restauración de los ecosistemas para disminuir el riesgo de desastres, con el objetivo de lograr un desarrollo sostenible y resiliente. Se basa en las Soluciones basadas en la Naturaleza (SbN) y considera esencial conocer el estado de los ecosistemas, el potencial de sus servicios ecosistémicos para reducir riesgos y la identificación de escenarios de riesgo actuales y futuros, especialmente aquellos relacionados con amenazas hidrometeorológicas.</w:t>
      </w:r>
    </w:p>
    <w:p w14:paraId="6A518FC0" w14:textId="77777777" w:rsidR="00F421F8" w:rsidRPr="00131EED" w:rsidRDefault="00F421F8" w:rsidP="00F421F8">
      <w:pPr>
        <w:rPr>
          <w:rFonts w:eastAsia="Century Gothic" w:cs="Arial"/>
        </w:rPr>
      </w:pPr>
    </w:p>
    <w:p w14:paraId="560495BC" w14:textId="77777777" w:rsidR="00F421F8" w:rsidRPr="00131EED" w:rsidRDefault="00F421F8" w:rsidP="00F421F8">
      <w:r w:rsidRPr="00131EED">
        <w:t>Eco-DRR es un enfoque donde los ecosistemas (por ejemplo, bosques de montaña, humedales y manglares) se aprovechan sistemáticamente para prevenir, mitigar o amortiguar contra los riesgos naturales y los impactos del cambio climático, como el aumento del nivel del mar. Eco-DRR reconoce que los ecosistemas pueden proporcionar servicios de reducción del riesgo de desastres, así como ofrecer otros servicios ecosistémicos de valor productivo, regulador y cultural, que también contribuyen a fortalecer la resiliencia local frente a desastres y al cambio climático. Las inversiones en enfoques de Eco-DRR proporcionan múltiples beneficios, no solo para aumentar la resiliencia frente a los riesgos de desastres y el cambio climático, sino especialmente para apoyar los medios de vida, el bienestar humano y la salud de los ecosistemas. </w:t>
      </w:r>
    </w:p>
    <w:p w14:paraId="25AEA0E9" w14:textId="77777777" w:rsidR="0049275E" w:rsidRPr="00131EED" w:rsidRDefault="0049275E" w:rsidP="00C53524">
      <w:pPr>
        <w:pStyle w:val="ListParagraph"/>
        <w:rPr>
          <w:rFonts w:ascii="Baskerville" w:hAnsi="Baskerville" w:cs="Arial"/>
          <w:sz w:val="24"/>
          <w:szCs w:val="24"/>
          <w:highlight w:val="yellow"/>
        </w:rPr>
      </w:pPr>
    </w:p>
    <w:p w14:paraId="411F5B50" w14:textId="05C7B106" w:rsidR="00A05FCD" w:rsidRPr="00131EED" w:rsidRDefault="00A05FCD" w:rsidP="567C331E">
      <w:pPr>
        <w:spacing w:after="200" w:line="276" w:lineRule="auto"/>
        <w:jc w:val="left"/>
        <w:rPr>
          <w:rFonts w:ascii="Baskerville" w:hAnsi="Baskerville" w:cs="Arial"/>
          <w:smallCaps/>
          <w:color w:val="000000"/>
          <w:sz w:val="36"/>
          <w:szCs w:val="36"/>
          <w:lang w:eastAsia="en-US"/>
        </w:rPr>
      </w:pPr>
      <w:r w:rsidRPr="00131EED">
        <w:rPr>
          <w:rFonts w:ascii="Baskerville" w:hAnsi="Baskerville" w:cs="Arial"/>
          <w:b/>
          <w:bCs/>
        </w:rPr>
        <w:br w:type="page"/>
      </w:r>
    </w:p>
    <w:p w14:paraId="0579EFFF" w14:textId="2BEFF146" w:rsidR="0039679F" w:rsidRPr="00131EED" w:rsidRDefault="005F2CA4" w:rsidP="00410194">
      <w:pPr>
        <w:pStyle w:val="Heading1"/>
        <w:numPr>
          <w:ilvl w:val="0"/>
          <w:numId w:val="31"/>
        </w:numPr>
      </w:pPr>
      <w:bookmarkStart w:id="330" w:name="_Toc216468737"/>
      <w:r w:rsidRPr="00131EED">
        <w:t>CONSERVACIÓN DEL SUELO</w:t>
      </w:r>
      <w:bookmarkEnd w:id="330"/>
      <w:r w:rsidRPr="00131EED">
        <w:t xml:space="preserve"> </w:t>
      </w:r>
    </w:p>
    <w:p w14:paraId="3886B7F5" w14:textId="77777777" w:rsidR="00565CA7" w:rsidRPr="00131EED" w:rsidRDefault="00565CA7" w:rsidP="00410194">
      <w:pPr>
        <w:pStyle w:val="Heading2"/>
        <w:numPr>
          <w:ilvl w:val="1"/>
          <w:numId w:val="31"/>
        </w:numPr>
        <w:rPr>
          <w:rFonts w:eastAsia="Georgia"/>
        </w:rPr>
      </w:pPr>
      <w:bookmarkStart w:id="331" w:name="_Toc216468738"/>
      <w:r w:rsidRPr="00131EED">
        <w:rPr>
          <w:rFonts w:eastAsia="Georgia"/>
        </w:rPr>
        <w:t>Degradación del suelo por sellamiento y pérdida de agroecosistemas rurales</w:t>
      </w:r>
      <w:bookmarkEnd w:id="331"/>
    </w:p>
    <w:p w14:paraId="234C0A7F" w14:textId="77777777" w:rsidR="00565CA7" w:rsidRPr="00131EED" w:rsidRDefault="00565CA7" w:rsidP="00565CA7">
      <w:pPr>
        <w:rPr>
          <w:rFonts w:ascii="Baskerville" w:hAnsi="Baskerville" w:cs="Arial"/>
        </w:rPr>
      </w:pPr>
    </w:p>
    <w:p w14:paraId="373B7178" w14:textId="0FBEA55D" w:rsidR="00565CA7" w:rsidRPr="00131EED" w:rsidRDefault="00565CA7" w:rsidP="00565CA7">
      <w:pPr>
        <w:rPr>
          <w:rFonts w:cs="Arial"/>
        </w:rPr>
      </w:pPr>
      <w:r w:rsidRPr="00131EED">
        <w:rPr>
          <w:rFonts w:cs="Arial"/>
        </w:rPr>
        <w:t>A partir del uso de imágenes satelitales tipo Landsat</w:t>
      </w:r>
      <w:r w:rsidRPr="00131EED">
        <w:rPr>
          <w:rFonts w:cs="Arial"/>
          <w:vertAlign w:val="superscript"/>
        </w:rPr>
        <w:footnoteReference w:id="12"/>
      </w:r>
      <w:r w:rsidRPr="00131EED">
        <w:rPr>
          <w:rFonts w:cs="Arial"/>
        </w:rPr>
        <w:t xml:space="preserve"> y mediante la adaptación hecha por el Instituto Geográfico Agustín Codazzi de la metodología europea CORINE LAND COVER</w:t>
      </w:r>
      <w:r w:rsidRPr="00131EED">
        <w:rPr>
          <w:rFonts w:cs="Arial"/>
          <w:vertAlign w:val="superscript"/>
        </w:rPr>
        <w:footnoteReference w:id="13"/>
      </w:r>
      <w:r w:rsidRPr="00131EED">
        <w:rPr>
          <w:rFonts w:cs="Arial"/>
        </w:rPr>
        <w:t xml:space="preserve">, fue posible realizar la caracterización de los cambios en las coberturas naturales y antropizadas del ámbito Sabana generando por tanto el proceso de sellamiento del suelo en buena parte de ellos, correspondientes al periodo 2000 a 2018, y que comprende </w:t>
      </w:r>
      <w:r w:rsidR="00704401" w:rsidRPr="00131EED">
        <w:rPr>
          <w:rFonts w:cs="Arial"/>
        </w:rPr>
        <w:t>31</w:t>
      </w:r>
      <w:r w:rsidRPr="00131EED">
        <w:rPr>
          <w:rFonts w:cs="Arial"/>
        </w:rPr>
        <w:t xml:space="preserve"> municipios </w:t>
      </w:r>
      <w:r w:rsidR="00D637E0" w:rsidRPr="00131EED">
        <w:rPr>
          <w:rFonts w:cs="Arial"/>
        </w:rPr>
        <w:t>del departamento de Cundinamarca</w:t>
      </w:r>
      <w:r w:rsidRPr="00131EED">
        <w:rPr>
          <w:rFonts w:cs="Arial"/>
        </w:rPr>
        <w:t>.</w:t>
      </w:r>
    </w:p>
    <w:p w14:paraId="7E7CDF6F" w14:textId="77777777" w:rsidR="00565CA7" w:rsidRPr="00131EED" w:rsidRDefault="00565CA7" w:rsidP="00565CA7">
      <w:pPr>
        <w:rPr>
          <w:rFonts w:cs="Arial"/>
        </w:rPr>
      </w:pPr>
    </w:p>
    <w:p w14:paraId="1794932C" w14:textId="0439F59D" w:rsidR="00565CA7" w:rsidRPr="00131EED" w:rsidRDefault="00565CA7" w:rsidP="00565CA7">
      <w:pPr>
        <w:rPr>
          <w:rFonts w:cs="Arial"/>
        </w:rPr>
      </w:pPr>
      <w:r w:rsidRPr="00131EED">
        <w:rPr>
          <w:rFonts w:cs="Arial"/>
        </w:rPr>
        <w:t>Según la leyenda nacional de coberturas de la tierra, los territorios artificializados comprenden “áreas de las ciudades y las poblaciones y, aquellas áreas periféricas que están siendo incorporadas a las zonas urbanas mediante un proceso gradual de urbanización o de cambio del uso del suelo hacia fines comerciales, industriales, de servicios y recreativos”</w:t>
      </w:r>
      <w:sdt>
        <w:sdtPr>
          <w:rPr>
            <w:rFonts w:cs="Arial"/>
          </w:rPr>
          <w:id w:val="-212114921"/>
          <w:citation/>
        </w:sdtPr>
        <w:sdtEndPr/>
        <w:sdtContent>
          <w:r w:rsidRPr="00131EED">
            <w:rPr>
              <w:rFonts w:cs="Arial"/>
            </w:rPr>
            <w:fldChar w:fldCharType="begin"/>
          </w:r>
          <w:r w:rsidRPr="00131EED">
            <w:rPr>
              <w:rFonts w:cs="Arial"/>
            </w:rPr>
            <w:instrText xml:space="preserve">CITATION Ins10 \l 2058 </w:instrText>
          </w:r>
          <w:r w:rsidRPr="00131EED">
            <w:rPr>
              <w:rFonts w:cs="Arial"/>
            </w:rPr>
            <w:fldChar w:fldCharType="separate"/>
          </w:r>
          <w:r w:rsidRPr="00131EED">
            <w:rPr>
              <w:rFonts w:cs="Arial"/>
            </w:rPr>
            <w:t xml:space="preserve"> (IGAC, 2010)</w:t>
          </w:r>
          <w:r w:rsidRPr="00131EED">
            <w:rPr>
              <w:rFonts w:cs="Arial"/>
            </w:rPr>
            <w:fldChar w:fldCharType="end"/>
          </w:r>
        </w:sdtContent>
      </w:sdt>
      <w:r w:rsidRPr="00131EED">
        <w:rPr>
          <w:rFonts w:cs="Arial"/>
        </w:rPr>
        <w:t>.</w:t>
      </w:r>
    </w:p>
    <w:p w14:paraId="311A9766" w14:textId="77777777" w:rsidR="00565CA7" w:rsidRPr="00131EED" w:rsidRDefault="00565CA7" w:rsidP="00410194">
      <w:pPr>
        <w:pStyle w:val="Heading3"/>
        <w:numPr>
          <w:ilvl w:val="2"/>
          <w:numId w:val="31"/>
        </w:numPr>
      </w:pPr>
      <w:bookmarkStart w:id="332" w:name="_Toc216468739"/>
      <w:r w:rsidRPr="00131EED">
        <w:rPr>
          <w:rFonts w:eastAsia="Century Gothic"/>
        </w:rPr>
        <w:t>El cambio de coberturas y la reducción de agroecosistemas</w:t>
      </w:r>
      <w:bookmarkEnd w:id="332"/>
      <w:r w:rsidRPr="00131EED">
        <w:rPr>
          <w:rFonts w:eastAsia="Century Gothic"/>
        </w:rPr>
        <w:t xml:space="preserve"> </w:t>
      </w:r>
    </w:p>
    <w:p w14:paraId="642F0157" w14:textId="77777777" w:rsidR="00565CA7" w:rsidRPr="00131EED" w:rsidRDefault="00565CA7" w:rsidP="00565CA7">
      <w:pPr>
        <w:rPr>
          <w:rFonts w:ascii="Baskerville" w:hAnsi="Baskerville" w:cs="Arial"/>
        </w:rPr>
      </w:pPr>
    </w:p>
    <w:p w14:paraId="7A5345E9" w14:textId="77AF8ABB" w:rsidR="00565CA7" w:rsidRPr="00131EED" w:rsidRDefault="00565CA7" w:rsidP="00565CA7">
      <w:pPr>
        <w:rPr>
          <w:rFonts w:cs="Arial"/>
        </w:rPr>
      </w:pPr>
      <w:r w:rsidRPr="00131EED">
        <w:rPr>
          <w:rFonts w:cs="Arial"/>
        </w:rPr>
        <w:t>Los resultados del análisis evidencian que en ámbito Sabana, en el periodo comprendido entre el año 200</w:t>
      </w:r>
      <w:r w:rsidR="006C0C03" w:rsidRPr="00131EED">
        <w:rPr>
          <w:rFonts w:cs="Arial"/>
        </w:rPr>
        <w:t>2</w:t>
      </w:r>
      <w:r w:rsidRPr="00131EED">
        <w:rPr>
          <w:rFonts w:cs="Arial"/>
        </w:rPr>
        <w:t xml:space="preserve"> y el año 2018, aumentaron en </w:t>
      </w:r>
      <w:r w:rsidR="0089796E" w:rsidRPr="00131EED">
        <w:rPr>
          <w:rFonts w:cs="Arial"/>
        </w:rPr>
        <w:t>18.389 ha + 8.319 m</w:t>
      </w:r>
      <w:r w:rsidR="0089796E" w:rsidRPr="00131EED">
        <w:rPr>
          <w:rFonts w:cs="Arial"/>
          <w:vertAlign w:val="superscript"/>
        </w:rPr>
        <w:t>2</w:t>
      </w:r>
      <w:r w:rsidRPr="00131EED">
        <w:rPr>
          <w:rFonts w:cs="Arial"/>
        </w:rPr>
        <w:t>de territorios artificializados, especialmente las relacionadas con zonas urbanizadas y zonas industriales, comerciales y redes de comunicación</w:t>
      </w:r>
      <w:r w:rsidR="006C0C03" w:rsidRPr="00131EED">
        <w:rPr>
          <w:rFonts w:cs="Arial"/>
        </w:rPr>
        <w:t xml:space="preserve">, lo que implica un aumento del 48% </w:t>
      </w:r>
      <w:r w:rsidR="004445E5" w:rsidRPr="00131EED">
        <w:rPr>
          <w:rFonts w:cs="Arial"/>
        </w:rPr>
        <w:t>entre el periodo en mención.</w:t>
      </w:r>
    </w:p>
    <w:p w14:paraId="028F37F9" w14:textId="77777777" w:rsidR="00E80D64" w:rsidRPr="00131EED" w:rsidRDefault="00E80D64" w:rsidP="00565CA7">
      <w:pPr>
        <w:rPr>
          <w:rFonts w:cs="Arial"/>
        </w:rPr>
      </w:pPr>
    </w:p>
    <w:p w14:paraId="64B886C7" w14:textId="6EA6D8BD" w:rsidR="004445E5" w:rsidRPr="00131EED" w:rsidRDefault="004445E5" w:rsidP="004445E5">
      <w:pPr>
        <w:pStyle w:val="Caption"/>
        <w:keepNext/>
        <w:jc w:val="center"/>
      </w:pPr>
      <w:bookmarkStart w:id="333" w:name="_Toc216468966"/>
      <w:r w:rsidRPr="00131EED">
        <w:t xml:space="preserve">Tabla </w:t>
      </w:r>
      <w:fldSimple w:instr=" SEQ Tabla \* ARABIC ">
        <w:r w:rsidR="00CE096F">
          <w:rPr>
            <w:noProof/>
          </w:rPr>
          <w:t>56</w:t>
        </w:r>
      </w:fldSimple>
      <w:r w:rsidRPr="00131EED">
        <w:t>. Incremento de áreas de territorios artificializados 2002 - 2018.</w:t>
      </w:r>
      <w:bookmarkEnd w:id="333"/>
    </w:p>
    <w:tbl>
      <w:tblPr>
        <w:tblStyle w:val="TableGrid"/>
        <w:tblW w:w="0" w:type="auto"/>
        <w:jc w:val="center"/>
        <w:tblLook w:val="04A0" w:firstRow="1" w:lastRow="0" w:firstColumn="1" w:lastColumn="0" w:noHBand="0" w:noVBand="1"/>
      </w:tblPr>
      <w:tblGrid>
        <w:gridCol w:w="4414"/>
        <w:gridCol w:w="4414"/>
      </w:tblGrid>
      <w:tr w:rsidR="00E80D64" w:rsidRPr="00131EED" w14:paraId="11B6EDB9" w14:textId="77777777" w:rsidTr="004445E5">
        <w:trPr>
          <w:jc w:val="center"/>
        </w:trPr>
        <w:tc>
          <w:tcPr>
            <w:tcW w:w="4414" w:type="dxa"/>
            <w:vAlign w:val="center"/>
          </w:tcPr>
          <w:p w14:paraId="3299DD01" w14:textId="2B92539A" w:rsidR="00E80D64" w:rsidRPr="00131EED" w:rsidRDefault="00D12735" w:rsidP="004445E5">
            <w:pPr>
              <w:jc w:val="center"/>
              <w:rPr>
                <w:rFonts w:cs="Arial"/>
              </w:rPr>
            </w:pPr>
            <w:r w:rsidRPr="00131EED">
              <w:rPr>
                <w:rFonts w:cs="Arial"/>
              </w:rPr>
              <w:t>Año</w:t>
            </w:r>
            <w:r w:rsidR="004445E5" w:rsidRPr="00131EED">
              <w:rPr>
                <w:rFonts w:cs="Arial"/>
              </w:rPr>
              <w:t xml:space="preserve"> de información</w:t>
            </w:r>
            <w:r w:rsidRPr="00131EED">
              <w:rPr>
                <w:rFonts w:cs="Arial"/>
              </w:rPr>
              <w:t xml:space="preserve"> Corine Land Cover</w:t>
            </w:r>
          </w:p>
        </w:tc>
        <w:tc>
          <w:tcPr>
            <w:tcW w:w="4414" w:type="dxa"/>
            <w:vAlign w:val="center"/>
          </w:tcPr>
          <w:p w14:paraId="53C04228" w14:textId="535DD2F1" w:rsidR="00E80D64" w:rsidRPr="00131EED" w:rsidRDefault="00D12735" w:rsidP="004445E5">
            <w:pPr>
              <w:jc w:val="center"/>
              <w:rPr>
                <w:rFonts w:cs="Arial"/>
              </w:rPr>
            </w:pPr>
            <w:r w:rsidRPr="00131EED">
              <w:rPr>
                <w:rFonts w:cs="Arial"/>
              </w:rPr>
              <w:t>Numero de ha de territorios artificializados</w:t>
            </w:r>
          </w:p>
        </w:tc>
      </w:tr>
      <w:tr w:rsidR="00E80D64" w:rsidRPr="00131EED" w14:paraId="0F34E978" w14:textId="77777777" w:rsidTr="004445E5">
        <w:trPr>
          <w:jc w:val="center"/>
        </w:trPr>
        <w:tc>
          <w:tcPr>
            <w:tcW w:w="4414" w:type="dxa"/>
            <w:vAlign w:val="center"/>
          </w:tcPr>
          <w:p w14:paraId="31CA88FB" w14:textId="2DD484FE" w:rsidR="00E80D64" w:rsidRPr="00131EED" w:rsidRDefault="00D12735" w:rsidP="004445E5">
            <w:pPr>
              <w:jc w:val="center"/>
              <w:rPr>
                <w:rFonts w:cs="Arial"/>
              </w:rPr>
            </w:pPr>
            <w:r w:rsidRPr="00131EED">
              <w:rPr>
                <w:rFonts w:cs="Arial"/>
              </w:rPr>
              <w:t xml:space="preserve">Año </w:t>
            </w:r>
            <w:r w:rsidR="00E80D64" w:rsidRPr="00131EED">
              <w:rPr>
                <w:rFonts w:cs="Arial"/>
              </w:rPr>
              <w:t>20</w:t>
            </w:r>
            <w:r w:rsidR="00EE3F0A" w:rsidRPr="00131EED">
              <w:rPr>
                <w:rFonts w:cs="Arial"/>
              </w:rPr>
              <w:t>0</w:t>
            </w:r>
            <w:r w:rsidR="00E80D64" w:rsidRPr="00131EED">
              <w:rPr>
                <w:rFonts w:cs="Arial"/>
              </w:rPr>
              <w:t>2</w:t>
            </w:r>
          </w:p>
        </w:tc>
        <w:tc>
          <w:tcPr>
            <w:tcW w:w="4414" w:type="dxa"/>
            <w:vAlign w:val="center"/>
          </w:tcPr>
          <w:p w14:paraId="41F5D68E" w14:textId="4C9EC0D1" w:rsidR="00E80D64" w:rsidRPr="00131EED" w:rsidRDefault="00E80D64" w:rsidP="004445E5">
            <w:pPr>
              <w:jc w:val="center"/>
              <w:rPr>
                <w:rFonts w:cs="Arial"/>
              </w:rPr>
            </w:pPr>
            <w:r w:rsidRPr="00131EED">
              <w:rPr>
                <w:rFonts w:cs="Arial"/>
              </w:rPr>
              <w:t>37</w:t>
            </w:r>
            <w:r w:rsidR="00EA42D0" w:rsidRPr="00131EED">
              <w:rPr>
                <w:rFonts w:cs="Arial"/>
              </w:rPr>
              <w:t>.</w:t>
            </w:r>
            <w:r w:rsidRPr="00131EED">
              <w:rPr>
                <w:rFonts w:cs="Arial"/>
              </w:rPr>
              <w:t>817</w:t>
            </w:r>
            <w:r w:rsidR="00F674B1" w:rsidRPr="00131EED">
              <w:rPr>
                <w:rFonts w:cs="Arial"/>
              </w:rPr>
              <w:t xml:space="preserve"> ha + </w:t>
            </w:r>
            <w:r w:rsidRPr="00131EED">
              <w:rPr>
                <w:rFonts w:cs="Arial"/>
              </w:rPr>
              <w:t>3</w:t>
            </w:r>
            <w:r w:rsidR="00EA42D0" w:rsidRPr="00131EED">
              <w:rPr>
                <w:rFonts w:cs="Arial"/>
              </w:rPr>
              <w:t>.</w:t>
            </w:r>
            <w:r w:rsidRPr="00131EED">
              <w:rPr>
                <w:rFonts w:cs="Arial"/>
              </w:rPr>
              <w:t>090</w:t>
            </w:r>
            <w:r w:rsidR="00F674B1" w:rsidRPr="00131EED">
              <w:rPr>
                <w:rFonts w:cs="Arial"/>
              </w:rPr>
              <w:t xml:space="preserve"> m</w:t>
            </w:r>
            <w:r w:rsidR="00F674B1" w:rsidRPr="00131EED">
              <w:rPr>
                <w:rFonts w:cs="Arial"/>
                <w:vertAlign w:val="superscript"/>
              </w:rPr>
              <w:t>2</w:t>
            </w:r>
          </w:p>
        </w:tc>
      </w:tr>
      <w:tr w:rsidR="00E80D64" w:rsidRPr="00131EED" w14:paraId="6D8BBBF9" w14:textId="77777777" w:rsidTr="004445E5">
        <w:trPr>
          <w:jc w:val="center"/>
        </w:trPr>
        <w:tc>
          <w:tcPr>
            <w:tcW w:w="4414" w:type="dxa"/>
            <w:vAlign w:val="center"/>
          </w:tcPr>
          <w:p w14:paraId="7BED58F0" w14:textId="03FE8CCD" w:rsidR="00E80D64" w:rsidRPr="00131EED" w:rsidRDefault="00D12735" w:rsidP="004445E5">
            <w:pPr>
              <w:jc w:val="center"/>
              <w:rPr>
                <w:rFonts w:cs="Arial"/>
              </w:rPr>
            </w:pPr>
            <w:r w:rsidRPr="00131EED">
              <w:rPr>
                <w:rFonts w:cs="Arial"/>
              </w:rPr>
              <w:t>Año 2018</w:t>
            </w:r>
          </w:p>
        </w:tc>
        <w:tc>
          <w:tcPr>
            <w:tcW w:w="4414" w:type="dxa"/>
            <w:vAlign w:val="center"/>
          </w:tcPr>
          <w:p w14:paraId="5B79DFCE" w14:textId="0157F177" w:rsidR="00E80D64" w:rsidRPr="00131EED" w:rsidRDefault="00D12735" w:rsidP="004445E5">
            <w:pPr>
              <w:jc w:val="center"/>
              <w:rPr>
                <w:rFonts w:cs="Arial"/>
              </w:rPr>
            </w:pPr>
            <w:r w:rsidRPr="00131EED">
              <w:rPr>
                <w:rFonts w:cs="Arial"/>
              </w:rPr>
              <w:t>56</w:t>
            </w:r>
            <w:r w:rsidR="00EA42D0" w:rsidRPr="00131EED">
              <w:rPr>
                <w:rFonts w:cs="Arial"/>
              </w:rPr>
              <w:t>.</w:t>
            </w:r>
            <w:r w:rsidRPr="00131EED">
              <w:rPr>
                <w:rFonts w:cs="Arial"/>
              </w:rPr>
              <w:t>207</w:t>
            </w:r>
            <w:r w:rsidR="00F674B1" w:rsidRPr="00131EED">
              <w:rPr>
                <w:rFonts w:cs="Arial"/>
              </w:rPr>
              <w:t xml:space="preserve"> ha + </w:t>
            </w:r>
            <w:r w:rsidRPr="00131EED">
              <w:rPr>
                <w:rFonts w:cs="Arial"/>
              </w:rPr>
              <w:t>1</w:t>
            </w:r>
            <w:r w:rsidR="00EA42D0" w:rsidRPr="00131EED">
              <w:rPr>
                <w:rFonts w:cs="Arial"/>
              </w:rPr>
              <w:t>.</w:t>
            </w:r>
            <w:r w:rsidRPr="00131EED">
              <w:rPr>
                <w:rFonts w:cs="Arial"/>
              </w:rPr>
              <w:t>409</w:t>
            </w:r>
            <w:r w:rsidR="00F674B1" w:rsidRPr="00131EED">
              <w:rPr>
                <w:rFonts w:cs="Arial"/>
              </w:rPr>
              <w:t xml:space="preserve"> m</w:t>
            </w:r>
            <w:r w:rsidR="00F674B1" w:rsidRPr="00131EED">
              <w:rPr>
                <w:rFonts w:cs="Arial"/>
                <w:vertAlign w:val="superscript"/>
              </w:rPr>
              <w:t>2</w:t>
            </w:r>
          </w:p>
        </w:tc>
      </w:tr>
      <w:tr w:rsidR="00E80D64" w:rsidRPr="00131EED" w14:paraId="7D550E87" w14:textId="77777777" w:rsidTr="004445E5">
        <w:trPr>
          <w:jc w:val="center"/>
        </w:trPr>
        <w:tc>
          <w:tcPr>
            <w:tcW w:w="4414" w:type="dxa"/>
            <w:vAlign w:val="center"/>
          </w:tcPr>
          <w:p w14:paraId="24B72D01" w14:textId="67042A43" w:rsidR="00E80D64" w:rsidRPr="00131EED" w:rsidRDefault="00F674B1" w:rsidP="004445E5">
            <w:pPr>
              <w:jc w:val="center"/>
              <w:rPr>
                <w:rFonts w:cs="Arial"/>
              </w:rPr>
            </w:pPr>
            <w:r w:rsidRPr="00131EED">
              <w:rPr>
                <w:rFonts w:cs="Arial"/>
              </w:rPr>
              <w:t>Crecimiento</w:t>
            </w:r>
          </w:p>
        </w:tc>
        <w:tc>
          <w:tcPr>
            <w:tcW w:w="4414" w:type="dxa"/>
            <w:vAlign w:val="center"/>
          </w:tcPr>
          <w:p w14:paraId="2246486C" w14:textId="39195408" w:rsidR="00E80D64" w:rsidRPr="00131EED" w:rsidRDefault="00EA42D0" w:rsidP="004445E5">
            <w:pPr>
              <w:keepNext/>
              <w:jc w:val="center"/>
              <w:rPr>
                <w:rFonts w:cs="Arial"/>
              </w:rPr>
            </w:pPr>
            <w:r w:rsidRPr="00131EED">
              <w:rPr>
                <w:rFonts w:cs="Arial"/>
              </w:rPr>
              <w:t>18.389 ha + 8.319 m</w:t>
            </w:r>
            <w:r w:rsidRPr="00131EED">
              <w:rPr>
                <w:rFonts w:cs="Arial"/>
                <w:vertAlign w:val="superscript"/>
              </w:rPr>
              <w:t>2</w:t>
            </w:r>
          </w:p>
        </w:tc>
      </w:tr>
    </w:tbl>
    <w:p w14:paraId="58396BEE" w14:textId="77777777" w:rsidR="009572DB" w:rsidRPr="00131EED" w:rsidRDefault="009572DB" w:rsidP="00DD7A96">
      <w:pPr>
        <w:jc w:val="center"/>
        <w:rPr>
          <w:rFonts w:cs="Arial"/>
          <w:sz w:val="20"/>
          <w:szCs w:val="20"/>
        </w:rPr>
      </w:pPr>
    </w:p>
    <w:p w14:paraId="3AB37F3B" w14:textId="7373D83B" w:rsidR="00DD7A96" w:rsidRPr="00131EED" w:rsidRDefault="00DD7A96" w:rsidP="00DD7A96">
      <w:pPr>
        <w:jc w:val="center"/>
        <w:rPr>
          <w:rFonts w:cs="Arial"/>
          <w:sz w:val="20"/>
          <w:szCs w:val="20"/>
        </w:rPr>
      </w:pPr>
      <w:r w:rsidRPr="00131EED">
        <w:rPr>
          <w:rFonts w:cs="Arial"/>
          <w:sz w:val="20"/>
          <w:szCs w:val="20"/>
        </w:rPr>
        <w:t>Fuente: Elaboración propia con datos del IGAC (2002) e IGAC (2018).</w:t>
      </w:r>
    </w:p>
    <w:p w14:paraId="3867742F" w14:textId="77777777" w:rsidR="00DD7A96" w:rsidRPr="00131EED" w:rsidRDefault="00DD7A96" w:rsidP="00DD7A96">
      <w:pPr>
        <w:pStyle w:val="Caption"/>
        <w:jc w:val="center"/>
        <w:rPr>
          <w:sz w:val="14"/>
          <w:szCs w:val="14"/>
        </w:rPr>
      </w:pPr>
    </w:p>
    <w:p w14:paraId="53E4BDC8" w14:textId="17405A33" w:rsidR="00561753" w:rsidRPr="00131EED" w:rsidRDefault="00561753" w:rsidP="00561753">
      <w:pPr>
        <w:rPr>
          <w:lang w:eastAsia="en-US"/>
        </w:rPr>
      </w:pPr>
    </w:p>
    <w:p w14:paraId="5F9C43FE" w14:textId="77777777" w:rsidR="00561753" w:rsidRPr="00131EED" w:rsidRDefault="00561753" w:rsidP="00561753">
      <w:pPr>
        <w:rPr>
          <w:lang w:eastAsia="en-US"/>
        </w:rPr>
      </w:pPr>
    </w:p>
    <w:p w14:paraId="78F21601" w14:textId="77777777" w:rsidR="00561753" w:rsidRPr="00131EED" w:rsidRDefault="00561753" w:rsidP="00561753">
      <w:pPr>
        <w:rPr>
          <w:lang w:eastAsia="en-US"/>
        </w:rPr>
      </w:pPr>
    </w:p>
    <w:p w14:paraId="6C0A7272" w14:textId="7BE34946" w:rsidR="00DD7A96" w:rsidRPr="00131EED" w:rsidRDefault="00DD7A96" w:rsidP="00DD7A96">
      <w:pPr>
        <w:pStyle w:val="Caption"/>
        <w:jc w:val="center"/>
      </w:pPr>
      <w:bookmarkStart w:id="334" w:name="_Toc216468858"/>
      <w:r w:rsidRPr="00131EED">
        <w:t xml:space="preserve">Ilustración </w:t>
      </w:r>
      <w:fldSimple w:instr=" SEQ Ilustración \* ARABIC ">
        <w:r w:rsidR="00CE096F">
          <w:rPr>
            <w:noProof/>
          </w:rPr>
          <w:t>93</w:t>
        </w:r>
      </w:fldSimple>
      <w:r w:rsidRPr="00131EED">
        <w:t>. Incremento de áreas de territorios artificializados 2002 - 2018.</w:t>
      </w:r>
      <w:bookmarkEnd w:id="334"/>
    </w:p>
    <w:p w14:paraId="6CA7FB6E" w14:textId="77777777" w:rsidR="00DD7A96" w:rsidRPr="00131EED" w:rsidRDefault="00C909E9" w:rsidP="00DD7A96">
      <w:pPr>
        <w:keepNext/>
        <w:jc w:val="center"/>
      </w:pPr>
      <w:r w:rsidRPr="00131EED">
        <w:rPr>
          <w:rFonts w:cs="Arial"/>
          <w:noProof/>
          <w:lang w:eastAsia="en-US"/>
        </w:rPr>
        <w:drawing>
          <wp:inline distT="0" distB="0" distL="0" distR="0" wp14:anchorId="1F81B01A" wp14:editId="06D9FFB7">
            <wp:extent cx="2906036" cy="3761274"/>
            <wp:effectExtent l="0" t="0" r="8890" b="0"/>
            <wp:docPr id="56824626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916443" cy="3774744"/>
                    </a:xfrm>
                    <a:prstGeom prst="rect">
                      <a:avLst/>
                    </a:prstGeom>
                    <a:noFill/>
                    <a:ln>
                      <a:noFill/>
                    </a:ln>
                  </pic:spPr>
                </pic:pic>
              </a:graphicData>
            </a:graphic>
          </wp:inline>
        </w:drawing>
      </w:r>
    </w:p>
    <w:p w14:paraId="3E3B490B" w14:textId="3EE23DD5" w:rsidR="00DD7A96" w:rsidRPr="00131EED" w:rsidRDefault="00DD7A96" w:rsidP="00DD7A96">
      <w:pPr>
        <w:jc w:val="center"/>
        <w:rPr>
          <w:rFonts w:cs="Arial"/>
          <w:sz w:val="20"/>
          <w:szCs w:val="20"/>
        </w:rPr>
      </w:pPr>
      <w:r w:rsidRPr="00131EED">
        <w:rPr>
          <w:rFonts w:cs="Arial"/>
          <w:sz w:val="20"/>
          <w:szCs w:val="20"/>
        </w:rPr>
        <w:t>Fuente: Elaboración propia con datos del IGAC (2002) e IGAC (2018).</w:t>
      </w:r>
    </w:p>
    <w:p w14:paraId="4F4FA058" w14:textId="77777777" w:rsidR="008D0CBF" w:rsidRPr="00131EED" w:rsidRDefault="008D0CBF" w:rsidP="00565CA7">
      <w:pPr>
        <w:rPr>
          <w:rFonts w:cs="Arial"/>
          <w:sz w:val="20"/>
          <w:szCs w:val="20"/>
        </w:rPr>
      </w:pPr>
    </w:p>
    <w:p w14:paraId="5BA5CCA7" w14:textId="6DDB746C" w:rsidR="00D71684" w:rsidRPr="00131EED" w:rsidRDefault="00565CA7" w:rsidP="00A03C9E">
      <w:pPr>
        <w:rPr>
          <w:rFonts w:cs="Arial"/>
        </w:rPr>
      </w:pPr>
      <w:r w:rsidRPr="00131EED">
        <w:rPr>
          <w:rFonts w:cs="Arial"/>
        </w:rPr>
        <w:t>En términos de la sustitución de coberturas naturales por dinámicas de artificialización, pudo evidenciarse que en el periodo 200</w:t>
      </w:r>
      <w:r w:rsidR="00BB749A" w:rsidRPr="00131EED">
        <w:rPr>
          <w:rFonts w:cs="Arial"/>
        </w:rPr>
        <w:t>2</w:t>
      </w:r>
      <w:r w:rsidRPr="00131EED">
        <w:rPr>
          <w:rFonts w:cs="Arial"/>
        </w:rPr>
        <w:t xml:space="preserve"> a 2018</w:t>
      </w:r>
      <w:r w:rsidR="009543DF" w:rsidRPr="00131EED">
        <w:rPr>
          <w:rFonts w:cs="Arial"/>
        </w:rPr>
        <w:t xml:space="preserve">, los territorios artificializados pasaron de </w:t>
      </w:r>
      <w:r w:rsidR="00A03C9E" w:rsidRPr="00131EED">
        <w:rPr>
          <w:rFonts w:cs="Arial"/>
        </w:rPr>
        <w:t>37.817 ha + 3090 m2</w:t>
      </w:r>
      <w:r w:rsidR="00A03C9E" w:rsidRPr="00131EED">
        <w:rPr>
          <w:rFonts w:cs="Arial"/>
        </w:rPr>
        <w:tab/>
        <w:t xml:space="preserve">en 2002 a 56.207 ha </w:t>
      </w:r>
      <w:r w:rsidR="00FB2B0E" w:rsidRPr="00131EED">
        <w:rPr>
          <w:rFonts w:cs="Arial"/>
        </w:rPr>
        <w:t xml:space="preserve">+ </w:t>
      </w:r>
      <w:r w:rsidR="00A03C9E" w:rsidRPr="00131EED">
        <w:rPr>
          <w:rFonts w:cs="Arial"/>
        </w:rPr>
        <w:t>141</w:t>
      </w:r>
      <w:r w:rsidR="00FB2B0E" w:rsidRPr="00131EED">
        <w:rPr>
          <w:rFonts w:cs="Arial"/>
        </w:rPr>
        <w:t>0 m2 en 2018, lo que significa un incremento de</w:t>
      </w:r>
      <w:r w:rsidR="0081736A" w:rsidRPr="00131EED">
        <w:rPr>
          <w:rFonts w:cs="Arial"/>
        </w:rPr>
        <w:t>l</w:t>
      </w:r>
      <w:r w:rsidR="00FB2B0E" w:rsidRPr="00131EED">
        <w:rPr>
          <w:rFonts w:cs="Arial"/>
        </w:rPr>
        <w:t xml:space="preserve"> </w:t>
      </w:r>
      <w:r w:rsidR="00A03C9E" w:rsidRPr="00131EED">
        <w:rPr>
          <w:rFonts w:cs="Arial"/>
        </w:rPr>
        <w:t>48.63%</w:t>
      </w:r>
      <w:r w:rsidR="0081736A" w:rsidRPr="00131EED">
        <w:rPr>
          <w:rFonts w:cs="Arial"/>
        </w:rPr>
        <w:t xml:space="preserve">, en contraste </w:t>
      </w:r>
      <w:r w:rsidR="00D67973" w:rsidRPr="00131EED">
        <w:rPr>
          <w:rFonts w:cs="Arial"/>
        </w:rPr>
        <w:t>los territorios agrícolas y las áreas húmedas presentaron una reducción de su área.</w:t>
      </w:r>
    </w:p>
    <w:p w14:paraId="5A463EA3" w14:textId="77777777" w:rsidR="006F333E" w:rsidRPr="00131EED" w:rsidRDefault="006F333E" w:rsidP="00A03C9E">
      <w:pPr>
        <w:rPr>
          <w:rFonts w:cs="Arial"/>
        </w:rPr>
      </w:pPr>
    </w:p>
    <w:p w14:paraId="1B191081" w14:textId="00EA7835" w:rsidR="00C034BB" w:rsidRPr="00131EED" w:rsidRDefault="00C034BB" w:rsidP="00C034BB">
      <w:pPr>
        <w:pStyle w:val="Caption"/>
        <w:keepNext/>
        <w:jc w:val="center"/>
      </w:pPr>
      <w:bookmarkStart w:id="335" w:name="_Toc216468967"/>
      <w:r w:rsidRPr="00131EED">
        <w:t xml:space="preserve">Tabla </w:t>
      </w:r>
      <w:fldSimple w:instr=" SEQ Tabla \* ARABIC ">
        <w:r w:rsidR="00CE096F">
          <w:rPr>
            <w:noProof/>
          </w:rPr>
          <w:t>57</w:t>
        </w:r>
      </w:fldSimple>
      <w:r w:rsidRPr="00131EED">
        <w:t>. Variación de coberturas años 2002 – 2018.</w:t>
      </w:r>
      <w:bookmarkEnd w:id="335"/>
    </w:p>
    <w:tbl>
      <w:tblPr>
        <w:tblW w:w="6040" w:type="dxa"/>
        <w:jc w:val="center"/>
        <w:tblLook w:val="04A0" w:firstRow="1" w:lastRow="0" w:firstColumn="1" w:lastColumn="0" w:noHBand="0" w:noVBand="1"/>
      </w:tblPr>
      <w:tblGrid>
        <w:gridCol w:w="2820"/>
        <w:gridCol w:w="960"/>
        <w:gridCol w:w="1300"/>
        <w:gridCol w:w="960"/>
      </w:tblGrid>
      <w:tr w:rsidR="006F416B" w:rsidRPr="00131EED" w14:paraId="551AA0CA" w14:textId="77777777" w:rsidTr="00C034BB">
        <w:trPr>
          <w:trHeight w:val="288"/>
          <w:jc w:val="center"/>
        </w:trPr>
        <w:tc>
          <w:tcPr>
            <w:tcW w:w="2820" w:type="dxa"/>
            <w:tcBorders>
              <w:top w:val="single" w:sz="4" w:space="0" w:color="auto"/>
              <w:left w:val="single" w:sz="4" w:space="0" w:color="auto"/>
              <w:bottom w:val="single" w:sz="4" w:space="0" w:color="auto"/>
              <w:right w:val="single" w:sz="4" w:space="0" w:color="auto"/>
            </w:tcBorders>
            <w:noWrap/>
            <w:vAlign w:val="center"/>
            <w:hideMark/>
          </w:tcPr>
          <w:p w14:paraId="22B5C99F" w14:textId="77777777" w:rsidR="006F416B" w:rsidRPr="00131EED" w:rsidRDefault="006F416B" w:rsidP="006F416B">
            <w:pPr>
              <w:jc w:val="center"/>
              <w:rPr>
                <w:b/>
                <w:color w:val="000000"/>
                <w:sz w:val="20"/>
                <w:szCs w:val="20"/>
                <w:lang w:eastAsia="en-US"/>
              </w:rPr>
            </w:pPr>
            <w:r w:rsidRPr="00131EED">
              <w:rPr>
                <w:b/>
                <w:color w:val="000000"/>
                <w:sz w:val="20"/>
                <w:szCs w:val="20"/>
                <w:lang w:eastAsia="en-US"/>
              </w:rPr>
              <w:t>Leyenda Corine Land Cover</w:t>
            </w:r>
          </w:p>
        </w:tc>
        <w:tc>
          <w:tcPr>
            <w:tcW w:w="960" w:type="dxa"/>
            <w:tcBorders>
              <w:top w:val="single" w:sz="4" w:space="0" w:color="auto"/>
              <w:left w:val="nil"/>
              <w:bottom w:val="single" w:sz="4" w:space="0" w:color="auto"/>
              <w:right w:val="single" w:sz="4" w:space="0" w:color="auto"/>
            </w:tcBorders>
            <w:noWrap/>
            <w:vAlign w:val="center"/>
            <w:hideMark/>
          </w:tcPr>
          <w:p w14:paraId="33048C3D" w14:textId="77777777" w:rsidR="006F416B" w:rsidRPr="00131EED" w:rsidRDefault="006F416B" w:rsidP="006F416B">
            <w:pPr>
              <w:jc w:val="center"/>
              <w:rPr>
                <w:b/>
                <w:color w:val="000000"/>
                <w:sz w:val="20"/>
                <w:szCs w:val="20"/>
                <w:lang w:eastAsia="en-US"/>
              </w:rPr>
            </w:pPr>
            <w:r w:rsidRPr="00131EED">
              <w:rPr>
                <w:b/>
                <w:color w:val="000000"/>
                <w:sz w:val="20"/>
                <w:szCs w:val="20"/>
                <w:lang w:eastAsia="en-US"/>
              </w:rPr>
              <w:t>2002 (ha)</w:t>
            </w:r>
          </w:p>
        </w:tc>
        <w:tc>
          <w:tcPr>
            <w:tcW w:w="1300" w:type="dxa"/>
            <w:tcBorders>
              <w:top w:val="single" w:sz="4" w:space="0" w:color="auto"/>
              <w:left w:val="nil"/>
              <w:bottom w:val="single" w:sz="4" w:space="0" w:color="auto"/>
              <w:right w:val="single" w:sz="4" w:space="0" w:color="auto"/>
            </w:tcBorders>
            <w:noWrap/>
            <w:vAlign w:val="center"/>
            <w:hideMark/>
          </w:tcPr>
          <w:p w14:paraId="5084D1D5" w14:textId="77777777" w:rsidR="006F416B" w:rsidRPr="00131EED" w:rsidRDefault="006F416B" w:rsidP="006F416B">
            <w:pPr>
              <w:jc w:val="center"/>
              <w:rPr>
                <w:b/>
                <w:color w:val="000000"/>
                <w:sz w:val="20"/>
                <w:szCs w:val="20"/>
                <w:lang w:eastAsia="en-US"/>
              </w:rPr>
            </w:pPr>
            <w:r w:rsidRPr="00131EED">
              <w:rPr>
                <w:b/>
                <w:color w:val="000000"/>
                <w:sz w:val="20"/>
                <w:szCs w:val="20"/>
                <w:lang w:eastAsia="en-US"/>
              </w:rPr>
              <w:t>2018 (ha)</w:t>
            </w:r>
          </w:p>
        </w:tc>
        <w:tc>
          <w:tcPr>
            <w:tcW w:w="960" w:type="dxa"/>
            <w:tcBorders>
              <w:top w:val="single" w:sz="4" w:space="0" w:color="auto"/>
              <w:left w:val="nil"/>
              <w:bottom w:val="single" w:sz="4" w:space="0" w:color="auto"/>
              <w:right w:val="single" w:sz="4" w:space="0" w:color="auto"/>
            </w:tcBorders>
            <w:noWrap/>
            <w:vAlign w:val="center"/>
            <w:hideMark/>
          </w:tcPr>
          <w:p w14:paraId="1272B1C5" w14:textId="77777777" w:rsidR="006F416B" w:rsidRPr="00131EED" w:rsidRDefault="006F416B" w:rsidP="006F416B">
            <w:pPr>
              <w:jc w:val="center"/>
              <w:rPr>
                <w:b/>
                <w:color w:val="000000"/>
                <w:sz w:val="20"/>
                <w:szCs w:val="20"/>
                <w:lang w:eastAsia="en-US"/>
              </w:rPr>
            </w:pPr>
            <w:r w:rsidRPr="00131EED">
              <w:rPr>
                <w:b/>
                <w:color w:val="000000"/>
                <w:sz w:val="20"/>
                <w:szCs w:val="20"/>
                <w:lang w:eastAsia="en-US"/>
              </w:rPr>
              <w:t>%</w:t>
            </w:r>
          </w:p>
        </w:tc>
      </w:tr>
      <w:tr w:rsidR="006F416B" w:rsidRPr="00131EED" w14:paraId="5AFC4291" w14:textId="77777777" w:rsidTr="00C034BB">
        <w:trPr>
          <w:trHeight w:val="288"/>
          <w:jc w:val="center"/>
        </w:trPr>
        <w:tc>
          <w:tcPr>
            <w:tcW w:w="2820" w:type="dxa"/>
            <w:tcBorders>
              <w:top w:val="nil"/>
              <w:left w:val="single" w:sz="4" w:space="0" w:color="auto"/>
              <w:bottom w:val="single" w:sz="4" w:space="0" w:color="auto"/>
              <w:right w:val="single" w:sz="4" w:space="0" w:color="auto"/>
            </w:tcBorders>
            <w:noWrap/>
            <w:vAlign w:val="center"/>
            <w:hideMark/>
          </w:tcPr>
          <w:p w14:paraId="7997577F" w14:textId="77777777" w:rsidR="006F416B" w:rsidRPr="00131EED" w:rsidRDefault="006F416B" w:rsidP="006F416B">
            <w:pPr>
              <w:jc w:val="center"/>
              <w:rPr>
                <w:color w:val="000000"/>
                <w:sz w:val="20"/>
                <w:szCs w:val="20"/>
                <w:lang w:eastAsia="en-US"/>
              </w:rPr>
            </w:pPr>
            <w:r w:rsidRPr="00131EED">
              <w:rPr>
                <w:color w:val="000000"/>
                <w:sz w:val="20"/>
                <w:szCs w:val="20"/>
                <w:lang w:eastAsia="en-US"/>
              </w:rPr>
              <w:t>Territorios Artificializados</w:t>
            </w:r>
          </w:p>
        </w:tc>
        <w:tc>
          <w:tcPr>
            <w:tcW w:w="960" w:type="dxa"/>
            <w:tcBorders>
              <w:top w:val="nil"/>
              <w:left w:val="nil"/>
              <w:bottom w:val="single" w:sz="4" w:space="0" w:color="auto"/>
              <w:right w:val="single" w:sz="4" w:space="0" w:color="auto"/>
            </w:tcBorders>
            <w:noWrap/>
            <w:vAlign w:val="center"/>
            <w:hideMark/>
          </w:tcPr>
          <w:p w14:paraId="3E04957A" w14:textId="77777777" w:rsidR="006F416B" w:rsidRPr="00131EED" w:rsidRDefault="006F416B" w:rsidP="006F416B">
            <w:pPr>
              <w:jc w:val="center"/>
              <w:rPr>
                <w:color w:val="000000"/>
                <w:sz w:val="20"/>
                <w:szCs w:val="20"/>
                <w:lang w:eastAsia="en-US"/>
              </w:rPr>
            </w:pPr>
            <w:r w:rsidRPr="00131EED">
              <w:rPr>
                <w:color w:val="000000"/>
                <w:sz w:val="20"/>
                <w:szCs w:val="20"/>
                <w:lang w:eastAsia="en-US"/>
              </w:rPr>
              <w:t>37817.31</w:t>
            </w:r>
          </w:p>
        </w:tc>
        <w:tc>
          <w:tcPr>
            <w:tcW w:w="1300" w:type="dxa"/>
            <w:tcBorders>
              <w:top w:val="nil"/>
              <w:left w:val="nil"/>
              <w:bottom w:val="single" w:sz="4" w:space="0" w:color="auto"/>
              <w:right w:val="single" w:sz="4" w:space="0" w:color="auto"/>
            </w:tcBorders>
            <w:noWrap/>
            <w:vAlign w:val="center"/>
            <w:hideMark/>
          </w:tcPr>
          <w:p w14:paraId="50E74A5A" w14:textId="77777777" w:rsidR="006F416B" w:rsidRPr="00131EED" w:rsidRDefault="006F416B" w:rsidP="006F416B">
            <w:pPr>
              <w:jc w:val="center"/>
              <w:rPr>
                <w:color w:val="000000"/>
                <w:sz w:val="20"/>
                <w:szCs w:val="20"/>
                <w:lang w:eastAsia="en-US"/>
              </w:rPr>
            </w:pPr>
            <w:r w:rsidRPr="00131EED">
              <w:rPr>
                <w:color w:val="000000"/>
                <w:sz w:val="20"/>
                <w:szCs w:val="20"/>
                <w:lang w:eastAsia="en-US"/>
              </w:rPr>
              <w:t>56207.141</w:t>
            </w:r>
          </w:p>
        </w:tc>
        <w:tc>
          <w:tcPr>
            <w:tcW w:w="960" w:type="dxa"/>
            <w:tcBorders>
              <w:top w:val="nil"/>
              <w:left w:val="nil"/>
              <w:bottom w:val="single" w:sz="4" w:space="0" w:color="auto"/>
              <w:right w:val="single" w:sz="4" w:space="0" w:color="auto"/>
            </w:tcBorders>
            <w:noWrap/>
            <w:vAlign w:val="center"/>
            <w:hideMark/>
          </w:tcPr>
          <w:p w14:paraId="541C4126" w14:textId="77777777" w:rsidR="006F416B" w:rsidRPr="00131EED" w:rsidRDefault="006F416B" w:rsidP="006F416B">
            <w:pPr>
              <w:jc w:val="center"/>
              <w:rPr>
                <w:color w:val="000000"/>
                <w:sz w:val="20"/>
                <w:szCs w:val="20"/>
                <w:lang w:eastAsia="en-US"/>
              </w:rPr>
            </w:pPr>
            <w:r w:rsidRPr="00131EED">
              <w:rPr>
                <w:color w:val="000000"/>
                <w:sz w:val="20"/>
                <w:szCs w:val="20"/>
                <w:lang w:eastAsia="en-US"/>
              </w:rPr>
              <w:t>48.63%</w:t>
            </w:r>
          </w:p>
        </w:tc>
      </w:tr>
      <w:tr w:rsidR="006F416B" w:rsidRPr="00131EED" w14:paraId="26032F64" w14:textId="77777777" w:rsidTr="00C034BB">
        <w:trPr>
          <w:trHeight w:val="288"/>
          <w:jc w:val="center"/>
        </w:trPr>
        <w:tc>
          <w:tcPr>
            <w:tcW w:w="2820" w:type="dxa"/>
            <w:tcBorders>
              <w:top w:val="nil"/>
              <w:left w:val="single" w:sz="4" w:space="0" w:color="auto"/>
              <w:bottom w:val="single" w:sz="4" w:space="0" w:color="auto"/>
              <w:right w:val="single" w:sz="4" w:space="0" w:color="auto"/>
            </w:tcBorders>
            <w:noWrap/>
            <w:vAlign w:val="center"/>
            <w:hideMark/>
          </w:tcPr>
          <w:p w14:paraId="1A92A6DE" w14:textId="594EFAA5" w:rsidR="006F416B" w:rsidRPr="00131EED" w:rsidRDefault="006F416B" w:rsidP="006F416B">
            <w:pPr>
              <w:jc w:val="center"/>
              <w:rPr>
                <w:color w:val="000000"/>
                <w:sz w:val="20"/>
                <w:szCs w:val="20"/>
                <w:lang w:eastAsia="en-US"/>
              </w:rPr>
            </w:pPr>
            <w:r w:rsidRPr="00131EED">
              <w:rPr>
                <w:color w:val="000000"/>
                <w:sz w:val="20"/>
                <w:szCs w:val="20"/>
                <w:lang w:eastAsia="en-US"/>
              </w:rPr>
              <w:t xml:space="preserve">Territorios </w:t>
            </w:r>
            <w:r w:rsidR="00D67973" w:rsidRPr="00131EED">
              <w:rPr>
                <w:color w:val="000000"/>
                <w:sz w:val="20"/>
                <w:szCs w:val="20"/>
                <w:lang w:eastAsia="en-US"/>
              </w:rPr>
              <w:t>Agrícolas</w:t>
            </w:r>
          </w:p>
        </w:tc>
        <w:tc>
          <w:tcPr>
            <w:tcW w:w="960" w:type="dxa"/>
            <w:tcBorders>
              <w:top w:val="nil"/>
              <w:left w:val="nil"/>
              <w:bottom w:val="single" w:sz="4" w:space="0" w:color="auto"/>
              <w:right w:val="single" w:sz="4" w:space="0" w:color="auto"/>
            </w:tcBorders>
            <w:noWrap/>
            <w:vAlign w:val="center"/>
            <w:hideMark/>
          </w:tcPr>
          <w:p w14:paraId="07186599" w14:textId="77777777" w:rsidR="006F416B" w:rsidRPr="00131EED" w:rsidRDefault="006F416B" w:rsidP="006F416B">
            <w:pPr>
              <w:jc w:val="center"/>
              <w:rPr>
                <w:color w:val="000000"/>
                <w:sz w:val="20"/>
                <w:szCs w:val="20"/>
                <w:lang w:eastAsia="en-US"/>
              </w:rPr>
            </w:pPr>
            <w:r w:rsidRPr="00131EED">
              <w:rPr>
                <w:color w:val="000000"/>
                <w:sz w:val="20"/>
                <w:szCs w:val="20"/>
                <w:lang w:eastAsia="en-US"/>
              </w:rPr>
              <w:t>288574</w:t>
            </w:r>
          </w:p>
        </w:tc>
        <w:tc>
          <w:tcPr>
            <w:tcW w:w="1300" w:type="dxa"/>
            <w:tcBorders>
              <w:top w:val="nil"/>
              <w:left w:val="nil"/>
              <w:bottom w:val="single" w:sz="4" w:space="0" w:color="auto"/>
              <w:right w:val="single" w:sz="4" w:space="0" w:color="auto"/>
            </w:tcBorders>
            <w:noWrap/>
            <w:vAlign w:val="center"/>
            <w:hideMark/>
          </w:tcPr>
          <w:p w14:paraId="4DFE54FB" w14:textId="77777777" w:rsidR="006F416B" w:rsidRPr="00131EED" w:rsidRDefault="006F416B" w:rsidP="006F416B">
            <w:pPr>
              <w:jc w:val="center"/>
              <w:rPr>
                <w:color w:val="000000"/>
                <w:sz w:val="20"/>
                <w:szCs w:val="20"/>
                <w:lang w:eastAsia="en-US"/>
              </w:rPr>
            </w:pPr>
            <w:r w:rsidRPr="00131EED">
              <w:rPr>
                <w:color w:val="000000"/>
                <w:sz w:val="20"/>
                <w:szCs w:val="20"/>
                <w:lang w:eastAsia="en-US"/>
              </w:rPr>
              <w:t>259826.1861</w:t>
            </w:r>
          </w:p>
        </w:tc>
        <w:tc>
          <w:tcPr>
            <w:tcW w:w="960" w:type="dxa"/>
            <w:tcBorders>
              <w:top w:val="nil"/>
              <w:left w:val="nil"/>
              <w:bottom w:val="single" w:sz="4" w:space="0" w:color="auto"/>
              <w:right w:val="single" w:sz="4" w:space="0" w:color="auto"/>
            </w:tcBorders>
            <w:noWrap/>
            <w:vAlign w:val="center"/>
            <w:hideMark/>
          </w:tcPr>
          <w:p w14:paraId="310EF614" w14:textId="77777777" w:rsidR="006F416B" w:rsidRPr="00131EED" w:rsidRDefault="006F416B" w:rsidP="006F416B">
            <w:pPr>
              <w:jc w:val="center"/>
              <w:rPr>
                <w:color w:val="000000"/>
                <w:sz w:val="20"/>
                <w:szCs w:val="20"/>
                <w:lang w:eastAsia="en-US"/>
              </w:rPr>
            </w:pPr>
            <w:r w:rsidRPr="00131EED">
              <w:rPr>
                <w:color w:val="000000"/>
                <w:sz w:val="20"/>
                <w:szCs w:val="20"/>
                <w:lang w:eastAsia="en-US"/>
              </w:rPr>
              <w:t>-9.96%</w:t>
            </w:r>
          </w:p>
        </w:tc>
      </w:tr>
      <w:tr w:rsidR="006F416B" w:rsidRPr="00131EED" w14:paraId="1902E1A4" w14:textId="77777777" w:rsidTr="00C034BB">
        <w:trPr>
          <w:trHeight w:val="288"/>
          <w:jc w:val="center"/>
        </w:trPr>
        <w:tc>
          <w:tcPr>
            <w:tcW w:w="2820" w:type="dxa"/>
            <w:tcBorders>
              <w:top w:val="nil"/>
              <w:left w:val="single" w:sz="4" w:space="0" w:color="auto"/>
              <w:bottom w:val="single" w:sz="4" w:space="0" w:color="auto"/>
              <w:right w:val="single" w:sz="4" w:space="0" w:color="auto"/>
            </w:tcBorders>
            <w:noWrap/>
            <w:vAlign w:val="center"/>
            <w:hideMark/>
          </w:tcPr>
          <w:p w14:paraId="633DC5CD" w14:textId="77777777" w:rsidR="006F416B" w:rsidRPr="00131EED" w:rsidRDefault="006F416B" w:rsidP="006F416B">
            <w:pPr>
              <w:jc w:val="center"/>
              <w:rPr>
                <w:color w:val="000000"/>
                <w:sz w:val="20"/>
                <w:szCs w:val="20"/>
                <w:lang w:eastAsia="en-US"/>
              </w:rPr>
            </w:pPr>
            <w:r w:rsidRPr="00131EED">
              <w:rPr>
                <w:color w:val="000000"/>
                <w:sz w:val="20"/>
                <w:szCs w:val="20"/>
                <w:lang w:eastAsia="en-US"/>
              </w:rPr>
              <w:t>Bosques y áreas seminaturales</w:t>
            </w:r>
          </w:p>
        </w:tc>
        <w:tc>
          <w:tcPr>
            <w:tcW w:w="960" w:type="dxa"/>
            <w:tcBorders>
              <w:top w:val="nil"/>
              <w:left w:val="nil"/>
              <w:bottom w:val="single" w:sz="4" w:space="0" w:color="auto"/>
              <w:right w:val="single" w:sz="4" w:space="0" w:color="auto"/>
            </w:tcBorders>
            <w:noWrap/>
            <w:vAlign w:val="center"/>
            <w:hideMark/>
          </w:tcPr>
          <w:p w14:paraId="53DA2555" w14:textId="77777777" w:rsidR="006F416B" w:rsidRPr="00131EED" w:rsidRDefault="006F416B" w:rsidP="006F416B">
            <w:pPr>
              <w:jc w:val="center"/>
              <w:rPr>
                <w:color w:val="000000"/>
                <w:sz w:val="20"/>
                <w:szCs w:val="20"/>
                <w:lang w:eastAsia="en-US"/>
              </w:rPr>
            </w:pPr>
            <w:r w:rsidRPr="00131EED">
              <w:rPr>
                <w:color w:val="000000"/>
                <w:sz w:val="20"/>
                <w:szCs w:val="20"/>
                <w:lang w:eastAsia="en-US"/>
              </w:rPr>
              <w:t>89526.66</w:t>
            </w:r>
          </w:p>
        </w:tc>
        <w:tc>
          <w:tcPr>
            <w:tcW w:w="1300" w:type="dxa"/>
            <w:tcBorders>
              <w:top w:val="nil"/>
              <w:left w:val="nil"/>
              <w:bottom w:val="single" w:sz="4" w:space="0" w:color="auto"/>
              <w:right w:val="single" w:sz="4" w:space="0" w:color="auto"/>
            </w:tcBorders>
            <w:noWrap/>
            <w:vAlign w:val="center"/>
            <w:hideMark/>
          </w:tcPr>
          <w:p w14:paraId="72D7223D" w14:textId="77777777" w:rsidR="006F416B" w:rsidRPr="00131EED" w:rsidRDefault="006F416B" w:rsidP="006F416B">
            <w:pPr>
              <w:jc w:val="center"/>
              <w:rPr>
                <w:color w:val="000000"/>
                <w:sz w:val="20"/>
                <w:szCs w:val="20"/>
                <w:lang w:eastAsia="en-US"/>
              </w:rPr>
            </w:pPr>
            <w:r w:rsidRPr="00131EED">
              <w:rPr>
                <w:color w:val="000000"/>
                <w:sz w:val="20"/>
                <w:szCs w:val="20"/>
                <w:lang w:eastAsia="en-US"/>
              </w:rPr>
              <w:t>14980.66613</w:t>
            </w:r>
          </w:p>
        </w:tc>
        <w:tc>
          <w:tcPr>
            <w:tcW w:w="960" w:type="dxa"/>
            <w:tcBorders>
              <w:top w:val="nil"/>
              <w:left w:val="nil"/>
              <w:bottom w:val="single" w:sz="4" w:space="0" w:color="auto"/>
              <w:right w:val="single" w:sz="4" w:space="0" w:color="auto"/>
            </w:tcBorders>
            <w:noWrap/>
            <w:vAlign w:val="center"/>
            <w:hideMark/>
          </w:tcPr>
          <w:p w14:paraId="424981BC" w14:textId="77777777" w:rsidR="006F416B" w:rsidRPr="00131EED" w:rsidRDefault="006F416B" w:rsidP="006F416B">
            <w:pPr>
              <w:jc w:val="center"/>
              <w:rPr>
                <w:color w:val="000000"/>
                <w:sz w:val="20"/>
                <w:szCs w:val="20"/>
                <w:lang w:eastAsia="en-US"/>
              </w:rPr>
            </w:pPr>
            <w:r w:rsidRPr="00131EED">
              <w:rPr>
                <w:color w:val="000000"/>
                <w:sz w:val="20"/>
                <w:szCs w:val="20"/>
                <w:lang w:eastAsia="en-US"/>
              </w:rPr>
              <w:t>16.73%</w:t>
            </w:r>
          </w:p>
        </w:tc>
      </w:tr>
      <w:tr w:rsidR="006F416B" w:rsidRPr="00131EED" w14:paraId="40A2B647" w14:textId="77777777" w:rsidTr="00C034BB">
        <w:trPr>
          <w:trHeight w:val="288"/>
          <w:jc w:val="center"/>
        </w:trPr>
        <w:tc>
          <w:tcPr>
            <w:tcW w:w="2820" w:type="dxa"/>
            <w:tcBorders>
              <w:top w:val="nil"/>
              <w:left w:val="single" w:sz="4" w:space="0" w:color="auto"/>
              <w:bottom w:val="single" w:sz="4" w:space="0" w:color="auto"/>
              <w:right w:val="single" w:sz="4" w:space="0" w:color="auto"/>
            </w:tcBorders>
            <w:noWrap/>
            <w:vAlign w:val="center"/>
            <w:hideMark/>
          </w:tcPr>
          <w:p w14:paraId="1E9709FA" w14:textId="00C1499D" w:rsidR="006F416B" w:rsidRPr="00131EED" w:rsidRDefault="006F416B" w:rsidP="006F416B">
            <w:pPr>
              <w:jc w:val="center"/>
              <w:rPr>
                <w:color w:val="000000"/>
                <w:sz w:val="20"/>
                <w:szCs w:val="20"/>
                <w:lang w:eastAsia="en-US"/>
              </w:rPr>
            </w:pPr>
            <w:r w:rsidRPr="00131EED">
              <w:rPr>
                <w:color w:val="000000"/>
                <w:sz w:val="20"/>
                <w:szCs w:val="20"/>
                <w:lang w:eastAsia="en-US"/>
              </w:rPr>
              <w:t xml:space="preserve">áreas </w:t>
            </w:r>
            <w:r w:rsidR="00D67973" w:rsidRPr="00131EED">
              <w:rPr>
                <w:color w:val="000000"/>
                <w:sz w:val="20"/>
                <w:szCs w:val="20"/>
                <w:lang w:eastAsia="en-US"/>
              </w:rPr>
              <w:t>húmedas</w:t>
            </w:r>
          </w:p>
        </w:tc>
        <w:tc>
          <w:tcPr>
            <w:tcW w:w="960" w:type="dxa"/>
            <w:tcBorders>
              <w:top w:val="nil"/>
              <w:left w:val="nil"/>
              <w:bottom w:val="single" w:sz="4" w:space="0" w:color="auto"/>
              <w:right w:val="single" w:sz="4" w:space="0" w:color="auto"/>
            </w:tcBorders>
            <w:noWrap/>
            <w:vAlign w:val="center"/>
            <w:hideMark/>
          </w:tcPr>
          <w:p w14:paraId="2366748B" w14:textId="77777777" w:rsidR="006F416B" w:rsidRPr="00131EED" w:rsidRDefault="006F416B" w:rsidP="006F416B">
            <w:pPr>
              <w:jc w:val="center"/>
              <w:rPr>
                <w:color w:val="000000"/>
                <w:sz w:val="20"/>
                <w:szCs w:val="20"/>
                <w:lang w:eastAsia="en-US"/>
              </w:rPr>
            </w:pPr>
            <w:r w:rsidRPr="00131EED">
              <w:rPr>
                <w:color w:val="000000"/>
                <w:sz w:val="20"/>
                <w:szCs w:val="20"/>
                <w:lang w:eastAsia="en-US"/>
              </w:rPr>
              <w:t>2111.399</w:t>
            </w:r>
          </w:p>
        </w:tc>
        <w:tc>
          <w:tcPr>
            <w:tcW w:w="1300" w:type="dxa"/>
            <w:tcBorders>
              <w:top w:val="nil"/>
              <w:left w:val="nil"/>
              <w:bottom w:val="single" w:sz="4" w:space="0" w:color="auto"/>
              <w:right w:val="single" w:sz="4" w:space="0" w:color="auto"/>
            </w:tcBorders>
            <w:noWrap/>
            <w:vAlign w:val="center"/>
            <w:hideMark/>
          </w:tcPr>
          <w:p w14:paraId="2C91BF3B" w14:textId="77777777" w:rsidR="006F416B" w:rsidRPr="00131EED" w:rsidRDefault="006F416B" w:rsidP="006F416B">
            <w:pPr>
              <w:jc w:val="center"/>
              <w:rPr>
                <w:color w:val="000000"/>
                <w:sz w:val="20"/>
                <w:szCs w:val="20"/>
                <w:lang w:eastAsia="en-US"/>
              </w:rPr>
            </w:pPr>
            <w:r w:rsidRPr="00131EED">
              <w:rPr>
                <w:color w:val="000000"/>
                <w:sz w:val="20"/>
                <w:szCs w:val="20"/>
                <w:lang w:eastAsia="en-US"/>
              </w:rPr>
              <w:t>1660.113098</w:t>
            </w:r>
          </w:p>
        </w:tc>
        <w:tc>
          <w:tcPr>
            <w:tcW w:w="960" w:type="dxa"/>
            <w:tcBorders>
              <w:top w:val="nil"/>
              <w:left w:val="nil"/>
              <w:bottom w:val="single" w:sz="4" w:space="0" w:color="auto"/>
              <w:right w:val="single" w:sz="4" w:space="0" w:color="auto"/>
            </w:tcBorders>
            <w:noWrap/>
            <w:vAlign w:val="center"/>
            <w:hideMark/>
          </w:tcPr>
          <w:p w14:paraId="6E61FFE4" w14:textId="77777777" w:rsidR="006F416B" w:rsidRPr="00131EED" w:rsidRDefault="006F416B" w:rsidP="006F416B">
            <w:pPr>
              <w:jc w:val="center"/>
              <w:rPr>
                <w:color w:val="000000"/>
                <w:sz w:val="20"/>
                <w:szCs w:val="20"/>
                <w:lang w:eastAsia="en-US"/>
              </w:rPr>
            </w:pPr>
            <w:r w:rsidRPr="00131EED">
              <w:rPr>
                <w:color w:val="000000"/>
                <w:sz w:val="20"/>
                <w:szCs w:val="20"/>
                <w:lang w:eastAsia="en-US"/>
              </w:rPr>
              <w:t>-21.37%</w:t>
            </w:r>
          </w:p>
        </w:tc>
      </w:tr>
      <w:tr w:rsidR="006F416B" w:rsidRPr="00131EED" w14:paraId="3B7367CF" w14:textId="77777777" w:rsidTr="00C034BB">
        <w:trPr>
          <w:trHeight w:val="288"/>
          <w:jc w:val="center"/>
        </w:trPr>
        <w:tc>
          <w:tcPr>
            <w:tcW w:w="2820" w:type="dxa"/>
            <w:tcBorders>
              <w:top w:val="nil"/>
              <w:left w:val="single" w:sz="4" w:space="0" w:color="auto"/>
              <w:bottom w:val="single" w:sz="4" w:space="0" w:color="auto"/>
              <w:right w:val="single" w:sz="4" w:space="0" w:color="auto"/>
            </w:tcBorders>
            <w:noWrap/>
            <w:vAlign w:val="center"/>
            <w:hideMark/>
          </w:tcPr>
          <w:p w14:paraId="3D37A3BA" w14:textId="77777777" w:rsidR="006F416B" w:rsidRPr="00131EED" w:rsidRDefault="006F416B" w:rsidP="006F416B">
            <w:pPr>
              <w:jc w:val="center"/>
              <w:rPr>
                <w:color w:val="000000"/>
                <w:sz w:val="20"/>
                <w:szCs w:val="20"/>
                <w:lang w:eastAsia="en-US"/>
              </w:rPr>
            </w:pPr>
            <w:r w:rsidRPr="00131EED">
              <w:rPr>
                <w:color w:val="000000"/>
                <w:sz w:val="20"/>
                <w:szCs w:val="20"/>
                <w:lang w:eastAsia="en-US"/>
              </w:rPr>
              <w:t>Superficies de Agua</w:t>
            </w:r>
          </w:p>
        </w:tc>
        <w:tc>
          <w:tcPr>
            <w:tcW w:w="960" w:type="dxa"/>
            <w:tcBorders>
              <w:top w:val="nil"/>
              <w:left w:val="nil"/>
              <w:bottom w:val="single" w:sz="4" w:space="0" w:color="auto"/>
              <w:right w:val="single" w:sz="4" w:space="0" w:color="auto"/>
            </w:tcBorders>
            <w:noWrap/>
            <w:vAlign w:val="center"/>
            <w:hideMark/>
          </w:tcPr>
          <w:p w14:paraId="1A90D98F" w14:textId="77777777" w:rsidR="006F416B" w:rsidRPr="00131EED" w:rsidRDefault="006F416B" w:rsidP="006F416B">
            <w:pPr>
              <w:jc w:val="center"/>
              <w:rPr>
                <w:color w:val="000000"/>
                <w:sz w:val="20"/>
                <w:szCs w:val="20"/>
                <w:lang w:eastAsia="en-US"/>
              </w:rPr>
            </w:pPr>
            <w:r w:rsidRPr="00131EED">
              <w:rPr>
                <w:color w:val="000000"/>
                <w:sz w:val="20"/>
                <w:szCs w:val="20"/>
                <w:lang w:eastAsia="en-US"/>
              </w:rPr>
              <w:t>4092.172</w:t>
            </w:r>
          </w:p>
        </w:tc>
        <w:tc>
          <w:tcPr>
            <w:tcW w:w="1300" w:type="dxa"/>
            <w:tcBorders>
              <w:top w:val="nil"/>
              <w:left w:val="nil"/>
              <w:bottom w:val="single" w:sz="4" w:space="0" w:color="auto"/>
              <w:right w:val="single" w:sz="4" w:space="0" w:color="auto"/>
            </w:tcBorders>
            <w:noWrap/>
            <w:vAlign w:val="center"/>
            <w:hideMark/>
          </w:tcPr>
          <w:p w14:paraId="41F70543" w14:textId="77777777" w:rsidR="006F416B" w:rsidRPr="00131EED" w:rsidRDefault="006F416B" w:rsidP="006F416B">
            <w:pPr>
              <w:jc w:val="center"/>
              <w:rPr>
                <w:color w:val="000000"/>
                <w:sz w:val="20"/>
                <w:szCs w:val="20"/>
                <w:lang w:eastAsia="en-US"/>
              </w:rPr>
            </w:pPr>
            <w:r w:rsidRPr="00131EED">
              <w:rPr>
                <w:color w:val="000000"/>
                <w:sz w:val="20"/>
                <w:szCs w:val="20"/>
                <w:lang w:eastAsia="en-US"/>
              </w:rPr>
              <w:t>5335.854482</w:t>
            </w:r>
          </w:p>
        </w:tc>
        <w:tc>
          <w:tcPr>
            <w:tcW w:w="960" w:type="dxa"/>
            <w:tcBorders>
              <w:top w:val="nil"/>
              <w:left w:val="nil"/>
              <w:bottom w:val="single" w:sz="4" w:space="0" w:color="auto"/>
              <w:right w:val="single" w:sz="4" w:space="0" w:color="auto"/>
            </w:tcBorders>
            <w:noWrap/>
            <w:vAlign w:val="center"/>
            <w:hideMark/>
          </w:tcPr>
          <w:p w14:paraId="3C91ABAA" w14:textId="77777777" w:rsidR="006F416B" w:rsidRPr="00131EED" w:rsidRDefault="006F416B" w:rsidP="006F416B">
            <w:pPr>
              <w:jc w:val="center"/>
              <w:rPr>
                <w:color w:val="000000"/>
                <w:sz w:val="20"/>
                <w:szCs w:val="20"/>
                <w:lang w:eastAsia="en-US"/>
              </w:rPr>
            </w:pPr>
            <w:r w:rsidRPr="00131EED">
              <w:rPr>
                <w:color w:val="000000"/>
                <w:sz w:val="20"/>
                <w:szCs w:val="20"/>
                <w:lang w:eastAsia="en-US"/>
              </w:rPr>
              <w:t>30.39%</w:t>
            </w:r>
          </w:p>
        </w:tc>
      </w:tr>
    </w:tbl>
    <w:p w14:paraId="008612F3" w14:textId="71136EA4" w:rsidR="006F333E" w:rsidRPr="00131EED" w:rsidRDefault="00C034BB" w:rsidP="00C034BB">
      <w:pPr>
        <w:jc w:val="center"/>
        <w:rPr>
          <w:rFonts w:cs="Arial"/>
          <w:sz w:val="20"/>
          <w:szCs w:val="20"/>
        </w:rPr>
      </w:pPr>
      <w:r w:rsidRPr="00131EED">
        <w:rPr>
          <w:rFonts w:cs="Arial"/>
          <w:sz w:val="20"/>
          <w:szCs w:val="20"/>
        </w:rPr>
        <w:t>Fuente: Elaboración propia con datos del IGAC (2002 y 2018)</w:t>
      </w:r>
    </w:p>
    <w:p w14:paraId="286A5336" w14:textId="77777777" w:rsidR="00D71684" w:rsidRPr="00131EED" w:rsidRDefault="00D71684" w:rsidP="00565CA7">
      <w:pPr>
        <w:rPr>
          <w:rFonts w:cs="Arial"/>
        </w:rPr>
      </w:pPr>
    </w:p>
    <w:p w14:paraId="195F743C" w14:textId="19C5666C" w:rsidR="00565CA7" w:rsidRPr="00131EED" w:rsidRDefault="00565CA7" w:rsidP="00565CA7">
      <w:pPr>
        <w:rPr>
          <w:rFonts w:cs="Arial"/>
        </w:rPr>
      </w:pPr>
      <w:r w:rsidRPr="00131EED">
        <w:rPr>
          <w:rFonts w:cs="Arial"/>
        </w:rPr>
        <w:t xml:space="preserve">A continuación, se presenta una tabla que indica </w:t>
      </w:r>
      <w:r w:rsidR="005B27B4" w:rsidRPr="00131EED">
        <w:rPr>
          <w:rFonts w:cs="Arial"/>
        </w:rPr>
        <w:t>la variación</w:t>
      </w:r>
      <w:r w:rsidRPr="00131EED">
        <w:rPr>
          <w:rFonts w:cs="Arial"/>
        </w:rPr>
        <w:t>, según la cobertur</w:t>
      </w:r>
      <w:r w:rsidR="005B27B4" w:rsidRPr="00131EED">
        <w:rPr>
          <w:rFonts w:cs="Arial"/>
        </w:rPr>
        <w:t>a</w:t>
      </w:r>
      <w:r w:rsidRPr="00131EED">
        <w:rPr>
          <w:rFonts w:cs="Arial"/>
        </w:rPr>
        <w:t>, para los municipios correspondientes al ámbito Sabana de análisis.</w:t>
      </w:r>
    </w:p>
    <w:p w14:paraId="42A1BAA9" w14:textId="77777777" w:rsidR="004009AD" w:rsidRPr="00131EED" w:rsidRDefault="004009AD" w:rsidP="00565CA7">
      <w:pPr>
        <w:rPr>
          <w:rFonts w:ascii="Baskerville" w:hAnsi="Baskerville" w:cs="Arial"/>
        </w:rPr>
      </w:pPr>
    </w:p>
    <w:tbl>
      <w:tblPr>
        <w:tblW w:w="0" w:type="auto"/>
        <w:jc w:val="center"/>
        <w:tblLook w:val="04A0" w:firstRow="1" w:lastRow="0" w:firstColumn="1" w:lastColumn="0" w:noHBand="0" w:noVBand="1"/>
      </w:tblPr>
      <w:tblGrid>
        <w:gridCol w:w="2430"/>
        <w:gridCol w:w="1413"/>
        <w:gridCol w:w="1550"/>
        <w:gridCol w:w="1802"/>
        <w:gridCol w:w="1633"/>
      </w:tblGrid>
      <w:tr w:rsidR="00970AF5" w:rsidRPr="00131EED" w14:paraId="4EBF25FC" w14:textId="77777777" w:rsidTr="009572DB">
        <w:trPr>
          <w:trHeight w:val="288"/>
          <w:tblHeader/>
          <w:jc w:val="center"/>
        </w:trPr>
        <w:tc>
          <w:tcPr>
            <w:tcW w:w="2430" w:type="dxa"/>
            <w:tcBorders>
              <w:top w:val="single" w:sz="4" w:space="0" w:color="auto"/>
              <w:left w:val="single" w:sz="4" w:space="0" w:color="auto"/>
              <w:bottom w:val="single" w:sz="4" w:space="0" w:color="auto"/>
              <w:right w:val="single" w:sz="4" w:space="0" w:color="auto"/>
            </w:tcBorders>
            <w:noWrap/>
            <w:vAlign w:val="center"/>
            <w:hideMark/>
          </w:tcPr>
          <w:p w14:paraId="6794D2A8" w14:textId="77777777" w:rsidR="003625EC" w:rsidRPr="00131EED" w:rsidRDefault="003625EC" w:rsidP="003625EC">
            <w:pPr>
              <w:jc w:val="center"/>
              <w:rPr>
                <w:b/>
                <w:sz w:val="20"/>
                <w:szCs w:val="20"/>
                <w:lang w:eastAsia="en-US"/>
              </w:rPr>
            </w:pPr>
            <w:r w:rsidRPr="00131EED">
              <w:rPr>
                <w:b/>
                <w:sz w:val="20"/>
                <w:szCs w:val="20"/>
                <w:lang w:eastAsia="en-US"/>
              </w:rPr>
              <w:t>Cobertura</w:t>
            </w:r>
          </w:p>
        </w:tc>
        <w:tc>
          <w:tcPr>
            <w:tcW w:w="1413" w:type="dxa"/>
            <w:tcBorders>
              <w:top w:val="single" w:sz="4" w:space="0" w:color="auto"/>
              <w:left w:val="nil"/>
              <w:bottom w:val="single" w:sz="4" w:space="0" w:color="auto"/>
              <w:right w:val="single" w:sz="4" w:space="0" w:color="auto"/>
            </w:tcBorders>
            <w:noWrap/>
            <w:vAlign w:val="center"/>
            <w:hideMark/>
          </w:tcPr>
          <w:p w14:paraId="536261E1" w14:textId="25CC9B7D" w:rsidR="003625EC" w:rsidRPr="00131EED" w:rsidRDefault="003625EC" w:rsidP="003625EC">
            <w:pPr>
              <w:jc w:val="center"/>
              <w:rPr>
                <w:b/>
                <w:sz w:val="20"/>
                <w:szCs w:val="20"/>
                <w:lang w:eastAsia="en-US"/>
              </w:rPr>
            </w:pPr>
            <w:r w:rsidRPr="00131EED">
              <w:rPr>
                <w:b/>
                <w:sz w:val="20"/>
                <w:szCs w:val="20"/>
                <w:lang w:eastAsia="en-US"/>
              </w:rPr>
              <w:t>Total de ha en 2002</w:t>
            </w:r>
          </w:p>
        </w:tc>
        <w:tc>
          <w:tcPr>
            <w:tcW w:w="1550" w:type="dxa"/>
            <w:tcBorders>
              <w:top w:val="single" w:sz="4" w:space="0" w:color="auto"/>
              <w:left w:val="nil"/>
              <w:bottom w:val="single" w:sz="4" w:space="0" w:color="auto"/>
              <w:right w:val="single" w:sz="4" w:space="0" w:color="auto"/>
            </w:tcBorders>
            <w:noWrap/>
            <w:vAlign w:val="center"/>
            <w:hideMark/>
          </w:tcPr>
          <w:p w14:paraId="0051CF55" w14:textId="05638CB4" w:rsidR="003625EC" w:rsidRPr="00131EED" w:rsidRDefault="003625EC" w:rsidP="003625EC">
            <w:pPr>
              <w:jc w:val="center"/>
              <w:rPr>
                <w:b/>
                <w:sz w:val="20"/>
                <w:szCs w:val="20"/>
                <w:lang w:eastAsia="en-US"/>
              </w:rPr>
            </w:pPr>
            <w:r w:rsidRPr="00131EED">
              <w:rPr>
                <w:b/>
                <w:sz w:val="20"/>
                <w:szCs w:val="20"/>
                <w:lang w:eastAsia="en-US"/>
              </w:rPr>
              <w:t>Total de ha en 2018</w:t>
            </w:r>
          </w:p>
        </w:tc>
        <w:tc>
          <w:tcPr>
            <w:tcW w:w="3435" w:type="dxa"/>
            <w:gridSpan w:val="2"/>
            <w:tcBorders>
              <w:top w:val="single" w:sz="4" w:space="0" w:color="auto"/>
              <w:left w:val="nil"/>
              <w:bottom w:val="single" w:sz="4" w:space="0" w:color="auto"/>
              <w:right w:val="single" w:sz="4" w:space="0" w:color="auto"/>
            </w:tcBorders>
            <w:noWrap/>
            <w:vAlign w:val="center"/>
            <w:hideMark/>
          </w:tcPr>
          <w:p w14:paraId="5D8B9425" w14:textId="77777777" w:rsidR="003625EC" w:rsidRPr="00131EED" w:rsidRDefault="003625EC" w:rsidP="003625EC">
            <w:pPr>
              <w:jc w:val="center"/>
              <w:rPr>
                <w:b/>
                <w:sz w:val="20"/>
                <w:szCs w:val="20"/>
                <w:lang w:eastAsia="en-US"/>
              </w:rPr>
            </w:pPr>
            <w:r w:rsidRPr="00131EED">
              <w:rPr>
                <w:b/>
                <w:sz w:val="20"/>
                <w:szCs w:val="20"/>
                <w:lang w:eastAsia="en-US"/>
              </w:rPr>
              <w:t>Diferencia</w:t>
            </w:r>
          </w:p>
        </w:tc>
      </w:tr>
      <w:tr w:rsidR="00970AF5" w:rsidRPr="00131EED" w14:paraId="2591B785"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162114E8" w14:textId="77777777" w:rsidR="003625EC" w:rsidRPr="00131EED" w:rsidRDefault="003625EC" w:rsidP="003625EC">
            <w:pPr>
              <w:jc w:val="center"/>
              <w:rPr>
                <w:sz w:val="20"/>
                <w:szCs w:val="20"/>
                <w:lang w:eastAsia="en-US"/>
              </w:rPr>
            </w:pPr>
            <w:r w:rsidRPr="00131EED">
              <w:rPr>
                <w:sz w:val="20"/>
                <w:szCs w:val="20"/>
                <w:lang w:eastAsia="en-US"/>
              </w:rPr>
              <w:t>1.1.1. Tejido urbano continuo</w:t>
            </w:r>
          </w:p>
        </w:tc>
        <w:tc>
          <w:tcPr>
            <w:tcW w:w="1413" w:type="dxa"/>
            <w:tcBorders>
              <w:top w:val="nil"/>
              <w:left w:val="nil"/>
              <w:bottom w:val="single" w:sz="4" w:space="0" w:color="auto"/>
              <w:right w:val="single" w:sz="4" w:space="0" w:color="auto"/>
            </w:tcBorders>
            <w:noWrap/>
            <w:vAlign w:val="center"/>
            <w:hideMark/>
          </w:tcPr>
          <w:p w14:paraId="0E2BD264" w14:textId="77777777" w:rsidR="003625EC" w:rsidRPr="00131EED" w:rsidRDefault="003625EC" w:rsidP="003625EC">
            <w:pPr>
              <w:jc w:val="center"/>
              <w:rPr>
                <w:sz w:val="20"/>
                <w:szCs w:val="20"/>
                <w:lang w:eastAsia="en-US"/>
              </w:rPr>
            </w:pPr>
            <w:r w:rsidRPr="00131EED">
              <w:rPr>
                <w:sz w:val="20"/>
                <w:szCs w:val="20"/>
                <w:lang w:eastAsia="en-US"/>
              </w:rPr>
              <w:t>29564.24565</w:t>
            </w:r>
          </w:p>
        </w:tc>
        <w:tc>
          <w:tcPr>
            <w:tcW w:w="1550" w:type="dxa"/>
            <w:tcBorders>
              <w:top w:val="nil"/>
              <w:left w:val="nil"/>
              <w:bottom w:val="single" w:sz="4" w:space="0" w:color="auto"/>
              <w:right w:val="single" w:sz="4" w:space="0" w:color="auto"/>
            </w:tcBorders>
            <w:noWrap/>
            <w:vAlign w:val="center"/>
            <w:hideMark/>
          </w:tcPr>
          <w:p w14:paraId="4232EC18" w14:textId="77777777" w:rsidR="003625EC" w:rsidRPr="00131EED" w:rsidRDefault="003625EC" w:rsidP="003625EC">
            <w:pPr>
              <w:jc w:val="center"/>
              <w:rPr>
                <w:sz w:val="20"/>
                <w:szCs w:val="20"/>
                <w:lang w:eastAsia="en-US"/>
              </w:rPr>
            </w:pPr>
            <w:r w:rsidRPr="00131EED">
              <w:rPr>
                <w:sz w:val="20"/>
                <w:szCs w:val="20"/>
                <w:lang w:eastAsia="en-US"/>
              </w:rPr>
              <w:t>35221.3558</w:t>
            </w:r>
          </w:p>
        </w:tc>
        <w:tc>
          <w:tcPr>
            <w:tcW w:w="1802" w:type="dxa"/>
            <w:tcBorders>
              <w:top w:val="nil"/>
              <w:left w:val="nil"/>
              <w:bottom w:val="single" w:sz="4" w:space="0" w:color="auto"/>
              <w:right w:val="single" w:sz="4" w:space="0" w:color="auto"/>
            </w:tcBorders>
            <w:noWrap/>
            <w:vAlign w:val="center"/>
            <w:hideMark/>
          </w:tcPr>
          <w:p w14:paraId="36981D2D" w14:textId="77777777" w:rsidR="003625EC" w:rsidRPr="00131EED" w:rsidRDefault="003625EC" w:rsidP="003625EC">
            <w:pPr>
              <w:jc w:val="center"/>
              <w:rPr>
                <w:sz w:val="20"/>
                <w:szCs w:val="20"/>
                <w:lang w:eastAsia="en-US"/>
              </w:rPr>
            </w:pPr>
            <w:r w:rsidRPr="00131EED">
              <w:rPr>
                <w:sz w:val="20"/>
                <w:szCs w:val="20"/>
                <w:lang w:eastAsia="en-US"/>
              </w:rPr>
              <w:t>5657.110148</w:t>
            </w:r>
          </w:p>
        </w:tc>
        <w:tc>
          <w:tcPr>
            <w:tcW w:w="1633" w:type="dxa"/>
            <w:vMerge w:val="restart"/>
            <w:tcBorders>
              <w:top w:val="nil"/>
              <w:left w:val="single" w:sz="4" w:space="0" w:color="auto"/>
              <w:bottom w:val="single" w:sz="4" w:space="0" w:color="auto"/>
              <w:right w:val="single" w:sz="4" w:space="0" w:color="auto"/>
            </w:tcBorders>
            <w:noWrap/>
            <w:vAlign w:val="center"/>
            <w:hideMark/>
          </w:tcPr>
          <w:p w14:paraId="04A413A1" w14:textId="77777777" w:rsidR="003625EC" w:rsidRPr="00131EED" w:rsidRDefault="003625EC" w:rsidP="003625EC">
            <w:pPr>
              <w:jc w:val="center"/>
              <w:rPr>
                <w:sz w:val="20"/>
                <w:szCs w:val="20"/>
                <w:lang w:eastAsia="en-US"/>
              </w:rPr>
            </w:pPr>
            <w:r w:rsidRPr="00131EED">
              <w:rPr>
                <w:sz w:val="20"/>
                <w:szCs w:val="20"/>
                <w:lang w:eastAsia="en-US"/>
              </w:rPr>
              <w:t>18389.83</w:t>
            </w:r>
          </w:p>
        </w:tc>
      </w:tr>
      <w:tr w:rsidR="00970AF5" w:rsidRPr="00131EED" w14:paraId="741C5E0B"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623A2D59" w14:textId="77777777" w:rsidR="003625EC" w:rsidRPr="00131EED" w:rsidRDefault="003625EC" w:rsidP="003625EC">
            <w:pPr>
              <w:jc w:val="center"/>
              <w:rPr>
                <w:sz w:val="20"/>
                <w:szCs w:val="20"/>
                <w:lang w:eastAsia="en-US"/>
              </w:rPr>
            </w:pPr>
            <w:r w:rsidRPr="00131EED">
              <w:rPr>
                <w:sz w:val="20"/>
                <w:szCs w:val="20"/>
                <w:lang w:eastAsia="en-US"/>
              </w:rPr>
              <w:t>1.1.2. Tejido urbano discontinuo</w:t>
            </w:r>
          </w:p>
        </w:tc>
        <w:tc>
          <w:tcPr>
            <w:tcW w:w="1413" w:type="dxa"/>
            <w:tcBorders>
              <w:top w:val="nil"/>
              <w:left w:val="nil"/>
              <w:bottom w:val="single" w:sz="4" w:space="0" w:color="auto"/>
              <w:right w:val="single" w:sz="4" w:space="0" w:color="auto"/>
            </w:tcBorders>
            <w:noWrap/>
            <w:vAlign w:val="center"/>
            <w:hideMark/>
          </w:tcPr>
          <w:p w14:paraId="6CEAACD6" w14:textId="77777777" w:rsidR="003625EC" w:rsidRPr="00131EED" w:rsidRDefault="003625EC" w:rsidP="003625EC">
            <w:pPr>
              <w:jc w:val="center"/>
              <w:rPr>
                <w:sz w:val="20"/>
                <w:szCs w:val="20"/>
                <w:lang w:eastAsia="en-US"/>
              </w:rPr>
            </w:pPr>
            <w:r w:rsidRPr="00131EED">
              <w:rPr>
                <w:sz w:val="20"/>
                <w:szCs w:val="20"/>
                <w:lang w:eastAsia="en-US"/>
              </w:rPr>
              <w:t>2931.721398</w:t>
            </w:r>
          </w:p>
        </w:tc>
        <w:tc>
          <w:tcPr>
            <w:tcW w:w="1550" w:type="dxa"/>
            <w:tcBorders>
              <w:top w:val="nil"/>
              <w:left w:val="nil"/>
              <w:bottom w:val="single" w:sz="4" w:space="0" w:color="auto"/>
              <w:right w:val="single" w:sz="4" w:space="0" w:color="auto"/>
            </w:tcBorders>
            <w:noWrap/>
            <w:vAlign w:val="center"/>
            <w:hideMark/>
          </w:tcPr>
          <w:p w14:paraId="01F5711A" w14:textId="77777777" w:rsidR="003625EC" w:rsidRPr="00131EED" w:rsidRDefault="003625EC" w:rsidP="003625EC">
            <w:pPr>
              <w:jc w:val="center"/>
              <w:rPr>
                <w:sz w:val="20"/>
                <w:szCs w:val="20"/>
                <w:lang w:eastAsia="en-US"/>
              </w:rPr>
            </w:pPr>
            <w:r w:rsidRPr="00131EED">
              <w:rPr>
                <w:sz w:val="20"/>
                <w:szCs w:val="20"/>
                <w:lang w:eastAsia="en-US"/>
              </w:rPr>
              <w:t>5001.636398</w:t>
            </w:r>
          </w:p>
        </w:tc>
        <w:tc>
          <w:tcPr>
            <w:tcW w:w="1802" w:type="dxa"/>
            <w:tcBorders>
              <w:top w:val="nil"/>
              <w:left w:val="nil"/>
              <w:bottom w:val="single" w:sz="4" w:space="0" w:color="auto"/>
              <w:right w:val="single" w:sz="4" w:space="0" w:color="auto"/>
            </w:tcBorders>
            <w:noWrap/>
            <w:vAlign w:val="center"/>
            <w:hideMark/>
          </w:tcPr>
          <w:p w14:paraId="4000A087" w14:textId="77777777" w:rsidR="003625EC" w:rsidRPr="00131EED" w:rsidRDefault="003625EC" w:rsidP="003625EC">
            <w:pPr>
              <w:jc w:val="center"/>
              <w:rPr>
                <w:sz w:val="20"/>
                <w:szCs w:val="20"/>
                <w:lang w:eastAsia="en-US"/>
              </w:rPr>
            </w:pPr>
            <w:r w:rsidRPr="00131EED">
              <w:rPr>
                <w:sz w:val="20"/>
                <w:szCs w:val="20"/>
                <w:lang w:eastAsia="en-US"/>
              </w:rPr>
              <w:t>2069.915</w:t>
            </w:r>
          </w:p>
        </w:tc>
        <w:tc>
          <w:tcPr>
            <w:tcW w:w="1633" w:type="dxa"/>
            <w:vMerge/>
            <w:tcBorders>
              <w:top w:val="nil"/>
              <w:left w:val="single" w:sz="4" w:space="0" w:color="auto"/>
              <w:bottom w:val="single" w:sz="4" w:space="0" w:color="auto"/>
              <w:right w:val="single" w:sz="4" w:space="0" w:color="auto"/>
            </w:tcBorders>
            <w:vAlign w:val="center"/>
            <w:hideMark/>
          </w:tcPr>
          <w:p w14:paraId="731B29B8" w14:textId="77777777" w:rsidR="003625EC" w:rsidRPr="00131EED" w:rsidRDefault="003625EC" w:rsidP="003625EC">
            <w:pPr>
              <w:jc w:val="left"/>
              <w:rPr>
                <w:sz w:val="20"/>
                <w:szCs w:val="20"/>
                <w:lang w:eastAsia="en-US"/>
              </w:rPr>
            </w:pPr>
          </w:p>
        </w:tc>
      </w:tr>
      <w:tr w:rsidR="00970AF5" w:rsidRPr="00131EED" w14:paraId="472D3378"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7F50C2E7" w14:textId="77777777" w:rsidR="003625EC" w:rsidRPr="00131EED" w:rsidRDefault="003625EC" w:rsidP="003625EC">
            <w:pPr>
              <w:jc w:val="center"/>
              <w:rPr>
                <w:sz w:val="20"/>
                <w:szCs w:val="20"/>
                <w:lang w:eastAsia="en-US"/>
              </w:rPr>
            </w:pPr>
            <w:r w:rsidRPr="00131EED">
              <w:rPr>
                <w:sz w:val="20"/>
                <w:szCs w:val="20"/>
                <w:lang w:eastAsia="en-US"/>
              </w:rPr>
              <w:t>1.2.1. Zonas industriales o comerciales</w:t>
            </w:r>
          </w:p>
        </w:tc>
        <w:tc>
          <w:tcPr>
            <w:tcW w:w="1413" w:type="dxa"/>
            <w:tcBorders>
              <w:top w:val="nil"/>
              <w:left w:val="nil"/>
              <w:bottom w:val="single" w:sz="4" w:space="0" w:color="auto"/>
              <w:right w:val="single" w:sz="4" w:space="0" w:color="auto"/>
            </w:tcBorders>
            <w:noWrap/>
            <w:vAlign w:val="center"/>
            <w:hideMark/>
          </w:tcPr>
          <w:p w14:paraId="5852224F" w14:textId="77777777" w:rsidR="003625EC" w:rsidRPr="00131EED" w:rsidRDefault="003625EC" w:rsidP="003625EC">
            <w:pPr>
              <w:jc w:val="center"/>
              <w:rPr>
                <w:sz w:val="20"/>
                <w:szCs w:val="20"/>
                <w:lang w:eastAsia="en-US"/>
              </w:rPr>
            </w:pPr>
            <w:r w:rsidRPr="00131EED">
              <w:rPr>
                <w:sz w:val="20"/>
                <w:szCs w:val="20"/>
                <w:lang w:eastAsia="en-US"/>
              </w:rPr>
              <w:t>1235.787713</w:t>
            </w:r>
          </w:p>
        </w:tc>
        <w:tc>
          <w:tcPr>
            <w:tcW w:w="1550" w:type="dxa"/>
            <w:tcBorders>
              <w:top w:val="nil"/>
              <w:left w:val="nil"/>
              <w:bottom w:val="single" w:sz="4" w:space="0" w:color="auto"/>
              <w:right w:val="single" w:sz="4" w:space="0" w:color="auto"/>
            </w:tcBorders>
            <w:noWrap/>
            <w:vAlign w:val="center"/>
            <w:hideMark/>
          </w:tcPr>
          <w:p w14:paraId="61FB1D6B" w14:textId="77777777" w:rsidR="003625EC" w:rsidRPr="00131EED" w:rsidRDefault="003625EC" w:rsidP="003625EC">
            <w:pPr>
              <w:jc w:val="center"/>
              <w:rPr>
                <w:sz w:val="20"/>
                <w:szCs w:val="20"/>
                <w:lang w:eastAsia="en-US"/>
              </w:rPr>
            </w:pPr>
            <w:r w:rsidRPr="00131EED">
              <w:rPr>
                <w:sz w:val="20"/>
                <w:szCs w:val="20"/>
                <w:lang w:eastAsia="en-US"/>
              </w:rPr>
              <w:t>6374.501401</w:t>
            </w:r>
          </w:p>
        </w:tc>
        <w:tc>
          <w:tcPr>
            <w:tcW w:w="1802" w:type="dxa"/>
            <w:tcBorders>
              <w:top w:val="nil"/>
              <w:left w:val="nil"/>
              <w:bottom w:val="single" w:sz="4" w:space="0" w:color="auto"/>
              <w:right w:val="single" w:sz="4" w:space="0" w:color="auto"/>
            </w:tcBorders>
            <w:noWrap/>
            <w:vAlign w:val="center"/>
            <w:hideMark/>
          </w:tcPr>
          <w:p w14:paraId="79A48136" w14:textId="77777777" w:rsidR="003625EC" w:rsidRPr="00131EED" w:rsidRDefault="003625EC" w:rsidP="003625EC">
            <w:pPr>
              <w:jc w:val="center"/>
              <w:rPr>
                <w:sz w:val="20"/>
                <w:szCs w:val="20"/>
                <w:lang w:eastAsia="en-US"/>
              </w:rPr>
            </w:pPr>
            <w:r w:rsidRPr="00131EED">
              <w:rPr>
                <w:sz w:val="20"/>
                <w:szCs w:val="20"/>
                <w:lang w:eastAsia="en-US"/>
              </w:rPr>
              <w:t>5138.713688</w:t>
            </w:r>
          </w:p>
        </w:tc>
        <w:tc>
          <w:tcPr>
            <w:tcW w:w="1633" w:type="dxa"/>
            <w:vMerge/>
            <w:tcBorders>
              <w:top w:val="nil"/>
              <w:left w:val="single" w:sz="4" w:space="0" w:color="auto"/>
              <w:bottom w:val="single" w:sz="4" w:space="0" w:color="auto"/>
              <w:right w:val="single" w:sz="4" w:space="0" w:color="auto"/>
            </w:tcBorders>
            <w:vAlign w:val="center"/>
            <w:hideMark/>
          </w:tcPr>
          <w:p w14:paraId="36FDF1AC" w14:textId="77777777" w:rsidR="003625EC" w:rsidRPr="00131EED" w:rsidRDefault="003625EC" w:rsidP="003625EC">
            <w:pPr>
              <w:jc w:val="left"/>
              <w:rPr>
                <w:sz w:val="20"/>
                <w:szCs w:val="20"/>
                <w:lang w:eastAsia="en-US"/>
              </w:rPr>
            </w:pPr>
          </w:p>
        </w:tc>
      </w:tr>
      <w:tr w:rsidR="00970AF5" w:rsidRPr="00131EED" w14:paraId="70D47204"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2C1C5039" w14:textId="77777777" w:rsidR="003625EC" w:rsidRPr="00131EED" w:rsidRDefault="003625EC" w:rsidP="003625EC">
            <w:pPr>
              <w:jc w:val="center"/>
              <w:rPr>
                <w:sz w:val="20"/>
                <w:szCs w:val="20"/>
                <w:lang w:eastAsia="en-US"/>
              </w:rPr>
            </w:pPr>
            <w:r w:rsidRPr="00131EED">
              <w:rPr>
                <w:sz w:val="20"/>
                <w:szCs w:val="20"/>
                <w:lang w:eastAsia="en-US"/>
              </w:rPr>
              <w:t>1.2.2. Red vial, ferroviaria y terrenos asociados</w:t>
            </w:r>
          </w:p>
        </w:tc>
        <w:tc>
          <w:tcPr>
            <w:tcW w:w="1413" w:type="dxa"/>
            <w:tcBorders>
              <w:top w:val="nil"/>
              <w:left w:val="nil"/>
              <w:bottom w:val="single" w:sz="4" w:space="0" w:color="auto"/>
              <w:right w:val="single" w:sz="4" w:space="0" w:color="auto"/>
            </w:tcBorders>
            <w:noWrap/>
            <w:vAlign w:val="center"/>
            <w:hideMark/>
          </w:tcPr>
          <w:p w14:paraId="553E5513" w14:textId="77777777" w:rsidR="003625EC" w:rsidRPr="00131EED" w:rsidRDefault="003625EC" w:rsidP="003625EC">
            <w:pPr>
              <w:jc w:val="center"/>
              <w:rPr>
                <w:sz w:val="20"/>
                <w:szCs w:val="20"/>
                <w:lang w:eastAsia="en-US"/>
              </w:rPr>
            </w:pPr>
            <w:r w:rsidRPr="00131EED">
              <w:rPr>
                <w:sz w:val="20"/>
                <w:szCs w:val="20"/>
                <w:lang w:eastAsia="en-US"/>
              </w:rPr>
              <w:t>156.809831</w:t>
            </w:r>
          </w:p>
        </w:tc>
        <w:tc>
          <w:tcPr>
            <w:tcW w:w="1550" w:type="dxa"/>
            <w:tcBorders>
              <w:top w:val="nil"/>
              <w:left w:val="nil"/>
              <w:bottom w:val="single" w:sz="4" w:space="0" w:color="auto"/>
              <w:right w:val="single" w:sz="4" w:space="0" w:color="auto"/>
            </w:tcBorders>
            <w:noWrap/>
            <w:vAlign w:val="center"/>
            <w:hideMark/>
          </w:tcPr>
          <w:p w14:paraId="5352A6D9" w14:textId="77777777" w:rsidR="003625EC" w:rsidRPr="00131EED" w:rsidRDefault="003625EC" w:rsidP="003625EC">
            <w:pPr>
              <w:jc w:val="center"/>
              <w:rPr>
                <w:sz w:val="20"/>
                <w:szCs w:val="20"/>
                <w:lang w:eastAsia="en-US"/>
              </w:rPr>
            </w:pPr>
            <w:r w:rsidRPr="00131EED">
              <w:rPr>
                <w:sz w:val="20"/>
                <w:szCs w:val="20"/>
                <w:lang w:eastAsia="en-US"/>
              </w:rPr>
              <w:t>233.772379</w:t>
            </w:r>
          </w:p>
        </w:tc>
        <w:tc>
          <w:tcPr>
            <w:tcW w:w="1802" w:type="dxa"/>
            <w:tcBorders>
              <w:top w:val="nil"/>
              <w:left w:val="nil"/>
              <w:bottom w:val="single" w:sz="4" w:space="0" w:color="auto"/>
              <w:right w:val="single" w:sz="4" w:space="0" w:color="auto"/>
            </w:tcBorders>
            <w:noWrap/>
            <w:vAlign w:val="center"/>
            <w:hideMark/>
          </w:tcPr>
          <w:p w14:paraId="24D7B0B8" w14:textId="77777777" w:rsidR="003625EC" w:rsidRPr="00131EED" w:rsidRDefault="003625EC" w:rsidP="003625EC">
            <w:pPr>
              <w:jc w:val="center"/>
              <w:rPr>
                <w:sz w:val="20"/>
                <w:szCs w:val="20"/>
                <w:lang w:eastAsia="en-US"/>
              </w:rPr>
            </w:pPr>
            <w:r w:rsidRPr="00131EED">
              <w:rPr>
                <w:sz w:val="20"/>
                <w:szCs w:val="20"/>
                <w:lang w:eastAsia="en-US"/>
              </w:rPr>
              <w:t>76.962548</w:t>
            </w:r>
          </w:p>
        </w:tc>
        <w:tc>
          <w:tcPr>
            <w:tcW w:w="1633" w:type="dxa"/>
            <w:vMerge/>
            <w:tcBorders>
              <w:top w:val="nil"/>
              <w:left w:val="single" w:sz="4" w:space="0" w:color="auto"/>
              <w:bottom w:val="single" w:sz="4" w:space="0" w:color="auto"/>
              <w:right w:val="single" w:sz="4" w:space="0" w:color="auto"/>
            </w:tcBorders>
            <w:vAlign w:val="center"/>
            <w:hideMark/>
          </w:tcPr>
          <w:p w14:paraId="01A34D2D" w14:textId="77777777" w:rsidR="003625EC" w:rsidRPr="00131EED" w:rsidRDefault="003625EC" w:rsidP="003625EC">
            <w:pPr>
              <w:jc w:val="left"/>
              <w:rPr>
                <w:sz w:val="20"/>
                <w:szCs w:val="20"/>
                <w:lang w:eastAsia="en-US"/>
              </w:rPr>
            </w:pPr>
          </w:p>
        </w:tc>
      </w:tr>
      <w:tr w:rsidR="00970AF5" w:rsidRPr="00131EED" w14:paraId="6C125849"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2126E5EA" w14:textId="77777777" w:rsidR="003625EC" w:rsidRPr="00131EED" w:rsidRDefault="003625EC" w:rsidP="003625EC">
            <w:pPr>
              <w:jc w:val="center"/>
              <w:rPr>
                <w:sz w:val="20"/>
                <w:szCs w:val="20"/>
                <w:lang w:eastAsia="en-US"/>
              </w:rPr>
            </w:pPr>
            <w:r w:rsidRPr="00131EED">
              <w:rPr>
                <w:sz w:val="20"/>
                <w:szCs w:val="20"/>
                <w:lang w:eastAsia="en-US"/>
              </w:rPr>
              <w:t>1.2.4. Aeropuertos</w:t>
            </w:r>
          </w:p>
        </w:tc>
        <w:tc>
          <w:tcPr>
            <w:tcW w:w="1413" w:type="dxa"/>
            <w:tcBorders>
              <w:top w:val="nil"/>
              <w:left w:val="nil"/>
              <w:bottom w:val="single" w:sz="4" w:space="0" w:color="auto"/>
              <w:right w:val="single" w:sz="4" w:space="0" w:color="auto"/>
            </w:tcBorders>
            <w:noWrap/>
            <w:vAlign w:val="center"/>
            <w:hideMark/>
          </w:tcPr>
          <w:p w14:paraId="6C4EF495" w14:textId="77777777" w:rsidR="003625EC" w:rsidRPr="00131EED" w:rsidRDefault="003625EC" w:rsidP="003625EC">
            <w:pPr>
              <w:jc w:val="center"/>
              <w:rPr>
                <w:sz w:val="20"/>
                <w:szCs w:val="20"/>
                <w:lang w:eastAsia="en-US"/>
              </w:rPr>
            </w:pPr>
            <w:r w:rsidRPr="00131EED">
              <w:rPr>
                <w:sz w:val="20"/>
                <w:szCs w:val="20"/>
                <w:lang w:eastAsia="en-US"/>
              </w:rPr>
              <w:t>355.81832</w:t>
            </w:r>
          </w:p>
        </w:tc>
        <w:tc>
          <w:tcPr>
            <w:tcW w:w="1550" w:type="dxa"/>
            <w:tcBorders>
              <w:top w:val="nil"/>
              <w:left w:val="nil"/>
              <w:bottom w:val="single" w:sz="4" w:space="0" w:color="auto"/>
              <w:right w:val="single" w:sz="4" w:space="0" w:color="auto"/>
            </w:tcBorders>
            <w:noWrap/>
            <w:vAlign w:val="center"/>
            <w:hideMark/>
          </w:tcPr>
          <w:p w14:paraId="2C09E946" w14:textId="77777777" w:rsidR="003625EC" w:rsidRPr="00131EED" w:rsidRDefault="003625EC" w:rsidP="003625EC">
            <w:pPr>
              <w:jc w:val="center"/>
              <w:rPr>
                <w:sz w:val="20"/>
                <w:szCs w:val="20"/>
                <w:lang w:eastAsia="en-US"/>
              </w:rPr>
            </w:pPr>
            <w:r w:rsidRPr="00131EED">
              <w:rPr>
                <w:sz w:val="20"/>
                <w:szCs w:val="20"/>
                <w:lang w:eastAsia="en-US"/>
              </w:rPr>
              <w:t>1064.803615</w:t>
            </w:r>
          </w:p>
        </w:tc>
        <w:tc>
          <w:tcPr>
            <w:tcW w:w="1802" w:type="dxa"/>
            <w:tcBorders>
              <w:top w:val="nil"/>
              <w:left w:val="nil"/>
              <w:bottom w:val="single" w:sz="4" w:space="0" w:color="auto"/>
              <w:right w:val="single" w:sz="4" w:space="0" w:color="auto"/>
            </w:tcBorders>
            <w:noWrap/>
            <w:vAlign w:val="center"/>
            <w:hideMark/>
          </w:tcPr>
          <w:p w14:paraId="1346E0B3" w14:textId="77777777" w:rsidR="003625EC" w:rsidRPr="00131EED" w:rsidRDefault="003625EC" w:rsidP="003625EC">
            <w:pPr>
              <w:jc w:val="center"/>
              <w:rPr>
                <w:sz w:val="20"/>
                <w:szCs w:val="20"/>
                <w:lang w:eastAsia="en-US"/>
              </w:rPr>
            </w:pPr>
            <w:r w:rsidRPr="00131EED">
              <w:rPr>
                <w:sz w:val="20"/>
                <w:szCs w:val="20"/>
                <w:lang w:eastAsia="en-US"/>
              </w:rPr>
              <w:t>708.985295</w:t>
            </w:r>
          </w:p>
        </w:tc>
        <w:tc>
          <w:tcPr>
            <w:tcW w:w="1633" w:type="dxa"/>
            <w:vMerge/>
            <w:tcBorders>
              <w:top w:val="nil"/>
              <w:left w:val="single" w:sz="4" w:space="0" w:color="auto"/>
              <w:bottom w:val="single" w:sz="4" w:space="0" w:color="auto"/>
              <w:right w:val="single" w:sz="4" w:space="0" w:color="auto"/>
            </w:tcBorders>
            <w:vAlign w:val="center"/>
            <w:hideMark/>
          </w:tcPr>
          <w:p w14:paraId="2126E455" w14:textId="77777777" w:rsidR="003625EC" w:rsidRPr="00131EED" w:rsidRDefault="003625EC" w:rsidP="003625EC">
            <w:pPr>
              <w:jc w:val="left"/>
              <w:rPr>
                <w:sz w:val="20"/>
                <w:szCs w:val="20"/>
                <w:lang w:eastAsia="en-US"/>
              </w:rPr>
            </w:pPr>
          </w:p>
        </w:tc>
      </w:tr>
      <w:tr w:rsidR="00970AF5" w:rsidRPr="00131EED" w14:paraId="7BFC4E37"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16D1C655" w14:textId="77777777" w:rsidR="003625EC" w:rsidRPr="00131EED" w:rsidRDefault="003625EC" w:rsidP="003625EC">
            <w:pPr>
              <w:jc w:val="center"/>
              <w:rPr>
                <w:sz w:val="20"/>
                <w:szCs w:val="20"/>
                <w:lang w:eastAsia="en-US"/>
              </w:rPr>
            </w:pPr>
            <w:r w:rsidRPr="00131EED">
              <w:rPr>
                <w:sz w:val="20"/>
                <w:szCs w:val="20"/>
                <w:lang w:eastAsia="en-US"/>
              </w:rPr>
              <w:t>1.2.5. Obras hidráulicas</w:t>
            </w:r>
          </w:p>
        </w:tc>
        <w:tc>
          <w:tcPr>
            <w:tcW w:w="1413" w:type="dxa"/>
            <w:tcBorders>
              <w:top w:val="nil"/>
              <w:left w:val="nil"/>
              <w:bottom w:val="single" w:sz="4" w:space="0" w:color="auto"/>
              <w:right w:val="single" w:sz="4" w:space="0" w:color="auto"/>
            </w:tcBorders>
            <w:noWrap/>
            <w:vAlign w:val="center"/>
            <w:hideMark/>
          </w:tcPr>
          <w:p w14:paraId="08B26E3E" w14:textId="77777777" w:rsidR="003625EC" w:rsidRPr="00131EED" w:rsidRDefault="003625EC" w:rsidP="003625EC">
            <w:pPr>
              <w:jc w:val="center"/>
              <w:rPr>
                <w:sz w:val="20"/>
                <w:szCs w:val="20"/>
                <w:lang w:eastAsia="en-US"/>
              </w:rPr>
            </w:pPr>
            <w:r w:rsidRPr="00131EED">
              <w:rPr>
                <w:sz w:val="20"/>
                <w:szCs w:val="20"/>
                <w:lang w:eastAsia="en-US"/>
              </w:rPr>
              <w:t>0</w:t>
            </w:r>
          </w:p>
        </w:tc>
        <w:tc>
          <w:tcPr>
            <w:tcW w:w="1550" w:type="dxa"/>
            <w:tcBorders>
              <w:top w:val="nil"/>
              <w:left w:val="nil"/>
              <w:bottom w:val="single" w:sz="4" w:space="0" w:color="auto"/>
              <w:right w:val="single" w:sz="4" w:space="0" w:color="auto"/>
            </w:tcBorders>
            <w:noWrap/>
            <w:vAlign w:val="center"/>
            <w:hideMark/>
          </w:tcPr>
          <w:p w14:paraId="403BFF50" w14:textId="77777777" w:rsidR="003625EC" w:rsidRPr="00131EED" w:rsidRDefault="003625EC" w:rsidP="003625EC">
            <w:pPr>
              <w:jc w:val="center"/>
              <w:rPr>
                <w:sz w:val="20"/>
                <w:szCs w:val="20"/>
                <w:lang w:eastAsia="en-US"/>
              </w:rPr>
            </w:pPr>
            <w:r w:rsidRPr="00131EED">
              <w:rPr>
                <w:sz w:val="20"/>
                <w:szCs w:val="20"/>
                <w:lang w:eastAsia="en-US"/>
              </w:rPr>
              <w:t>20.572283</w:t>
            </w:r>
          </w:p>
        </w:tc>
        <w:tc>
          <w:tcPr>
            <w:tcW w:w="1802" w:type="dxa"/>
            <w:tcBorders>
              <w:top w:val="nil"/>
              <w:left w:val="nil"/>
              <w:bottom w:val="single" w:sz="4" w:space="0" w:color="auto"/>
              <w:right w:val="single" w:sz="4" w:space="0" w:color="auto"/>
            </w:tcBorders>
            <w:noWrap/>
            <w:vAlign w:val="center"/>
            <w:hideMark/>
          </w:tcPr>
          <w:p w14:paraId="58BE8224" w14:textId="77777777" w:rsidR="003625EC" w:rsidRPr="00131EED" w:rsidRDefault="003625EC" w:rsidP="003625EC">
            <w:pPr>
              <w:jc w:val="center"/>
              <w:rPr>
                <w:sz w:val="20"/>
                <w:szCs w:val="20"/>
                <w:lang w:eastAsia="en-US"/>
              </w:rPr>
            </w:pPr>
            <w:r w:rsidRPr="00131EED">
              <w:rPr>
                <w:sz w:val="20"/>
                <w:szCs w:val="20"/>
                <w:lang w:eastAsia="en-US"/>
              </w:rPr>
              <w:t>20.572283</w:t>
            </w:r>
          </w:p>
        </w:tc>
        <w:tc>
          <w:tcPr>
            <w:tcW w:w="1633" w:type="dxa"/>
            <w:vMerge/>
            <w:tcBorders>
              <w:top w:val="nil"/>
              <w:left w:val="single" w:sz="4" w:space="0" w:color="auto"/>
              <w:bottom w:val="single" w:sz="4" w:space="0" w:color="auto"/>
              <w:right w:val="single" w:sz="4" w:space="0" w:color="auto"/>
            </w:tcBorders>
            <w:vAlign w:val="center"/>
            <w:hideMark/>
          </w:tcPr>
          <w:p w14:paraId="1F93965E" w14:textId="77777777" w:rsidR="003625EC" w:rsidRPr="00131EED" w:rsidRDefault="003625EC" w:rsidP="003625EC">
            <w:pPr>
              <w:jc w:val="left"/>
              <w:rPr>
                <w:sz w:val="20"/>
                <w:szCs w:val="20"/>
                <w:lang w:eastAsia="en-US"/>
              </w:rPr>
            </w:pPr>
          </w:p>
        </w:tc>
      </w:tr>
      <w:tr w:rsidR="00970AF5" w:rsidRPr="00131EED" w14:paraId="542BC333"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19518B6B" w14:textId="41B03D10" w:rsidR="003625EC" w:rsidRPr="00131EED" w:rsidRDefault="003625EC" w:rsidP="003625EC">
            <w:pPr>
              <w:jc w:val="center"/>
              <w:rPr>
                <w:sz w:val="20"/>
                <w:szCs w:val="20"/>
                <w:lang w:eastAsia="en-US"/>
              </w:rPr>
            </w:pPr>
            <w:r w:rsidRPr="00131EED">
              <w:rPr>
                <w:sz w:val="20"/>
                <w:szCs w:val="20"/>
                <w:lang w:eastAsia="en-US"/>
              </w:rPr>
              <w:t xml:space="preserve">1.3.1. Zonas de </w:t>
            </w:r>
            <w:r w:rsidR="0055175B" w:rsidRPr="00131EED">
              <w:rPr>
                <w:sz w:val="20"/>
                <w:szCs w:val="20"/>
                <w:lang w:eastAsia="en-US"/>
              </w:rPr>
              <w:t>extracción</w:t>
            </w:r>
            <w:r w:rsidRPr="00131EED">
              <w:rPr>
                <w:sz w:val="20"/>
                <w:szCs w:val="20"/>
                <w:lang w:eastAsia="en-US"/>
              </w:rPr>
              <w:t xml:space="preserve"> minera</w:t>
            </w:r>
          </w:p>
        </w:tc>
        <w:tc>
          <w:tcPr>
            <w:tcW w:w="1413" w:type="dxa"/>
            <w:tcBorders>
              <w:top w:val="nil"/>
              <w:left w:val="nil"/>
              <w:bottom w:val="single" w:sz="4" w:space="0" w:color="auto"/>
              <w:right w:val="single" w:sz="4" w:space="0" w:color="auto"/>
            </w:tcBorders>
            <w:noWrap/>
            <w:vAlign w:val="center"/>
            <w:hideMark/>
          </w:tcPr>
          <w:p w14:paraId="685E5006" w14:textId="77777777" w:rsidR="003625EC" w:rsidRPr="00131EED" w:rsidRDefault="003625EC" w:rsidP="003625EC">
            <w:pPr>
              <w:jc w:val="center"/>
              <w:rPr>
                <w:sz w:val="20"/>
                <w:szCs w:val="20"/>
                <w:lang w:eastAsia="en-US"/>
              </w:rPr>
            </w:pPr>
            <w:r w:rsidRPr="00131EED">
              <w:rPr>
                <w:sz w:val="20"/>
                <w:szCs w:val="20"/>
                <w:lang w:eastAsia="en-US"/>
              </w:rPr>
              <w:t>1315.79332</w:t>
            </w:r>
          </w:p>
        </w:tc>
        <w:tc>
          <w:tcPr>
            <w:tcW w:w="1550" w:type="dxa"/>
            <w:tcBorders>
              <w:top w:val="nil"/>
              <w:left w:val="nil"/>
              <w:bottom w:val="single" w:sz="4" w:space="0" w:color="auto"/>
              <w:right w:val="single" w:sz="4" w:space="0" w:color="auto"/>
            </w:tcBorders>
            <w:noWrap/>
            <w:vAlign w:val="center"/>
            <w:hideMark/>
          </w:tcPr>
          <w:p w14:paraId="0530F350" w14:textId="77777777" w:rsidR="003625EC" w:rsidRPr="00131EED" w:rsidRDefault="003625EC" w:rsidP="003625EC">
            <w:pPr>
              <w:jc w:val="center"/>
              <w:rPr>
                <w:sz w:val="20"/>
                <w:szCs w:val="20"/>
                <w:lang w:eastAsia="en-US"/>
              </w:rPr>
            </w:pPr>
            <w:r w:rsidRPr="00131EED">
              <w:rPr>
                <w:sz w:val="20"/>
                <w:szCs w:val="20"/>
                <w:lang w:eastAsia="en-US"/>
              </w:rPr>
              <w:t>3872.352004</w:t>
            </w:r>
          </w:p>
        </w:tc>
        <w:tc>
          <w:tcPr>
            <w:tcW w:w="1802" w:type="dxa"/>
            <w:tcBorders>
              <w:top w:val="nil"/>
              <w:left w:val="nil"/>
              <w:bottom w:val="single" w:sz="4" w:space="0" w:color="auto"/>
              <w:right w:val="single" w:sz="4" w:space="0" w:color="auto"/>
            </w:tcBorders>
            <w:noWrap/>
            <w:vAlign w:val="center"/>
            <w:hideMark/>
          </w:tcPr>
          <w:p w14:paraId="41F30493" w14:textId="77777777" w:rsidR="003625EC" w:rsidRPr="00131EED" w:rsidRDefault="003625EC" w:rsidP="003625EC">
            <w:pPr>
              <w:jc w:val="center"/>
              <w:rPr>
                <w:sz w:val="20"/>
                <w:szCs w:val="20"/>
                <w:lang w:eastAsia="en-US"/>
              </w:rPr>
            </w:pPr>
            <w:r w:rsidRPr="00131EED">
              <w:rPr>
                <w:sz w:val="20"/>
                <w:szCs w:val="20"/>
                <w:lang w:eastAsia="en-US"/>
              </w:rPr>
              <w:t>2556.558684</w:t>
            </w:r>
          </w:p>
        </w:tc>
        <w:tc>
          <w:tcPr>
            <w:tcW w:w="1633" w:type="dxa"/>
            <w:vMerge/>
            <w:tcBorders>
              <w:top w:val="nil"/>
              <w:left w:val="single" w:sz="4" w:space="0" w:color="auto"/>
              <w:bottom w:val="single" w:sz="4" w:space="0" w:color="auto"/>
              <w:right w:val="single" w:sz="4" w:space="0" w:color="auto"/>
            </w:tcBorders>
            <w:vAlign w:val="center"/>
            <w:hideMark/>
          </w:tcPr>
          <w:p w14:paraId="2303644E" w14:textId="77777777" w:rsidR="003625EC" w:rsidRPr="00131EED" w:rsidRDefault="003625EC" w:rsidP="003625EC">
            <w:pPr>
              <w:jc w:val="left"/>
              <w:rPr>
                <w:sz w:val="20"/>
                <w:szCs w:val="20"/>
                <w:lang w:eastAsia="en-US"/>
              </w:rPr>
            </w:pPr>
          </w:p>
        </w:tc>
      </w:tr>
      <w:tr w:rsidR="00970AF5" w:rsidRPr="00131EED" w14:paraId="3CD31309"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2DEC6494" w14:textId="77777777" w:rsidR="003625EC" w:rsidRPr="00131EED" w:rsidRDefault="003625EC" w:rsidP="003625EC">
            <w:pPr>
              <w:jc w:val="center"/>
              <w:rPr>
                <w:sz w:val="20"/>
                <w:szCs w:val="20"/>
                <w:lang w:eastAsia="en-US"/>
              </w:rPr>
            </w:pPr>
            <w:r w:rsidRPr="00131EED">
              <w:rPr>
                <w:sz w:val="20"/>
                <w:szCs w:val="20"/>
                <w:lang w:eastAsia="en-US"/>
              </w:rPr>
              <w:t>1.3.2. Zona de disposición de residuos</w:t>
            </w:r>
          </w:p>
        </w:tc>
        <w:tc>
          <w:tcPr>
            <w:tcW w:w="1413" w:type="dxa"/>
            <w:tcBorders>
              <w:top w:val="nil"/>
              <w:left w:val="nil"/>
              <w:bottom w:val="single" w:sz="4" w:space="0" w:color="auto"/>
              <w:right w:val="single" w:sz="4" w:space="0" w:color="auto"/>
            </w:tcBorders>
            <w:noWrap/>
            <w:vAlign w:val="center"/>
            <w:hideMark/>
          </w:tcPr>
          <w:p w14:paraId="60DB4E91" w14:textId="77777777" w:rsidR="003625EC" w:rsidRPr="00131EED" w:rsidRDefault="003625EC" w:rsidP="003625EC">
            <w:pPr>
              <w:jc w:val="center"/>
              <w:rPr>
                <w:sz w:val="20"/>
                <w:szCs w:val="20"/>
                <w:lang w:eastAsia="en-US"/>
              </w:rPr>
            </w:pPr>
            <w:r w:rsidRPr="00131EED">
              <w:rPr>
                <w:sz w:val="20"/>
                <w:szCs w:val="20"/>
                <w:lang w:eastAsia="en-US"/>
              </w:rPr>
              <w:t>0</w:t>
            </w:r>
          </w:p>
        </w:tc>
        <w:tc>
          <w:tcPr>
            <w:tcW w:w="1550" w:type="dxa"/>
            <w:tcBorders>
              <w:top w:val="nil"/>
              <w:left w:val="nil"/>
              <w:bottom w:val="single" w:sz="4" w:space="0" w:color="auto"/>
              <w:right w:val="single" w:sz="4" w:space="0" w:color="auto"/>
            </w:tcBorders>
            <w:noWrap/>
            <w:vAlign w:val="center"/>
            <w:hideMark/>
          </w:tcPr>
          <w:p w14:paraId="5861F17B" w14:textId="77777777" w:rsidR="003625EC" w:rsidRPr="00131EED" w:rsidRDefault="003625EC" w:rsidP="003625EC">
            <w:pPr>
              <w:jc w:val="center"/>
              <w:rPr>
                <w:sz w:val="20"/>
                <w:szCs w:val="20"/>
                <w:lang w:eastAsia="en-US"/>
              </w:rPr>
            </w:pPr>
            <w:r w:rsidRPr="00131EED">
              <w:rPr>
                <w:sz w:val="20"/>
                <w:szCs w:val="20"/>
                <w:lang w:eastAsia="en-US"/>
              </w:rPr>
              <w:t>222.639309</w:t>
            </w:r>
          </w:p>
        </w:tc>
        <w:tc>
          <w:tcPr>
            <w:tcW w:w="1802" w:type="dxa"/>
            <w:tcBorders>
              <w:top w:val="nil"/>
              <w:left w:val="nil"/>
              <w:bottom w:val="single" w:sz="4" w:space="0" w:color="auto"/>
              <w:right w:val="single" w:sz="4" w:space="0" w:color="auto"/>
            </w:tcBorders>
            <w:noWrap/>
            <w:vAlign w:val="center"/>
            <w:hideMark/>
          </w:tcPr>
          <w:p w14:paraId="4079EF99" w14:textId="77777777" w:rsidR="003625EC" w:rsidRPr="00131EED" w:rsidRDefault="003625EC" w:rsidP="003625EC">
            <w:pPr>
              <w:jc w:val="center"/>
              <w:rPr>
                <w:sz w:val="20"/>
                <w:szCs w:val="20"/>
                <w:lang w:eastAsia="en-US"/>
              </w:rPr>
            </w:pPr>
            <w:r w:rsidRPr="00131EED">
              <w:rPr>
                <w:sz w:val="20"/>
                <w:szCs w:val="20"/>
                <w:lang w:eastAsia="en-US"/>
              </w:rPr>
              <w:t>222.639309</w:t>
            </w:r>
          </w:p>
        </w:tc>
        <w:tc>
          <w:tcPr>
            <w:tcW w:w="1633" w:type="dxa"/>
            <w:vMerge/>
            <w:tcBorders>
              <w:top w:val="nil"/>
              <w:left w:val="single" w:sz="4" w:space="0" w:color="auto"/>
              <w:bottom w:val="single" w:sz="4" w:space="0" w:color="auto"/>
              <w:right w:val="single" w:sz="4" w:space="0" w:color="auto"/>
            </w:tcBorders>
            <w:vAlign w:val="center"/>
            <w:hideMark/>
          </w:tcPr>
          <w:p w14:paraId="20E99A59" w14:textId="77777777" w:rsidR="003625EC" w:rsidRPr="00131EED" w:rsidRDefault="003625EC" w:rsidP="003625EC">
            <w:pPr>
              <w:jc w:val="left"/>
              <w:rPr>
                <w:sz w:val="20"/>
                <w:szCs w:val="20"/>
                <w:lang w:eastAsia="en-US"/>
              </w:rPr>
            </w:pPr>
          </w:p>
        </w:tc>
      </w:tr>
      <w:tr w:rsidR="00970AF5" w:rsidRPr="00131EED" w14:paraId="5AB17F57"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088E1DC9" w14:textId="77777777" w:rsidR="003625EC" w:rsidRPr="00131EED" w:rsidRDefault="003625EC" w:rsidP="003625EC">
            <w:pPr>
              <w:jc w:val="center"/>
              <w:rPr>
                <w:sz w:val="20"/>
                <w:szCs w:val="20"/>
                <w:lang w:eastAsia="en-US"/>
              </w:rPr>
            </w:pPr>
            <w:r w:rsidRPr="00131EED">
              <w:rPr>
                <w:sz w:val="20"/>
                <w:szCs w:val="20"/>
                <w:lang w:eastAsia="en-US"/>
              </w:rPr>
              <w:t>1.4.1. Zonas verdes urbanas</w:t>
            </w:r>
          </w:p>
        </w:tc>
        <w:tc>
          <w:tcPr>
            <w:tcW w:w="1413" w:type="dxa"/>
            <w:tcBorders>
              <w:top w:val="nil"/>
              <w:left w:val="nil"/>
              <w:bottom w:val="single" w:sz="4" w:space="0" w:color="auto"/>
              <w:right w:val="single" w:sz="4" w:space="0" w:color="auto"/>
            </w:tcBorders>
            <w:noWrap/>
            <w:vAlign w:val="center"/>
            <w:hideMark/>
          </w:tcPr>
          <w:p w14:paraId="4F194F82" w14:textId="77777777" w:rsidR="003625EC" w:rsidRPr="00131EED" w:rsidRDefault="003625EC" w:rsidP="003625EC">
            <w:pPr>
              <w:jc w:val="center"/>
              <w:rPr>
                <w:sz w:val="20"/>
                <w:szCs w:val="20"/>
                <w:lang w:eastAsia="en-US"/>
              </w:rPr>
            </w:pPr>
            <w:r w:rsidRPr="00131EED">
              <w:rPr>
                <w:sz w:val="20"/>
                <w:szCs w:val="20"/>
                <w:lang w:eastAsia="en-US"/>
              </w:rPr>
              <w:t>1184.715349</w:t>
            </w:r>
          </w:p>
        </w:tc>
        <w:tc>
          <w:tcPr>
            <w:tcW w:w="1550" w:type="dxa"/>
            <w:tcBorders>
              <w:top w:val="nil"/>
              <w:left w:val="nil"/>
              <w:bottom w:val="single" w:sz="4" w:space="0" w:color="auto"/>
              <w:right w:val="single" w:sz="4" w:space="0" w:color="auto"/>
            </w:tcBorders>
            <w:noWrap/>
            <w:vAlign w:val="center"/>
            <w:hideMark/>
          </w:tcPr>
          <w:p w14:paraId="190BFD81" w14:textId="77777777" w:rsidR="003625EC" w:rsidRPr="00131EED" w:rsidRDefault="003625EC" w:rsidP="003625EC">
            <w:pPr>
              <w:jc w:val="center"/>
              <w:rPr>
                <w:sz w:val="20"/>
                <w:szCs w:val="20"/>
                <w:lang w:eastAsia="en-US"/>
              </w:rPr>
            </w:pPr>
            <w:r w:rsidRPr="00131EED">
              <w:rPr>
                <w:sz w:val="20"/>
                <w:szCs w:val="20"/>
                <w:lang w:eastAsia="en-US"/>
              </w:rPr>
              <w:t>1369.368948</w:t>
            </w:r>
          </w:p>
        </w:tc>
        <w:tc>
          <w:tcPr>
            <w:tcW w:w="1802" w:type="dxa"/>
            <w:tcBorders>
              <w:top w:val="nil"/>
              <w:left w:val="nil"/>
              <w:bottom w:val="single" w:sz="4" w:space="0" w:color="auto"/>
              <w:right w:val="single" w:sz="4" w:space="0" w:color="auto"/>
            </w:tcBorders>
            <w:noWrap/>
            <w:vAlign w:val="center"/>
            <w:hideMark/>
          </w:tcPr>
          <w:p w14:paraId="7C08F814" w14:textId="77777777" w:rsidR="003625EC" w:rsidRPr="00131EED" w:rsidRDefault="003625EC" w:rsidP="003625EC">
            <w:pPr>
              <w:jc w:val="center"/>
              <w:rPr>
                <w:sz w:val="20"/>
                <w:szCs w:val="20"/>
                <w:lang w:eastAsia="en-US"/>
              </w:rPr>
            </w:pPr>
            <w:r w:rsidRPr="00131EED">
              <w:rPr>
                <w:sz w:val="20"/>
                <w:szCs w:val="20"/>
                <w:lang w:eastAsia="en-US"/>
              </w:rPr>
              <w:t>184.653599</w:t>
            </w:r>
          </w:p>
        </w:tc>
        <w:tc>
          <w:tcPr>
            <w:tcW w:w="1633" w:type="dxa"/>
            <w:vMerge/>
            <w:tcBorders>
              <w:top w:val="nil"/>
              <w:left w:val="single" w:sz="4" w:space="0" w:color="auto"/>
              <w:bottom w:val="single" w:sz="4" w:space="0" w:color="auto"/>
              <w:right w:val="single" w:sz="4" w:space="0" w:color="auto"/>
            </w:tcBorders>
            <w:vAlign w:val="center"/>
            <w:hideMark/>
          </w:tcPr>
          <w:p w14:paraId="7F221CA2" w14:textId="77777777" w:rsidR="003625EC" w:rsidRPr="00131EED" w:rsidRDefault="003625EC" w:rsidP="003625EC">
            <w:pPr>
              <w:jc w:val="left"/>
              <w:rPr>
                <w:sz w:val="20"/>
                <w:szCs w:val="20"/>
                <w:lang w:eastAsia="en-US"/>
              </w:rPr>
            </w:pPr>
          </w:p>
        </w:tc>
      </w:tr>
      <w:tr w:rsidR="00970AF5" w:rsidRPr="00131EED" w14:paraId="449A00DA"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666F1C9F" w14:textId="77777777" w:rsidR="003625EC" w:rsidRPr="00131EED" w:rsidRDefault="003625EC" w:rsidP="003625EC">
            <w:pPr>
              <w:jc w:val="center"/>
              <w:rPr>
                <w:sz w:val="20"/>
                <w:szCs w:val="20"/>
                <w:lang w:eastAsia="en-US"/>
              </w:rPr>
            </w:pPr>
            <w:r w:rsidRPr="00131EED">
              <w:rPr>
                <w:sz w:val="20"/>
                <w:szCs w:val="20"/>
                <w:lang w:eastAsia="en-US"/>
              </w:rPr>
              <w:t>1.4.1.2. Parques cementerio</w:t>
            </w:r>
          </w:p>
        </w:tc>
        <w:tc>
          <w:tcPr>
            <w:tcW w:w="1413" w:type="dxa"/>
            <w:tcBorders>
              <w:top w:val="nil"/>
              <w:left w:val="nil"/>
              <w:bottom w:val="single" w:sz="4" w:space="0" w:color="auto"/>
              <w:right w:val="single" w:sz="4" w:space="0" w:color="auto"/>
            </w:tcBorders>
            <w:noWrap/>
            <w:vAlign w:val="center"/>
            <w:hideMark/>
          </w:tcPr>
          <w:p w14:paraId="4FA9EECE" w14:textId="77777777" w:rsidR="003625EC" w:rsidRPr="00131EED" w:rsidRDefault="003625EC" w:rsidP="003625EC">
            <w:pPr>
              <w:jc w:val="center"/>
              <w:rPr>
                <w:sz w:val="20"/>
                <w:szCs w:val="20"/>
                <w:lang w:eastAsia="en-US"/>
              </w:rPr>
            </w:pPr>
            <w:r w:rsidRPr="00131EED">
              <w:rPr>
                <w:sz w:val="20"/>
                <w:szCs w:val="20"/>
                <w:lang w:eastAsia="en-US"/>
              </w:rPr>
              <w:t>0</w:t>
            </w:r>
          </w:p>
        </w:tc>
        <w:tc>
          <w:tcPr>
            <w:tcW w:w="1550" w:type="dxa"/>
            <w:tcBorders>
              <w:top w:val="nil"/>
              <w:left w:val="nil"/>
              <w:bottom w:val="single" w:sz="4" w:space="0" w:color="auto"/>
              <w:right w:val="single" w:sz="4" w:space="0" w:color="auto"/>
            </w:tcBorders>
            <w:noWrap/>
            <w:vAlign w:val="center"/>
            <w:hideMark/>
          </w:tcPr>
          <w:p w14:paraId="453B3605" w14:textId="77777777" w:rsidR="003625EC" w:rsidRPr="00131EED" w:rsidRDefault="003625EC" w:rsidP="003625EC">
            <w:pPr>
              <w:jc w:val="center"/>
              <w:rPr>
                <w:sz w:val="20"/>
                <w:szCs w:val="20"/>
                <w:lang w:eastAsia="en-US"/>
              </w:rPr>
            </w:pPr>
            <w:r w:rsidRPr="00131EED">
              <w:rPr>
                <w:sz w:val="20"/>
                <w:szCs w:val="20"/>
                <w:lang w:eastAsia="en-US"/>
              </w:rPr>
              <w:t>68.38019</w:t>
            </w:r>
          </w:p>
        </w:tc>
        <w:tc>
          <w:tcPr>
            <w:tcW w:w="1802" w:type="dxa"/>
            <w:tcBorders>
              <w:top w:val="nil"/>
              <w:left w:val="nil"/>
              <w:bottom w:val="single" w:sz="4" w:space="0" w:color="auto"/>
              <w:right w:val="single" w:sz="4" w:space="0" w:color="auto"/>
            </w:tcBorders>
            <w:noWrap/>
            <w:vAlign w:val="center"/>
            <w:hideMark/>
          </w:tcPr>
          <w:p w14:paraId="0B9427D9" w14:textId="77777777" w:rsidR="003625EC" w:rsidRPr="00131EED" w:rsidRDefault="003625EC" w:rsidP="003625EC">
            <w:pPr>
              <w:jc w:val="center"/>
              <w:rPr>
                <w:sz w:val="20"/>
                <w:szCs w:val="20"/>
                <w:lang w:eastAsia="en-US"/>
              </w:rPr>
            </w:pPr>
            <w:r w:rsidRPr="00131EED">
              <w:rPr>
                <w:sz w:val="20"/>
                <w:szCs w:val="20"/>
                <w:lang w:eastAsia="en-US"/>
              </w:rPr>
              <w:t>68.38019</w:t>
            </w:r>
          </w:p>
        </w:tc>
        <w:tc>
          <w:tcPr>
            <w:tcW w:w="1633" w:type="dxa"/>
            <w:vMerge/>
            <w:tcBorders>
              <w:top w:val="nil"/>
              <w:left w:val="single" w:sz="4" w:space="0" w:color="auto"/>
              <w:bottom w:val="single" w:sz="4" w:space="0" w:color="auto"/>
              <w:right w:val="single" w:sz="4" w:space="0" w:color="auto"/>
            </w:tcBorders>
            <w:vAlign w:val="center"/>
            <w:hideMark/>
          </w:tcPr>
          <w:p w14:paraId="4DC974FE" w14:textId="77777777" w:rsidR="003625EC" w:rsidRPr="00131EED" w:rsidRDefault="003625EC" w:rsidP="003625EC">
            <w:pPr>
              <w:jc w:val="left"/>
              <w:rPr>
                <w:sz w:val="20"/>
                <w:szCs w:val="20"/>
                <w:lang w:eastAsia="en-US"/>
              </w:rPr>
            </w:pPr>
          </w:p>
        </w:tc>
      </w:tr>
      <w:tr w:rsidR="00970AF5" w:rsidRPr="00131EED" w14:paraId="620E1DBD"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631F7719" w14:textId="77777777" w:rsidR="003625EC" w:rsidRPr="00131EED" w:rsidRDefault="003625EC" w:rsidP="003625EC">
            <w:pPr>
              <w:jc w:val="center"/>
              <w:rPr>
                <w:sz w:val="20"/>
                <w:szCs w:val="20"/>
                <w:lang w:eastAsia="en-US"/>
              </w:rPr>
            </w:pPr>
            <w:r w:rsidRPr="00131EED">
              <w:rPr>
                <w:sz w:val="20"/>
                <w:szCs w:val="20"/>
                <w:lang w:eastAsia="en-US"/>
              </w:rPr>
              <w:t>1.4.1.3. Jardines botánicos</w:t>
            </w:r>
          </w:p>
        </w:tc>
        <w:tc>
          <w:tcPr>
            <w:tcW w:w="1413" w:type="dxa"/>
            <w:tcBorders>
              <w:top w:val="nil"/>
              <w:left w:val="nil"/>
              <w:bottom w:val="single" w:sz="4" w:space="0" w:color="auto"/>
              <w:right w:val="single" w:sz="4" w:space="0" w:color="auto"/>
            </w:tcBorders>
            <w:noWrap/>
            <w:vAlign w:val="center"/>
            <w:hideMark/>
          </w:tcPr>
          <w:p w14:paraId="4928D3FF" w14:textId="77777777" w:rsidR="003625EC" w:rsidRPr="00131EED" w:rsidRDefault="003625EC" w:rsidP="003625EC">
            <w:pPr>
              <w:jc w:val="center"/>
              <w:rPr>
                <w:sz w:val="20"/>
                <w:szCs w:val="20"/>
                <w:lang w:eastAsia="en-US"/>
              </w:rPr>
            </w:pPr>
            <w:r w:rsidRPr="00131EED">
              <w:rPr>
                <w:sz w:val="20"/>
                <w:szCs w:val="20"/>
                <w:lang w:eastAsia="en-US"/>
              </w:rPr>
              <w:t>0</w:t>
            </w:r>
          </w:p>
        </w:tc>
        <w:tc>
          <w:tcPr>
            <w:tcW w:w="1550" w:type="dxa"/>
            <w:tcBorders>
              <w:top w:val="nil"/>
              <w:left w:val="nil"/>
              <w:bottom w:val="single" w:sz="4" w:space="0" w:color="auto"/>
              <w:right w:val="single" w:sz="4" w:space="0" w:color="auto"/>
            </w:tcBorders>
            <w:noWrap/>
            <w:vAlign w:val="center"/>
            <w:hideMark/>
          </w:tcPr>
          <w:p w14:paraId="3E59B647" w14:textId="77777777" w:rsidR="003625EC" w:rsidRPr="00131EED" w:rsidRDefault="003625EC" w:rsidP="003625EC">
            <w:pPr>
              <w:jc w:val="center"/>
              <w:rPr>
                <w:sz w:val="20"/>
                <w:szCs w:val="20"/>
                <w:lang w:eastAsia="en-US"/>
              </w:rPr>
            </w:pPr>
            <w:r w:rsidRPr="00131EED">
              <w:rPr>
                <w:sz w:val="20"/>
                <w:szCs w:val="20"/>
                <w:lang w:eastAsia="en-US"/>
              </w:rPr>
              <w:t>25.348498</w:t>
            </w:r>
          </w:p>
        </w:tc>
        <w:tc>
          <w:tcPr>
            <w:tcW w:w="1802" w:type="dxa"/>
            <w:tcBorders>
              <w:top w:val="nil"/>
              <w:left w:val="nil"/>
              <w:bottom w:val="single" w:sz="4" w:space="0" w:color="auto"/>
              <w:right w:val="single" w:sz="4" w:space="0" w:color="auto"/>
            </w:tcBorders>
            <w:noWrap/>
            <w:vAlign w:val="center"/>
            <w:hideMark/>
          </w:tcPr>
          <w:p w14:paraId="12B29711" w14:textId="77777777" w:rsidR="003625EC" w:rsidRPr="00131EED" w:rsidRDefault="003625EC" w:rsidP="003625EC">
            <w:pPr>
              <w:jc w:val="center"/>
              <w:rPr>
                <w:sz w:val="20"/>
                <w:szCs w:val="20"/>
                <w:lang w:eastAsia="en-US"/>
              </w:rPr>
            </w:pPr>
            <w:r w:rsidRPr="00131EED">
              <w:rPr>
                <w:sz w:val="20"/>
                <w:szCs w:val="20"/>
                <w:lang w:eastAsia="en-US"/>
              </w:rPr>
              <w:t>25.348498</w:t>
            </w:r>
          </w:p>
        </w:tc>
        <w:tc>
          <w:tcPr>
            <w:tcW w:w="1633" w:type="dxa"/>
            <w:vMerge/>
            <w:tcBorders>
              <w:top w:val="nil"/>
              <w:left w:val="single" w:sz="4" w:space="0" w:color="auto"/>
              <w:bottom w:val="single" w:sz="4" w:space="0" w:color="auto"/>
              <w:right w:val="single" w:sz="4" w:space="0" w:color="auto"/>
            </w:tcBorders>
            <w:vAlign w:val="center"/>
            <w:hideMark/>
          </w:tcPr>
          <w:p w14:paraId="685A0F69" w14:textId="77777777" w:rsidR="003625EC" w:rsidRPr="00131EED" w:rsidRDefault="003625EC" w:rsidP="003625EC">
            <w:pPr>
              <w:jc w:val="left"/>
              <w:rPr>
                <w:sz w:val="20"/>
                <w:szCs w:val="20"/>
                <w:lang w:eastAsia="en-US"/>
              </w:rPr>
            </w:pPr>
          </w:p>
        </w:tc>
      </w:tr>
      <w:tr w:rsidR="00970AF5" w:rsidRPr="00131EED" w14:paraId="4EDE9F1A"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5297B965" w14:textId="77777777" w:rsidR="003625EC" w:rsidRPr="00131EED" w:rsidRDefault="003625EC" w:rsidP="003625EC">
            <w:pPr>
              <w:jc w:val="center"/>
              <w:rPr>
                <w:sz w:val="20"/>
                <w:szCs w:val="20"/>
                <w:lang w:eastAsia="en-US"/>
              </w:rPr>
            </w:pPr>
            <w:r w:rsidRPr="00131EED">
              <w:rPr>
                <w:sz w:val="20"/>
                <w:szCs w:val="20"/>
                <w:lang w:eastAsia="en-US"/>
              </w:rPr>
              <w:t>1.4.2. Instalaciones recreativas</w:t>
            </w:r>
          </w:p>
        </w:tc>
        <w:tc>
          <w:tcPr>
            <w:tcW w:w="1413" w:type="dxa"/>
            <w:tcBorders>
              <w:top w:val="nil"/>
              <w:left w:val="nil"/>
              <w:bottom w:val="single" w:sz="4" w:space="0" w:color="auto"/>
              <w:right w:val="single" w:sz="4" w:space="0" w:color="auto"/>
            </w:tcBorders>
            <w:noWrap/>
            <w:vAlign w:val="center"/>
            <w:hideMark/>
          </w:tcPr>
          <w:p w14:paraId="21B03A73" w14:textId="77777777" w:rsidR="003625EC" w:rsidRPr="00131EED" w:rsidRDefault="003625EC" w:rsidP="003625EC">
            <w:pPr>
              <w:jc w:val="center"/>
              <w:rPr>
                <w:sz w:val="20"/>
                <w:szCs w:val="20"/>
                <w:lang w:eastAsia="en-US"/>
              </w:rPr>
            </w:pPr>
            <w:r w:rsidRPr="00131EED">
              <w:rPr>
                <w:sz w:val="20"/>
                <w:szCs w:val="20"/>
                <w:lang w:eastAsia="en-US"/>
              </w:rPr>
              <w:t>1072.417426</w:t>
            </w:r>
          </w:p>
        </w:tc>
        <w:tc>
          <w:tcPr>
            <w:tcW w:w="1550" w:type="dxa"/>
            <w:tcBorders>
              <w:top w:val="nil"/>
              <w:left w:val="nil"/>
              <w:bottom w:val="single" w:sz="4" w:space="0" w:color="auto"/>
              <w:right w:val="single" w:sz="4" w:space="0" w:color="auto"/>
            </w:tcBorders>
            <w:noWrap/>
            <w:vAlign w:val="center"/>
            <w:hideMark/>
          </w:tcPr>
          <w:p w14:paraId="00BF10B1" w14:textId="77777777" w:rsidR="003625EC" w:rsidRPr="00131EED" w:rsidRDefault="003625EC" w:rsidP="003625EC">
            <w:pPr>
              <w:jc w:val="center"/>
              <w:rPr>
                <w:sz w:val="20"/>
                <w:szCs w:val="20"/>
                <w:lang w:eastAsia="en-US"/>
              </w:rPr>
            </w:pPr>
            <w:r w:rsidRPr="00131EED">
              <w:rPr>
                <w:sz w:val="20"/>
                <w:szCs w:val="20"/>
                <w:lang w:eastAsia="en-US"/>
              </w:rPr>
              <w:t>2732.410175</w:t>
            </w:r>
          </w:p>
        </w:tc>
        <w:tc>
          <w:tcPr>
            <w:tcW w:w="1802" w:type="dxa"/>
            <w:tcBorders>
              <w:top w:val="nil"/>
              <w:left w:val="nil"/>
              <w:bottom w:val="single" w:sz="4" w:space="0" w:color="auto"/>
              <w:right w:val="single" w:sz="4" w:space="0" w:color="auto"/>
            </w:tcBorders>
            <w:noWrap/>
            <w:vAlign w:val="center"/>
            <w:hideMark/>
          </w:tcPr>
          <w:p w14:paraId="3CF011A5" w14:textId="77777777" w:rsidR="003625EC" w:rsidRPr="00131EED" w:rsidRDefault="003625EC" w:rsidP="003625EC">
            <w:pPr>
              <w:jc w:val="center"/>
              <w:rPr>
                <w:sz w:val="20"/>
                <w:szCs w:val="20"/>
                <w:lang w:eastAsia="en-US"/>
              </w:rPr>
            </w:pPr>
            <w:r w:rsidRPr="00131EED">
              <w:rPr>
                <w:sz w:val="20"/>
                <w:szCs w:val="20"/>
                <w:lang w:eastAsia="en-US"/>
              </w:rPr>
              <w:t>1659.992749</w:t>
            </w:r>
          </w:p>
        </w:tc>
        <w:tc>
          <w:tcPr>
            <w:tcW w:w="1633" w:type="dxa"/>
            <w:vMerge/>
            <w:tcBorders>
              <w:top w:val="nil"/>
              <w:left w:val="single" w:sz="4" w:space="0" w:color="auto"/>
              <w:bottom w:val="single" w:sz="4" w:space="0" w:color="auto"/>
              <w:right w:val="single" w:sz="4" w:space="0" w:color="auto"/>
            </w:tcBorders>
            <w:vAlign w:val="center"/>
            <w:hideMark/>
          </w:tcPr>
          <w:p w14:paraId="60E1BB63" w14:textId="77777777" w:rsidR="003625EC" w:rsidRPr="00131EED" w:rsidRDefault="003625EC" w:rsidP="003625EC">
            <w:pPr>
              <w:jc w:val="left"/>
              <w:rPr>
                <w:sz w:val="20"/>
                <w:szCs w:val="20"/>
                <w:lang w:eastAsia="en-US"/>
              </w:rPr>
            </w:pPr>
          </w:p>
        </w:tc>
      </w:tr>
      <w:tr w:rsidR="00970AF5" w:rsidRPr="00131EED" w14:paraId="55F0EAFB"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4D8A95FD" w14:textId="77777777" w:rsidR="003625EC" w:rsidRPr="00131EED" w:rsidRDefault="003625EC" w:rsidP="003625EC">
            <w:pPr>
              <w:jc w:val="center"/>
              <w:rPr>
                <w:sz w:val="20"/>
                <w:szCs w:val="20"/>
                <w:lang w:eastAsia="en-US"/>
              </w:rPr>
            </w:pPr>
            <w:r w:rsidRPr="00131EED">
              <w:rPr>
                <w:sz w:val="20"/>
                <w:szCs w:val="20"/>
                <w:lang w:eastAsia="en-US"/>
              </w:rPr>
              <w:t>2.1.1. Otros cultivos transitorios</w:t>
            </w:r>
          </w:p>
        </w:tc>
        <w:tc>
          <w:tcPr>
            <w:tcW w:w="1413" w:type="dxa"/>
            <w:tcBorders>
              <w:top w:val="nil"/>
              <w:left w:val="nil"/>
              <w:bottom w:val="single" w:sz="4" w:space="0" w:color="auto"/>
              <w:right w:val="single" w:sz="4" w:space="0" w:color="auto"/>
            </w:tcBorders>
            <w:noWrap/>
            <w:vAlign w:val="center"/>
            <w:hideMark/>
          </w:tcPr>
          <w:p w14:paraId="58A8FA2D" w14:textId="77777777" w:rsidR="003625EC" w:rsidRPr="00131EED" w:rsidRDefault="003625EC" w:rsidP="003625EC">
            <w:pPr>
              <w:jc w:val="center"/>
              <w:rPr>
                <w:sz w:val="20"/>
                <w:szCs w:val="20"/>
                <w:lang w:eastAsia="en-US"/>
              </w:rPr>
            </w:pPr>
            <w:r w:rsidRPr="00131EED">
              <w:rPr>
                <w:sz w:val="20"/>
                <w:szCs w:val="20"/>
                <w:lang w:eastAsia="en-US"/>
              </w:rPr>
              <w:t>0</w:t>
            </w:r>
          </w:p>
        </w:tc>
        <w:tc>
          <w:tcPr>
            <w:tcW w:w="1550" w:type="dxa"/>
            <w:tcBorders>
              <w:top w:val="nil"/>
              <w:left w:val="nil"/>
              <w:bottom w:val="single" w:sz="4" w:space="0" w:color="auto"/>
              <w:right w:val="single" w:sz="4" w:space="0" w:color="auto"/>
            </w:tcBorders>
            <w:noWrap/>
            <w:vAlign w:val="center"/>
            <w:hideMark/>
          </w:tcPr>
          <w:p w14:paraId="6592866F" w14:textId="77777777" w:rsidR="003625EC" w:rsidRPr="00131EED" w:rsidRDefault="003625EC" w:rsidP="003625EC">
            <w:pPr>
              <w:jc w:val="center"/>
              <w:rPr>
                <w:sz w:val="20"/>
                <w:szCs w:val="20"/>
                <w:lang w:eastAsia="en-US"/>
              </w:rPr>
            </w:pPr>
            <w:r w:rsidRPr="00131EED">
              <w:rPr>
                <w:sz w:val="20"/>
                <w:szCs w:val="20"/>
                <w:lang w:eastAsia="en-US"/>
              </w:rPr>
              <w:t>36.617436</w:t>
            </w:r>
          </w:p>
        </w:tc>
        <w:tc>
          <w:tcPr>
            <w:tcW w:w="1802" w:type="dxa"/>
            <w:tcBorders>
              <w:top w:val="nil"/>
              <w:left w:val="nil"/>
              <w:bottom w:val="single" w:sz="4" w:space="0" w:color="auto"/>
              <w:right w:val="single" w:sz="4" w:space="0" w:color="auto"/>
            </w:tcBorders>
            <w:noWrap/>
            <w:vAlign w:val="center"/>
            <w:hideMark/>
          </w:tcPr>
          <w:p w14:paraId="413C345B" w14:textId="77777777" w:rsidR="003625EC" w:rsidRPr="00131EED" w:rsidRDefault="003625EC" w:rsidP="003625EC">
            <w:pPr>
              <w:jc w:val="center"/>
              <w:rPr>
                <w:sz w:val="20"/>
                <w:szCs w:val="20"/>
                <w:lang w:eastAsia="en-US"/>
              </w:rPr>
            </w:pPr>
            <w:r w:rsidRPr="00131EED">
              <w:rPr>
                <w:sz w:val="20"/>
                <w:szCs w:val="20"/>
                <w:lang w:eastAsia="en-US"/>
              </w:rPr>
              <w:t>36.617436</w:t>
            </w:r>
          </w:p>
        </w:tc>
        <w:tc>
          <w:tcPr>
            <w:tcW w:w="1633" w:type="dxa"/>
            <w:vMerge w:val="restart"/>
            <w:tcBorders>
              <w:top w:val="nil"/>
              <w:left w:val="single" w:sz="4" w:space="0" w:color="auto"/>
              <w:bottom w:val="single" w:sz="4" w:space="0" w:color="auto"/>
              <w:right w:val="single" w:sz="4" w:space="0" w:color="auto"/>
            </w:tcBorders>
            <w:noWrap/>
            <w:vAlign w:val="center"/>
            <w:hideMark/>
          </w:tcPr>
          <w:p w14:paraId="3DB14D58" w14:textId="77777777" w:rsidR="003625EC" w:rsidRPr="00131EED" w:rsidRDefault="003625EC" w:rsidP="003625EC">
            <w:pPr>
              <w:jc w:val="center"/>
              <w:rPr>
                <w:sz w:val="20"/>
                <w:szCs w:val="20"/>
                <w:lang w:eastAsia="en-US"/>
              </w:rPr>
            </w:pPr>
            <w:r w:rsidRPr="00131EED">
              <w:rPr>
                <w:sz w:val="20"/>
                <w:szCs w:val="20"/>
                <w:lang w:eastAsia="en-US"/>
              </w:rPr>
              <w:t>-28747.8</w:t>
            </w:r>
          </w:p>
        </w:tc>
      </w:tr>
      <w:tr w:rsidR="00970AF5" w:rsidRPr="00131EED" w14:paraId="6868CD57"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16737A00" w14:textId="77777777" w:rsidR="003625EC" w:rsidRPr="00131EED" w:rsidRDefault="003625EC" w:rsidP="003625EC">
            <w:pPr>
              <w:jc w:val="center"/>
              <w:rPr>
                <w:sz w:val="20"/>
                <w:szCs w:val="20"/>
                <w:lang w:eastAsia="en-US"/>
              </w:rPr>
            </w:pPr>
            <w:r w:rsidRPr="00131EED">
              <w:rPr>
                <w:sz w:val="20"/>
                <w:szCs w:val="20"/>
                <w:lang w:eastAsia="en-US"/>
              </w:rPr>
              <w:t>2.1.4. Hortalizas</w:t>
            </w:r>
          </w:p>
        </w:tc>
        <w:tc>
          <w:tcPr>
            <w:tcW w:w="1413" w:type="dxa"/>
            <w:tcBorders>
              <w:top w:val="nil"/>
              <w:left w:val="nil"/>
              <w:bottom w:val="single" w:sz="4" w:space="0" w:color="auto"/>
              <w:right w:val="single" w:sz="4" w:space="0" w:color="auto"/>
            </w:tcBorders>
            <w:noWrap/>
            <w:vAlign w:val="center"/>
            <w:hideMark/>
          </w:tcPr>
          <w:p w14:paraId="671C0B2B" w14:textId="77777777" w:rsidR="003625EC" w:rsidRPr="00131EED" w:rsidRDefault="003625EC" w:rsidP="003625EC">
            <w:pPr>
              <w:jc w:val="center"/>
              <w:rPr>
                <w:sz w:val="20"/>
                <w:szCs w:val="20"/>
                <w:lang w:eastAsia="en-US"/>
              </w:rPr>
            </w:pPr>
            <w:r w:rsidRPr="00131EED">
              <w:rPr>
                <w:sz w:val="20"/>
                <w:szCs w:val="20"/>
                <w:lang w:eastAsia="en-US"/>
              </w:rPr>
              <w:t>0</w:t>
            </w:r>
          </w:p>
        </w:tc>
        <w:tc>
          <w:tcPr>
            <w:tcW w:w="1550" w:type="dxa"/>
            <w:tcBorders>
              <w:top w:val="nil"/>
              <w:left w:val="nil"/>
              <w:bottom w:val="single" w:sz="4" w:space="0" w:color="auto"/>
              <w:right w:val="single" w:sz="4" w:space="0" w:color="auto"/>
            </w:tcBorders>
            <w:noWrap/>
            <w:vAlign w:val="center"/>
            <w:hideMark/>
          </w:tcPr>
          <w:p w14:paraId="39E5612A" w14:textId="77777777" w:rsidR="003625EC" w:rsidRPr="00131EED" w:rsidRDefault="003625EC" w:rsidP="003625EC">
            <w:pPr>
              <w:jc w:val="center"/>
              <w:rPr>
                <w:sz w:val="20"/>
                <w:szCs w:val="20"/>
                <w:lang w:eastAsia="en-US"/>
              </w:rPr>
            </w:pPr>
            <w:r w:rsidRPr="00131EED">
              <w:rPr>
                <w:sz w:val="20"/>
                <w:szCs w:val="20"/>
                <w:lang w:eastAsia="en-US"/>
              </w:rPr>
              <w:t>25.911434</w:t>
            </w:r>
          </w:p>
        </w:tc>
        <w:tc>
          <w:tcPr>
            <w:tcW w:w="1802" w:type="dxa"/>
            <w:tcBorders>
              <w:top w:val="nil"/>
              <w:left w:val="nil"/>
              <w:bottom w:val="single" w:sz="4" w:space="0" w:color="auto"/>
              <w:right w:val="single" w:sz="4" w:space="0" w:color="auto"/>
            </w:tcBorders>
            <w:noWrap/>
            <w:vAlign w:val="center"/>
            <w:hideMark/>
          </w:tcPr>
          <w:p w14:paraId="2FCD5B5B" w14:textId="77777777" w:rsidR="003625EC" w:rsidRPr="00131EED" w:rsidRDefault="003625EC" w:rsidP="003625EC">
            <w:pPr>
              <w:jc w:val="center"/>
              <w:rPr>
                <w:sz w:val="20"/>
                <w:szCs w:val="20"/>
                <w:lang w:eastAsia="en-US"/>
              </w:rPr>
            </w:pPr>
            <w:r w:rsidRPr="00131EED">
              <w:rPr>
                <w:sz w:val="20"/>
                <w:szCs w:val="20"/>
                <w:lang w:eastAsia="en-US"/>
              </w:rPr>
              <w:t>25.911434</w:t>
            </w:r>
          </w:p>
        </w:tc>
        <w:tc>
          <w:tcPr>
            <w:tcW w:w="1633" w:type="dxa"/>
            <w:vMerge/>
            <w:tcBorders>
              <w:top w:val="nil"/>
              <w:left w:val="single" w:sz="4" w:space="0" w:color="auto"/>
              <w:bottom w:val="single" w:sz="4" w:space="0" w:color="auto"/>
              <w:right w:val="single" w:sz="4" w:space="0" w:color="auto"/>
            </w:tcBorders>
            <w:vAlign w:val="center"/>
            <w:hideMark/>
          </w:tcPr>
          <w:p w14:paraId="74367664" w14:textId="77777777" w:rsidR="003625EC" w:rsidRPr="00131EED" w:rsidRDefault="003625EC" w:rsidP="003625EC">
            <w:pPr>
              <w:jc w:val="left"/>
              <w:rPr>
                <w:sz w:val="20"/>
                <w:szCs w:val="20"/>
                <w:lang w:eastAsia="en-US"/>
              </w:rPr>
            </w:pPr>
          </w:p>
        </w:tc>
      </w:tr>
      <w:tr w:rsidR="00970AF5" w:rsidRPr="00131EED" w14:paraId="22690740"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179A7BEB" w14:textId="51D7C9FC" w:rsidR="003625EC" w:rsidRPr="00131EED" w:rsidRDefault="003625EC" w:rsidP="003625EC">
            <w:pPr>
              <w:jc w:val="center"/>
              <w:rPr>
                <w:sz w:val="20"/>
                <w:szCs w:val="20"/>
                <w:lang w:eastAsia="en-US"/>
              </w:rPr>
            </w:pPr>
            <w:r w:rsidRPr="00131EED">
              <w:rPr>
                <w:sz w:val="20"/>
                <w:szCs w:val="20"/>
                <w:lang w:eastAsia="en-US"/>
              </w:rPr>
              <w:t xml:space="preserve">2.1.5. </w:t>
            </w:r>
            <w:r w:rsidR="0039275F" w:rsidRPr="00131EED">
              <w:rPr>
                <w:sz w:val="20"/>
                <w:szCs w:val="20"/>
                <w:lang w:eastAsia="en-US"/>
              </w:rPr>
              <w:t>Tubérculos</w:t>
            </w:r>
          </w:p>
        </w:tc>
        <w:tc>
          <w:tcPr>
            <w:tcW w:w="1413" w:type="dxa"/>
            <w:tcBorders>
              <w:top w:val="nil"/>
              <w:left w:val="nil"/>
              <w:bottom w:val="single" w:sz="4" w:space="0" w:color="auto"/>
              <w:right w:val="single" w:sz="4" w:space="0" w:color="auto"/>
            </w:tcBorders>
            <w:noWrap/>
            <w:vAlign w:val="center"/>
            <w:hideMark/>
          </w:tcPr>
          <w:p w14:paraId="1C909CC6" w14:textId="77777777" w:rsidR="003625EC" w:rsidRPr="00131EED" w:rsidRDefault="003625EC" w:rsidP="003625EC">
            <w:pPr>
              <w:jc w:val="center"/>
              <w:rPr>
                <w:sz w:val="20"/>
                <w:szCs w:val="20"/>
                <w:lang w:eastAsia="en-US"/>
              </w:rPr>
            </w:pPr>
            <w:r w:rsidRPr="00131EED">
              <w:rPr>
                <w:sz w:val="20"/>
                <w:szCs w:val="20"/>
                <w:lang w:eastAsia="en-US"/>
              </w:rPr>
              <w:t>829.334132</w:t>
            </w:r>
          </w:p>
        </w:tc>
        <w:tc>
          <w:tcPr>
            <w:tcW w:w="1550" w:type="dxa"/>
            <w:tcBorders>
              <w:top w:val="nil"/>
              <w:left w:val="nil"/>
              <w:bottom w:val="single" w:sz="4" w:space="0" w:color="auto"/>
              <w:right w:val="single" w:sz="4" w:space="0" w:color="auto"/>
            </w:tcBorders>
            <w:noWrap/>
            <w:vAlign w:val="center"/>
            <w:hideMark/>
          </w:tcPr>
          <w:p w14:paraId="72DB0675" w14:textId="77777777" w:rsidR="003625EC" w:rsidRPr="00131EED" w:rsidRDefault="003625EC" w:rsidP="003625EC">
            <w:pPr>
              <w:jc w:val="center"/>
              <w:rPr>
                <w:sz w:val="20"/>
                <w:szCs w:val="20"/>
                <w:lang w:eastAsia="en-US"/>
              </w:rPr>
            </w:pPr>
            <w:r w:rsidRPr="00131EED">
              <w:rPr>
                <w:sz w:val="20"/>
                <w:szCs w:val="20"/>
                <w:lang w:eastAsia="en-US"/>
              </w:rPr>
              <w:t>110.872304</w:t>
            </w:r>
          </w:p>
        </w:tc>
        <w:tc>
          <w:tcPr>
            <w:tcW w:w="1802" w:type="dxa"/>
            <w:tcBorders>
              <w:top w:val="nil"/>
              <w:left w:val="nil"/>
              <w:bottom w:val="single" w:sz="4" w:space="0" w:color="auto"/>
              <w:right w:val="single" w:sz="4" w:space="0" w:color="auto"/>
            </w:tcBorders>
            <w:noWrap/>
            <w:vAlign w:val="center"/>
            <w:hideMark/>
          </w:tcPr>
          <w:p w14:paraId="5793AEFD" w14:textId="77777777" w:rsidR="003625EC" w:rsidRPr="00131EED" w:rsidRDefault="003625EC" w:rsidP="003625EC">
            <w:pPr>
              <w:jc w:val="center"/>
              <w:rPr>
                <w:sz w:val="20"/>
                <w:szCs w:val="20"/>
                <w:lang w:eastAsia="en-US"/>
              </w:rPr>
            </w:pPr>
            <w:r w:rsidRPr="00131EED">
              <w:rPr>
                <w:sz w:val="20"/>
                <w:szCs w:val="20"/>
                <w:lang w:eastAsia="en-US"/>
              </w:rPr>
              <w:t>-718.461828</w:t>
            </w:r>
          </w:p>
        </w:tc>
        <w:tc>
          <w:tcPr>
            <w:tcW w:w="1633" w:type="dxa"/>
            <w:vMerge/>
            <w:tcBorders>
              <w:top w:val="nil"/>
              <w:left w:val="single" w:sz="4" w:space="0" w:color="auto"/>
              <w:bottom w:val="single" w:sz="4" w:space="0" w:color="auto"/>
              <w:right w:val="single" w:sz="4" w:space="0" w:color="auto"/>
            </w:tcBorders>
            <w:vAlign w:val="center"/>
            <w:hideMark/>
          </w:tcPr>
          <w:p w14:paraId="57ACFCBF" w14:textId="77777777" w:rsidR="003625EC" w:rsidRPr="00131EED" w:rsidRDefault="003625EC" w:rsidP="003625EC">
            <w:pPr>
              <w:jc w:val="left"/>
              <w:rPr>
                <w:sz w:val="20"/>
                <w:szCs w:val="20"/>
                <w:lang w:eastAsia="en-US"/>
              </w:rPr>
            </w:pPr>
          </w:p>
        </w:tc>
      </w:tr>
      <w:tr w:rsidR="00970AF5" w:rsidRPr="00131EED" w14:paraId="46ABAED2"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3247F040" w14:textId="77777777" w:rsidR="003625EC" w:rsidRPr="00131EED" w:rsidRDefault="003625EC" w:rsidP="003625EC">
            <w:pPr>
              <w:jc w:val="center"/>
              <w:rPr>
                <w:sz w:val="20"/>
                <w:szCs w:val="20"/>
                <w:lang w:eastAsia="en-US"/>
              </w:rPr>
            </w:pPr>
            <w:r w:rsidRPr="00131EED">
              <w:rPr>
                <w:sz w:val="20"/>
                <w:szCs w:val="20"/>
                <w:lang w:eastAsia="en-US"/>
              </w:rPr>
              <w:t>2.1.5.1. Papa</w:t>
            </w:r>
          </w:p>
        </w:tc>
        <w:tc>
          <w:tcPr>
            <w:tcW w:w="1413" w:type="dxa"/>
            <w:tcBorders>
              <w:top w:val="nil"/>
              <w:left w:val="nil"/>
              <w:bottom w:val="single" w:sz="4" w:space="0" w:color="auto"/>
              <w:right w:val="single" w:sz="4" w:space="0" w:color="auto"/>
            </w:tcBorders>
            <w:noWrap/>
            <w:vAlign w:val="center"/>
            <w:hideMark/>
          </w:tcPr>
          <w:p w14:paraId="0CD8A477" w14:textId="77777777" w:rsidR="003625EC" w:rsidRPr="00131EED" w:rsidRDefault="003625EC" w:rsidP="003625EC">
            <w:pPr>
              <w:jc w:val="center"/>
              <w:rPr>
                <w:sz w:val="20"/>
                <w:szCs w:val="20"/>
                <w:lang w:eastAsia="en-US"/>
              </w:rPr>
            </w:pPr>
            <w:r w:rsidRPr="00131EED">
              <w:rPr>
                <w:sz w:val="20"/>
                <w:szCs w:val="20"/>
                <w:lang w:eastAsia="en-US"/>
              </w:rPr>
              <w:t>0</w:t>
            </w:r>
          </w:p>
        </w:tc>
        <w:tc>
          <w:tcPr>
            <w:tcW w:w="1550" w:type="dxa"/>
            <w:tcBorders>
              <w:top w:val="nil"/>
              <w:left w:val="nil"/>
              <w:bottom w:val="single" w:sz="4" w:space="0" w:color="auto"/>
              <w:right w:val="single" w:sz="4" w:space="0" w:color="auto"/>
            </w:tcBorders>
            <w:noWrap/>
            <w:vAlign w:val="center"/>
            <w:hideMark/>
          </w:tcPr>
          <w:p w14:paraId="6E2A1B35" w14:textId="77777777" w:rsidR="003625EC" w:rsidRPr="00131EED" w:rsidRDefault="003625EC" w:rsidP="003625EC">
            <w:pPr>
              <w:jc w:val="center"/>
              <w:rPr>
                <w:sz w:val="20"/>
                <w:szCs w:val="20"/>
                <w:lang w:eastAsia="en-US"/>
              </w:rPr>
            </w:pPr>
            <w:r w:rsidRPr="00131EED">
              <w:rPr>
                <w:sz w:val="20"/>
                <w:szCs w:val="20"/>
                <w:lang w:eastAsia="en-US"/>
              </w:rPr>
              <w:t>7824.599327</w:t>
            </w:r>
          </w:p>
        </w:tc>
        <w:tc>
          <w:tcPr>
            <w:tcW w:w="1802" w:type="dxa"/>
            <w:tcBorders>
              <w:top w:val="nil"/>
              <w:left w:val="nil"/>
              <w:bottom w:val="single" w:sz="4" w:space="0" w:color="auto"/>
              <w:right w:val="single" w:sz="4" w:space="0" w:color="auto"/>
            </w:tcBorders>
            <w:noWrap/>
            <w:vAlign w:val="center"/>
            <w:hideMark/>
          </w:tcPr>
          <w:p w14:paraId="6062A003" w14:textId="77777777" w:rsidR="003625EC" w:rsidRPr="00131EED" w:rsidRDefault="003625EC" w:rsidP="003625EC">
            <w:pPr>
              <w:jc w:val="center"/>
              <w:rPr>
                <w:sz w:val="20"/>
                <w:szCs w:val="20"/>
                <w:lang w:eastAsia="en-US"/>
              </w:rPr>
            </w:pPr>
            <w:r w:rsidRPr="00131EED">
              <w:rPr>
                <w:sz w:val="20"/>
                <w:szCs w:val="20"/>
                <w:lang w:eastAsia="en-US"/>
              </w:rPr>
              <w:t>7824.599327</w:t>
            </w:r>
          </w:p>
        </w:tc>
        <w:tc>
          <w:tcPr>
            <w:tcW w:w="1633" w:type="dxa"/>
            <w:vMerge/>
            <w:tcBorders>
              <w:top w:val="nil"/>
              <w:left w:val="single" w:sz="4" w:space="0" w:color="auto"/>
              <w:bottom w:val="single" w:sz="4" w:space="0" w:color="auto"/>
              <w:right w:val="single" w:sz="4" w:space="0" w:color="auto"/>
            </w:tcBorders>
            <w:vAlign w:val="center"/>
            <w:hideMark/>
          </w:tcPr>
          <w:p w14:paraId="42A17253" w14:textId="77777777" w:rsidR="003625EC" w:rsidRPr="00131EED" w:rsidRDefault="003625EC" w:rsidP="003625EC">
            <w:pPr>
              <w:jc w:val="left"/>
              <w:rPr>
                <w:sz w:val="20"/>
                <w:szCs w:val="20"/>
                <w:lang w:eastAsia="en-US"/>
              </w:rPr>
            </w:pPr>
          </w:p>
        </w:tc>
      </w:tr>
      <w:tr w:rsidR="00970AF5" w:rsidRPr="00131EED" w14:paraId="53343177"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435E91DE" w14:textId="0A3F4EE3" w:rsidR="003625EC" w:rsidRPr="00131EED" w:rsidRDefault="003625EC" w:rsidP="003625EC">
            <w:pPr>
              <w:jc w:val="center"/>
              <w:rPr>
                <w:sz w:val="20"/>
                <w:szCs w:val="20"/>
                <w:lang w:eastAsia="en-US"/>
              </w:rPr>
            </w:pPr>
            <w:r w:rsidRPr="00131EED">
              <w:rPr>
                <w:sz w:val="20"/>
                <w:szCs w:val="20"/>
                <w:lang w:eastAsia="en-US"/>
              </w:rPr>
              <w:t xml:space="preserve">2.2.1. Cultivos permanentes </w:t>
            </w:r>
            <w:r w:rsidR="0039275F" w:rsidRPr="00131EED">
              <w:rPr>
                <w:sz w:val="20"/>
                <w:szCs w:val="20"/>
                <w:lang w:eastAsia="en-US"/>
              </w:rPr>
              <w:t>herbáceos</w:t>
            </w:r>
          </w:p>
        </w:tc>
        <w:tc>
          <w:tcPr>
            <w:tcW w:w="1413" w:type="dxa"/>
            <w:tcBorders>
              <w:top w:val="nil"/>
              <w:left w:val="nil"/>
              <w:bottom w:val="single" w:sz="4" w:space="0" w:color="auto"/>
              <w:right w:val="single" w:sz="4" w:space="0" w:color="auto"/>
            </w:tcBorders>
            <w:noWrap/>
            <w:vAlign w:val="center"/>
            <w:hideMark/>
          </w:tcPr>
          <w:p w14:paraId="1E0EDADA" w14:textId="77777777" w:rsidR="003625EC" w:rsidRPr="00131EED" w:rsidRDefault="003625EC" w:rsidP="003625EC">
            <w:pPr>
              <w:jc w:val="center"/>
              <w:rPr>
                <w:sz w:val="20"/>
                <w:szCs w:val="20"/>
                <w:lang w:eastAsia="en-US"/>
              </w:rPr>
            </w:pPr>
            <w:r w:rsidRPr="00131EED">
              <w:rPr>
                <w:sz w:val="20"/>
                <w:szCs w:val="20"/>
                <w:lang w:eastAsia="en-US"/>
              </w:rPr>
              <w:t>152.639766</w:t>
            </w:r>
          </w:p>
        </w:tc>
        <w:tc>
          <w:tcPr>
            <w:tcW w:w="1550" w:type="dxa"/>
            <w:tcBorders>
              <w:top w:val="nil"/>
              <w:left w:val="nil"/>
              <w:bottom w:val="single" w:sz="4" w:space="0" w:color="auto"/>
              <w:right w:val="single" w:sz="4" w:space="0" w:color="auto"/>
            </w:tcBorders>
            <w:noWrap/>
            <w:vAlign w:val="center"/>
            <w:hideMark/>
          </w:tcPr>
          <w:p w14:paraId="3AEE9192" w14:textId="77777777" w:rsidR="003625EC" w:rsidRPr="00131EED" w:rsidRDefault="003625EC" w:rsidP="003625EC">
            <w:pPr>
              <w:jc w:val="center"/>
              <w:rPr>
                <w:sz w:val="20"/>
                <w:szCs w:val="20"/>
                <w:lang w:eastAsia="en-US"/>
              </w:rPr>
            </w:pPr>
            <w:r w:rsidRPr="00131EED">
              <w:rPr>
                <w:sz w:val="20"/>
                <w:szCs w:val="20"/>
                <w:lang w:eastAsia="en-US"/>
              </w:rPr>
              <w:t>25.504144</w:t>
            </w:r>
          </w:p>
        </w:tc>
        <w:tc>
          <w:tcPr>
            <w:tcW w:w="1802" w:type="dxa"/>
            <w:tcBorders>
              <w:top w:val="nil"/>
              <w:left w:val="nil"/>
              <w:bottom w:val="single" w:sz="4" w:space="0" w:color="auto"/>
              <w:right w:val="single" w:sz="4" w:space="0" w:color="auto"/>
            </w:tcBorders>
            <w:noWrap/>
            <w:vAlign w:val="center"/>
            <w:hideMark/>
          </w:tcPr>
          <w:p w14:paraId="6D53669A" w14:textId="77777777" w:rsidR="003625EC" w:rsidRPr="00131EED" w:rsidRDefault="003625EC" w:rsidP="003625EC">
            <w:pPr>
              <w:jc w:val="center"/>
              <w:rPr>
                <w:sz w:val="20"/>
                <w:szCs w:val="20"/>
                <w:lang w:eastAsia="en-US"/>
              </w:rPr>
            </w:pPr>
            <w:r w:rsidRPr="00131EED">
              <w:rPr>
                <w:sz w:val="20"/>
                <w:szCs w:val="20"/>
                <w:lang w:eastAsia="en-US"/>
              </w:rPr>
              <w:t>-127.135622</w:t>
            </w:r>
          </w:p>
        </w:tc>
        <w:tc>
          <w:tcPr>
            <w:tcW w:w="1633" w:type="dxa"/>
            <w:vMerge/>
            <w:tcBorders>
              <w:top w:val="nil"/>
              <w:left w:val="single" w:sz="4" w:space="0" w:color="auto"/>
              <w:bottom w:val="single" w:sz="4" w:space="0" w:color="auto"/>
              <w:right w:val="single" w:sz="4" w:space="0" w:color="auto"/>
            </w:tcBorders>
            <w:vAlign w:val="center"/>
            <w:hideMark/>
          </w:tcPr>
          <w:p w14:paraId="3394169C" w14:textId="77777777" w:rsidR="003625EC" w:rsidRPr="00131EED" w:rsidRDefault="003625EC" w:rsidP="003625EC">
            <w:pPr>
              <w:jc w:val="left"/>
              <w:rPr>
                <w:sz w:val="20"/>
                <w:szCs w:val="20"/>
                <w:lang w:eastAsia="en-US"/>
              </w:rPr>
            </w:pPr>
          </w:p>
        </w:tc>
      </w:tr>
      <w:tr w:rsidR="00970AF5" w:rsidRPr="00131EED" w14:paraId="24D4424E"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145A976C" w14:textId="77777777" w:rsidR="003625EC" w:rsidRPr="00131EED" w:rsidRDefault="003625EC" w:rsidP="003625EC">
            <w:pPr>
              <w:jc w:val="center"/>
              <w:rPr>
                <w:sz w:val="20"/>
                <w:szCs w:val="20"/>
                <w:lang w:eastAsia="en-US"/>
              </w:rPr>
            </w:pPr>
            <w:r w:rsidRPr="00131EED">
              <w:rPr>
                <w:sz w:val="20"/>
                <w:szCs w:val="20"/>
                <w:lang w:eastAsia="en-US"/>
              </w:rPr>
              <w:t>2.2.2.1. Otros cultivos permanentes arbustivos</w:t>
            </w:r>
          </w:p>
        </w:tc>
        <w:tc>
          <w:tcPr>
            <w:tcW w:w="1413" w:type="dxa"/>
            <w:tcBorders>
              <w:top w:val="nil"/>
              <w:left w:val="nil"/>
              <w:bottom w:val="single" w:sz="4" w:space="0" w:color="auto"/>
              <w:right w:val="single" w:sz="4" w:space="0" w:color="auto"/>
            </w:tcBorders>
            <w:noWrap/>
            <w:vAlign w:val="center"/>
            <w:hideMark/>
          </w:tcPr>
          <w:p w14:paraId="726FC101" w14:textId="77777777" w:rsidR="003625EC" w:rsidRPr="00131EED" w:rsidRDefault="003625EC" w:rsidP="003625EC">
            <w:pPr>
              <w:jc w:val="center"/>
              <w:rPr>
                <w:sz w:val="20"/>
                <w:szCs w:val="20"/>
                <w:lang w:eastAsia="en-US"/>
              </w:rPr>
            </w:pPr>
            <w:r w:rsidRPr="00131EED">
              <w:rPr>
                <w:sz w:val="20"/>
                <w:szCs w:val="20"/>
                <w:lang w:eastAsia="en-US"/>
              </w:rPr>
              <w:t>0</w:t>
            </w:r>
          </w:p>
        </w:tc>
        <w:tc>
          <w:tcPr>
            <w:tcW w:w="1550" w:type="dxa"/>
            <w:tcBorders>
              <w:top w:val="nil"/>
              <w:left w:val="nil"/>
              <w:bottom w:val="single" w:sz="4" w:space="0" w:color="auto"/>
              <w:right w:val="single" w:sz="4" w:space="0" w:color="auto"/>
            </w:tcBorders>
            <w:noWrap/>
            <w:vAlign w:val="center"/>
            <w:hideMark/>
          </w:tcPr>
          <w:p w14:paraId="444C3B19" w14:textId="77777777" w:rsidR="003625EC" w:rsidRPr="00131EED" w:rsidRDefault="003625EC" w:rsidP="003625EC">
            <w:pPr>
              <w:jc w:val="center"/>
              <w:rPr>
                <w:sz w:val="20"/>
                <w:szCs w:val="20"/>
                <w:lang w:eastAsia="en-US"/>
              </w:rPr>
            </w:pPr>
            <w:r w:rsidRPr="00131EED">
              <w:rPr>
                <w:sz w:val="20"/>
                <w:szCs w:val="20"/>
                <w:lang w:eastAsia="en-US"/>
              </w:rPr>
              <w:t>58.62838</w:t>
            </w:r>
          </w:p>
        </w:tc>
        <w:tc>
          <w:tcPr>
            <w:tcW w:w="1802" w:type="dxa"/>
            <w:tcBorders>
              <w:top w:val="nil"/>
              <w:left w:val="nil"/>
              <w:bottom w:val="single" w:sz="4" w:space="0" w:color="auto"/>
              <w:right w:val="single" w:sz="4" w:space="0" w:color="auto"/>
            </w:tcBorders>
            <w:noWrap/>
            <w:vAlign w:val="center"/>
            <w:hideMark/>
          </w:tcPr>
          <w:p w14:paraId="3B84121D" w14:textId="77777777" w:rsidR="003625EC" w:rsidRPr="00131EED" w:rsidRDefault="003625EC" w:rsidP="003625EC">
            <w:pPr>
              <w:jc w:val="center"/>
              <w:rPr>
                <w:sz w:val="20"/>
                <w:szCs w:val="20"/>
                <w:lang w:eastAsia="en-US"/>
              </w:rPr>
            </w:pPr>
            <w:r w:rsidRPr="00131EED">
              <w:rPr>
                <w:sz w:val="20"/>
                <w:szCs w:val="20"/>
                <w:lang w:eastAsia="en-US"/>
              </w:rPr>
              <w:t>58.62838</w:t>
            </w:r>
          </w:p>
        </w:tc>
        <w:tc>
          <w:tcPr>
            <w:tcW w:w="1633" w:type="dxa"/>
            <w:vMerge/>
            <w:tcBorders>
              <w:top w:val="nil"/>
              <w:left w:val="single" w:sz="4" w:space="0" w:color="auto"/>
              <w:bottom w:val="single" w:sz="4" w:space="0" w:color="auto"/>
              <w:right w:val="single" w:sz="4" w:space="0" w:color="auto"/>
            </w:tcBorders>
            <w:vAlign w:val="center"/>
            <w:hideMark/>
          </w:tcPr>
          <w:p w14:paraId="54B7A8D1" w14:textId="77777777" w:rsidR="003625EC" w:rsidRPr="00131EED" w:rsidRDefault="003625EC" w:rsidP="003625EC">
            <w:pPr>
              <w:jc w:val="left"/>
              <w:rPr>
                <w:sz w:val="20"/>
                <w:szCs w:val="20"/>
                <w:lang w:eastAsia="en-US"/>
              </w:rPr>
            </w:pPr>
          </w:p>
        </w:tc>
      </w:tr>
      <w:tr w:rsidR="00970AF5" w:rsidRPr="00131EED" w14:paraId="7ABBAE71"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7E005EC8" w14:textId="77777777" w:rsidR="003625EC" w:rsidRPr="00131EED" w:rsidRDefault="003625EC" w:rsidP="003625EC">
            <w:pPr>
              <w:jc w:val="center"/>
              <w:rPr>
                <w:sz w:val="20"/>
                <w:szCs w:val="20"/>
                <w:lang w:eastAsia="en-US"/>
              </w:rPr>
            </w:pPr>
            <w:r w:rsidRPr="00131EED">
              <w:rPr>
                <w:sz w:val="20"/>
                <w:szCs w:val="20"/>
                <w:lang w:eastAsia="en-US"/>
              </w:rPr>
              <w:t>2.2.5. Cultivos confinados</w:t>
            </w:r>
          </w:p>
        </w:tc>
        <w:tc>
          <w:tcPr>
            <w:tcW w:w="1413" w:type="dxa"/>
            <w:tcBorders>
              <w:top w:val="nil"/>
              <w:left w:val="nil"/>
              <w:bottom w:val="single" w:sz="4" w:space="0" w:color="auto"/>
              <w:right w:val="single" w:sz="4" w:space="0" w:color="auto"/>
            </w:tcBorders>
            <w:noWrap/>
            <w:vAlign w:val="center"/>
            <w:hideMark/>
          </w:tcPr>
          <w:p w14:paraId="6F41248D" w14:textId="77777777" w:rsidR="003625EC" w:rsidRPr="00131EED" w:rsidRDefault="003625EC" w:rsidP="003625EC">
            <w:pPr>
              <w:jc w:val="center"/>
              <w:rPr>
                <w:sz w:val="20"/>
                <w:szCs w:val="20"/>
                <w:lang w:eastAsia="en-US"/>
              </w:rPr>
            </w:pPr>
            <w:r w:rsidRPr="00131EED">
              <w:rPr>
                <w:sz w:val="20"/>
                <w:szCs w:val="20"/>
                <w:lang w:eastAsia="en-US"/>
              </w:rPr>
              <w:t>4295.956375</w:t>
            </w:r>
          </w:p>
        </w:tc>
        <w:tc>
          <w:tcPr>
            <w:tcW w:w="1550" w:type="dxa"/>
            <w:tcBorders>
              <w:top w:val="nil"/>
              <w:left w:val="nil"/>
              <w:bottom w:val="single" w:sz="4" w:space="0" w:color="auto"/>
              <w:right w:val="single" w:sz="4" w:space="0" w:color="auto"/>
            </w:tcBorders>
            <w:noWrap/>
            <w:vAlign w:val="center"/>
            <w:hideMark/>
          </w:tcPr>
          <w:p w14:paraId="312425D7" w14:textId="77777777" w:rsidR="003625EC" w:rsidRPr="00131EED" w:rsidRDefault="003625EC" w:rsidP="003625EC">
            <w:pPr>
              <w:jc w:val="center"/>
              <w:rPr>
                <w:sz w:val="20"/>
                <w:szCs w:val="20"/>
                <w:lang w:eastAsia="en-US"/>
              </w:rPr>
            </w:pPr>
            <w:r w:rsidRPr="00131EED">
              <w:rPr>
                <w:sz w:val="20"/>
                <w:szCs w:val="20"/>
                <w:lang w:eastAsia="en-US"/>
              </w:rPr>
              <w:t>6404.529099</w:t>
            </w:r>
          </w:p>
        </w:tc>
        <w:tc>
          <w:tcPr>
            <w:tcW w:w="1802" w:type="dxa"/>
            <w:tcBorders>
              <w:top w:val="nil"/>
              <w:left w:val="nil"/>
              <w:bottom w:val="single" w:sz="4" w:space="0" w:color="auto"/>
              <w:right w:val="single" w:sz="4" w:space="0" w:color="auto"/>
            </w:tcBorders>
            <w:noWrap/>
            <w:vAlign w:val="center"/>
            <w:hideMark/>
          </w:tcPr>
          <w:p w14:paraId="52CC833E" w14:textId="77777777" w:rsidR="003625EC" w:rsidRPr="00131EED" w:rsidRDefault="003625EC" w:rsidP="003625EC">
            <w:pPr>
              <w:jc w:val="center"/>
              <w:rPr>
                <w:sz w:val="20"/>
                <w:szCs w:val="20"/>
                <w:lang w:eastAsia="en-US"/>
              </w:rPr>
            </w:pPr>
            <w:r w:rsidRPr="00131EED">
              <w:rPr>
                <w:sz w:val="20"/>
                <w:szCs w:val="20"/>
                <w:lang w:eastAsia="en-US"/>
              </w:rPr>
              <w:t>2108.572724</w:t>
            </w:r>
          </w:p>
        </w:tc>
        <w:tc>
          <w:tcPr>
            <w:tcW w:w="1633" w:type="dxa"/>
            <w:vMerge/>
            <w:tcBorders>
              <w:top w:val="nil"/>
              <w:left w:val="single" w:sz="4" w:space="0" w:color="auto"/>
              <w:bottom w:val="single" w:sz="4" w:space="0" w:color="auto"/>
              <w:right w:val="single" w:sz="4" w:space="0" w:color="auto"/>
            </w:tcBorders>
            <w:vAlign w:val="center"/>
            <w:hideMark/>
          </w:tcPr>
          <w:p w14:paraId="0AD3CF12" w14:textId="77777777" w:rsidR="003625EC" w:rsidRPr="00131EED" w:rsidRDefault="003625EC" w:rsidP="003625EC">
            <w:pPr>
              <w:jc w:val="left"/>
              <w:rPr>
                <w:sz w:val="20"/>
                <w:szCs w:val="20"/>
                <w:lang w:eastAsia="en-US"/>
              </w:rPr>
            </w:pPr>
          </w:p>
        </w:tc>
      </w:tr>
      <w:tr w:rsidR="00970AF5" w:rsidRPr="00131EED" w14:paraId="44BAE5D0"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0D201B24" w14:textId="77777777" w:rsidR="003625EC" w:rsidRPr="00131EED" w:rsidRDefault="003625EC" w:rsidP="003625EC">
            <w:pPr>
              <w:jc w:val="center"/>
              <w:rPr>
                <w:sz w:val="20"/>
                <w:szCs w:val="20"/>
                <w:lang w:eastAsia="en-US"/>
              </w:rPr>
            </w:pPr>
            <w:r w:rsidRPr="00131EED">
              <w:rPr>
                <w:sz w:val="20"/>
                <w:szCs w:val="20"/>
                <w:lang w:eastAsia="en-US"/>
              </w:rPr>
              <w:t>2.3.1. Pastos limpios</w:t>
            </w:r>
          </w:p>
        </w:tc>
        <w:tc>
          <w:tcPr>
            <w:tcW w:w="1413" w:type="dxa"/>
            <w:tcBorders>
              <w:top w:val="nil"/>
              <w:left w:val="nil"/>
              <w:bottom w:val="single" w:sz="4" w:space="0" w:color="auto"/>
              <w:right w:val="single" w:sz="4" w:space="0" w:color="auto"/>
            </w:tcBorders>
            <w:noWrap/>
            <w:vAlign w:val="center"/>
            <w:hideMark/>
          </w:tcPr>
          <w:p w14:paraId="23BDF1BF" w14:textId="77777777" w:rsidR="003625EC" w:rsidRPr="00131EED" w:rsidRDefault="003625EC" w:rsidP="003625EC">
            <w:pPr>
              <w:jc w:val="center"/>
              <w:rPr>
                <w:sz w:val="20"/>
                <w:szCs w:val="20"/>
                <w:lang w:eastAsia="en-US"/>
              </w:rPr>
            </w:pPr>
            <w:r w:rsidRPr="00131EED">
              <w:rPr>
                <w:sz w:val="20"/>
                <w:szCs w:val="20"/>
                <w:lang w:eastAsia="en-US"/>
              </w:rPr>
              <w:t>84178.8551</w:t>
            </w:r>
          </w:p>
        </w:tc>
        <w:tc>
          <w:tcPr>
            <w:tcW w:w="1550" w:type="dxa"/>
            <w:tcBorders>
              <w:top w:val="nil"/>
              <w:left w:val="nil"/>
              <w:bottom w:val="single" w:sz="4" w:space="0" w:color="auto"/>
              <w:right w:val="single" w:sz="4" w:space="0" w:color="auto"/>
            </w:tcBorders>
            <w:noWrap/>
            <w:vAlign w:val="center"/>
            <w:hideMark/>
          </w:tcPr>
          <w:p w14:paraId="48EFF2AB" w14:textId="77777777" w:rsidR="003625EC" w:rsidRPr="00131EED" w:rsidRDefault="003625EC" w:rsidP="003625EC">
            <w:pPr>
              <w:jc w:val="center"/>
              <w:rPr>
                <w:sz w:val="20"/>
                <w:szCs w:val="20"/>
                <w:lang w:eastAsia="en-US"/>
              </w:rPr>
            </w:pPr>
            <w:r w:rsidRPr="00131EED">
              <w:rPr>
                <w:sz w:val="20"/>
                <w:szCs w:val="20"/>
                <w:lang w:eastAsia="en-US"/>
              </w:rPr>
              <w:t>118228.2681</w:t>
            </w:r>
          </w:p>
        </w:tc>
        <w:tc>
          <w:tcPr>
            <w:tcW w:w="1802" w:type="dxa"/>
            <w:tcBorders>
              <w:top w:val="nil"/>
              <w:left w:val="nil"/>
              <w:bottom w:val="single" w:sz="4" w:space="0" w:color="auto"/>
              <w:right w:val="single" w:sz="4" w:space="0" w:color="auto"/>
            </w:tcBorders>
            <w:noWrap/>
            <w:vAlign w:val="center"/>
            <w:hideMark/>
          </w:tcPr>
          <w:p w14:paraId="383D727F" w14:textId="77777777" w:rsidR="003625EC" w:rsidRPr="00131EED" w:rsidRDefault="003625EC" w:rsidP="003625EC">
            <w:pPr>
              <w:jc w:val="center"/>
              <w:rPr>
                <w:sz w:val="20"/>
                <w:szCs w:val="20"/>
                <w:lang w:eastAsia="en-US"/>
              </w:rPr>
            </w:pPr>
            <w:r w:rsidRPr="00131EED">
              <w:rPr>
                <w:sz w:val="20"/>
                <w:szCs w:val="20"/>
                <w:lang w:eastAsia="en-US"/>
              </w:rPr>
              <w:t>34049.41295</w:t>
            </w:r>
          </w:p>
        </w:tc>
        <w:tc>
          <w:tcPr>
            <w:tcW w:w="1633" w:type="dxa"/>
            <w:vMerge/>
            <w:tcBorders>
              <w:top w:val="nil"/>
              <w:left w:val="single" w:sz="4" w:space="0" w:color="auto"/>
              <w:bottom w:val="single" w:sz="4" w:space="0" w:color="auto"/>
              <w:right w:val="single" w:sz="4" w:space="0" w:color="auto"/>
            </w:tcBorders>
            <w:vAlign w:val="center"/>
            <w:hideMark/>
          </w:tcPr>
          <w:p w14:paraId="285E4CF4" w14:textId="77777777" w:rsidR="003625EC" w:rsidRPr="00131EED" w:rsidRDefault="003625EC" w:rsidP="003625EC">
            <w:pPr>
              <w:jc w:val="left"/>
              <w:rPr>
                <w:sz w:val="20"/>
                <w:szCs w:val="20"/>
                <w:lang w:eastAsia="en-US"/>
              </w:rPr>
            </w:pPr>
          </w:p>
        </w:tc>
      </w:tr>
      <w:tr w:rsidR="00970AF5" w:rsidRPr="00131EED" w14:paraId="19EA56EB"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510F26BE" w14:textId="77777777" w:rsidR="003625EC" w:rsidRPr="00131EED" w:rsidRDefault="003625EC" w:rsidP="003625EC">
            <w:pPr>
              <w:jc w:val="center"/>
              <w:rPr>
                <w:sz w:val="20"/>
                <w:szCs w:val="20"/>
                <w:lang w:eastAsia="en-US"/>
              </w:rPr>
            </w:pPr>
            <w:r w:rsidRPr="00131EED">
              <w:rPr>
                <w:sz w:val="20"/>
                <w:szCs w:val="20"/>
                <w:lang w:eastAsia="en-US"/>
              </w:rPr>
              <w:t>2.3.3. Pastos enmalezados</w:t>
            </w:r>
          </w:p>
        </w:tc>
        <w:tc>
          <w:tcPr>
            <w:tcW w:w="1413" w:type="dxa"/>
            <w:tcBorders>
              <w:top w:val="nil"/>
              <w:left w:val="nil"/>
              <w:bottom w:val="single" w:sz="4" w:space="0" w:color="auto"/>
              <w:right w:val="single" w:sz="4" w:space="0" w:color="auto"/>
            </w:tcBorders>
            <w:noWrap/>
            <w:vAlign w:val="center"/>
            <w:hideMark/>
          </w:tcPr>
          <w:p w14:paraId="4D4E1A1E" w14:textId="77777777" w:rsidR="003625EC" w:rsidRPr="00131EED" w:rsidRDefault="003625EC" w:rsidP="003625EC">
            <w:pPr>
              <w:jc w:val="center"/>
              <w:rPr>
                <w:sz w:val="20"/>
                <w:szCs w:val="20"/>
                <w:lang w:eastAsia="en-US"/>
              </w:rPr>
            </w:pPr>
            <w:r w:rsidRPr="00131EED">
              <w:rPr>
                <w:sz w:val="20"/>
                <w:szCs w:val="20"/>
                <w:lang w:eastAsia="en-US"/>
              </w:rPr>
              <w:t>10893.24739</w:t>
            </w:r>
          </w:p>
        </w:tc>
        <w:tc>
          <w:tcPr>
            <w:tcW w:w="1550" w:type="dxa"/>
            <w:tcBorders>
              <w:top w:val="nil"/>
              <w:left w:val="nil"/>
              <w:bottom w:val="single" w:sz="4" w:space="0" w:color="auto"/>
              <w:right w:val="single" w:sz="4" w:space="0" w:color="auto"/>
            </w:tcBorders>
            <w:noWrap/>
            <w:vAlign w:val="center"/>
            <w:hideMark/>
          </w:tcPr>
          <w:p w14:paraId="484CDB99" w14:textId="77777777" w:rsidR="003625EC" w:rsidRPr="00131EED" w:rsidRDefault="003625EC" w:rsidP="003625EC">
            <w:pPr>
              <w:jc w:val="center"/>
              <w:rPr>
                <w:sz w:val="20"/>
                <w:szCs w:val="20"/>
                <w:lang w:eastAsia="en-US"/>
              </w:rPr>
            </w:pPr>
            <w:r w:rsidRPr="00131EED">
              <w:rPr>
                <w:sz w:val="20"/>
                <w:szCs w:val="20"/>
                <w:lang w:eastAsia="en-US"/>
              </w:rPr>
              <w:t>3498.918038</w:t>
            </w:r>
          </w:p>
        </w:tc>
        <w:tc>
          <w:tcPr>
            <w:tcW w:w="1802" w:type="dxa"/>
            <w:tcBorders>
              <w:top w:val="nil"/>
              <w:left w:val="nil"/>
              <w:bottom w:val="single" w:sz="4" w:space="0" w:color="auto"/>
              <w:right w:val="single" w:sz="4" w:space="0" w:color="auto"/>
            </w:tcBorders>
            <w:noWrap/>
            <w:vAlign w:val="center"/>
            <w:hideMark/>
          </w:tcPr>
          <w:p w14:paraId="4791493C" w14:textId="77777777" w:rsidR="003625EC" w:rsidRPr="00131EED" w:rsidRDefault="003625EC" w:rsidP="003625EC">
            <w:pPr>
              <w:jc w:val="center"/>
              <w:rPr>
                <w:sz w:val="20"/>
                <w:szCs w:val="20"/>
                <w:lang w:eastAsia="en-US"/>
              </w:rPr>
            </w:pPr>
            <w:r w:rsidRPr="00131EED">
              <w:rPr>
                <w:sz w:val="20"/>
                <w:szCs w:val="20"/>
                <w:lang w:eastAsia="en-US"/>
              </w:rPr>
              <w:t>-7394.329356</w:t>
            </w:r>
          </w:p>
        </w:tc>
        <w:tc>
          <w:tcPr>
            <w:tcW w:w="1633" w:type="dxa"/>
            <w:vMerge/>
            <w:tcBorders>
              <w:top w:val="nil"/>
              <w:left w:val="single" w:sz="4" w:space="0" w:color="auto"/>
              <w:bottom w:val="single" w:sz="4" w:space="0" w:color="auto"/>
              <w:right w:val="single" w:sz="4" w:space="0" w:color="auto"/>
            </w:tcBorders>
            <w:vAlign w:val="center"/>
            <w:hideMark/>
          </w:tcPr>
          <w:p w14:paraId="2BB355AB" w14:textId="77777777" w:rsidR="003625EC" w:rsidRPr="00131EED" w:rsidRDefault="003625EC" w:rsidP="003625EC">
            <w:pPr>
              <w:jc w:val="left"/>
              <w:rPr>
                <w:sz w:val="20"/>
                <w:szCs w:val="20"/>
                <w:lang w:eastAsia="en-US"/>
              </w:rPr>
            </w:pPr>
          </w:p>
        </w:tc>
      </w:tr>
      <w:tr w:rsidR="00970AF5" w:rsidRPr="00131EED" w14:paraId="710B41ED"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4E152806" w14:textId="77777777" w:rsidR="003625EC" w:rsidRPr="00131EED" w:rsidRDefault="003625EC" w:rsidP="003625EC">
            <w:pPr>
              <w:jc w:val="center"/>
              <w:rPr>
                <w:sz w:val="20"/>
                <w:szCs w:val="20"/>
                <w:lang w:eastAsia="en-US"/>
              </w:rPr>
            </w:pPr>
            <w:r w:rsidRPr="00131EED">
              <w:rPr>
                <w:sz w:val="20"/>
                <w:szCs w:val="20"/>
                <w:lang w:eastAsia="en-US"/>
              </w:rPr>
              <w:t>2.4.1. Mosaico de cultivos</w:t>
            </w:r>
          </w:p>
        </w:tc>
        <w:tc>
          <w:tcPr>
            <w:tcW w:w="1413" w:type="dxa"/>
            <w:tcBorders>
              <w:top w:val="nil"/>
              <w:left w:val="nil"/>
              <w:bottom w:val="single" w:sz="4" w:space="0" w:color="auto"/>
              <w:right w:val="single" w:sz="4" w:space="0" w:color="auto"/>
            </w:tcBorders>
            <w:noWrap/>
            <w:vAlign w:val="center"/>
            <w:hideMark/>
          </w:tcPr>
          <w:p w14:paraId="1CAD3FEE" w14:textId="77777777" w:rsidR="003625EC" w:rsidRPr="00131EED" w:rsidRDefault="003625EC" w:rsidP="003625EC">
            <w:pPr>
              <w:jc w:val="center"/>
              <w:rPr>
                <w:sz w:val="20"/>
                <w:szCs w:val="20"/>
                <w:lang w:eastAsia="en-US"/>
              </w:rPr>
            </w:pPr>
            <w:r w:rsidRPr="00131EED">
              <w:rPr>
                <w:sz w:val="20"/>
                <w:szCs w:val="20"/>
                <w:lang w:eastAsia="en-US"/>
              </w:rPr>
              <w:t>20820.37206</w:t>
            </w:r>
          </w:p>
        </w:tc>
        <w:tc>
          <w:tcPr>
            <w:tcW w:w="1550" w:type="dxa"/>
            <w:tcBorders>
              <w:top w:val="nil"/>
              <w:left w:val="nil"/>
              <w:bottom w:val="single" w:sz="4" w:space="0" w:color="auto"/>
              <w:right w:val="single" w:sz="4" w:space="0" w:color="auto"/>
            </w:tcBorders>
            <w:noWrap/>
            <w:vAlign w:val="center"/>
            <w:hideMark/>
          </w:tcPr>
          <w:p w14:paraId="3D7A4775" w14:textId="77777777" w:rsidR="003625EC" w:rsidRPr="00131EED" w:rsidRDefault="003625EC" w:rsidP="003625EC">
            <w:pPr>
              <w:jc w:val="center"/>
              <w:rPr>
                <w:sz w:val="20"/>
                <w:szCs w:val="20"/>
                <w:lang w:eastAsia="en-US"/>
              </w:rPr>
            </w:pPr>
            <w:r w:rsidRPr="00131EED">
              <w:rPr>
                <w:sz w:val="20"/>
                <w:szCs w:val="20"/>
                <w:lang w:eastAsia="en-US"/>
              </w:rPr>
              <w:t>20076.24237</w:t>
            </w:r>
          </w:p>
        </w:tc>
        <w:tc>
          <w:tcPr>
            <w:tcW w:w="1802" w:type="dxa"/>
            <w:tcBorders>
              <w:top w:val="nil"/>
              <w:left w:val="nil"/>
              <w:bottom w:val="single" w:sz="4" w:space="0" w:color="auto"/>
              <w:right w:val="single" w:sz="4" w:space="0" w:color="auto"/>
            </w:tcBorders>
            <w:noWrap/>
            <w:vAlign w:val="center"/>
            <w:hideMark/>
          </w:tcPr>
          <w:p w14:paraId="17141D9C" w14:textId="77777777" w:rsidR="003625EC" w:rsidRPr="00131EED" w:rsidRDefault="003625EC" w:rsidP="003625EC">
            <w:pPr>
              <w:jc w:val="center"/>
              <w:rPr>
                <w:sz w:val="20"/>
                <w:szCs w:val="20"/>
                <w:lang w:eastAsia="en-US"/>
              </w:rPr>
            </w:pPr>
            <w:r w:rsidRPr="00131EED">
              <w:rPr>
                <w:sz w:val="20"/>
                <w:szCs w:val="20"/>
                <w:lang w:eastAsia="en-US"/>
              </w:rPr>
              <w:t>-744.129691</w:t>
            </w:r>
          </w:p>
        </w:tc>
        <w:tc>
          <w:tcPr>
            <w:tcW w:w="1633" w:type="dxa"/>
            <w:vMerge/>
            <w:tcBorders>
              <w:top w:val="nil"/>
              <w:left w:val="single" w:sz="4" w:space="0" w:color="auto"/>
              <w:bottom w:val="single" w:sz="4" w:space="0" w:color="auto"/>
              <w:right w:val="single" w:sz="4" w:space="0" w:color="auto"/>
            </w:tcBorders>
            <w:vAlign w:val="center"/>
            <w:hideMark/>
          </w:tcPr>
          <w:p w14:paraId="79C0B5CC" w14:textId="77777777" w:rsidR="003625EC" w:rsidRPr="00131EED" w:rsidRDefault="003625EC" w:rsidP="003625EC">
            <w:pPr>
              <w:jc w:val="left"/>
              <w:rPr>
                <w:sz w:val="20"/>
                <w:szCs w:val="20"/>
                <w:lang w:eastAsia="en-US"/>
              </w:rPr>
            </w:pPr>
          </w:p>
        </w:tc>
      </w:tr>
      <w:tr w:rsidR="00970AF5" w:rsidRPr="00131EED" w14:paraId="36682180"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57ED13D0" w14:textId="77777777" w:rsidR="003625EC" w:rsidRPr="00131EED" w:rsidRDefault="003625EC" w:rsidP="003625EC">
            <w:pPr>
              <w:jc w:val="center"/>
              <w:rPr>
                <w:sz w:val="20"/>
                <w:szCs w:val="20"/>
                <w:lang w:eastAsia="en-US"/>
              </w:rPr>
            </w:pPr>
            <w:r w:rsidRPr="00131EED">
              <w:rPr>
                <w:sz w:val="20"/>
                <w:szCs w:val="20"/>
                <w:lang w:eastAsia="en-US"/>
              </w:rPr>
              <w:t>2.4.2. Mosaico de pastos y cultivos</w:t>
            </w:r>
          </w:p>
        </w:tc>
        <w:tc>
          <w:tcPr>
            <w:tcW w:w="1413" w:type="dxa"/>
            <w:tcBorders>
              <w:top w:val="nil"/>
              <w:left w:val="nil"/>
              <w:bottom w:val="single" w:sz="4" w:space="0" w:color="auto"/>
              <w:right w:val="single" w:sz="4" w:space="0" w:color="auto"/>
            </w:tcBorders>
            <w:noWrap/>
            <w:vAlign w:val="center"/>
            <w:hideMark/>
          </w:tcPr>
          <w:p w14:paraId="3D1DF000" w14:textId="77777777" w:rsidR="003625EC" w:rsidRPr="00131EED" w:rsidRDefault="003625EC" w:rsidP="003625EC">
            <w:pPr>
              <w:jc w:val="center"/>
              <w:rPr>
                <w:sz w:val="20"/>
                <w:szCs w:val="20"/>
                <w:lang w:eastAsia="en-US"/>
              </w:rPr>
            </w:pPr>
            <w:r w:rsidRPr="00131EED">
              <w:rPr>
                <w:sz w:val="20"/>
                <w:szCs w:val="20"/>
                <w:lang w:eastAsia="en-US"/>
              </w:rPr>
              <w:t>132712.169</w:t>
            </w:r>
          </w:p>
        </w:tc>
        <w:tc>
          <w:tcPr>
            <w:tcW w:w="1550" w:type="dxa"/>
            <w:tcBorders>
              <w:top w:val="nil"/>
              <w:left w:val="nil"/>
              <w:bottom w:val="single" w:sz="4" w:space="0" w:color="auto"/>
              <w:right w:val="single" w:sz="4" w:space="0" w:color="auto"/>
            </w:tcBorders>
            <w:noWrap/>
            <w:vAlign w:val="center"/>
            <w:hideMark/>
          </w:tcPr>
          <w:p w14:paraId="408CF6E2" w14:textId="77777777" w:rsidR="003625EC" w:rsidRPr="00131EED" w:rsidRDefault="003625EC" w:rsidP="003625EC">
            <w:pPr>
              <w:jc w:val="center"/>
              <w:rPr>
                <w:sz w:val="20"/>
                <w:szCs w:val="20"/>
                <w:lang w:eastAsia="en-US"/>
              </w:rPr>
            </w:pPr>
            <w:r w:rsidRPr="00131EED">
              <w:rPr>
                <w:sz w:val="20"/>
                <w:szCs w:val="20"/>
                <w:lang w:eastAsia="en-US"/>
              </w:rPr>
              <w:t>81662.33166</w:t>
            </w:r>
          </w:p>
        </w:tc>
        <w:tc>
          <w:tcPr>
            <w:tcW w:w="1802" w:type="dxa"/>
            <w:tcBorders>
              <w:top w:val="nil"/>
              <w:left w:val="nil"/>
              <w:bottom w:val="single" w:sz="4" w:space="0" w:color="auto"/>
              <w:right w:val="single" w:sz="4" w:space="0" w:color="auto"/>
            </w:tcBorders>
            <w:noWrap/>
            <w:vAlign w:val="center"/>
            <w:hideMark/>
          </w:tcPr>
          <w:p w14:paraId="7AE80F7E" w14:textId="77777777" w:rsidR="003625EC" w:rsidRPr="00131EED" w:rsidRDefault="003625EC" w:rsidP="003625EC">
            <w:pPr>
              <w:jc w:val="center"/>
              <w:rPr>
                <w:sz w:val="20"/>
                <w:szCs w:val="20"/>
                <w:lang w:eastAsia="en-US"/>
              </w:rPr>
            </w:pPr>
            <w:r w:rsidRPr="00131EED">
              <w:rPr>
                <w:sz w:val="20"/>
                <w:szCs w:val="20"/>
                <w:lang w:eastAsia="en-US"/>
              </w:rPr>
              <w:t>-51049.83736</w:t>
            </w:r>
          </w:p>
        </w:tc>
        <w:tc>
          <w:tcPr>
            <w:tcW w:w="1633" w:type="dxa"/>
            <w:vMerge/>
            <w:tcBorders>
              <w:top w:val="nil"/>
              <w:left w:val="single" w:sz="4" w:space="0" w:color="auto"/>
              <w:bottom w:val="single" w:sz="4" w:space="0" w:color="auto"/>
              <w:right w:val="single" w:sz="4" w:space="0" w:color="auto"/>
            </w:tcBorders>
            <w:vAlign w:val="center"/>
            <w:hideMark/>
          </w:tcPr>
          <w:p w14:paraId="33A75B59" w14:textId="77777777" w:rsidR="003625EC" w:rsidRPr="00131EED" w:rsidRDefault="003625EC" w:rsidP="003625EC">
            <w:pPr>
              <w:jc w:val="left"/>
              <w:rPr>
                <w:sz w:val="20"/>
                <w:szCs w:val="20"/>
                <w:lang w:eastAsia="en-US"/>
              </w:rPr>
            </w:pPr>
          </w:p>
        </w:tc>
      </w:tr>
      <w:tr w:rsidR="00970AF5" w:rsidRPr="00131EED" w14:paraId="2D17B661"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53D9FFDE" w14:textId="77777777" w:rsidR="003625EC" w:rsidRPr="00131EED" w:rsidRDefault="003625EC" w:rsidP="003625EC">
            <w:pPr>
              <w:jc w:val="center"/>
              <w:rPr>
                <w:sz w:val="20"/>
                <w:szCs w:val="20"/>
                <w:lang w:eastAsia="en-US"/>
              </w:rPr>
            </w:pPr>
            <w:r w:rsidRPr="00131EED">
              <w:rPr>
                <w:sz w:val="20"/>
                <w:szCs w:val="20"/>
                <w:lang w:eastAsia="en-US"/>
              </w:rPr>
              <w:t>2.4.3. Mosaico de cultivos, pastos y espacios naturales</w:t>
            </w:r>
          </w:p>
        </w:tc>
        <w:tc>
          <w:tcPr>
            <w:tcW w:w="1413" w:type="dxa"/>
            <w:tcBorders>
              <w:top w:val="nil"/>
              <w:left w:val="nil"/>
              <w:bottom w:val="single" w:sz="4" w:space="0" w:color="auto"/>
              <w:right w:val="single" w:sz="4" w:space="0" w:color="auto"/>
            </w:tcBorders>
            <w:noWrap/>
            <w:vAlign w:val="center"/>
            <w:hideMark/>
          </w:tcPr>
          <w:p w14:paraId="6D39D5B7" w14:textId="77777777" w:rsidR="003625EC" w:rsidRPr="00131EED" w:rsidRDefault="003625EC" w:rsidP="003625EC">
            <w:pPr>
              <w:jc w:val="center"/>
              <w:rPr>
                <w:sz w:val="20"/>
                <w:szCs w:val="20"/>
                <w:lang w:eastAsia="en-US"/>
              </w:rPr>
            </w:pPr>
            <w:r w:rsidRPr="00131EED">
              <w:rPr>
                <w:sz w:val="20"/>
                <w:szCs w:val="20"/>
                <w:lang w:eastAsia="en-US"/>
              </w:rPr>
              <w:t>19958.33573</w:t>
            </w:r>
          </w:p>
        </w:tc>
        <w:tc>
          <w:tcPr>
            <w:tcW w:w="1550" w:type="dxa"/>
            <w:tcBorders>
              <w:top w:val="nil"/>
              <w:left w:val="nil"/>
              <w:bottom w:val="single" w:sz="4" w:space="0" w:color="auto"/>
              <w:right w:val="single" w:sz="4" w:space="0" w:color="auto"/>
            </w:tcBorders>
            <w:noWrap/>
            <w:vAlign w:val="center"/>
            <w:hideMark/>
          </w:tcPr>
          <w:p w14:paraId="5EC8C72A" w14:textId="77777777" w:rsidR="003625EC" w:rsidRPr="00131EED" w:rsidRDefault="003625EC" w:rsidP="003625EC">
            <w:pPr>
              <w:jc w:val="center"/>
              <w:rPr>
                <w:sz w:val="20"/>
                <w:szCs w:val="20"/>
                <w:lang w:eastAsia="en-US"/>
              </w:rPr>
            </w:pPr>
            <w:r w:rsidRPr="00131EED">
              <w:rPr>
                <w:sz w:val="20"/>
                <w:szCs w:val="20"/>
                <w:lang w:eastAsia="en-US"/>
              </w:rPr>
              <w:t>9131.86851</w:t>
            </w:r>
          </w:p>
        </w:tc>
        <w:tc>
          <w:tcPr>
            <w:tcW w:w="1802" w:type="dxa"/>
            <w:tcBorders>
              <w:top w:val="nil"/>
              <w:left w:val="nil"/>
              <w:bottom w:val="single" w:sz="4" w:space="0" w:color="auto"/>
              <w:right w:val="single" w:sz="4" w:space="0" w:color="auto"/>
            </w:tcBorders>
            <w:noWrap/>
            <w:vAlign w:val="center"/>
            <w:hideMark/>
          </w:tcPr>
          <w:p w14:paraId="578D6F7F" w14:textId="77777777" w:rsidR="003625EC" w:rsidRPr="00131EED" w:rsidRDefault="003625EC" w:rsidP="003625EC">
            <w:pPr>
              <w:jc w:val="center"/>
              <w:rPr>
                <w:sz w:val="20"/>
                <w:szCs w:val="20"/>
                <w:lang w:eastAsia="en-US"/>
              </w:rPr>
            </w:pPr>
            <w:r w:rsidRPr="00131EED">
              <w:rPr>
                <w:sz w:val="20"/>
                <w:szCs w:val="20"/>
                <w:lang w:eastAsia="en-US"/>
              </w:rPr>
              <w:t>-10826.46722</w:t>
            </w:r>
          </w:p>
        </w:tc>
        <w:tc>
          <w:tcPr>
            <w:tcW w:w="1633" w:type="dxa"/>
            <w:vMerge/>
            <w:tcBorders>
              <w:top w:val="nil"/>
              <w:left w:val="single" w:sz="4" w:space="0" w:color="auto"/>
              <w:bottom w:val="single" w:sz="4" w:space="0" w:color="auto"/>
              <w:right w:val="single" w:sz="4" w:space="0" w:color="auto"/>
            </w:tcBorders>
            <w:vAlign w:val="center"/>
            <w:hideMark/>
          </w:tcPr>
          <w:p w14:paraId="67FB41C9" w14:textId="77777777" w:rsidR="003625EC" w:rsidRPr="00131EED" w:rsidRDefault="003625EC" w:rsidP="003625EC">
            <w:pPr>
              <w:jc w:val="left"/>
              <w:rPr>
                <w:sz w:val="20"/>
                <w:szCs w:val="20"/>
                <w:lang w:eastAsia="en-US"/>
              </w:rPr>
            </w:pPr>
          </w:p>
        </w:tc>
      </w:tr>
      <w:tr w:rsidR="00970AF5" w:rsidRPr="00131EED" w14:paraId="4FCE2A46"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01BC7278" w14:textId="77777777" w:rsidR="003625EC" w:rsidRPr="00131EED" w:rsidRDefault="003625EC" w:rsidP="003625EC">
            <w:pPr>
              <w:jc w:val="center"/>
              <w:rPr>
                <w:sz w:val="20"/>
                <w:szCs w:val="20"/>
                <w:lang w:eastAsia="en-US"/>
              </w:rPr>
            </w:pPr>
            <w:r w:rsidRPr="00131EED">
              <w:rPr>
                <w:sz w:val="20"/>
                <w:szCs w:val="20"/>
                <w:lang w:eastAsia="en-US"/>
              </w:rPr>
              <w:t>2.4.4. Mosaico de pastos con espacios naturales</w:t>
            </w:r>
          </w:p>
        </w:tc>
        <w:tc>
          <w:tcPr>
            <w:tcW w:w="1413" w:type="dxa"/>
            <w:tcBorders>
              <w:top w:val="nil"/>
              <w:left w:val="nil"/>
              <w:bottom w:val="single" w:sz="4" w:space="0" w:color="auto"/>
              <w:right w:val="single" w:sz="4" w:space="0" w:color="auto"/>
            </w:tcBorders>
            <w:noWrap/>
            <w:vAlign w:val="center"/>
            <w:hideMark/>
          </w:tcPr>
          <w:p w14:paraId="35802728" w14:textId="77777777" w:rsidR="003625EC" w:rsidRPr="00131EED" w:rsidRDefault="003625EC" w:rsidP="003625EC">
            <w:pPr>
              <w:jc w:val="center"/>
              <w:rPr>
                <w:sz w:val="20"/>
                <w:szCs w:val="20"/>
                <w:lang w:eastAsia="en-US"/>
              </w:rPr>
            </w:pPr>
            <w:r w:rsidRPr="00131EED">
              <w:rPr>
                <w:sz w:val="20"/>
                <w:szCs w:val="20"/>
                <w:lang w:eastAsia="en-US"/>
              </w:rPr>
              <w:t>14155.06042</w:t>
            </w:r>
          </w:p>
        </w:tc>
        <w:tc>
          <w:tcPr>
            <w:tcW w:w="1550" w:type="dxa"/>
            <w:tcBorders>
              <w:top w:val="nil"/>
              <w:left w:val="nil"/>
              <w:bottom w:val="single" w:sz="4" w:space="0" w:color="auto"/>
              <w:right w:val="single" w:sz="4" w:space="0" w:color="auto"/>
            </w:tcBorders>
            <w:noWrap/>
            <w:vAlign w:val="center"/>
            <w:hideMark/>
          </w:tcPr>
          <w:p w14:paraId="106B00E7" w14:textId="77777777" w:rsidR="003625EC" w:rsidRPr="00131EED" w:rsidRDefault="003625EC" w:rsidP="003625EC">
            <w:pPr>
              <w:jc w:val="center"/>
              <w:rPr>
                <w:sz w:val="20"/>
                <w:szCs w:val="20"/>
                <w:lang w:eastAsia="en-US"/>
              </w:rPr>
            </w:pPr>
            <w:r w:rsidRPr="00131EED">
              <w:rPr>
                <w:sz w:val="20"/>
                <w:szCs w:val="20"/>
                <w:lang w:eastAsia="en-US"/>
              </w:rPr>
              <w:t>12668.87514</w:t>
            </w:r>
          </w:p>
        </w:tc>
        <w:tc>
          <w:tcPr>
            <w:tcW w:w="1802" w:type="dxa"/>
            <w:tcBorders>
              <w:top w:val="nil"/>
              <w:left w:val="nil"/>
              <w:bottom w:val="single" w:sz="4" w:space="0" w:color="auto"/>
              <w:right w:val="single" w:sz="4" w:space="0" w:color="auto"/>
            </w:tcBorders>
            <w:noWrap/>
            <w:vAlign w:val="center"/>
            <w:hideMark/>
          </w:tcPr>
          <w:p w14:paraId="740E6074" w14:textId="77777777" w:rsidR="003625EC" w:rsidRPr="00131EED" w:rsidRDefault="003625EC" w:rsidP="003625EC">
            <w:pPr>
              <w:jc w:val="center"/>
              <w:rPr>
                <w:sz w:val="20"/>
                <w:szCs w:val="20"/>
                <w:lang w:eastAsia="en-US"/>
              </w:rPr>
            </w:pPr>
            <w:r w:rsidRPr="00131EED">
              <w:rPr>
                <w:sz w:val="20"/>
                <w:szCs w:val="20"/>
                <w:lang w:eastAsia="en-US"/>
              </w:rPr>
              <w:t>-1486.18528</w:t>
            </w:r>
          </w:p>
        </w:tc>
        <w:tc>
          <w:tcPr>
            <w:tcW w:w="1633" w:type="dxa"/>
            <w:vMerge/>
            <w:tcBorders>
              <w:top w:val="nil"/>
              <w:left w:val="single" w:sz="4" w:space="0" w:color="auto"/>
              <w:bottom w:val="single" w:sz="4" w:space="0" w:color="auto"/>
              <w:right w:val="single" w:sz="4" w:space="0" w:color="auto"/>
            </w:tcBorders>
            <w:vAlign w:val="center"/>
            <w:hideMark/>
          </w:tcPr>
          <w:p w14:paraId="6697275E" w14:textId="77777777" w:rsidR="003625EC" w:rsidRPr="00131EED" w:rsidRDefault="003625EC" w:rsidP="003625EC">
            <w:pPr>
              <w:jc w:val="left"/>
              <w:rPr>
                <w:sz w:val="20"/>
                <w:szCs w:val="20"/>
                <w:lang w:eastAsia="en-US"/>
              </w:rPr>
            </w:pPr>
          </w:p>
        </w:tc>
      </w:tr>
      <w:tr w:rsidR="00970AF5" w:rsidRPr="00131EED" w14:paraId="22DB5A77"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33389333" w14:textId="77777777" w:rsidR="003625EC" w:rsidRPr="00131EED" w:rsidRDefault="003625EC" w:rsidP="003625EC">
            <w:pPr>
              <w:jc w:val="center"/>
              <w:rPr>
                <w:sz w:val="20"/>
                <w:szCs w:val="20"/>
                <w:lang w:eastAsia="en-US"/>
              </w:rPr>
            </w:pPr>
            <w:r w:rsidRPr="00131EED">
              <w:rPr>
                <w:sz w:val="20"/>
                <w:szCs w:val="20"/>
                <w:lang w:eastAsia="en-US"/>
              </w:rPr>
              <w:t>2.4.5. Mosaico de cultivos con espacios naturales</w:t>
            </w:r>
          </w:p>
        </w:tc>
        <w:tc>
          <w:tcPr>
            <w:tcW w:w="1413" w:type="dxa"/>
            <w:tcBorders>
              <w:top w:val="nil"/>
              <w:left w:val="nil"/>
              <w:bottom w:val="single" w:sz="4" w:space="0" w:color="auto"/>
              <w:right w:val="single" w:sz="4" w:space="0" w:color="auto"/>
            </w:tcBorders>
            <w:noWrap/>
            <w:vAlign w:val="center"/>
            <w:hideMark/>
          </w:tcPr>
          <w:p w14:paraId="1C73E837" w14:textId="77777777" w:rsidR="003625EC" w:rsidRPr="00131EED" w:rsidRDefault="003625EC" w:rsidP="003625EC">
            <w:pPr>
              <w:jc w:val="center"/>
              <w:rPr>
                <w:sz w:val="20"/>
                <w:szCs w:val="20"/>
                <w:lang w:eastAsia="en-US"/>
              </w:rPr>
            </w:pPr>
            <w:r w:rsidRPr="00131EED">
              <w:rPr>
                <w:sz w:val="20"/>
                <w:szCs w:val="20"/>
                <w:lang w:eastAsia="en-US"/>
              </w:rPr>
              <w:t>578.012414</w:t>
            </w:r>
          </w:p>
        </w:tc>
        <w:tc>
          <w:tcPr>
            <w:tcW w:w="1550" w:type="dxa"/>
            <w:tcBorders>
              <w:top w:val="nil"/>
              <w:left w:val="nil"/>
              <w:bottom w:val="single" w:sz="4" w:space="0" w:color="auto"/>
              <w:right w:val="single" w:sz="4" w:space="0" w:color="auto"/>
            </w:tcBorders>
            <w:noWrap/>
            <w:vAlign w:val="center"/>
            <w:hideMark/>
          </w:tcPr>
          <w:p w14:paraId="25A053E8" w14:textId="77777777" w:rsidR="003625EC" w:rsidRPr="00131EED" w:rsidRDefault="003625EC" w:rsidP="003625EC">
            <w:pPr>
              <w:jc w:val="center"/>
              <w:rPr>
                <w:sz w:val="20"/>
                <w:szCs w:val="20"/>
                <w:lang w:eastAsia="en-US"/>
              </w:rPr>
            </w:pPr>
            <w:r w:rsidRPr="00131EED">
              <w:rPr>
                <w:sz w:val="20"/>
                <w:szCs w:val="20"/>
                <w:lang w:eastAsia="en-US"/>
              </w:rPr>
              <w:t>73.020247</w:t>
            </w:r>
          </w:p>
        </w:tc>
        <w:tc>
          <w:tcPr>
            <w:tcW w:w="1802" w:type="dxa"/>
            <w:tcBorders>
              <w:top w:val="nil"/>
              <w:left w:val="nil"/>
              <w:bottom w:val="single" w:sz="4" w:space="0" w:color="auto"/>
              <w:right w:val="single" w:sz="4" w:space="0" w:color="auto"/>
            </w:tcBorders>
            <w:noWrap/>
            <w:vAlign w:val="center"/>
            <w:hideMark/>
          </w:tcPr>
          <w:p w14:paraId="12BFC187" w14:textId="77777777" w:rsidR="003625EC" w:rsidRPr="00131EED" w:rsidRDefault="003625EC" w:rsidP="003625EC">
            <w:pPr>
              <w:jc w:val="center"/>
              <w:rPr>
                <w:sz w:val="20"/>
                <w:szCs w:val="20"/>
                <w:lang w:eastAsia="en-US"/>
              </w:rPr>
            </w:pPr>
            <w:r w:rsidRPr="00131EED">
              <w:rPr>
                <w:sz w:val="20"/>
                <w:szCs w:val="20"/>
                <w:lang w:eastAsia="en-US"/>
              </w:rPr>
              <w:t>-504.992167</w:t>
            </w:r>
          </w:p>
        </w:tc>
        <w:tc>
          <w:tcPr>
            <w:tcW w:w="1633" w:type="dxa"/>
            <w:vMerge/>
            <w:tcBorders>
              <w:top w:val="nil"/>
              <w:left w:val="single" w:sz="4" w:space="0" w:color="auto"/>
              <w:bottom w:val="single" w:sz="4" w:space="0" w:color="auto"/>
              <w:right w:val="single" w:sz="4" w:space="0" w:color="auto"/>
            </w:tcBorders>
            <w:vAlign w:val="center"/>
            <w:hideMark/>
          </w:tcPr>
          <w:p w14:paraId="61700E24" w14:textId="77777777" w:rsidR="003625EC" w:rsidRPr="00131EED" w:rsidRDefault="003625EC" w:rsidP="003625EC">
            <w:pPr>
              <w:jc w:val="left"/>
              <w:rPr>
                <w:sz w:val="20"/>
                <w:szCs w:val="20"/>
                <w:lang w:eastAsia="en-US"/>
              </w:rPr>
            </w:pPr>
          </w:p>
        </w:tc>
      </w:tr>
      <w:tr w:rsidR="00970AF5" w:rsidRPr="00131EED" w14:paraId="1AE0A269"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542A4379" w14:textId="77777777" w:rsidR="003625EC" w:rsidRPr="00131EED" w:rsidRDefault="003625EC" w:rsidP="003625EC">
            <w:pPr>
              <w:jc w:val="center"/>
              <w:rPr>
                <w:sz w:val="20"/>
                <w:szCs w:val="20"/>
                <w:lang w:eastAsia="en-US"/>
              </w:rPr>
            </w:pPr>
            <w:r w:rsidRPr="00131EED">
              <w:rPr>
                <w:sz w:val="20"/>
                <w:szCs w:val="20"/>
                <w:lang w:eastAsia="en-US"/>
              </w:rPr>
              <w:t>3.1.1. Bosque denso</w:t>
            </w:r>
          </w:p>
        </w:tc>
        <w:tc>
          <w:tcPr>
            <w:tcW w:w="1413" w:type="dxa"/>
            <w:tcBorders>
              <w:top w:val="nil"/>
              <w:left w:val="nil"/>
              <w:bottom w:val="single" w:sz="4" w:space="0" w:color="auto"/>
              <w:right w:val="single" w:sz="4" w:space="0" w:color="auto"/>
            </w:tcBorders>
            <w:noWrap/>
            <w:vAlign w:val="center"/>
            <w:hideMark/>
          </w:tcPr>
          <w:p w14:paraId="746B544B" w14:textId="77777777" w:rsidR="003625EC" w:rsidRPr="00131EED" w:rsidRDefault="003625EC" w:rsidP="003625EC">
            <w:pPr>
              <w:jc w:val="center"/>
              <w:rPr>
                <w:sz w:val="20"/>
                <w:szCs w:val="20"/>
                <w:lang w:eastAsia="en-US"/>
              </w:rPr>
            </w:pPr>
            <w:r w:rsidRPr="00131EED">
              <w:rPr>
                <w:sz w:val="20"/>
                <w:szCs w:val="20"/>
                <w:lang w:eastAsia="en-US"/>
              </w:rPr>
              <w:t>781.872519</w:t>
            </w:r>
          </w:p>
        </w:tc>
        <w:tc>
          <w:tcPr>
            <w:tcW w:w="1550" w:type="dxa"/>
            <w:tcBorders>
              <w:top w:val="nil"/>
              <w:left w:val="nil"/>
              <w:bottom w:val="single" w:sz="4" w:space="0" w:color="auto"/>
              <w:right w:val="single" w:sz="4" w:space="0" w:color="auto"/>
            </w:tcBorders>
            <w:noWrap/>
            <w:vAlign w:val="center"/>
            <w:hideMark/>
          </w:tcPr>
          <w:p w14:paraId="548DAB32" w14:textId="77777777" w:rsidR="003625EC" w:rsidRPr="00131EED" w:rsidRDefault="003625EC" w:rsidP="003625EC">
            <w:pPr>
              <w:jc w:val="center"/>
              <w:rPr>
                <w:sz w:val="20"/>
                <w:szCs w:val="20"/>
                <w:lang w:eastAsia="en-US"/>
              </w:rPr>
            </w:pPr>
            <w:r w:rsidRPr="00131EED">
              <w:rPr>
                <w:sz w:val="20"/>
                <w:szCs w:val="20"/>
                <w:lang w:eastAsia="en-US"/>
              </w:rPr>
              <w:t>3314.02636</w:t>
            </w:r>
          </w:p>
        </w:tc>
        <w:tc>
          <w:tcPr>
            <w:tcW w:w="1802" w:type="dxa"/>
            <w:tcBorders>
              <w:top w:val="nil"/>
              <w:left w:val="nil"/>
              <w:bottom w:val="single" w:sz="4" w:space="0" w:color="auto"/>
              <w:right w:val="single" w:sz="4" w:space="0" w:color="auto"/>
            </w:tcBorders>
            <w:noWrap/>
            <w:vAlign w:val="center"/>
            <w:hideMark/>
          </w:tcPr>
          <w:p w14:paraId="59ED7102" w14:textId="77777777" w:rsidR="003625EC" w:rsidRPr="00131EED" w:rsidRDefault="003625EC" w:rsidP="003625EC">
            <w:pPr>
              <w:jc w:val="center"/>
              <w:rPr>
                <w:sz w:val="20"/>
                <w:szCs w:val="20"/>
                <w:lang w:eastAsia="en-US"/>
              </w:rPr>
            </w:pPr>
            <w:r w:rsidRPr="00131EED">
              <w:rPr>
                <w:sz w:val="20"/>
                <w:szCs w:val="20"/>
                <w:lang w:eastAsia="en-US"/>
              </w:rPr>
              <w:t>2532.153841</w:t>
            </w:r>
          </w:p>
        </w:tc>
        <w:tc>
          <w:tcPr>
            <w:tcW w:w="1633" w:type="dxa"/>
            <w:vMerge w:val="restart"/>
            <w:tcBorders>
              <w:top w:val="nil"/>
              <w:left w:val="single" w:sz="4" w:space="0" w:color="auto"/>
              <w:bottom w:val="single" w:sz="4" w:space="0" w:color="auto"/>
              <w:right w:val="single" w:sz="4" w:space="0" w:color="auto"/>
            </w:tcBorders>
            <w:noWrap/>
            <w:vAlign w:val="center"/>
            <w:hideMark/>
          </w:tcPr>
          <w:p w14:paraId="05153D63" w14:textId="77777777" w:rsidR="003625EC" w:rsidRPr="00131EED" w:rsidRDefault="003625EC" w:rsidP="003625EC">
            <w:pPr>
              <w:jc w:val="center"/>
              <w:rPr>
                <w:sz w:val="20"/>
                <w:szCs w:val="20"/>
                <w:lang w:eastAsia="en-US"/>
              </w:rPr>
            </w:pPr>
            <w:r w:rsidRPr="00131EED">
              <w:rPr>
                <w:sz w:val="20"/>
                <w:szCs w:val="20"/>
                <w:lang w:eastAsia="en-US"/>
              </w:rPr>
              <w:t>14980.67</w:t>
            </w:r>
          </w:p>
        </w:tc>
      </w:tr>
      <w:tr w:rsidR="00970AF5" w:rsidRPr="00131EED" w14:paraId="16A97803"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36C34666" w14:textId="77777777" w:rsidR="003625EC" w:rsidRPr="00131EED" w:rsidRDefault="003625EC" w:rsidP="003625EC">
            <w:pPr>
              <w:jc w:val="center"/>
              <w:rPr>
                <w:sz w:val="20"/>
                <w:szCs w:val="20"/>
                <w:lang w:eastAsia="en-US"/>
              </w:rPr>
            </w:pPr>
            <w:r w:rsidRPr="00131EED">
              <w:rPr>
                <w:sz w:val="20"/>
                <w:szCs w:val="20"/>
                <w:lang w:eastAsia="en-US"/>
              </w:rPr>
              <w:t>3.1.3. Bosque fragmentado</w:t>
            </w:r>
          </w:p>
        </w:tc>
        <w:tc>
          <w:tcPr>
            <w:tcW w:w="1413" w:type="dxa"/>
            <w:tcBorders>
              <w:top w:val="nil"/>
              <w:left w:val="nil"/>
              <w:bottom w:val="single" w:sz="4" w:space="0" w:color="auto"/>
              <w:right w:val="single" w:sz="4" w:space="0" w:color="auto"/>
            </w:tcBorders>
            <w:noWrap/>
            <w:vAlign w:val="center"/>
            <w:hideMark/>
          </w:tcPr>
          <w:p w14:paraId="7C708FFE" w14:textId="77777777" w:rsidR="003625EC" w:rsidRPr="00131EED" w:rsidRDefault="003625EC" w:rsidP="003625EC">
            <w:pPr>
              <w:jc w:val="center"/>
              <w:rPr>
                <w:sz w:val="20"/>
                <w:szCs w:val="20"/>
                <w:lang w:eastAsia="en-US"/>
              </w:rPr>
            </w:pPr>
            <w:r w:rsidRPr="00131EED">
              <w:rPr>
                <w:sz w:val="20"/>
                <w:szCs w:val="20"/>
                <w:lang w:eastAsia="en-US"/>
              </w:rPr>
              <w:t>1447.363172</w:t>
            </w:r>
          </w:p>
        </w:tc>
        <w:tc>
          <w:tcPr>
            <w:tcW w:w="1550" w:type="dxa"/>
            <w:tcBorders>
              <w:top w:val="nil"/>
              <w:left w:val="nil"/>
              <w:bottom w:val="single" w:sz="4" w:space="0" w:color="auto"/>
              <w:right w:val="single" w:sz="4" w:space="0" w:color="auto"/>
            </w:tcBorders>
            <w:noWrap/>
            <w:vAlign w:val="center"/>
            <w:hideMark/>
          </w:tcPr>
          <w:p w14:paraId="0550F46B" w14:textId="77777777" w:rsidR="003625EC" w:rsidRPr="00131EED" w:rsidRDefault="003625EC" w:rsidP="003625EC">
            <w:pPr>
              <w:jc w:val="center"/>
              <w:rPr>
                <w:sz w:val="20"/>
                <w:szCs w:val="20"/>
                <w:lang w:eastAsia="en-US"/>
              </w:rPr>
            </w:pPr>
            <w:r w:rsidRPr="00131EED">
              <w:rPr>
                <w:sz w:val="20"/>
                <w:szCs w:val="20"/>
                <w:lang w:eastAsia="en-US"/>
              </w:rPr>
              <w:t>334.962147</w:t>
            </w:r>
          </w:p>
        </w:tc>
        <w:tc>
          <w:tcPr>
            <w:tcW w:w="1802" w:type="dxa"/>
            <w:tcBorders>
              <w:top w:val="nil"/>
              <w:left w:val="nil"/>
              <w:bottom w:val="single" w:sz="4" w:space="0" w:color="auto"/>
              <w:right w:val="single" w:sz="4" w:space="0" w:color="auto"/>
            </w:tcBorders>
            <w:noWrap/>
            <w:vAlign w:val="center"/>
            <w:hideMark/>
          </w:tcPr>
          <w:p w14:paraId="0DBD6B24" w14:textId="77777777" w:rsidR="003625EC" w:rsidRPr="00131EED" w:rsidRDefault="003625EC" w:rsidP="003625EC">
            <w:pPr>
              <w:jc w:val="center"/>
              <w:rPr>
                <w:sz w:val="20"/>
                <w:szCs w:val="20"/>
                <w:lang w:eastAsia="en-US"/>
              </w:rPr>
            </w:pPr>
            <w:r w:rsidRPr="00131EED">
              <w:rPr>
                <w:sz w:val="20"/>
                <w:szCs w:val="20"/>
                <w:lang w:eastAsia="en-US"/>
              </w:rPr>
              <w:t>-1112.401025</w:t>
            </w:r>
          </w:p>
        </w:tc>
        <w:tc>
          <w:tcPr>
            <w:tcW w:w="1633" w:type="dxa"/>
            <w:vMerge/>
            <w:tcBorders>
              <w:top w:val="nil"/>
              <w:left w:val="single" w:sz="4" w:space="0" w:color="auto"/>
              <w:bottom w:val="single" w:sz="4" w:space="0" w:color="auto"/>
              <w:right w:val="single" w:sz="4" w:space="0" w:color="auto"/>
            </w:tcBorders>
            <w:vAlign w:val="center"/>
            <w:hideMark/>
          </w:tcPr>
          <w:p w14:paraId="36C3F562" w14:textId="77777777" w:rsidR="003625EC" w:rsidRPr="00131EED" w:rsidRDefault="003625EC" w:rsidP="003625EC">
            <w:pPr>
              <w:jc w:val="left"/>
              <w:rPr>
                <w:sz w:val="20"/>
                <w:szCs w:val="20"/>
                <w:lang w:eastAsia="en-US"/>
              </w:rPr>
            </w:pPr>
          </w:p>
        </w:tc>
      </w:tr>
      <w:tr w:rsidR="00970AF5" w:rsidRPr="00131EED" w14:paraId="58F3C73A"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7E6DC289" w14:textId="66FC2CEF" w:rsidR="003625EC" w:rsidRPr="00131EED" w:rsidRDefault="003625EC" w:rsidP="003625EC">
            <w:pPr>
              <w:jc w:val="center"/>
              <w:rPr>
                <w:sz w:val="20"/>
                <w:szCs w:val="20"/>
                <w:lang w:eastAsia="en-US"/>
              </w:rPr>
            </w:pPr>
            <w:r w:rsidRPr="00131EED">
              <w:rPr>
                <w:sz w:val="20"/>
                <w:szCs w:val="20"/>
                <w:lang w:eastAsia="en-US"/>
              </w:rPr>
              <w:t xml:space="preserve">3.1.4. Bosque de </w:t>
            </w:r>
            <w:r w:rsidR="0039275F" w:rsidRPr="00131EED">
              <w:rPr>
                <w:sz w:val="20"/>
                <w:szCs w:val="20"/>
                <w:lang w:eastAsia="en-US"/>
              </w:rPr>
              <w:t>galería</w:t>
            </w:r>
            <w:r w:rsidRPr="00131EED">
              <w:rPr>
                <w:sz w:val="20"/>
                <w:szCs w:val="20"/>
                <w:lang w:eastAsia="en-US"/>
              </w:rPr>
              <w:t xml:space="preserve"> y ripario</w:t>
            </w:r>
          </w:p>
        </w:tc>
        <w:tc>
          <w:tcPr>
            <w:tcW w:w="1413" w:type="dxa"/>
            <w:tcBorders>
              <w:top w:val="nil"/>
              <w:left w:val="nil"/>
              <w:bottom w:val="single" w:sz="4" w:space="0" w:color="auto"/>
              <w:right w:val="single" w:sz="4" w:space="0" w:color="auto"/>
            </w:tcBorders>
            <w:noWrap/>
            <w:vAlign w:val="center"/>
            <w:hideMark/>
          </w:tcPr>
          <w:p w14:paraId="53CCEB7E" w14:textId="77777777" w:rsidR="003625EC" w:rsidRPr="00131EED" w:rsidRDefault="003625EC" w:rsidP="003625EC">
            <w:pPr>
              <w:jc w:val="center"/>
              <w:rPr>
                <w:sz w:val="20"/>
                <w:szCs w:val="20"/>
                <w:lang w:eastAsia="en-US"/>
              </w:rPr>
            </w:pPr>
            <w:r w:rsidRPr="00131EED">
              <w:rPr>
                <w:sz w:val="20"/>
                <w:szCs w:val="20"/>
                <w:lang w:eastAsia="en-US"/>
              </w:rPr>
              <w:t>188.762872</w:t>
            </w:r>
          </w:p>
        </w:tc>
        <w:tc>
          <w:tcPr>
            <w:tcW w:w="1550" w:type="dxa"/>
            <w:tcBorders>
              <w:top w:val="nil"/>
              <w:left w:val="nil"/>
              <w:bottom w:val="single" w:sz="4" w:space="0" w:color="auto"/>
              <w:right w:val="single" w:sz="4" w:space="0" w:color="auto"/>
            </w:tcBorders>
            <w:noWrap/>
            <w:vAlign w:val="center"/>
            <w:hideMark/>
          </w:tcPr>
          <w:p w14:paraId="77732600" w14:textId="77777777" w:rsidR="003625EC" w:rsidRPr="00131EED" w:rsidRDefault="003625EC" w:rsidP="003625EC">
            <w:pPr>
              <w:jc w:val="center"/>
              <w:rPr>
                <w:sz w:val="20"/>
                <w:szCs w:val="20"/>
                <w:lang w:eastAsia="en-US"/>
              </w:rPr>
            </w:pPr>
            <w:r w:rsidRPr="00131EED">
              <w:rPr>
                <w:sz w:val="20"/>
                <w:szCs w:val="20"/>
                <w:lang w:eastAsia="en-US"/>
              </w:rPr>
              <w:t>562.997953</w:t>
            </w:r>
          </w:p>
        </w:tc>
        <w:tc>
          <w:tcPr>
            <w:tcW w:w="1802" w:type="dxa"/>
            <w:tcBorders>
              <w:top w:val="nil"/>
              <w:left w:val="nil"/>
              <w:bottom w:val="single" w:sz="4" w:space="0" w:color="auto"/>
              <w:right w:val="single" w:sz="4" w:space="0" w:color="auto"/>
            </w:tcBorders>
            <w:noWrap/>
            <w:vAlign w:val="center"/>
            <w:hideMark/>
          </w:tcPr>
          <w:p w14:paraId="1785B70D" w14:textId="77777777" w:rsidR="003625EC" w:rsidRPr="00131EED" w:rsidRDefault="003625EC" w:rsidP="003625EC">
            <w:pPr>
              <w:jc w:val="center"/>
              <w:rPr>
                <w:sz w:val="20"/>
                <w:szCs w:val="20"/>
                <w:lang w:eastAsia="en-US"/>
              </w:rPr>
            </w:pPr>
            <w:r w:rsidRPr="00131EED">
              <w:rPr>
                <w:sz w:val="20"/>
                <w:szCs w:val="20"/>
                <w:lang w:eastAsia="en-US"/>
              </w:rPr>
              <w:t>374.235081</w:t>
            </w:r>
          </w:p>
        </w:tc>
        <w:tc>
          <w:tcPr>
            <w:tcW w:w="1633" w:type="dxa"/>
            <w:vMerge/>
            <w:tcBorders>
              <w:top w:val="nil"/>
              <w:left w:val="single" w:sz="4" w:space="0" w:color="auto"/>
              <w:bottom w:val="single" w:sz="4" w:space="0" w:color="auto"/>
              <w:right w:val="single" w:sz="4" w:space="0" w:color="auto"/>
            </w:tcBorders>
            <w:vAlign w:val="center"/>
            <w:hideMark/>
          </w:tcPr>
          <w:p w14:paraId="7FCC3AAC" w14:textId="77777777" w:rsidR="003625EC" w:rsidRPr="00131EED" w:rsidRDefault="003625EC" w:rsidP="003625EC">
            <w:pPr>
              <w:jc w:val="left"/>
              <w:rPr>
                <w:sz w:val="20"/>
                <w:szCs w:val="20"/>
                <w:lang w:eastAsia="en-US"/>
              </w:rPr>
            </w:pPr>
          </w:p>
        </w:tc>
      </w:tr>
      <w:tr w:rsidR="00970AF5" w:rsidRPr="00131EED" w14:paraId="48523D26"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1B2EE7E5" w14:textId="1364E418" w:rsidR="003625EC" w:rsidRPr="00131EED" w:rsidRDefault="003625EC" w:rsidP="003625EC">
            <w:pPr>
              <w:jc w:val="center"/>
              <w:rPr>
                <w:sz w:val="20"/>
                <w:szCs w:val="20"/>
                <w:lang w:eastAsia="en-US"/>
              </w:rPr>
            </w:pPr>
            <w:r w:rsidRPr="00131EED">
              <w:rPr>
                <w:sz w:val="20"/>
                <w:szCs w:val="20"/>
                <w:lang w:eastAsia="en-US"/>
              </w:rPr>
              <w:t xml:space="preserve">3.1.5. </w:t>
            </w:r>
            <w:r w:rsidR="0039275F" w:rsidRPr="00131EED">
              <w:rPr>
                <w:sz w:val="20"/>
                <w:szCs w:val="20"/>
                <w:lang w:eastAsia="en-US"/>
              </w:rPr>
              <w:t>plantación</w:t>
            </w:r>
            <w:r w:rsidRPr="00131EED">
              <w:rPr>
                <w:sz w:val="20"/>
                <w:szCs w:val="20"/>
                <w:lang w:eastAsia="en-US"/>
              </w:rPr>
              <w:t xml:space="preserve"> forestal</w:t>
            </w:r>
          </w:p>
        </w:tc>
        <w:tc>
          <w:tcPr>
            <w:tcW w:w="1413" w:type="dxa"/>
            <w:tcBorders>
              <w:top w:val="nil"/>
              <w:left w:val="nil"/>
              <w:bottom w:val="single" w:sz="4" w:space="0" w:color="auto"/>
              <w:right w:val="single" w:sz="4" w:space="0" w:color="auto"/>
            </w:tcBorders>
            <w:noWrap/>
            <w:vAlign w:val="center"/>
            <w:hideMark/>
          </w:tcPr>
          <w:p w14:paraId="7182FE47" w14:textId="77777777" w:rsidR="003625EC" w:rsidRPr="00131EED" w:rsidRDefault="003625EC" w:rsidP="003625EC">
            <w:pPr>
              <w:jc w:val="center"/>
              <w:rPr>
                <w:sz w:val="20"/>
                <w:szCs w:val="20"/>
                <w:lang w:eastAsia="en-US"/>
              </w:rPr>
            </w:pPr>
            <w:r w:rsidRPr="00131EED">
              <w:rPr>
                <w:sz w:val="20"/>
                <w:szCs w:val="20"/>
                <w:lang w:eastAsia="en-US"/>
              </w:rPr>
              <w:t>6118.842865</w:t>
            </w:r>
          </w:p>
        </w:tc>
        <w:tc>
          <w:tcPr>
            <w:tcW w:w="1550" w:type="dxa"/>
            <w:tcBorders>
              <w:top w:val="nil"/>
              <w:left w:val="nil"/>
              <w:bottom w:val="single" w:sz="4" w:space="0" w:color="auto"/>
              <w:right w:val="single" w:sz="4" w:space="0" w:color="auto"/>
            </w:tcBorders>
            <w:noWrap/>
            <w:vAlign w:val="center"/>
            <w:hideMark/>
          </w:tcPr>
          <w:p w14:paraId="4961CB93" w14:textId="77777777" w:rsidR="003625EC" w:rsidRPr="00131EED" w:rsidRDefault="003625EC" w:rsidP="003625EC">
            <w:pPr>
              <w:jc w:val="center"/>
              <w:rPr>
                <w:sz w:val="20"/>
                <w:szCs w:val="20"/>
                <w:lang w:eastAsia="en-US"/>
              </w:rPr>
            </w:pPr>
            <w:r w:rsidRPr="00131EED">
              <w:rPr>
                <w:sz w:val="20"/>
                <w:szCs w:val="20"/>
                <w:lang w:eastAsia="en-US"/>
              </w:rPr>
              <w:t>11645.90685</w:t>
            </w:r>
          </w:p>
        </w:tc>
        <w:tc>
          <w:tcPr>
            <w:tcW w:w="1802" w:type="dxa"/>
            <w:tcBorders>
              <w:top w:val="nil"/>
              <w:left w:val="nil"/>
              <w:bottom w:val="single" w:sz="4" w:space="0" w:color="auto"/>
              <w:right w:val="single" w:sz="4" w:space="0" w:color="auto"/>
            </w:tcBorders>
            <w:noWrap/>
            <w:vAlign w:val="center"/>
            <w:hideMark/>
          </w:tcPr>
          <w:p w14:paraId="47CBA1E4" w14:textId="77777777" w:rsidR="003625EC" w:rsidRPr="00131EED" w:rsidRDefault="003625EC" w:rsidP="003625EC">
            <w:pPr>
              <w:jc w:val="center"/>
              <w:rPr>
                <w:sz w:val="20"/>
                <w:szCs w:val="20"/>
                <w:lang w:eastAsia="en-US"/>
              </w:rPr>
            </w:pPr>
            <w:r w:rsidRPr="00131EED">
              <w:rPr>
                <w:sz w:val="20"/>
                <w:szCs w:val="20"/>
                <w:lang w:eastAsia="en-US"/>
              </w:rPr>
              <w:t>5527.063986</w:t>
            </w:r>
          </w:p>
        </w:tc>
        <w:tc>
          <w:tcPr>
            <w:tcW w:w="1633" w:type="dxa"/>
            <w:vMerge/>
            <w:tcBorders>
              <w:top w:val="nil"/>
              <w:left w:val="single" w:sz="4" w:space="0" w:color="auto"/>
              <w:bottom w:val="single" w:sz="4" w:space="0" w:color="auto"/>
              <w:right w:val="single" w:sz="4" w:space="0" w:color="auto"/>
            </w:tcBorders>
            <w:vAlign w:val="center"/>
            <w:hideMark/>
          </w:tcPr>
          <w:p w14:paraId="6A0E7959" w14:textId="77777777" w:rsidR="003625EC" w:rsidRPr="00131EED" w:rsidRDefault="003625EC" w:rsidP="003625EC">
            <w:pPr>
              <w:jc w:val="left"/>
              <w:rPr>
                <w:sz w:val="20"/>
                <w:szCs w:val="20"/>
                <w:lang w:eastAsia="en-US"/>
              </w:rPr>
            </w:pPr>
          </w:p>
        </w:tc>
      </w:tr>
      <w:tr w:rsidR="00970AF5" w:rsidRPr="00131EED" w14:paraId="33D89AF8"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1600B146" w14:textId="77777777" w:rsidR="003625EC" w:rsidRPr="00131EED" w:rsidRDefault="003625EC" w:rsidP="003625EC">
            <w:pPr>
              <w:jc w:val="center"/>
              <w:rPr>
                <w:sz w:val="20"/>
                <w:szCs w:val="20"/>
                <w:lang w:eastAsia="en-US"/>
              </w:rPr>
            </w:pPr>
            <w:r w:rsidRPr="00131EED">
              <w:rPr>
                <w:sz w:val="20"/>
                <w:szCs w:val="20"/>
                <w:lang w:eastAsia="en-US"/>
              </w:rPr>
              <w:t>3.2.1. Herbazal</w:t>
            </w:r>
          </w:p>
        </w:tc>
        <w:tc>
          <w:tcPr>
            <w:tcW w:w="1413" w:type="dxa"/>
            <w:tcBorders>
              <w:top w:val="nil"/>
              <w:left w:val="nil"/>
              <w:bottom w:val="single" w:sz="4" w:space="0" w:color="auto"/>
              <w:right w:val="single" w:sz="4" w:space="0" w:color="auto"/>
            </w:tcBorders>
            <w:noWrap/>
            <w:vAlign w:val="center"/>
            <w:hideMark/>
          </w:tcPr>
          <w:p w14:paraId="339D956F" w14:textId="77777777" w:rsidR="003625EC" w:rsidRPr="00131EED" w:rsidRDefault="003625EC" w:rsidP="003625EC">
            <w:pPr>
              <w:jc w:val="center"/>
              <w:rPr>
                <w:sz w:val="20"/>
                <w:szCs w:val="20"/>
                <w:lang w:eastAsia="en-US"/>
              </w:rPr>
            </w:pPr>
            <w:r w:rsidRPr="00131EED">
              <w:rPr>
                <w:sz w:val="20"/>
                <w:szCs w:val="20"/>
                <w:lang w:eastAsia="en-US"/>
              </w:rPr>
              <w:t>23578.11397</w:t>
            </w:r>
          </w:p>
        </w:tc>
        <w:tc>
          <w:tcPr>
            <w:tcW w:w="1550" w:type="dxa"/>
            <w:tcBorders>
              <w:top w:val="nil"/>
              <w:left w:val="nil"/>
              <w:bottom w:val="single" w:sz="4" w:space="0" w:color="auto"/>
              <w:right w:val="single" w:sz="4" w:space="0" w:color="auto"/>
            </w:tcBorders>
            <w:noWrap/>
            <w:vAlign w:val="center"/>
            <w:hideMark/>
          </w:tcPr>
          <w:p w14:paraId="3F7A9658" w14:textId="77777777" w:rsidR="003625EC" w:rsidRPr="00131EED" w:rsidRDefault="003625EC" w:rsidP="003625EC">
            <w:pPr>
              <w:jc w:val="center"/>
              <w:rPr>
                <w:sz w:val="20"/>
                <w:szCs w:val="20"/>
                <w:lang w:eastAsia="en-US"/>
              </w:rPr>
            </w:pPr>
            <w:r w:rsidRPr="00131EED">
              <w:rPr>
                <w:sz w:val="20"/>
                <w:szCs w:val="20"/>
                <w:lang w:eastAsia="en-US"/>
              </w:rPr>
              <w:t>30989.88733</w:t>
            </w:r>
          </w:p>
        </w:tc>
        <w:tc>
          <w:tcPr>
            <w:tcW w:w="1802" w:type="dxa"/>
            <w:tcBorders>
              <w:top w:val="nil"/>
              <w:left w:val="nil"/>
              <w:bottom w:val="single" w:sz="4" w:space="0" w:color="auto"/>
              <w:right w:val="single" w:sz="4" w:space="0" w:color="auto"/>
            </w:tcBorders>
            <w:noWrap/>
            <w:vAlign w:val="center"/>
            <w:hideMark/>
          </w:tcPr>
          <w:p w14:paraId="5CE691B2" w14:textId="77777777" w:rsidR="003625EC" w:rsidRPr="00131EED" w:rsidRDefault="003625EC" w:rsidP="003625EC">
            <w:pPr>
              <w:jc w:val="center"/>
              <w:rPr>
                <w:sz w:val="20"/>
                <w:szCs w:val="20"/>
                <w:lang w:eastAsia="en-US"/>
              </w:rPr>
            </w:pPr>
            <w:r w:rsidRPr="00131EED">
              <w:rPr>
                <w:sz w:val="20"/>
                <w:szCs w:val="20"/>
                <w:lang w:eastAsia="en-US"/>
              </w:rPr>
              <w:t>7411.773366</w:t>
            </w:r>
          </w:p>
        </w:tc>
        <w:tc>
          <w:tcPr>
            <w:tcW w:w="1633" w:type="dxa"/>
            <w:vMerge/>
            <w:tcBorders>
              <w:top w:val="nil"/>
              <w:left w:val="single" w:sz="4" w:space="0" w:color="auto"/>
              <w:bottom w:val="single" w:sz="4" w:space="0" w:color="auto"/>
              <w:right w:val="single" w:sz="4" w:space="0" w:color="auto"/>
            </w:tcBorders>
            <w:vAlign w:val="center"/>
            <w:hideMark/>
          </w:tcPr>
          <w:p w14:paraId="147050CE" w14:textId="77777777" w:rsidR="003625EC" w:rsidRPr="00131EED" w:rsidRDefault="003625EC" w:rsidP="003625EC">
            <w:pPr>
              <w:jc w:val="left"/>
              <w:rPr>
                <w:sz w:val="20"/>
                <w:szCs w:val="20"/>
                <w:lang w:eastAsia="en-US"/>
              </w:rPr>
            </w:pPr>
          </w:p>
        </w:tc>
      </w:tr>
      <w:tr w:rsidR="00970AF5" w:rsidRPr="00131EED" w14:paraId="120726B5"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17BDF569" w14:textId="77777777" w:rsidR="003625EC" w:rsidRPr="00131EED" w:rsidRDefault="003625EC" w:rsidP="003625EC">
            <w:pPr>
              <w:jc w:val="center"/>
              <w:rPr>
                <w:sz w:val="20"/>
                <w:szCs w:val="20"/>
                <w:lang w:eastAsia="en-US"/>
              </w:rPr>
            </w:pPr>
            <w:r w:rsidRPr="00131EED">
              <w:rPr>
                <w:sz w:val="20"/>
                <w:szCs w:val="20"/>
                <w:lang w:eastAsia="en-US"/>
              </w:rPr>
              <w:t>3.2.2. Arbustal</w:t>
            </w:r>
          </w:p>
        </w:tc>
        <w:tc>
          <w:tcPr>
            <w:tcW w:w="1413" w:type="dxa"/>
            <w:tcBorders>
              <w:top w:val="nil"/>
              <w:left w:val="nil"/>
              <w:bottom w:val="single" w:sz="4" w:space="0" w:color="auto"/>
              <w:right w:val="single" w:sz="4" w:space="0" w:color="auto"/>
            </w:tcBorders>
            <w:noWrap/>
            <w:vAlign w:val="center"/>
            <w:hideMark/>
          </w:tcPr>
          <w:p w14:paraId="6D7C8466" w14:textId="77777777" w:rsidR="003625EC" w:rsidRPr="00131EED" w:rsidRDefault="003625EC" w:rsidP="003625EC">
            <w:pPr>
              <w:jc w:val="center"/>
              <w:rPr>
                <w:sz w:val="20"/>
                <w:szCs w:val="20"/>
                <w:lang w:eastAsia="en-US"/>
              </w:rPr>
            </w:pPr>
            <w:r w:rsidRPr="00131EED">
              <w:rPr>
                <w:sz w:val="20"/>
                <w:szCs w:val="20"/>
                <w:lang w:eastAsia="en-US"/>
              </w:rPr>
              <w:t>39235.26127</w:t>
            </w:r>
          </w:p>
        </w:tc>
        <w:tc>
          <w:tcPr>
            <w:tcW w:w="1550" w:type="dxa"/>
            <w:tcBorders>
              <w:top w:val="nil"/>
              <w:left w:val="nil"/>
              <w:bottom w:val="single" w:sz="4" w:space="0" w:color="auto"/>
              <w:right w:val="single" w:sz="4" w:space="0" w:color="auto"/>
            </w:tcBorders>
            <w:noWrap/>
            <w:vAlign w:val="center"/>
            <w:hideMark/>
          </w:tcPr>
          <w:p w14:paraId="5CF0334A" w14:textId="77777777" w:rsidR="003625EC" w:rsidRPr="00131EED" w:rsidRDefault="003625EC" w:rsidP="003625EC">
            <w:pPr>
              <w:jc w:val="center"/>
              <w:rPr>
                <w:sz w:val="20"/>
                <w:szCs w:val="20"/>
                <w:lang w:eastAsia="en-US"/>
              </w:rPr>
            </w:pPr>
            <w:r w:rsidRPr="00131EED">
              <w:rPr>
                <w:sz w:val="20"/>
                <w:szCs w:val="20"/>
                <w:lang w:eastAsia="en-US"/>
              </w:rPr>
              <w:t>50646.30576</w:t>
            </w:r>
          </w:p>
        </w:tc>
        <w:tc>
          <w:tcPr>
            <w:tcW w:w="1802" w:type="dxa"/>
            <w:tcBorders>
              <w:top w:val="nil"/>
              <w:left w:val="nil"/>
              <w:bottom w:val="single" w:sz="4" w:space="0" w:color="auto"/>
              <w:right w:val="single" w:sz="4" w:space="0" w:color="auto"/>
            </w:tcBorders>
            <w:noWrap/>
            <w:vAlign w:val="center"/>
            <w:hideMark/>
          </w:tcPr>
          <w:p w14:paraId="05EC9001" w14:textId="77777777" w:rsidR="003625EC" w:rsidRPr="00131EED" w:rsidRDefault="003625EC" w:rsidP="003625EC">
            <w:pPr>
              <w:jc w:val="center"/>
              <w:rPr>
                <w:sz w:val="20"/>
                <w:szCs w:val="20"/>
                <w:lang w:eastAsia="en-US"/>
              </w:rPr>
            </w:pPr>
            <w:r w:rsidRPr="00131EED">
              <w:rPr>
                <w:sz w:val="20"/>
                <w:szCs w:val="20"/>
                <w:lang w:eastAsia="en-US"/>
              </w:rPr>
              <w:t>11411.04449</w:t>
            </w:r>
          </w:p>
        </w:tc>
        <w:tc>
          <w:tcPr>
            <w:tcW w:w="1633" w:type="dxa"/>
            <w:vMerge/>
            <w:tcBorders>
              <w:top w:val="nil"/>
              <w:left w:val="single" w:sz="4" w:space="0" w:color="auto"/>
              <w:bottom w:val="single" w:sz="4" w:space="0" w:color="auto"/>
              <w:right w:val="single" w:sz="4" w:space="0" w:color="auto"/>
            </w:tcBorders>
            <w:vAlign w:val="center"/>
            <w:hideMark/>
          </w:tcPr>
          <w:p w14:paraId="5F5D1BFA" w14:textId="77777777" w:rsidR="003625EC" w:rsidRPr="00131EED" w:rsidRDefault="003625EC" w:rsidP="003625EC">
            <w:pPr>
              <w:jc w:val="left"/>
              <w:rPr>
                <w:sz w:val="20"/>
                <w:szCs w:val="20"/>
                <w:lang w:eastAsia="en-US"/>
              </w:rPr>
            </w:pPr>
          </w:p>
        </w:tc>
      </w:tr>
      <w:tr w:rsidR="00970AF5" w:rsidRPr="00131EED" w14:paraId="08ACDE25"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37649BE9" w14:textId="6BE08827" w:rsidR="003625EC" w:rsidRPr="00131EED" w:rsidRDefault="003625EC" w:rsidP="003625EC">
            <w:pPr>
              <w:jc w:val="center"/>
              <w:rPr>
                <w:sz w:val="20"/>
                <w:szCs w:val="20"/>
                <w:lang w:eastAsia="en-US"/>
              </w:rPr>
            </w:pPr>
            <w:r w:rsidRPr="00131EED">
              <w:rPr>
                <w:sz w:val="20"/>
                <w:szCs w:val="20"/>
                <w:lang w:eastAsia="en-US"/>
              </w:rPr>
              <w:t xml:space="preserve">3.2.3. </w:t>
            </w:r>
            <w:r w:rsidR="0039275F" w:rsidRPr="00131EED">
              <w:rPr>
                <w:sz w:val="20"/>
                <w:szCs w:val="20"/>
                <w:lang w:eastAsia="en-US"/>
              </w:rPr>
              <w:t>Vegetación</w:t>
            </w:r>
            <w:r w:rsidRPr="00131EED">
              <w:rPr>
                <w:sz w:val="20"/>
                <w:szCs w:val="20"/>
                <w:lang w:eastAsia="en-US"/>
              </w:rPr>
              <w:t xml:space="preserve"> secundaria o en </w:t>
            </w:r>
            <w:r w:rsidR="0039275F" w:rsidRPr="00131EED">
              <w:rPr>
                <w:sz w:val="20"/>
                <w:szCs w:val="20"/>
                <w:lang w:eastAsia="en-US"/>
              </w:rPr>
              <w:t>transición</w:t>
            </w:r>
          </w:p>
        </w:tc>
        <w:tc>
          <w:tcPr>
            <w:tcW w:w="1413" w:type="dxa"/>
            <w:tcBorders>
              <w:top w:val="nil"/>
              <w:left w:val="nil"/>
              <w:bottom w:val="single" w:sz="4" w:space="0" w:color="auto"/>
              <w:right w:val="single" w:sz="4" w:space="0" w:color="auto"/>
            </w:tcBorders>
            <w:noWrap/>
            <w:vAlign w:val="center"/>
            <w:hideMark/>
          </w:tcPr>
          <w:p w14:paraId="29BE0F4A" w14:textId="77777777" w:rsidR="003625EC" w:rsidRPr="00131EED" w:rsidRDefault="003625EC" w:rsidP="003625EC">
            <w:pPr>
              <w:jc w:val="center"/>
              <w:rPr>
                <w:sz w:val="20"/>
                <w:szCs w:val="20"/>
                <w:lang w:eastAsia="en-US"/>
              </w:rPr>
            </w:pPr>
            <w:r w:rsidRPr="00131EED">
              <w:rPr>
                <w:sz w:val="20"/>
                <w:szCs w:val="20"/>
                <w:lang w:eastAsia="en-US"/>
              </w:rPr>
              <w:t>13243.98937</w:t>
            </w:r>
          </w:p>
        </w:tc>
        <w:tc>
          <w:tcPr>
            <w:tcW w:w="1550" w:type="dxa"/>
            <w:tcBorders>
              <w:top w:val="nil"/>
              <w:left w:val="nil"/>
              <w:bottom w:val="single" w:sz="4" w:space="0" w:color="auto"/>
              <w:right w:val="single" w:sz="4" w:space="0" w:color="auto"/>
            </w:tcBorders>
            <w:noWrap/>
            <w:vAlign w:val="center"/>
            <w:hideMark/>
          </w:tcPr>
          <w:p w14:paraId="7B5D54F5" w14:textId="77777777" w:rsidR="003625EC" w:rsidRPr="00131EED" w:rsidRDefault="003625EC" w:rsidP="003625EC">
            <w:pPr>
              <w:jc w:val="center"/>
              <w:rPr>
                <w:sz w:val="20"/>
                <w:szCs w:val="20"/>
                <w:lang w:eastAsia="en-US"/>
              </w:rPr>
            </w:pPr>
            <w:r w:rsidRPr="00131EED">
              <w:rPr>
                <w:sz w:val="20"/>
                <w:szCs w:val="20"/>
                <w:lang w:eastAsia="en-US"/>
              </w:rPr>
              <w:t>5721.492238</w:t>
            </w:r>
          </w:p>
        </w:tc>
        <w:tc>
          <w:tcPr>
            <w:tcW w:w="1802" w:type="dxa"/>
            <w:tcBorders>
              <w:top w:val="nil"/>
              <w:left w:val="nil"/>
              <w:bottom w:val="single" w:sz="4" w:space="0" w:color="auto"/>
              <w:right w:val="single" w:sz="4" w:space="0" w:color="auto"/>
            </w:tcBorders>
            <w:noWrap/>
            <w:vAlign w:val="center"/>
            <w:hideMark/>
          </w:tcPr>
          <w:p w14:paraId="46913B5B" w14:textId="77777777" w:rsidR="003625EC" w:rsidRPr="00131EED" w:rsidRDefault="003625EC" w:rsidP="003625EC">
            <w:pPr>
              <w:jc w:val="center"/>
              <w:rPr>
                <w:sz w:val="20"/>
                <w:szCs w:val="20"/>
                <w:lang w:eastAsia="en-US"/>
              </w:rPr>
            </w:pPr>
            <w:r w:rsidRPr="00131EED">
              <w:rPr>
                <w:sz w:val="20"/>
                <w:szCs w:val="20"/>
                <w:lang w:eastAsia="en-US"/>
              </w:rPr>
              <w:t>-7522.497132</w:t>
            </w:r>
          </w:p>
        </w:tc>
        <w:tc>
          <w:tcPr>
            <w:tcW w:w="1633" w:type="dxa"/>
            <w:vMerge/>
            <w:tcBorders>
              <w:top w:val="nil"/>
              <w:left w:val="single" w:sz="4" w:space="0" w:color="auto"/>
              <w:bottom w:val="single" w:sz="4" w:space="0" w:color="auto"/>
              <w:right w:val="single" w:sz="4" w:space="0" w:color="auto"/>
            </w:tcBorders>
            <w:vAlign w:val="center"/>
            <w:hideMark/>
          </w:tcPr>
          <w:p w14:paraId="4C9EF1BE" w14:textId="77777777" w:rsidR="003625EC" w:rsidRPr="00131EED" w:rsidRDefault="003625EC" w:rsidP="003625EC">
            <w:pPr>
              <w:jc w:val="left"/>
              <w:rPr>
                <w:sz w:val="20"/>
                <w:szCs w:val="20"/>
                <w:lang w:eastAsia="en-US"/>
              </w:rPr>
            </w:pPr>
          </w:p>
        </w:tc>
      </w:tr>
      <w:tr w:rsidR="00970AF5" w:rsidRPr="00131EED" w14:paraId="5C24D1AE"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6AD2D5EE" w14:textId="77777777" w:rsidR="003625EC" w:rsidRPr="00131EED" w:rsidRDefault="003625EC" w:rsidP="003625EC">
            <w:pPr>
              <w:jc w:val="center"/>
              <w:rPr>
                <w:sz w:val="20"/>
                <w:szCs w:val="20"/>
                <w:lang w:eastAsia="en-US"/>
              </w:rPr>
            </w:pPr>
            <w:r w:rsidRPr="00131EED">
              <w:rPr>
                <w:sz w:val="20"/>
                <w:szCs w:val="20"/>
                <w:lang w:eastAsia="en-US"/>
              </w:rPr>
              <w:t>3.3.1. Zonas arenosas naturales</w:t>
            </w:r>
          </w:p>
        </w:tc>
        <w:tc>
          <w:tcPr>
            <w:tcW w:w="1413" w:type="dxa"/>
            <w:tcBorders>
              <w:top w:val="nil"/>
              <w:left w:val="nil"/>
              <w:bottom w:val="single" w:sz="4" w:space="0" w:color="auto"/>
              <w:right w:val="single" w:sz="4" w:space="0" w:color="auto"/>
            </w:tcBorders>
            <w:noWrap/>
            <w:vAlign w:val="center"/>
            <w:hideMark/>
          </w:tcPr>
          <w:p w14:paraId="3565F6E9" w14:textId="77777777" w:rsidR="003625EC" w:rsidRPr="00131EED" w:rsidRDefault="003625EC" w:rsidP="003625EC">
            <w:pPr>
              <w:jc w:val="center"/>
              <w:rPr>
                <w:sz w:val="20"/>
                <w:szCs w:val="20"/>
                <w:lang w:eastAsia="en-US"/>
              </w:rPr>
            </w:pPr>
            <w:r w:rsidRPr="00131EED">
              <w:rPr>
                <w:sz w:val="20"/>
                <w:szCs w:val="20"/>
                <w:lang w:eastAsia="en-US"/>
              </w:rPr>
              <w:t>75.360683</w:t>
            </w:r>
          </w:p>
        </w:tc>
        <w:tc>
          <w:tcPr>
            <w:tcW w:w="1550" w:type="dxa"/>
            <w:tcBorders>
              <w:top w:val="nil"/>
              <w:left w:val="nil"/>
              <w:bottom w:val="single" w:sz="4" w:space="0" w:color="auto"/>
              <w:right w:val="single" w:sz="4" w:space="0" w:color="auto"/>
            </w:tcBorders>
            <w:noWrap/>
            <w:vAlign w:val="center"/>
            <w:hideMark/>
          </w:tcPr>
          <w:p w14:paraId="23BE0E68" w14:textId="77777777" w:rsidR="003625EC" w:rsidRPr="00131EED" w:rsidRDefault="003625EC" w:rsidP="003625EC">
            <w:pPr>
              <w:jc w:val="center"/>
              <w:rPr>
                <w:sz w:val="20"/>
                <w:szCs w:val="20"/>
                <w:lang w:eastAsia="en-US"/>
              </w:rPr>
            </w:pPr>
            <w:r w:rsidRPr="00131EED">
              <w:rPr>
                <w:sz w:val="20"/>
                <w:szCs w:val="20"/>
                <w:lang w:eastAsia="en-US"/>
              </w:rPr>
              <w:t>0</w:t>
            </w:r>
          </w:p>
        </w:tc>
        <w:tc>
          <w:tcPr>
            <w:tcW w:w="1802" w:type="dxa"/>
            <w:tcBorders>
              <w:top w:val="nil"/>
              <w:left w:val="nil"/>
              <w:bottom w:val="single" w:sz="4" w:space="0" w:color="auto"/>
              <w:right w:val="single" w:sz="4" w:space="0" w:color="auto"/>
            </w:tcBorders>
            <w:noWrap/>
            <w:vAlign w:val="center"/>
            <w:hideMark/>
          </w:tcPr>
          <w:p w14:paraId="4D3B6361" w14:textId="77777777" w:rsidR="003625EC" w:rsidRPr="00131EED" w:rsidRDefault="003625EC" w:rsidP="003625EC">
            <w:pPr>
              <w:jc w:val="center"/>
              <w:rPr>
                <w:sz w:val="20"/>
                <w:szCs w:val="20"/>
                <w:lang w:eastAsia="en-US"/>
              </w:rPr>
            </w:pPr>
            <w:r w:rsidRPr="00131EED">
              <w:rPr>
                <w:sz w:val="20"/>
                <w:szCs w:val="20"/>
                <w:lang w:eastAsia="en-US"/>
              </w:rPr>
              <w:t>-75.360683</w:t>
            </w:r>
          </w:p>
        </w:tc>
        <w:tc>
          <w:tcPr>
            <w:tcW w:w="1633" w:type="dxa"/>
            <w:vMerge/>
            <w:tcBorders>
              <w:top w:val="nil"/>
              <w:left w:val="single" w:sz="4" w:space="0" w:color="auto"/>
              <w:bottom w:val="single" w:sz="4" w:space="0" w:color="auto"/>
              <w:right w:val="single" w:sz="4" w:space="0" w:color="auto"/>
            </w:tcBorders>
            <w:vAlign w:val="center"/>
            <w:hideMark/>
          </w:tcPr>
          <w:p w14:paraId="7A605188" w14:textId="77777777" w:rsidR="003625EC" w:rsidRPr="00131EED" w:rsidRDefault="003625EC" w:rsidP="003625EC">
            <w:pPr>
              <w:jc w:val="left"/>
              <w:rPr>
                <w:sz w:val="20"/>
                <w:szCs w:val="20"/>
                <w:lang w:eastAsia="en-US"/>
              </w:rPr>
            </w:pPr>
          </w:p>
        </w:tc>
      </w:tr>
      <w:tr w:rsidR="00970AF5" w:rsidRPr="00131EED" w14:paraId="70A8BBE3"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0B8CE30B" w14:textId="77777777" w:rsidR="003625EC" w:rsidRPr="00131EED" w:rsidRDefault="003625EC" w:rsidP="003625EC">
            <w:pPr>
              <w:jc w:val="center"/>
              <w:rPr>
                <w:sz w:val="20"/>
                <w:szCs w:val="20"/>
                <w:lang w:eastAsia="en-US"/>
              </w:rPr>
            </w:pPr>
            <w:r w:rsidRPr="00131EED">
              <w:rPr>
                <w:sz w:val="20"/>
                <w:szCs w:val="20"/>
                <w:lang w:eastAsia="en-US"/>
              </w:rPr>
              <w:t>3.3.2. Afloramientos rocosos</w:t>
            </w:r>
          </w:p>
        </w:tc>
        <w:tc>
          <w:tcPr>
            <w:tcW w:w="1413" w:type="dxa"/>
            <w:tcBorders>
              <w:top w:val="nil"/>
              <w:left w:val="nil"/>
              <w:bottom w:val="single" w:sz="4" w:space="0" w:color="auto"/>
              <w:right w:val="single" w:sz="4" w:space="0" w:color="auto"/>
            </w:tcBorders>
            <w:noWrap/>
            <w:vAlign w:val="center"/>
            <w:hideMark/>
          </w:tcPr>
          <w:p w14:paraId="36EEE6E0" w14:textId="77777777" w:rsidR="003625EC" w:rsidRPr="00131EED" w:rsidRDefault="003625EC" w:rsidP="003625EC">
            <w:pPr>
              <w:jc w:val="center"/>
              <w:rPr>
                <w:sz w:val="20"/>
                <w:szCs w:val="20"/>
                <w:lang w:eastAsia="en-US"/>
              </w:rPr>
            </w:pPr>
            <w:r w:rsidRPr="00131EED">
              <w:rPr>
                <w:sz w:val="20"/>
                <w:szCs w:val="20"/>
                <w:lang w:eastAsia="en-US"/>
              </w:rPr>
              <w:t>109.170168</w:t>
            </w:r>
          </w:p>
        </w:tc>
        <w:tc>
          <w:tcPr>
            <w:tcW w:w="1550" w:type="dxa"/>
            <w:tcBorders>
              <w:top w:val="nil"/>
              <w:left w:val="nil"/>
              <w:bottom w:val="single" w:sz="4" w:space="0" w:color="auto"/>
              <w:right w:val="single" w:sz="4" w:space="0" w:color="auto"/>
            </w:tcBorders>
            <w:noWrap/>
            <w:vAlign w:val="center"/>
            <w:hideMark/>
          </w:tcPr>
          <w:p w14:paraId="061BFCF7" w14:textId="77777777" w:rsidR="003625EC" w:rsidRPr="00131EED" w:rsidRDefault="003625EC" w:rsidP="003625EC">
            <w:pPr>
              <w:jc w:val="center"/>
              <w:rPr>
                <w:sz w:val="20"/>
                <w:szCs w:val="20"/>
                <w:lang w:eastAsia="en-US"/>
              </w:rPr>
            </w:pPr>
            <w:r w:rsidRPr="00131EED">
              <w:rPr>
                <w:sz w:val="20"/>
                <w:szCs w:val="20"/>
                <w:lang w:eastAsia="en-US"/>
              </w:rPr>
              <w:t>0</w:t>
            </w:r>
          </w:p>
        </w:tc>
        <w:tc>
          <w:tcPr>
            <w:tcW w:w="1802" w:type="dxa"/>
            <w:tcBorders>
              <w:top w:val="nil"/>
              <w:left w:val="nil"/>
              <w:bottom w:val="single" w:sz="4" w:space="0" w:color="auto"/>
              <w:right w:val="single" w:sz="4" w:space="0" w:color="auto"/>
            </w:tcBorders>
            <w:noWrap/>
            <w:vAlign w:val="center"/>
            <w:hideMark/>
          </w:tcPr>
          <w:p w14:paraId="7AC43E2F" w14:textId="77777777" w:rsidR="003625EC" w:rsidRPr="00131EED" w:rsidRDefault="003625EC" w:rsidP="003625EC">
            <w:pPr>
              <w:jc w:val="center"/>
              <w:rPr>
                <w:sz w:val="20"/>
                <w:szCs w:val="20"/>
                <w:lang w:eastAsia="en-US"/>
              </w:rPr>
            </w:pPr>
            <w:r w:rsidRPr="00131EED">
              <w:rPr>
                <w:sz w:val="20"/>
                <w:szCs w:val="20"/>
                <w:lang w:eastAsia="en-US"/>
              </w:rPr>
              <w:t>-109.170168</w:t>
            </w:r>
          </w:p>
        </w:tc>
        <w:tc>
          <w:tcPr>
            <w:tcW w:w="1633" w:type="dxa"/>
            <w:vMerge/>
            <w:tcBorders>
              <w:top w:val="nil"/>
              <w:left w:val="single" w:sz="4" w:space="0" w:color="auto"/>
              <w:bottom w:val="single" w:sz="4" w:space="0" w:color="auto"/>
              <w:right w:val="single" w:sz="4" w:space="0" w:color="auto"/>
            </w:tcBorders>
            <w:vAlign w:val="center"/>
            <w:hideMark/>
          </w:tcPr>
          <w:p w14:paraId="55928297" w14:textId="77777777" w:rsidR="003625EC" w:rsidRPr="00131EED" w:rsidRDefault="003625EC" w:rsidP="003625EC">
            <w:pPr>
              <w:jc w:val="left"/>
              <w:rPr>
                <w:sz w:val="20"/>
                <w:szCs w:val="20"/>
                <w:lang w:eastAsia="en-US"/>
              </w:rPr>
            </w:pPr>
          </w:p>
        </w:tc>
      </w:tr>
      <w:tr w:rsidR="00970AF5" w:rsidRPr="00131EED" w14:paraId="092DDF21"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143CD5EC" w14:textId="77777777" w:rsidR="003625EC" w:rsidRPr="00131EED" w:rsidRDefault="003625EC" w:rsidP="003625EC">
            <w:pPr>
              <w:jc w:val="center"/>
              <w:rPr>
                <w:sz w:val="20"/>
                <w:szCs w:val="20"/>
                <w:lang w:eastAsia="en-US"/>
              </w:rPr>
            </w:pPr>
            <w:r w:rsidRPr="00131EED">
              <w:rPr>
                <w:sz w:val="20"/>
                <w:szCs w:val="20"/>
                <w:lang w:eastAsia="en-US"/>
              </w:rPr>
              <w:t>3.3.3. Tierras desnudas y degradadas</w:t>
            </w:r>
          </w:p>
        </w:tc>
        <w:tc>
          <w:tcPr>
            <w:tcW w:w="1413" w:type="dxa"/>
            <w:tcBorders>
              <w:top w:val="nil"/>
              <w:left w:val="nil"/>
              <w:bottom w:val="single" w:sz="4" w:space="0" w:color="auto"/>
              <w:right w:val="single" w:sz="4" w:space="0" w:color="auto"/>
            </w:tcBorders>
            <w:noWrap/>
            <w:vAlign w:val="center"/>
            <w:hideMark/>
          </w:tcPr>
          <w:p w14:paraId="7CE78C48" w14:textId="77777777" w:rsidR="003625EC" w:rsidRPr="00131EED" w:rsidRDefault="003625EC" w:rsidP="003625EC">
            <w:pPr>
              <w:jc w:val="center"/>
              <w:rPr>
                <w:sz w:val="20"/>
                <w:szCs w:val="20"/>
                <w:lang w:eastAsia="en-US"/>
              </w:rPr>
            </w:pPr>
            <w:r w:rsidRPr="00131EED">
              <w:rPr>
                <w:sz w:val="20"/>
                <w:szCs w:val="20"/>
                <w:lang w:eastAsia="en-US"/>
              </w:rPr>
              <w:t>4747.922798</w:t>
            </w:r>
          </w:p>
        </w:tc>
        <w:tc>
          <w:tcPr>
            <w:tcW w:w="1550" w:type="dxa"/>
            <w:tcBorders>
              <w:top w:val="nil"/>
              <w:left w:val="nil"/>
              <w:bottom w:val="single" w:sz="4" w:space="0" w:color="auto"/>
              <w:right w:val="single" w:sz="4" w:space="0" w:color="auto"/>
            </w:tcBorders>
            <w:noWrap/>
            <w:vAlign w:val="center"/>
            <w:hideMark/>
          </w:tcPr>
          <w:p w14:paraId="59FDA648" w14:textId="77777777" w:rsidR="003625EC" w:rsidRPr="00131EED" w:rsidRDefault="003625EC" w:rsidP="003625EC">
            <w:pPr>
              <w:jc w:val="center"/>
              <w:rPr>
                <w:sz w:val="20"/>
                <w:szCs w:val="20"/>
                <w:lang w:eastAsia="en-US"/>
              </w:rPr>
            </w:pPr>
            <w:r w:rsidRPr="00131EED">
              <w:rPr>
                <w:sz w:val="20"/>
                <w:szCs w:val="20"/>
                <w:lang w:eastAsia="en-US"/>
              </w:rPr>
              <w:t>1291.747174</w:t>
            </w:r>
          </w:p>
        </w:tc>
        <w:tc>
          <w:tcPr>
            <w:tcW w:w="1802" w:type="dxa"/>
            <w:tcBorders>
              <w:top w:val="nil"/>
              <w:left w:val="nil"/>
              <w:bottom w:val="single" w:sz="4" w:space="0" w:color="auto"/>
              <w:right w:val="single" w:sz="4" w:space="0" w:color="auto"/>
            </w:tcBorders>
            <w:noWrap/>
            <w:vAlign w:val="center"/>
            <w:hideMark/>
          </w:tcPr>
          <w:p w14:paraId="72E1095F" w14:textId="77777777" w:rsidR="003625EC" w:rsidRPr="00131EED" w:rsidRDefault="003625EC" w:rsidP="003625EC">
            <w:pPr>
              <w:jc w:val="center"/>
              <w:rPr>
                <w:sz w:val="20"/>
                <w:szCs w:val="20"/>
                <w:lang w:eastAsia="en-US"/>
              </w:rPr>
            </w:pPr>
            <w:r w:rsidRPr="00131EED">
              <w:rPr>
                <w:sz w:val="20"/>
                <w:szCs w:val="20"/>
                <w:lang w:eastAsia="en-US"/>
              </w:rPr>
              <w:t>-3456.175624</w:t>
            </w:r>
          </w:p>
        </w:tc>
        <w:tc>
          <w:tcPr>
            <w:tcW w:w="1633" w:type="dxa"/>
            <w:vMerge/>
            <w:tcBorders>
              <w:top w:val="nil"/>
              <w:left w:val="single" w:sz="4" w:space="0" w:color="auto"/>
              <w:bottom w:val="single" w:sz="4" w:space="0" w:color="auto"/>
              <w:right w:val="single" w:sz="4" w:space="0" w:color="auto"/>
            </w:tcBorders>
            <w:vAlign w:val="center"/>
            <w:hideMark/>
          </w:tcPr>
          <w:p w14:paraId="3E316CF6" w14:textId="77777777" w:rsidR="003625EC" w:rsidRPr="00131EED" w:rsidRDefault="003625EC" w:rsidP="003625EC">
            <w:pPr>
              <w:jc w:val="left"/>
              <w:rPr>
                <w:sz w:val="20"/>
                <w:szCs w:val="20"/>
                <w:lang w:eastAsia="en-US"/>
              </w:rPr>
            </w:pPr>
          </w:p>
        </w:tc>
      </w:tr>
      <w:tr w:rsidR="00970AF5" w:rsidRPr="00131EED" w14:paraId="272D2753"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3FD5AC96" w14:textId="77777777" w:rsidR="003625EC" w:rsidRPr="00131EED" w:rsidRDefault="003625EC" w:rsidP="003625EC">
            <w:pPr>
              <w:jc w:val="center"/>
              <w:rPr>
                <w:sz w:val="20"/>
                <w:szCs w:val="20"/>
                <w:lang w:eastAsia="en-US"/>
              </w:rPr>
            </w:pPr>
            <w:r w:rsidRPr="00131EED">
              <w:rPr>
                <w:sz w:val="20"/>
                <w:szCs w:val="20"/>
                <w:lang w:eastAsia="en-US"/>
              </w:rPr>
              <w:t>4.1.1. Zonas Pantanosas</w:t>
            </w:r>
          </w:p>
        </w:tc>
        <w:tc>
          <w:tcPr>
            <w:tcW w:w="1413" w:type="dxa"/>
            <w:tcBorders>
              <w:top w:val="nil"/>
              <w:left w:val="nil"/>
              <w:bottom w:val="single" w:sz="4" w:space="0" w:color="auto"/>
              <w:right w:val="single" w:sz="4" w:space="0" w:color="auto"/>
            </w:tcBorders>
            <w:noWrap/>
            <w:vAlign w:val="center"/>
            <w:hideMark/>
          </w:tcPr>
          <w:p w14:paraId="034AC7CB" w14:textId="77777777" w:rsidR="003625EC" w:rsidRPr="00131EED" w:rsidRDefault="003625EC" w:rsidP="003625EC">
            <w:pPr>
              <w:jc w:val="center"/>
              <w:rPr>
                <w:sz w:val="20"/>
                <w:szCs w:val="20"/>
                <w:lang w:eastAsia="en-US"/>
              </w:rPr>
            </w:pPr>
            <w:r w:rsidRPr="00131EED">
              <w:rPr>
                <w:sz w:val="20"/>
                <w:szCs w:val="20"/>
                <w:lang w:eastAsia="en-US"/>
              </w:rPr>
              <w:t>1126.657681</w:t>
            </w:r>
          </w:p>
        </w:tc>
        <w:tc>
          <w:tcPr>
            <w:tcW w:w="1550" w:type="dxa"/>
            <w:tcBorders>
              <w:top w:val="nil"/>
              <w:left w:val="nil"/>
              <w:bottom w:val="single" w:sz="4" w:space="0" w:color="auto"/>
              <w:right w:val="single" w:sz="4" w:space="0" w:color="auto"/>
            </w:tcBorders>
            <w:noWrap/>
            <w:vAlign w:val="center"/>
            <w:hideMark/>
          </w:tcPr>
          <w:p w14:paraId="66DF6D4B" w14:textId="77777777" w:rsidR="003625EC" w:rsidRPr="00131EED" w:rsidRDefault="003625EC" w:rsidP="003625EC">
            <w:pPr>
              <w:jc w:val="center"/>
              <w:rPr>
                <w:sz w:val="20"/>
                <w:szCs w:val="20"/>
                <w:lang w:eastAsia="en-US"/>
              </w:rPr>
            </w:pPr>
            <w:r w:rsidRPr="00131EED">
              <w:rPr>
                <w:sz w:val="20"/>
                <w:szCs w:val="20"/>
                <w:lang w:eastAsia="en-US"/>
              </w:rPr>
              <w:t>1660.113098</w:t>
            </w:r>
          </w:p>
        </w:tc>
        <w:tc>
          <w:tcPr>
            <w:tcW w:w="1802" w:type="dxa"/>
            <w:tcBorders>
              <w:top w:val="nil"/>
              <w:left w:val="nil"/>
              <w:bottom w:val="single" w:sz="4" w:space="0" w:color="auto"/>
              <w:right w:val="single" w:sz="4" w:space="0" w:color="auto"/>
            </w:tcBorders>
            <w:noWrap/>
            <w:vAlign w:val="center"/>
            <w:hideMark/>
          </w:tcPr>
          <w:p w14:paraId="2470B915" w14:textId="77777777" w:rsidR="003625EC" w:rsidRPr="00131EED" w:rsidRDefault="003625EC" w:rsidP="003625EC">
            <w:pPr>
              <w:jc w:val="center"/>
              <w:rPr>
                <w:sz w:val="20"/>
                <w:szCs w:val="20"/>
                <w:lang w:eastAsia="en-US"/>
              </w:rPr>
            </w:pPr>
            <w:r w:rsidRPr="00131EED">
              <w:rPr>
                <w:sz w:val="20"/>
                <w:szCs w:val="20"/>
                <w:lang w:eastAsia="en-US"/>
              </w:rPr>
              <w:t>533.455417</w:t>
            </w:r>
          </w:p>
        </w:tc>
        <w:tc>
          <w:tcPr>
            <w:tcW w:w="1633" w:type="dxa"/>
            <w:vMerge w:val="restart"/>
            <w:tcBorders>
              <w:top w:val="nil"/>
              <w:left w:val="single" w:sz="4" w:space="0" w:color="auto"/>
              <w:bottom w:val="single" w:sz="4" w:space="0" w:color="auto"/>
              <w:right w:val="single" w:sz="4" w:space="0" w:color="auto"/>
            </w:tcBorders>
            <w:noWrap/>
            <w:vAlign w:val="center"/>
            <w:hideMark/>
          </w:tcPr>
          <w:p w14:paraId="13791527" w14:textId="77777777" w:rsidR="003625EC" w:rsidRPr="00131EED" w:rsidRDefault="003625EC" w:rsidP="003625EC">
            <w:pPr>
              <w:jc w:val="center"/>
              <w:rPr>
                <w:sz w:val="20"/>
                <w:szCs w:val="20"/>
                <w:lang w:eastAsia="en-US"/>
              </w:rPr>
            </w:pPr>
            <w:r w:rsidRPr="00131EED">
              <w:rPr>
                <w:sz w:val="20"/>
                <w:szCs w:val="20"/>
                <w:lang w:eastAsia="en-US"/>
              </w:rPr>
              <w:t>-451.286</w:t>
            </w:r>
          </w:p>
        </w:tc>
      </w:tr>
      <w:tr w:rsidR="00970AF5" w:rsidRPr="00131EED" w14:paraId="3E7A4065"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0A4A70CD" w14:textId="1A3786F1" w:rsidR="003625EC" w:rsidRPr="00131EED" w:rsidRDefault="003625EC" w:rsidP="003625EC">
            <w:pPr>
              <w:jc w:val="center"/>
              <w:rPr>
                <w:sz w:val="20"/>
                <w:szCs w:val="20"/>
                <w:lang w:eastAsia="en-US"/>
              </w:rPr>
            </w:pPr>
            <w:r w:rsidRPr="00131EED">
              <w:rPr>
                <w:sz w:val="20"/>
                <w:szCs w:val="20"/>
                <w:lang w:eastAsia="en-US"/>
              </w:rPr>
              <w:t xml:space="preserve">4.1.3. </w:t>
            </w:r>
            <w:r w:rsidR="0039275F" w:rsidRPr="00131EED">
              <w:rPr>
                <w:sz w:val="20"/>
                <w:szCs w:val="20"/>
                <w:lang w:eastAsia="en-US"/>
              </w:rPr>
              <w:t>Vegetación</w:t>
            </w:r>
            <w:r w:rsidRPr="00131EED">
              <w:rPr>
                <w:sz w:val="20"/>
                <w:szCs w:val="20"/>
                <w:lang w:eastAsia="en-US"/>
              </w:rPr>
              <w:t xml:space="preserve"> </w:t>
            </w:r>
            <w:r w:rsidR="0039275F" w:rsidRPr="00131EED">
              <w:rPr>
                <w:sz w:val="20"/>
                <w:szCs w:val="20"/>
                <w:lang w:eastAsia="en-US"/>
              </w:rPr>
              <w:t>acuática</w:t>
            </w:r>
            <w:r w:rsidRPr="00131EED">
              <w:rPr>
                <w:sz w:val="20"/>
                <w:szCs w:val="20"/>
                <w:lang w:eastAsia="en-US"/>
              </w:rPr>
              <w:t xml:space="preserve"> sobre cuerpos de agua</w:t>
            </w:r>
          </w:p>
        </w:tc>
        <w:tc>
          <w:tcPr>
            <w:tcW w:w="1413" w:type="dxa"/>
            <w:tcBorders>
              <w:top w:val="nil"/>
              <w:left w:val="nil"/>
              <w:bottom w:val="single" w:sz="4" w:space="0" w:color="auto"/>
              <w:right w:val="single" w:sz="4" w:space="0" w:color="auto"/>
            </w:tcBorders>
            <w:noWrap/>
            <w:vAlign w:val="center"/>
            <w:hideMark/>
          </w:tcPr>
          <w:p w14:paraId="64D60D30" w14:textId="77777777" w:rsidR="003625EC" w:rsidRPr="00131EED" w:rsidRDefault="003625EC" w:rsidP="003625EC">
            <w:pPr>
              <w:jc w:val="center"/>
              <w:rPr>
                <w:sz w:val="20"/>
                <w:szCs w:val="20"/>
                <w:lang w:eastAsia="en-US"/>
              </w:rPr>
            </w:pPr>
            <w:r w:rsidRPr="00131EED">
              <w:rPr>
                <w:sz w:val="20"/>
                <w:szCs w:val="20"/>
                <w:lang w:eastAsia="en-US"/>
              </w:rPr>
              <w:t>984.741763</w:t>
            </w:r>
          </w:p>
        </w:tc>
        <w:tc>
          <w:tcPr>
            <w:tcW w:w="1550" w:type="dxa"/>
            <w:tcBorders>
              <w:top w:val="nil"/>
              <w:left w:val="nil"/>
              <w:bottom w:val="single" w:sz="4" w:space="0" w:color="auto"/>
              <w:right w:val="single" w:sz="4" w:space="0" w:color="auto"/>
            </w:tcBorders>
            <w:noWrap/>
            <w:vAlign w:val="center"/>
            <w:hideMark/>
          </w:tcPr>
          <w:p w14:paraId="02C4C46E" w14:textId="77777777" w:rsidR="003625EC" w:rsidRPr="00131EED" w:rsidRDefault="003625EC" w:rsidP="003625EC">
            <w:pPr>
              <w:jc w:val="center"/>
              <w:rPr>
                <w:sz w:val="20"/>
                <w:szCs w:val="20"/>
                <w:lang w:eastAsia="en-US"/>
              </w:rPr>
            </w:pPr>
            <w:r w:rsidRPr="00131EED">
              <w:rPr>
                <w:sz w:val="20"/>
                <w:szCs w:val="20"/>
                <w:lang w:eastAsia="en-US"/>
              </w:rPr>
              <w:t>0</w:t>
            </w:r>
          </w:p>
        </w:tc>
        <w:tc>
          <w:tcPr>
            <w:tcW w:w="1802" w:type="dxa"/>
            <w:tcBorders>
              <w:top w:val="nil"/>
              <w:left w:val="nil"/>
              <w:bottom w:val="single" w:sz="4" w:space="0" w:color="auto"/>
              <w:right w:val="single" w:sz="4" w:space="0" w:color="auto"/>
            </w:tcBorders>
            <w:noWrap/>
            <w:vAlign w:val="center"/>
            <w:hideMark/>
          </w:tcPr>
          <w:p w14:paraId="51B06935" w14:textId="77777777" w:rsidR="003625EC" w:rsidRPr="00131EED" w:rsidRDefault="003625EC" w:rsidP="003625EC">
            <w:pPr>
              <w:jc w:val="center"/>
              <w:rPr>
                <w:sz w:val="20"/>
                <w:szCs w:val="20"/>
                <w:lang w:eastAsia="en-US"/>
              </w:rPr>
            </w:pPr>
            <w:r w:rsidRPr="00131EED">
              <w:rPr>
                <w:sz w:val="20"/>
                <w:szCs w:val="20"/>
                <w:lang w:eastAsia="en-US"/>
              </w:rPr>
              <w:t>-984.741763</w:t>
            </w:r>
          </w:p>
        </w:tc>
        <w:tc>
          <w:tcPr>
            <w:tcW w:w="1633" w:type="dxa"/>
            <w:vMerge/>
            <w:tcBorders>
              <w:top w:val="nil"/>
              <w:left w:val="single" w:sz="4" w:space="0" w:color="auto"/>
              <w:bottom w:val="single" w:sz="4" w:space="0" w:color="auto"/>
              <w:right w:val="single" w:sz="4" w:space="0" w:color="auto"/>
            </w:tcBorders>
            <w:vAlign w:val="center"/>
            <w:hideMark/>
          </w:tcPr>
          <w:p w14:paraId="77C0E767" w14:textId="77777777" w:rsidR="003625EC" w:rsidRPr="00131EED" w:rsidRDefault="003625EC" w:rsidP="003625EC">
            <w:pPr>
              <w:jc w:val="left"/>
              <w:rPr>
                <w:sz w:val="20"/>
                <w:szCs w:val="20"/>
                <w:lang w:eastAsia="en-US"/>
              </w:rPr>
            </w:pPr>
          </w:p>
        </w:tc>
      </w:tr>
      <w:tr w:rsidR="00970AF5" w:rsidRPr="00131EED" w14:paraId="7A099E9E"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730544C5" w14:textId="77777777" w:rsidR="003625EC" w:rsidRPr="00131EED" w:rsidRDefault="003625EC" w:rsidP="003625EC">
            <w:pPr>
              <w:jc w:val="center"/>
              <w:rPr>
                <w:sz w:val="20"/>
                <w:szCs w:val="20"/>
                <w:lang w:eastAsia="en-US"/>
              </w:rPr>
            </w:pPr>
            <w:r w:rsidRPr="00131EED">
              <w:rPr>
                <w:sz w:val="20"/>
                <w:szCs w:val="20"/>
                <w:lang w:eastAsia="en-US"/>
              </w:rPr>
              <w:t>5.1.1. Ríos</w:t>
            </w:r>
          </w:p>
        </w:tc>
        <w:tc>
          <w:tcPr>
            <w:tcW w:w="1413" w:type="dxa"/>
            <w:tcBorders>
              <w:top w:val="nil"/>
              <w:left w:val="nil"/>
              <w:bottom w:val="single" w:sz="4" w:space="0" w:color="auto"/>
              <w:right w:val="single" w:sz="4" w:space="0" w:color="auto"/>
            </w:tcBorders>
            <w:noWrap/>
            <w:vAlign w:val="center"/>
            <w:hideMark/>
          </w:tcPr>
          <w:p w14:paraId="2C2C30DB" w14:textId="77777777" w:rsidR="003625EC" w:rsidRPr="00131EED" w:rsidRDefault="003625EC" w:rsidP="003625EC">
            <w:pPr>
              <w:jc w:val="center"/>
              <w:rPr>
                <w:sz w:val="20"/>
                <w:szCs w:val="20"/>
                <w:lang w:eastAsia="en-US"/>
              </w:rPr>
            </w:pPr>
            <w:r w:rsidRPr="00131EED">
              <w:rPr>
                <w:sz w:val="20"/>
                <w:szCs w:val="20"/>
                <w:lang w:eastAsia="en-US"/>
              </w:rPr>
              <w:t>0</w:t>
            </w:r>
          </w:p>
        </w:tc>
        <w:tc>
          <w:tcPr>
            <w:tcW w:w="1550" w:type="dxa"/>
            <w:tcBorders>
              <w:top w:val="nil"/>
              <w:left w:val="nil"/>
              <w:bottom w:val="single" w:sz="4" w:space="0" w:color="auto"/>
              <w:right w:val="single" w:sz="4" w:space="0" w:color="auto"/>
            </w:tcBorders>
            <w:noWrap/>
            <w:vAlign w:val="center"/>
            <w:hideMark/>
          </w:tcPr>
          <w:p w14:paraId="365AFBA1" w14:textId="77777777" w:rsidR="003625EC" w:rsidRPr="00131EED" w:rsidRDefault="003625EC" w:rsidP="003625EC">
            <w:pPr>
              <w:jc w:val="center"/>
              <w:rPr>
                <w:sz w:val="20"/>
                <w:szCs w:val="20"/>
                <w:lang w:eastAsia="en-US"/>
              </w:rPr>
            </w:pPr>
            <w:r w:rsidRPr="00131EED">
              <w:rPr>
                <w:sz w:val="20"/>
                <w:szCs w:val="20"/>
                <w:lang w:eastAsia="en-US"/>
              </w:rPr>
              <w:t>508.727059</w:t>
            </w:r>
          </w:p>
        </w:tc>
        <w:tc>
          <w:tcPr>
            <w:tcW w:w="1802" w:type="dxa"/>
            <w:tcBorders>
              <w:top w:val="nil"/>
              <w:left w:val="nil"/>
              <w:bottom w:val="single" w:sz="4" w:space="0" w:color="auto"/>
              <w:right w:val="single" w:sz="4" w:space="0" w:color="auto"/>
            </w:tcBorders>
            <w:noWrap/>
            <w:vAlign w:val="center"/>
            <w:hideMark/>
          </w:tcPr>
          <w:p w14:paraId="5B74208F" w14:textId="77777777" w:rsidR="003625EC" w:rsidRPr="00131EED" w:rsidRDefault="003625EC" w:rsidP="003625EC">
            <w:pPr>
              <w:jc w:val="center"/>
              <w:rPr>
                <w:sz w:val="20"/>
                <w:szCs w:val="20"/>
                <w:lang w:eastAsia="en-US"/>
              </w:rPr>
            </w:pPr>
            <w:r w:rsidRPr="00131EED">
              <w:rPr>
                <w:sz w:val="20"/>
                <w:szCs w:val="20"/>
                <w:lang w:eastAsia="en-US"/>
              </w:rPr>
              <w:t>508.727059</w:t>
            </w:r>
          </w:p>
        </w:tc>
        <w:tc>
          <w:tcPr>
            <w:tcW w:w="1633" w:type="dxa"/>
            <w:vMerge w:val="restart"/>
            <w:tcBorders>
              <w:top w:val="nil"/>
              <w:left w:val="single" w:sz="4" w:space="0" w:color="auto"/>
              <w:bottom w:val="single" w:sz="4" w:space="0" w:color="auto"/>
              <w:right w:val="single" w:sz="4" w:space="0" w:color="auto"/>
            </w:tcBorders>
            <w:noWrap/>
            <w:vAlign w:val="center"/>
            <w:hideMark/>
          </w:tcPr>
          <w:p w14:paraId="1111FC52" w14:textId="77777777" w:rsidR="003625EC" w:rsidRPr="00131EED" w:rsidRDefault="003625EC" w:rsidP="003625EC">
            <w:pPr>
              <w:jc w:val="center"/>
              <w:rPr>
                <w:sz w:val="20"/>
                <w:szCs w:val="20"/>
                <w:lang w:eastAsia="en-US"/>
              </w:rPr>
            </w:pPr>
            <w:r w:rsidRPr="00131EED">
              <w:rPr>
                <w:sz w:val="20"/>
                <w:szCs w:val="20"/>
                <w:lang w:eastAsia="en-US"/>
              </w:rPr>
              <w:t>1243.682</w:t>
            </w:r>
          </w:p>
        </w:tc>
      </w:tr>
      <w:tr w:rsidR="00970AF5" w:rsidRPr="00131EED" w14:paraId="63577346"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5E170284" w14:textId="4C2A351D" w:rsidR="003625EC" w:rsidRPr="00131EED" w:rsidRDefault="003625EC" w:rsidP="003625EC">
            <w:pPr>
              <w:jc w:val="center"/>
              <w:rPr>
                <w:sz w:val="20"/>
                <w:szCs w:val="20"/>
                <w:lang w:eastAsia="en-US"/>
              </w:rPr>
            </w:pPr>
            <w:r w:rsidRPr="00131EED">
              <w:rPr>
                <w:sz w:val="20"/>
                <w:szCs w:val="20"/>
                <w:lang w:eastAsia="en-US"/>
              </w:rPr>
              <w:t xml:space="preserve">5.1.2. Lagunas, lagos y </w:t>
            </w:r>
            <w:r w:rsidR="0039275F" w:rsidRPr="00131EED">
              <w:rPr>
                <w:sz w:val="20"/>
                <w:szCs w:val="20"/>
                <w:lang w:eastAsia="en-US"/>
              </w:rPr>
              <w:t>ciénagas</w:t>
            </w:r>
            <w:r w:rsidRPr="00131EED">
              <w:rPr>
                <w:sz w:val="20"/>
                <w:szCs w:val="20"/>
                <w:lang w:eastAsia="en-US"/>
              </w:rPr>
              <w:t xml:space="preserve"> naturales</w:t>
            </w:r>
          </w:p>
        </w:tc>
        <w:tc>
          <w:tcPr>
            <w:tcW w:w="1413" w:type="dxa"/>
            <w:tcBorders>
              <w:top w:val="nil"/>
              <w:left w:val="nil"/>
              <w:bottom w:val="single" w:sz="4" w:space="0" w:color="auto"/>
              <w:right w:val="single" w:sz="4" w:space="0" w:color="auto"/>
            </w:tcBorders>
            <w:noWrap/>
            <w:vAlign w:val="center"/>
            <w:hideMark/>
          </w:tcPr>
          <w:p w14:paraId="33C86A2E" w14:textId="77777777" w:rsidR="003625EC" w:rsidRPr="00131EED" w:rsidRDefault="003625EC" w:rsidP="003625EC">
            <w:pPr>
              <w:jc w:val="center"/>
              <w:rPr>
                <w:sz w:val="20"/>
                <w:szCs w:val="20"/>
                <w:lang w:eastAsia="en-US"/>
              </w:rPr>
            </w:pPr>
            <w:r w:rsidRPr="00131EED">
              <w:rPr>
                <w:sz w:val="20"/>
                <w:szCs w:val="20"/>
                <w:lang w:eastAsia="en-US"/>
              </w:rPr>
              <w:t>1578.323949</w:t>
            </w:r>
          </w:p>
        </w:tc>
        <w:tc>
          <w:tcPr>
            <w:tcW w:w="1550" w:type="dxa"/>
            <w:tcBorders>
              <w:top w:val="nil"/>
              <w:left w:val="nil"/>
              <w:bottom w:val="single" w:sz="4" w:space="0" w:color="auto"/>
              <w:right w:val="single" w:sz="4" w:space="0" w:color="auto"/>
            </w:tcBorders>
            <w:noWrap/>
            <w:vAlign w:val="center"/>
            <w:hideMark/>
          </w:tcPr>
          <w:p w14:paraId="2A9E3397" w14:textId="77777777" w:rsidR="003625EC" w:rsidRPr="00131EED" w:rsidRDefault="003625EC" w:rsidP="003625EC">
            <w:pPr>
              <w:jc w:val="center"/>
              <w:rPr>
                <w:sz w:val="20"/>
                <w:szCs w:val="20"/>
                <w:lang w:eastAsia="en-US"/>
              </w:rPr>
            </w:pPr>
            <w:r w:rsidRPr="00131EED">
              <w:rPr>
                <w:sz w:val="20"/>
                <w:szCs w:val="20"/>
                <w:lang w:eastAsia="en-US"/>
              </w:rPr>
              <w:t>3936.372615</w:t>
            </w:r>
          </w:p>
        </w:tc>
        <w:tc>
          <w:tcPr>
            <w:tcW w:w="1802" w:type="dxa"/>
            <w:tcBorders>
              <w:top w:val="nil"/>
              <w:left w:val="nil"/>
              <w:bottom w:val="single" w:sz="4" w:space="0" w:color="auto"/>
              <w:right w:val="single" w:sz="4" w:space="0" w:color="auto"/>
            </w:tcBorders>
            <w:noWrap/>
            <w:vAlign w:val="center"/>
            <w:hideMark/>
          </w:tcPr>
          <w:p w14:paraId="122DE945" w14:textId="77777777" w:rsidR="003625EC" w:rsidRPr="00131EED" w:rsidRDefault="003625EC" w:rsidP="003625EC">
            <w:pPr>
              <w:jc w:val="center"/>
              <w:rPr>
                <w:sz w:val="20"/>
                <w:szCs w:val="20"/>
                <w:lang w:eastAsia="en-US"/>
              </w:rPr>
            </w:pPr>
            <w:r w:rsidRPr="00131EED">
              <w:rPr>
                <w:sz w:val="20"/>
                <w:szCs w:val="20"/>
                <w:lang w:eastAsia="en-US"/>
              </w:rPr>
              <w:t>2358.048666</w:t>
            </w:r>
          </w:p>
        </w:tc>
        <w:tc>
          <w:tcPr>
            <w:tcW w:w="1633" w:type="dxa"/>
            <w:vMerge/>
            <w:tcBorders>
              <w:top w:val="nil"/>
              <w:left w:val="single" w:sz="4" w:space="0" w:color="auto"/>
              <w:bottom w:val="single" w:sz="4" w:space="0" w:color="auto"/>
              <w:right w:val="single" w:sz="4" w:space="0" w:color="auto"/>
            </w:tcBorders>
            <w:vAlign w:val="center"/>
            <w:hideMark/>
          </w:tcPr>
          <w:p w14:paraId="065AC580" w14:textId="77777777" w:rsidR="003625EC" w:rsidRPr="00131EED" w:rsidRDefault="003625EC" w:rsidP="003625EC">
            <w:pPr>
              <w:jc w:val="left"/>
              <w:rPr>
                <w:sz w:val="20"/>
                <w:szCs w:val="20"/>
                <w:lang w:eastAsia="en-US"/>
              </w:rPr>
            </w:pPr>
          </w:p>
        </w:tc>
      </w:tr>
      <w:tr w:rsidR="00970AF5" w:rsidRPr="00131EED" w14:paraId="4CFD6347" w14:textId="77777777" w:rsidTr="009572DB">
        <w:trPr>
          <w:trHeight w:val="288"/>
          <w:jc w:val="center"/>
        </w:trPr>
        <w:tc>
          <w:tcPr>
            <w:tcW w:w="2430" w:type="dxa"/>
            <w:tcBorders>
              <w:top w:val="nil"/>
              <w:left w:val="single" w:sz="4" w:space="0" w:color="auto"/>
              <w:bottom w:val="single" w:sz="4" w:space="0" w:color="auto"/>
              <w:right w:val="single" w:sz="4" w:space="0" w:color="auto"/>
            </w:tcBorders>
            <w:noWrap/>
            <w:vAlign w:val="center"/>
            <w:hideMark/>
          </w:tcPr>
          <w:p w14:paraId="2CEE31FA" w14:textId="77777777" w:rsidR="003625EC" w:rsidRPr="00131EED" w:rsidRDefault="003625EC" w:rsidP="003625EC">
            <w:pPr>
              <w:jc w:val="center"/>
              <w:rPr>
                <w:sz w:val="20"/>
                <w:szCs w:val="20"/>
                <w:lang w:eastAsia="en-US"/>
              </w:rPr>
            </w:pPr>
            <w:r w:rsidRPr="00131EED">
              <w:rPr>
                <w:sz w:val="20"/>
                <w:szCs w:val="20"/>
                <w:lang w:eastAsia="en-US"/>
              </w:rPr>
              <w:t>5.1.4. Cuerpos de agua artificiales</w:t>
            </w:r>
          </w:p>
        </w:tc>
        <w:tc>
          <w:tcPr>
            <w:tcW w:w="1413" w:type="dxa"/>
            <w:tcBorders>
              <w:top w:val="nil"/>
              <w:left w:val="nil"/>
              <w:bottom w:val="single" w:sz="4" w:space="0" w:color="auto"/>
              <w:right w:val="single" w:sz="4" w:space="0" w:color="auto"/>
            </w:tcBorders>
            <w:noWrap/>
            <w:vAlign w:val="center"/>
            <w:hideMark/>
          </w:tcPr>
          <w:p w14:paraId="49000CBA" w14:textId="77777777" w:rsidR="003625EC" w:rsidRPr="00131EED" w:rsidRDefault="003625EC" w:rsidP="003625EC">
            <w:pPr>
              <w:jc w:val="center"/>
              <w:rPr>
                <w:sz w:val="20"/>
                <w:szCs w:val="20"/>
                <w:lang w:eastAsia="en-US"/>
              </w:rPr>
            </w:pPr>
            <w:r w:rsidRPr="00131EED">
              <w:rPr>
                <w:sz w:val="20"/>
                <w:szCs w:val="20"/>
                <w:lang w:eastAsia="en-US"/>
              </w:rPr>
              <w:t>2513.848266</w:t>
            </w:r>
          </w:p>
        </w:tc>
        <w:tc>
          <w:tcPr>
            <w:tcW w:w="1550" w:type="dxa"/>
            <w:tcBorders>
              <w:top w:val="nil"/>
              <w:left w:val="nil"/>
              <w:bottom w:val="single" w:sz="4" w:space="0" w:color="auto"/>
              <w:right w:val="single" w:sz="4" w:space="0" w:color="auto"/>
            </w:tcBorders>
            <w:noWrap/>
            <w:vAlign w:val="center"/>
            <w:hideMark/>
          </w:tcPr>
          <w:p w14:paraId="21F50B4C" w14:textId="77777777" w:rsidR="003625EC" w:rsidRPr="00131EED" w:rsidRDefault="003625EC" w:rsidP="003625EC">
            <w:pPr>
              <w:jc w:val="center"/>
              <w:rPr>
                <w:sz w:val="20"/>
                <w:szCs w:val="20"/>
                <w:lang w:eastAsia="en-US"/>
              </w:rPr>
            </w:pPr>
            <w:r w:rsidRPr="00131EED">
              <w:rPr>
                <w:sz w:val="20"/>
                <w:szCs w:val="20"/>
                <w:lang w:eastAsia="en-US"/>
              </w:rPr>
              <w:t>890.754808</w:t>
            </w:r>
          </w:p>
        </w:tc>
        <w:tc>
          <w:tcPr>
            <w:tcW w:w="1802" w:type="dxa"/>
            <w:tcBorders>
              <w:top w:val="nil"/>
              <w:left w:val="nil"/>
              <w:bottom w:val="single" w:sz="4" w:space="0" w:color="auto"/>
              <w:right w:val="single" w:sz="4" w:space="0" w:color="auto"/>
            </w:tcBorders>
            <w:noWrap/>
            <w:vAlign w:val="center"/>
            <w:hideMark/>
          </w:tcPr>
          <w:p w14:paraId="50BF2046" w14:textId="77777777" w:rsidR="003625EC" w:rsidRPr="00131EED" w:rsidRDefault="003625EC" w:rsidP="003625EC">
            <w:pPr>
              <w:jc w:val="center"/>
              <w:rPr>
                <w:sz w:val="20"/>
                <w:szCs w:val="20"/>
                <w:lang w:eastAsia="en-US"/>
              </w:rPr>
            </w:pPr>
            <w:r w:rsidRPr="00131EED">
              <w:rPr>
                <w:sz w:val="20"/>
                <w:szCs w:val="20"/>
                <w:lang w:eastAsia="en-US"/>
              </w:rPr>
              <w:t>-1623.093458</w:t>
            </w:r>
          </w:p>
        </w:tc>
        <w:tc>
          <w:tcPr>
            <w:tcW w:w="1633" w:type="dxa"/>
            <w:vMerge/>
            <w:tcBorders>
              <w:top w:val="nil"/>
              <w:left w:val="single" w:sz="4" w:space="0" w:color="auto"/>
              <w:bottom w:val="single" w:sz="4" w:space="0" w:color="auto"/>
              <w:right w:val="single" w:sz="4" w:space="0" w:color="auto"/>
            </w:tcBorders>
            <w:vAlign w:val="center"/>
            <w:hideMark/>
          </w:tcPr>
          <w:p w14:paraId="4F460A13" w14:textId="77777777" w:rsidR="003625EC" w:rsidRPr="00131EED" w:rsidRDefault="003625EC" w:rsidP="003625EC">
            <w:pPr>
              <w:jc w:val="left"/>
              <w:rPr>
                <w:sz w:val="20"/>
                <w:szCs w:val="20"/>
                <w:lang w:eastAsia="en-US"/>
              </w:rPr>
            </w:pPr>
          </w:p>
        </w:tc>
      </w:tr>
    </w:tbl>
    <w:p w14:paraId="4D7262F6" w14:textId="77777777" w:rsidR="002C1207" w:rsidRPr="00131EED" w:rsidRDefault="002C1207" w:rsidP="002C1207">
      <w:pPr>
        <w:jc w:val="center"/>
        <w:rPr>
          <w:sz w:val="20"/>
          <w:szCs w:val="20"/>
        </w:rPr>
      </w:pPr>
      <w:r w:rsidRPr="00131EED">
        <w:rPr>
          <w:sz w:val="20"/>
          <w:szCs w:val="20"/>
        </w:rPr>
        <w:t>Fuente: MinAmbiente (2025)</w:t>
      </w:r>
    </w:p>
    <w:p w14:paraId="00A04B23" w14:textId="77777777" w:rsidR="002C1207" w:rsidRPr="00131EED" w:rsidRDefault="002C1207" w:rsidP="005B27B4">
      <w:pPr>
        <w:rPr>
          <w:rFonts w:cs="Arial"/>
        </w:rPr>
      </w:pPr>
    </w:p>
    <w:p w14:paraId="1FB8FC7F" w14:textId="39C97528" w:rsidR="005B27B4" w:rsidRPr="00131EED" w:rsidRDefault="005B27B4" w:rsidP="005B27B4">
      <w:pPr>
        <w:rPr>
          <w:rFonts w:cs="Arial"/>
        </w:rPr>
      </w:pPr>
      <w:r w:rsidRPr="00131EED">
        <w:rPr>
          <w:rFonts w:cs="Arial"/>
        </w:rPr>
        <w:t xml:space="preserve">Los cambios en las coberturas naturales de la tierra, producto de diferentes dinámicas de ocupación y uso, han reconfigurado el paisaje de suelos artificializados conformando la siguiente huella en el ámbito sabana.  </w:t>
      </w:r>
    </w:p>
    <w:p w14:paraId="4AC4366E" w14:textId="77777777" w:rsidR="00565CA7" w:rsidRPr="00131EED" w:rsidRDefault="00565CA7" w:rsidP="001D6E92">
      <w:pPr>
        <w:rPr>
          <w:rFonts w:cs="Arial"/>
        </w:rPr>
      </w:pPr>
    </w:p>
    <w:p w14:paraId="7D659813" w14:textId="69C3DA25" w:rsidR="001D6E92" w:rsidRPr="00131EED" w:rsidRDefault="001D6E92" w:rsidP="001D6E92">
      <w:pPr>
        <w:rPr>
          <w:rFonts w:cs="Arial"/>
        </w:rPr>
      </w:pPr>
      <w:r w:rsidRPr="00131EED">
        <w:rPr>
          <w:rFonts w:cs="Arial"/>
        </w:rPr>
        <w:t xml:space="preserve">De acuerdo con lo anterior, </w:t>
      </w:r>
      <w:r w:rsidR="009D3100" w:rsidRPr="00131EED">
        <w:rPr>
          <w:rFonts w:cs="Arial"/>
        </w:rPr>
        <w:t>analizar las coberturas que fueron artificializadas desde el 2002 toma mayor relevancia, a continuación</w:t>
      </w:r>
      <w:r w:rsidR="009572DB" w:rsidRPr="00131EED">
        <w:rPr>
          <w:rFonts w:cs="Arial"/>
        </w:rPr>
        <w:t>,</w:t>
      </w:r>
      <w:r w:rsidR="009D3100" w:rsidRPr="00131EED">
        <w:rPr>
          <w:rFonts w:cs="Arial"/>
        </w:rPr>
        <w:t xml:space="preserve"> se presentan las coberturas transformadas específicamente por los territorios artificializados del año 2018 con respecto a las coberturas del año 2002.</w:t>
      </w:r>
    </w:p>
    <w:p w14:paraId="3116086C" w14:textId="77777777" w:rsidR="009D3100" w:rsidRPr="00131EED" w:rsidRDefault="009D3100" w:rsidP="001D6E92">
      <w:pPr>
        <w:rPr>
          <w:rFonts w:cs="Arial"/>
        </w:rPr>
      </w:pPr>
    </w:p>
    <w:p w14:paraId="603D43E4" w14:textId="77777777" w:rsidR="006A0ED7" w:rsidRPr="00131EED" w:rsidRDefault="006A0ED7">
      <w:pPr>
        <w:spacing w:after="200" w:line="276" w:lineRule="auto"/>
        <w:jc w:val="left"/>
        <w:rPr>
          <w:rFonts w:ascii="Arial" w:eastAsia="Calibri" w:hAnsi="Arial" w:cs="Arial"/>
          <w:i/>
          <w:iCs/>
          <w:color w:val="44546A"/>
          <w:sz w:val="18"/>
          <w:szCs w:val="18"/>
          <w:lang w:eastAsia="en-US"/>
        </w:rPr>
      </w:pPr>
      <w:r w:rsidRPr="00131EED">
        <w:br w:type="page"/>
      </w:r>
    </w:p>
    <w:p w14:paraId="376573C4" w14:textId="173D3DCA" w:rsidR="009D3100" w:rsidRPr="00131EED" w:rsidRDefault="009D3100" w:rsidP="009D3100">
      <w:pPr>
        <w:pStyle w:val="Caption"/>
        <w:jc w:val="center"/>
      </w:pPr>
      <w:bookmarkStart w:id="336" w:name="_Toc216468859"/>
      <w:r w:rsidRPr="00131EED">
        <w:t xml:space="preserve">Ilustración </w:t>
      </w:r>
      <w:fldSimple w:instr=" SEQ Ilustración \* ARABIC ">
        <w:r w:rsidR="00CE096F">
          <w:rPr>
            <w:noProof/>
          </w:rPr>
          <w:t>94</w:t>
        </w:r>
      </w:fldSimple>
      <w:r w:rsidRPr="00131EED">
        <w:t>.Áreas artificializadas del 2018 sobre coberturas Corine Land Cover de 2002.</w:t>
      </w:r>
      <w:bookmarkEnd w:id="336"/>
    </w:p>
    <w:p w14:paraId="7CF30D02" w14:textId="77777777" w:rsidR="009D3100" w:rsidRPr="00131EED" w:rsidRDefault="009D3100" w:rsidP="009D3100">
      <w:pPr>
        <w:keepNext/>
        <w:jc w:val="center"/>
      </w:pPr>
      <w:r w:rsidRPr="00131EED">
        <w:rPr>
          <w:rFonts w:cs="Arial"/>
          <w:noProof/>
          <w:lang w:eastAsia="en-US"/>
        </w:rPr>
        <w:drawing>
          <wp:inline distT="0" distB="0" distL="0" distR="0" wp14:anchorId="77B84A28" wp14:editId="433B7440">
            <wp:extent cx="3337718" cy="4320000"/>
            <wp:effectExtent l="0" t="0" r="0" b="4445"/>
            <wp:docPr id="149969313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337718" cy="4320000"/>
                    </a:xfrm>
                    <a:prstGeom prst="rect">
                      <a:avLst/>
                    </a:prstGeom>
                    <a:noFill/>
                    <a:ln>
                      <a:noFill/>
                    </a:ln>
                  </pic:spPr>
                </pic:pic>
              </a:graphicData>
            </a:graphic>
          </wp:inline>
        </w:drawing>
      </w:r>
    </w:p>
    <w:p w14:paraId="6FD9929F" w14:textId="39B29806" w:rsidR="009D3100" w:rsidRPr="00131EED" w:rsidRDefault="009D3100" w:rsidP="009D3100">
      <w:pPr>
        <w:jc w:val="center"/>
        <w:rPr>
          <w:rFonts w:cs="Arial"/>
          <w:sz w:val="20"/>
          <w:szCs w:val="20"/>
        </w:rPr>
      </w:pPr>
      <w:r w:rsidRPr="00131EED">
        <w:rPr>
          <w:rFonts w:cs="Arial"/>
          <w:sz w:val="20"/>
          <w:szCs w:val="20"/>
        </w:rPr>
        <w:t>Fuente: Elaboración propia con datos del IGAC (2001, 2018)</w:t>
      </w:r>
    </w:p>
    <w:p w14:paraId="3FDCEAF5" w14:textId="77777777" w:rsidR="00195717" w:rsidRPr="00131EED" w:rsidRDefault="00195717" w:rsidP="009D3100">
      <w:pPr>
        <w:jc w:val="center"/>
        <w:rPr>
          <w:rFonts w:cs="Arial"/>
          <w:sz w:val="20"/>
          <w:szCs w:val="20"/>
        </w:rPr>
      </w:pPr>
    </w:p>
    <w:p w14:paraId="2CFD6089" w14:textId="77777777" w:rsidR="00195717" w:rsidRPr="00131EED" w:rsidRDefault="00195717" w:rsidP="009D3100">
      <w:pPr>
        <w:jc w:val="center"/>
        <w:rPr>
          <w:rFonts w:cs="Arial"/>
          <w:sz w:val="20"/>
          <w:szCs w:val="20"/>
        </w:rPr>
      </w:pPr>
    </w:p>
    <w:p w14:paraId="6BDCE1F7" w14:textId="3CB84BCA" w:rsidR="00195717" w:rsidRPr="00131EED" w:rsidRDefault="00195717" w:rsidP="00195717">
      <w:pPr>
        <w:rPr>
          <w:rFonts w:cs="Arial"/>
        </w:rPr>
      </w:pPr>
      <w:r w:rsidRPr="00131EED">
        <w:rPr>
          <w:rFonts w:cs="Arial"/>
        </w:rPr>
        <w:t xml:space="preserve">Para el año 2018, se </w:t>
      </w:r>
      <w:r w:rsidR="00A40699" w:rsidRPr="00131EED">
        <w:rPr>
          <w:rFonts w:cs="Arial"/>
        </w:rPr>
        <w:t>artificializó</w:t>
      </w:r>
      <w:r w:rsidRPr="00131EED">
        <w:rPr>
          <w:rFonts w:cs="Arial"/>
        </w:rPr>
        <w:t xml:space="preserve"> un total de </w:t>
      </w:r>
      <w:r w:rsidR="00A40699" w:rsidRPr="00131EED">
        <w:rPr>
          <w:rFonts w:cs="Arial"/>
        </w:rPr>
        <w:t>21.786 ha + 188 m2</w:t>
      </w:r>
      <w:r w:rsidR="005546C0" w:rsidRPr="00131EED">
        <w:rPr>
          <w:rFonts w:cs="Arial"/>
        </w:rPr>
        <w:t xml:space="preserve"> </w:t>
      </w:r>
      <w:r w:rsidR="00FE4A64" w:rsidRPr="00131EED">
        <w:rPr>
          <w:rFonts w:cs="Arial"/>
        </w:rPr>
        <w:t>e</w:t>
      </w:r>
      <w:r w:rsidR="00A40699" w:rsidRPr="00131EED">
        <w:rPr>
          <w:rFonts w:cs="Arial"/>
        </w:rPr>
        <w:t>n la Sabana de Bogotá</w:t>
      </w:r>
      <w:r w:rsidR="005546C0" w:rsidRPr="00131EED">
        <w:rPr>
          <w:rFonts w:cs="Arial"/>
        </w:rPr>
        <w:t xml:space="preserve">, </w:t>
      </w:r>
      <w:r w:rsidR="00FE4A64" w:rsidRPr="00131EED">
        <w:rPr>
          <w:rFonts w:cs="Arial"/>
        </w:rPr>
        <w:t>incluyendo territorios agrícolas, bosques y áreas seminaturales, áreas húmedas y superficies de agua así:</w:t>
      </w:r>
    </w:p>
    <w:p w14:paraId="00D79CA0" w14:textId="77777777" w:rsidR="00195717" w:rsidRPr="00131EED" w:rsidRDefault="00195717" w:rsidP="00195717">
      <w:pPr>
        <w:rPr>
          <w:rFonts w:cs="Arial"/>
          <w:sz w:val="20"/>
          <w:szCs w:val="20"/>
        </w:rPr>
      </w:pPr>
    </w:p>
    <w:p w14:paraId="7B903934" w14:textId="44AD35F5" w:rsidR="00F74020" w:rsidRPr="00131EED" w:rsidRDefault="00F74020" w:rsidP="00F74020">
      <w:pPr>
        <w:pStyle w:val="Caption"/>
        <w:keepNext/>
        <w:jc w:val="center"/>
      </w:pPr>
      <w:bookmarkStart w:id="337" w:name="_Toc216468968"/>
      <w:r w:rsidRPr="00131EED">
        <w:t xml:space="preserve">Tabla </w:t>
      </w:r>
      <w:fldSimple w:instr=" SEQ Tabla \* ARABIC ">
        <w:r w:rsidR="00CE096F">
          <w:rPr>
            <w:noProof/>
          </w:rPr>
          <w:t>58</w:t>
        </w:r>
      </w:fldSimple>
      <w:r w:rsidRPr="00131EED">
        <w:t>. Coberturas transformadas en la Sabana de Bogotá entre 2002 y 2018.</w:t>
      </w:r>
      <w:bookmarkEnd w:id="337"/>
    </w:p>
    <w:tbl>
      <w:tblPr>
        <w:tblW w:w="6640" w:type="dxa"/>
        <w:jc w:val="center"/>
        <w:tblLook w:val="04A0" w:firstRow="1" w:lastRow="0" w:firstColumn="1" w:lastColumn="0" w:noHBand="0" w:noVBand="1"/>
      </w:tblPr>
      <w:tblGrid>
        <w:gridCol w:w="4880"/>
        <w:gridCol w:w="1760"/>
      </w:tblGrid>
      <w:tr w:rsidR="00A40699" w:rsidRPr="00131EED" w14:paraId="71536395" w14:textId="77777777" w:rsidTr="0057743E">
        <w:trPr>
          <w:trHeight w:val="288"/>
          <w:tblHeader/>
          <w:jc w:val="center"/>
        </w:trPr>
        <w:tc>
          <w:tcPr>
            <w:tcW w:w="4880" w:type="dxa"/>
            <w:tcBorders>
              <w:top w:val="single" w:sz="4" w:space="0" w:color="auto"/>
              <w:left w:val="single" w:sz="4" w:space="0" w:color="auto"/>
              <w:bottom w:val="single" w:sz="4" w:space="0" w:color="auto"/>
              <w:right w:val="single" w:sz="4" w:space="0" w:color="auto"/>
            </w:tcBorders>
            <w:noWrap/>
            <w:hideMark/>
          </w:tcPr>
          <w:p w14:paraId="6DDFE6F1" w14:textId="43111E13" w:rsidR="00A40699" w:rsidRPr="00131EED" w:rsidRDefault="00A40699" w:rsidP="00A40699">
            <w:pPr>
              <w:jc w:val="center"/>
              <w:rPr>
                <w:b/>
                <w:bCs/>
                <w:sz w:val="20"/>
                <w:szCs w:val="20"/>
                <w:lang w:eastAsia="en-US"/>
              </w:rPr>
            </w:pPr>
            <w:r w:rsidRPr="00131EED">
              <w:rPr>
                <w:b/>
                <w:bCs/>
                <w:sz w:val="20"/>
                <w:szCs w:val="20"/>
              </w:rPr>
              <w:t>Capas transformadas</w:t>
            </w:r>
          </w:p>
        </w:tc>
        <w:tc>
          <w:tcPr>
            <w:tcW w:w="1760" w:type="dxa"/>
            <w:tcBorders>
              <w:top w:val="single" w:sz="4" w:space="0" w:color="auto"/>
              <w:left w:val="nil"/>
              <w:bottom w:val="single" w:sz="4" w:space="0" w:color="auto"/>
              <w:right w:val="single" w:sz="4" w:space="0" w:color="auto"/>
            </w:tcBorders>
            <w:noWrap/>
            <w:hideMark/>
          </w:tcPr>
          <w:p w14:paraId="41ABA7DB" w14:textId="72FEF5C3" w:rsidR="00A40699" w:rsidRPr="00131EED" w:rsidRDefault="00A40699" w:rsidP="00A40699">
            <w:pPr>
              <w:jc w:val="center"/>
              <w:rPr>
                <w:b/>
                <w:bCs/>
                <w:sz w:val="20"/>
                <w:szCs w:val="20"/>
                <w:lang w:eastAsia="en-US"/>
              </w:rPr>
            </w:pPr>
            <w:r w:rsidRPr="00131EED">
              <w:rPr>
                <w:b/>
                <w:bCs/>
                <w:sz w:val="20"/>
                <w:szCs w:val="20"/>
              </w:rPr>
              <w:t>Área (ha)</w:t>
            </w:r>
          </w:p>
        </w:tc>
      </w:tr>
      <w:tr w:rsidR="00A40699" w:rsidRPr="00131EED" w14:paraId="6ADC7F05"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272041F8" w14:textId="09951298" w:rsidR="00A40699" w:rsidRPr="00131EED" w:rsidRDefault="00A40699" w:rsidP="00A40699">
            <w:pPr>
              <w:jc w:val="left"/>
              <w:rPr>
                <w:sz w:val="20"/>
                <w:szCs w:val="20"/>
                <w:lang w:eastAsia="en-US"/>
              </w:rPr>
            </w:pPr>
            <w:r w:rsidRPr="00131EED">
              <w:rPr>
                <w:sz w:val="20"/>
                <w:szCs w:val="20"/>
              </w:rPr>
              <w:t>2.2.5. Cultivos confinados</w:t>
            </w:r>
          </w:p>
        </w:tc>
        <w:tc>
          <w:tcPr>
            <w:tcW w:w="1760" w:type="dxa"/>
            <w:tcBorders>
              <w:top w:val="nil"/>
              <w:left w:val="nil"/>
              <w:bottom w:val="single" w:sz="4" w:space="0" w:color="auto"/>
              <w:right w:val="single" w:sz="4" w:space="0" w:color="auto"/>
            </w:tcBorders>
            <w:noWrap/>
            <w:vAlign w:val="center"/>
            <w:hideMark/>
          </w:tcPr>
          <w:p w14:paraId="1B8F7DDE" w14:textId="3EBB03FB" w:rsidR="00A40699" w:rsidRPr="00131EED" w:rsidRDefault="00A40699" w:rsidP="00A40699">
            <w:pPr>
              <w:jc w:val="left"/>
              <w:rPr>
                <w:sz w:val="20"/>
                <w:szCs w:val="20"/>
                <w:lang w:eastAsia="en-US"/>
              </w:rPr>
            </w:pPr>
            <w:r w:rsidRPr="00131EED">
              <w:rPr>
                <w:sz w:val="20"/>
                <w:szCs w:val="20"/>
              </w:rPr>
              <w:t>370.0064</w:t>
            </w:r>
          </w:p>
        </w:tc>
      </w:tr>
      <w:tr w:rsidR="00A40699" w:rsidRPr="00131EED" w14:paraId="49B00200"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2801C6B3" w14:textId="09782996" w:rsidR="00A40699" w:rsidRPr="00131EED" w:rsidRDefault="00A40699" w:rsidP="00A40699">
            <w:pPr>
              <w:jc w:val="left"/>
              <w:rPr>
                <w:sz w:val="20"/>
                <w:szCs w:val="20"/>
                <w:lang w:eastAsia="en-US"/>
              </w:rPr>
            </w:pPr>
            <w:r w:rsidRPr="00131EED">
              <w:rPr>
                <w:sz w:val="20"/>
                <w:szCs w:val="20"/>
              </w:rPr>
              <w:t>2.3.1. Pastos limpios</w:t>
            </w:r>
          </w:p>
        </w:tc>
        <w:tc>
          <w:tcPr>
            <w:tcW w:w="1760" w:type="dxa"/>
            <w:tcBorders>
              <w:top w:val="nil"/>
              <w:left w:val="nil"/>
              <w:bottom w:val="single" w:sz="4" w:space="0" w:color="auto"/>
              <w:right w:val="single" w:sz="4" w:space="0" w:color="auto"/>
            </w:tcBorders>
            <w:noWrap/>
            <w:vAlign w:val="center"/>
            <w:hideMark/>
          </w:tcPr>
          <w:p w14:paraId="67307972" w14:textId="6ED10868" w:rsidR="00A40699" w:rsidRPr="00131EED" w:rsidRDefault="00A40699" w:rsidP="00A40699">
            <w:pPr>
              <w:jc w:val="left"/>
              <w:rPr>
                <w:sz w:val="20"/>
                <w:szCs w:val="20"/>
                <w:lang w:eastAsia="en-US"/>
              </w:rPr>
            </w:pPr>
            <w:r w:rsidRPr="00131EED">
              <w:rPr>
                <w:sz w:val="20"/>
                <w:szCs w:val="20"/>
              </w:rPr>
              <w:t>9012.3877</w:t>
            </w:r>
          </w:p>
        </w:tc>
      </w:tr>
      <w:tr w:rsidR="00A40699" w:rsidRPr="00131EED" w14:paraId="7BDAD95E"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00498FF2" w14:textId="7D727878" w:rsidR="00A40699" w:rsidRPr="00131EED" w:rsidRDefault="00A40699" w:rsidP="00A40699">
            <w:pPr>
              <w:jc w:val="left"/>
              <w:rPr>
                <w:sz w:val="20"/>
                <w:szCs w:val="20"/>
                <w:lang w:eastAsia="en-US"/>
              </w:rPr>
            </w:pPr>
            <w:r w:rsidRPr="00131EED">
              <w:rPr>
                <w:sz w:val="20"/>
                <w:szCs w:val="20"/>
              </w:rPr>
              <w:t>2.3.3. Pastos enmalezados</w:t>
            </w:r>
          </w:p>
        </w:tc>
        <w:tc>
          <w:tcPr>
            <w:tcW w:w="1760" w:type="dxa"/>
            <w:tcBorders>
              <w:top w:val="nil"/>
              <w:left w:val="nil"/>
              <w:bottom w:val="single" w:sz="4" w:space="0" w:color="auto"/>
              <w:right w:val="single" w:sz="4" w:space="0" w:color="auto"/>
            </w:tcBorders>
            <w:noWrap/>
            <w:vAlign w:val="center"/>
            <w:hideMark/>
          </w:tcPr>
          <w:p w14:paraId="2123F781" w14:textId="16F8F883" w:rsidR="00A40699" w:rsidRPr="00131EED" w:rsidRDefault="00A40699" w:rsidP="00A40699">
            <w:pPr>
              <w:jc w:val="left"/>
              <w:rPr>
                <w:sz w:val="20"/>
                <w:szCs w:val="20"/>
                <w:lang w:eastAsia="en-US"/>
              </w:rPr>
            </w:pPr>
            <w:r w:rsidRPr="00131EED">
              <w:rPr>
                <w:sz w:val="20"/>
                <w:szCs w:val="20"/>
              </w:rPr>
              <w:t>788.5708</w:t>
            </w:r>
          </w:p>
        </w:tc>
      </w:tr>
      <w:tr w:rsidR="00A40699" w:rsidRPr="00131EED" w14:paraId="3D378AEC"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15D1DAA5" w14:textId="269F6D14" w:rsidR="00A40699" w:rsidRPr="00131EED" w:rsidRDefault="00A40699" w:rsidP="00A40699">
            <w:pPr>
              <w:jc w:val="left"/>
              <w:rPr>
                <w:sz w:val="20"/>
                <w:szCs w:val="20"/>
                <w:lang w:eastAsia="en-US"/>
              </w:rPr>
            </w:pPr>
            <w:r w:rsidRPr="00131EED">
              <w:rPr>
                <w:sz w:val="20"/>
                <w:szCs w:val="20"/>
              </w:rPr>
              <w:t>2.4.1. Mosaico de cultivos</w:t>
            </w:r>
          </w:p>
        </w:tc>
        <w:tc>
          <w:tcPr>
            <w:tcW w:w="1760" w:type="dxa"/>
            <w:tcBorders>
              <w:top w:val="nil"/>
              <w:left w:val="nil"/>
              <w:bottom w:val="single" w:sz="4" w:space="0" w:color="auto"/>
              <w:right w:val="single" w:sz="4" w:space="0" w:color="auto"/>
            </w:tcBorders>
            <w:noWrap/>
            <w:vAlign w:val="center"/>
            <w:hideMark/>
          </w:tcPr>
          <w:p w14:paraId="2EBDAA35" w14:textId="1F9AD66E" w:rsidR="00A40699" w:rsidRPr="00131EED" w:rsidRDefault="00A40699" w:rsidP="00A40699">
            <w:pPr>
              <w:jc w:val="left"/>
              <w:rPr>
                <w:sz w:val="20"/>
                <w:szCs w:val="20"/>
                <w:lang w:eastAsia="en-US"/>
              </w:rPr>
            </w:pPr>
            <w:r w:rsidRPr="00131EED">
              <w:rPr>
                <w:sz w:val="20"/>
                <w:szCs w:val="20"/>
              </w:rPr>
              <w:t>1635.3306</w:t>
            </w:r>
          </w:p>
        </w:tc>
      </w:tr>
      <w:tr w:rsidR="00A40699" w:rsidRPr="00131EED" w14:paraId="79A0A72F"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16D94725" w14:textId="1427D487" w:rsidR="00A40699" w:rsidRPr="00131EED" w:rsidRDefault="00A40699" w:rsidP="00A40699">
            <w:pPr>
              <w:jc w:val="left"/>
              <w:rPr>
                <w:sz w:val="20"/>
                <w:szCs w:val="20"/>
                <w:lang w:eastAsia="en-US"/>
              </w:rPr>
            </w:pPr>
            <w:r w:rsidRPr="00131EED">
              <w:rPr>
                <w:sz w:val="20"/>
                <w:szCs w:val="20"/>
              </w:rPr>
              <w:t>2.4.2. Mosaico de pastos y cultivos</w:t>
            </w:r>
          </w:p>
        </w:tc>
        <w:tc>
          <w:tcPr>
            <w:tcW w:w="1760" w:type="dxa"/>
            <w:tcBorders>
              <w:top w:val="nil"/>
              <w:left w:val="nil"/>
              <w:bottom w:val="single" w:sz="4" w:space="0" w:color="auto"/>
              <w:right w:val="single" w:sz="4" w:space="0" w:color="auto"/>
            </w:tcBorders>
            <w:noWrap/>
            <w:vAlign w:val="center"/>
            <w:hideMark/>
          </w:tcPr>
          <w:p w14:paraId="288B0DE4" w14:textId="3FF28CF7" w:rsidR="00A40699" w:rsidRPr="00131EED" w:rsidRDefault="00A40699" w:rsidP="00A40699">
            <w:pPr>
              <w:jc w:val="left"/>
              <w:rPr>
                <w:sz w:val="20"/>
                <w:szCs w:val="20"/>
                <w:lang w:eastAsia="en-US"/>
              </w:rPr>
            </w:pPr>
            <w:r w:rsidRPr="00131EED">
              <w:rPr>
                <w:sz w:val="20"/>
                <w:szCs w:val="20"/>
              </w:rPr>
              <w:t>5089.9610</w:t>
            </w:r>
          </w:p>
        </w:tc>
      </w:tr>
      <w:tr w:rsidR="00A40699" w:rsidRPr="00131EED" w14:paraId="45074ADA"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233AC198" w14:textId="1ABDAB89" w:rsidR="00A40699" w:rsidRPr="00131EED" w:rsidRDefault="00A40699" w:rsidP="00A40699">
            <w:pPr>
              <w:jc w:val="left"/>
              <w:rPr>
                <w:sz w:val="20"/>
                <w:szCs w:val="20"/>
                <w:lang w:eastAsia="en-US"/>
              </w:rPr>
            </w:pPr>
            <w:r w:rsidRPr="00131EED">
              <w:rPr>
                <w:sz w:val="20"/>
                <w:szCs w:val="20"/>
              </w:rPr>
              <w:t>2.4.3. Mosaico de cultivos, pastos y espacios naturales</w:t>
            </w:r>
          </w:p>
        </w:tc>
        <w:tc>
          <w:tcPr>
            <w:tcW w:w="1760" w:type="dxa"/>
            <w:tcBorders>
              <w:top w:val="nil"/>
              <w:left w:val="nil"/>
              <w:bottom w:val="single" w:sz="4" w:space="0" w:color="auto"/>
              <w:right w:val="single" w:sz="4" w:space="0" w:color="auto"/>
            </w:tcBorders>
            <w:noWrap/>
            <w:vAlign w:val="center"/>
            <w:hideMark/>
          </w:tcPr>
          <w:p w14:paraId="2021A017" w14:textId="045C234A" w:rsidR="00A40699" w:rsidRPr="00131EED" w:rsidRDefault="00A40699" w:rsidP="00A40699">
            <w:pPr>
              <w:jc w:val="left"/>
              <w:rPr>
                <w:sz w:val="20"/>
                <w:szCs w:val="20"/>
                <w:lang w:eastAsia="en-US"/>
              </w:rPr>
            </w:pPr>
            <w:r w:rsidRPr="00131EED">
              <w:rPr>
                <w:sz w:val="20"/>
                <w:szCs w:val="20"/>
              </w:rPr>
              <w:t>1086.9591</w:t>
            </w:r>
          </w:p>
        </w:tc>
      </w:tr>
      <w:tr w:rsidR="00A40699" w:rsidRPr="00131EED" w14:paraId="4567FE58"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43CF6563" w14:textId="0A4573F5" w:rsidR="00A40699" w:rsidRPr="00131EED" w:rsidRDefault="00A40699" w:rsidP="00A40699">
            <w:pPr>
              <w:jc w:val="left"/>
              <w:rPr>
                <w:sz w:val="20"/>
                <w:szCs w:val="20"/>
                <w:lang w:eastAsia="en-US"/>
              </w:rPr>
            </w:pPr>
            <w:r w:rsidRPr="00131EED">
              <w:rPr>
                <w:sz w:val="20"/>
                <w:szCs w:val="20"/>
              </w:rPr>
              <w:t>2.4.4. Mosaico de pastos con espacios naturales</w:t>
            </w:r>
          </w:p>
        </w:tc>
        <w:tc>
          <w:tcPr>
            <w:tcW w:w="1760" w:type="dxa"/>
            <w:tcBorders>
              <w:top w:val="nil"/>
              <w:left w:val="nil"/>
              <w:bottom w:val="single" w:sz="4" w:space="0" w:color="auto"/>
              <w:right w:val="single" w:sz="4" w:space="0" w:color="auto"/>
            </w:tcBorders>
            <w:noWrap/>
            <w:vAlign w:val="center"/>
            <w:hideMark/>
          </w:tcPr>
          <w:p w14:paraId="067158CA" w14:textId="7867A8E2" w:rsidR="00A40699" w:rsidRPr="00131EED" w:rsidRDefault="00A40699" w:rsidP="00A40699">
            <w:pPr>
              <w:jc w:val="left"/>
              <w:rPr>
                <w:sz w:val="20"/>
                <w:szCs w:val="20"/>
                <w:lang w:eastAsia="en-US"/>
              </w:rPr>
            </w:pPr>
            <w:r w:rsidRPr="00131EED">
              <w:rPr>
                <w:sz w:val="20"/>
                <w:szCs w:val="20"/>
              </w:rPr>
              <w:t>487.5401</w:t>
            </w:r>
          </w:p>
        </w:tc>
      </w:tr>
      <w:tr w:rsidR="00A40699" w:rsidRPr="00131EED" w14:paraId="0C5D3466"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41956251" w14:textId="56BDA442" w:rsidR="00A40699" w:rsidRPr="00131EED" w:rsidRDefault="00A40699" w:rsidP="00A40699">
            <w:pPr>
              <w:jc w:val="left"/>
              <w:rPr>
                <w:sz w:val="20"/>
                <w:szCs w:val="20"/>
                <w:lang w:eastAsia="en-US"/>
              </w:rPr>
            </w:pPr>
            <w:r w:rsidRPr="00131EED">
              <w:rPr>
                <w:sz w:val="20"/>
                <w:szCs w:val="20"/>
              </w:rPr>
              <w:t>3.1.1. Bosque denso</w:t>
            </w:r>
          </w:p>
        </w:tc>
        <w:tc>
          <w:tcPr>
            <w:tcW w:w="1760" w:type="dxa"/>
            <w:tcBorders>
              <w:top w:val="nil"/>
              <w:left w:val="nil"/>
              <w:bottom w:val="single" w:sz="4" w:space="0" w:color="auto"/>
              <w:right w:val="single" w:sz="4" w:space="0" w:color="auto"/>
            </w:tcBorders>
            <w:noWrap/>
            <w:vAlign w:val="center"/>
            <w:hideMark/>
          </w:tcPr>
          <w:p w14:paraId="1AE989EE" w14:textId="4B0C3562" w:rsidR="00A40699" w:rsidRPr="00131EED" w:rsidRDefault="00A40699" w:rsidP="00A40699">
            <w:pPr>
              <w:jc w:val="left"/>
              <w:rPr>
                <w:sz w:val="20"/>
                <w:szCs w:val="20"/>
                <w:lang w:eastAsia="en-US"/>
              </w:rPr>
            </w:pPr>
            <w:r w:rsidRPr="00131EED">
              <w:rPr>
                <w:sz w:val="20"/>
                <w:szCs w:val="20"/>
              </w:rPr>
              <w:t>2.3306</w:t>
            </w:r>
          </w:p>
        </w:tc>
      </w:tr>
      <w:tr w:rsidR="00A40699" w:rsidRPr="00131EED" w14:paraId="638F69AE"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6EAFE4B9" w14:textId="04F4852F" w:rsidR="00A40699" w:rsidRPr="00131EED" w:rsidRDefault="00A40699" w:rsidP="00A40699">
            <w:pPr>
              <w:jc w:val="left"/>
              <w:rPr>
                <w:sz w:val="20"/>
                <w:szCs w:val="20"/>
                <w:lang w:eastAsia="en-US"/>
              </w:rPr>
            </w:pPr>
            <w:r w:rsidRPr="00131EED">
              <w:rPr>
                <w:sz w:val="20"/>
                <w:szCs w:val="20"/>
              </w:rPr>
              <w:t>3.1.3. Bosque fragmentado</w:t>
            </w:r>
          </w:p>
        </w:tc>
        <w:tc>
          <w:tcPr>
            <w:tcW w:w="1760" w:type="dxa"/>
            <w:tcBorders>
              <w:top w:val="nil"/>
              <w:left w:val="nil"/>
              <w:bottom w:val="single" w:sz="4" w:space="0" w:color="auto"/>
              <w:right w:val="single" w:sz="4" w:space="0" w:color="auto"/>
            </w:tcBorders>
            <w:noWrap/>
            <w:vAlign w:val="center"/>
            <w:hideMark/>
          </w:tcPr>
          <w:p w14:paraId="6CE68BD5" w14:textId="04DA83F5" w:rsidR="00A40699" w:rsidRPr="00131EED" w:rsidRDefault="00A40699" w:rsidP="00A40699">
            <w:pPr>
              <w:jc w:val="left"/>
              <w:rPr>
                <w:sz w:val="20"/>
                <w:szCs w:val="20"/>
                <w:lang w:eastAsia="en-US"/>
              </w:rPr>
            </w:pPr>
            <w:r w:rsidRPr="00131EED">
              <w:rPr>
                <w:sz w:val="20"/>
                <w:szCs w:val="20"/>
              </w:rPr>
              <w:t>3.4313</w:t>
            </w:r>
          </w:p>
        </w:tc>
      </w:tr>
      <w:tr w:rsidR="00A40699" w:rsidRPr="00131EED" w14:paraId="6EC05FF7"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0FD6296E" w14:textId="7AC7BA40" w:rsidR="00A40699" w:rsidRPr="00131EED" w:rsidRDefault="00A40699" w:rsidP="00A40699">
            <w:pPr>
              <w:jc w:val="left"/>
              <w:rPr>
                <w:sz w:val="20"/>
                <w:szCs w:val="20"/>
                <w:lang w:eastAsia="en-US"/>
              </w:rPr>
            </w:pPr>
            <w:r w:rsidRPr="00131EED">
              <w:rPr>
                <w:sz w:val="20"/>
                <w:szCs w:val="20"/>
              </w:rPr>
              <w:t xml:space="preserve">3.1.5. </w:t>
            </w:r>
            <w:r w:rsidR="00FE4A64" w:rsidRPr="00131EED">
              <w:rPr>
                <w:sz w:val="20"/>
                <w:szCs w:val="20"/>
              </w:rPr>
              <w:t>Plantación</w:t>
            </w:r>
            <w:r w:rsidRPr="00131EED">
              <w:rPr>
                <w:sz w:val="20"/>
                <w:szCs w:val="20"/>
              </w:rPr>
              <w:t xml:space="preserve"> forestal</w:t>
            </w:r>
          </w:p>
        </w:tc>
        <w:tc>
          <w:tcPr>
            <w:tcW w:w="1760" w:type="dxa"/>
            <w:tcBorders>
              <w:top w:val="nil"/>
              <w:left w:val="nil"/>
              <w:bottom w:val="single" w:sz="4" w:space="0" w:color="auto"/>
              <w:right w:val="single" w:sz="4" w:space="0" w:color="auto"/>
            </w:tcBorders>
            <w:noWrap/>
            <w:vAlign w:val="center"/>
            <w:hideMark/>
          </w:tcPr>
          <w:p w14:paraId="2600260C" w14:textId="3E57D223" w:rsidR="00A40699" w:rsidRPr="00131EED" w:rsidRDefault="00A40699" w:rsidP="00A40699">
            <w:pPr>
              <w:jc w:val="left"/>
              <w:rPr>
                <w:sz w:val="20"/>
                <w:szCs w:val="20"/>
                <w:lang w:eastAsia="en-US"/>
              </w:rPr>
            </w:pPr>
            <w:r w:rsidRPr="00131EED">
              <w:rPr>
                <w:sz w:val="20"/>
                <w:szCs w:val="20"/>
              </w:rPr>
              <w:t>82.6087</w:t>
            </w:r>
          </w:p>
        </w:tc>
      </w:tr>
      <w:tr w:rsidR="00A40699" w:rsidRPr="00131EED" w14:paraId="0A43C1DA"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652E7D1D" w14:textId="16C9F8B1" w:rsidR="00A40699" w:rsidRPr="00131EED" w:rsidRDefault="00A40699" w:rsidP="00A40699">
            <w:pPr>
              <w:jc w:val="left"/>
              <w:rPr>
                <w:sz w:val="20"/>
                <w:szCs w:val="20"/>
                <w:lang w:eastAsia="en-US"/>
              </w:rPr>
            </w:pPr>
            <w:r w:rsidRPr="00131EED">
              <w:rPr>
                <w:sz w:val="20"/>
                <w:szCs w:val="20"/>
              </w:rPr>
              <w:t>3.2.1. Herbazal</w:t>
            </w:r>
          </w:p>
        </w:tc>
        <w:tc>
          <w:tcPr>
            <w:tcW w:w="1760" w:type="dxa"/>
            <w:tcBorders>
              <w:top w:val="nil"/>
              <w:left w:val="nil"/>
              <w:bottom w:val="single" w:sz="4" w:space="0" w:color="auto"/>
              <w:right w:val="single" w:sz="4" w:space="0" w:color="auto"/>
            </w:tcBorders>
            <w:noWrap/>
            <w:vAlign w:val="center"/>
            <w:hideMark/>
          </w:tcPr>
          <w:p w14:paraId="4382C170" w14:textId="566BEFDB" w:rsidR="00A40699" w:rsidRPr="00131EED" w:rsidRDefault="00A40699" w:rsidP="00A40699">
            <w:pPr>
              <w:jc w:val="left"/>
              <w:rPr>
                <w:sz w:val="20"/>
                <w:szCs w:val="20"/>
                <w:lang w:eastAsia="en-US"/>
              </w:rPr>
            </w:pPr>
            <w:r w:rsidRPr="00131EED">
              <w:rPr>
                <w:sz w:val="20"/>
                <w:szCs w:val="20"/>
              </w:rPr>
              <w:t>420.4628</w:t>
            </w:r>
          </w:p>
        </w:tc>
      </w:tr>
      <w:tr w:rsidR="00A40699" w:rsidRPr="00131EED" w14:paraId="0DA42787"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64708BB4" w14:textId="20158066" w:rsidR="00A40699" w:rsidRPr="00131EED" w:rsidRDefault="00A40699" w:rsidP="00A40699">
            <w:pPr>
              <w:jc w:val="left"/>
              <w:rPr>
                <w:sz w:val="20"/>
                <w:szCs w:val="20"/>
                <w:lang w:eastAsia="en-US"/>
              </w:rPr>
            </w:pPr>
            <w:r w:rsidRPr="00131EED">
              <w:rPr>
                <w:sz w:val="20"/>
                <w:szCs w:val="20"/>
              </w:rPr>
              <w:t>3.2.2. Arbustal</w:t>
            </w:r>
          </w:p>
        </w:tc>
        <w:tc>
          <w:tcPr>
            <w:tcW w:w="1760" w:type="dxa"/>
            <w:tcBorders>
              <w:top w:val="nil"/>
              <w:left w:val="nil"/>
              <w:bottom w:val="single" w:sz="4" w:space="0" w:color="auto"/>
              <w:right w:val="single" w:sz="4" w:space="0" w:color="auto"/>
            </w:tcBorders>
            <w:noWrap/>
            <w:vAlign w:val="center"/>
            <w:hideMark/>
          </w:tcPr>
          <w:p w14:paraId="4CAC6B7B" w14:textId="2CD8B649" w:rsidR="00A40699" w:rsidRPr="00131EED" w:rsidRDefault="00A40699" w:rsidP="00A40699">
            <w:pPr>
              <w:jc w:val="left"/>
              <w:rPr>
                <w:sz w:val="20"/>
                <w:szCs w:val="20"/>
                <w:lang w:eastAsia="en-US"/>
              </w:rPr>
            </w:pPr>
            <w:r w:rsidRPr="00131EED">
              <w:rPr>
                <w:sz w:val="20"/>
                <w:szCs w:val="20"/>
              </w:rPr>
              <w:t>982.7298</w:t>
            </w:r>
          </w:p>
        </w:tc>
      </w:tr>
      <w:tr w:rsidR="00A40699" w:rsidRPr="00131EED" w14:paraId="34B4B14B"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6D8D1159" w14:textId="40BBC88E" w:rsidR="00A40699" w:rsidRPr="00131EED" w:rsidRDefault="00A40699" w:rsidP="00A40699">
            <w:pPr>
              <w:jc w:val="left"/>
              <w:rPr>
                <w:sz w:val="20"/>
                <w:szCs w:val="20"/>
                <w:lang w:eastAsia="en-US"/>
              </w:rPr>
            </w:pPr>
            <w:r w:rsidRPr="00131EED">
              <w:rPr>
                <w:sz w:val="20"/>
                <w:szCs w:val="20"/>
              </w:rPr>
              <w:t xml:space="preserve">3.2.3. </w:t>
            </w:r>
            <w:r w:rsidR="00FE4A64" w:rsidRPr="00131EED">
              <w:rPr>
                <w:sz w:val="20"/>
                <w:szCs w:val="20"/>
              </w:rPr>
              <w:t>Vegetación</w:t>
            </w:r>
            <w:r w:rsidRPr="00131EED">
              <w:rPr>
                <w:sz w:val="20"/>
                <w:szCs w:val="20"/>
              </w:rPr>
              <w:t xml:space="preserve"> secundaria o en </w:t>
            </w:r>
            <w:r w:rsidR="00FE4A64" w:rsidRPr="00131EED">
              <w:rPr>
                <w:sz w:val="20"/>
                <w:szCs w:val="20"/>
              </w:rPr>
              <w:t>transición</w:t>
            </w:r>
          </w:p>
        </w:tc>
        <w:tc>
          <w:tcPr>
            <w:tcW w:w="1760" w:type="dxa"/>
            <w:tcBorders>
              <w:top w:val="nil"/>
              <w:left w:val="nil"/>
              <w:bottom w:val="single" w:sz="4" w:space="0" w:color="auto"/>
              <w:right w:val="single" w:sz="4" w:space="0" w:color="auto"/>
            </w:tcBorders>
            <w:noWrap/>
            <w:vAlign w:val="center"/>
            <w:hideMark/>
          </w:tcPr>
          <w:p w14:paraId="57DF8315" w14:textId="0C048508" w:rsidR="00A40699" w:rsidRPr="00131EED" w:rsidRDefault="00A40699" w:rsidP="00A40699">
            <w:pPr>
              <w:jc w:val="left"/>
              <w:rPr>
                <w:sz w:val="20"/>
                <w:szCs w:val="20"/>
                <w:lang w:eastAsia="en-US"/>
              </w:rPr>
            </w:pPr>
            <w:r w:rsidRPr="00131EED">
              <w:rPr>
                <w:sz w:val="20"/>
                <w:szCs w:val="20"/>
              </w:rPr>
              <w:t>226.7570</w:t>
            </w:r>
          </w:p>
        </w:tc>
      </w:tr>
      <w:tr w:rsidR="00A40699" w:rsidRPr="00131EED" w14:paraId="34E21489"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13025CF8" w14:textId="02EC3B0A" w:rsidR="00A40699" w:rsidRPr="00131EED" w:rsidRDefault="00A40699" w:rsidP="00A40699">
            <w:pPr>
              <w:jc w:val="left"/>
              <w:rPr>
                <w:sz w:val="20"/>
                <w:szCs w:val="20"/>
                <w:lang w:eastAsia="en-US"/>
              </w:rPr>
            </w:pPr>
            <w:r w:rsidRPr="00131EED">
              <w:rPr>
                <w:sz w:val="20"/>
                <w:szCs w:val="20"/>
              </w:rPr>
              <w:t>3.3.1. Zonas arenosas naturales</w:t>
            </w:r>
          </w:p>
        </w:tc>
        <w:tc>
          <w:tcPr>
            <w:tcW w:w="1760" w:type="dxa"/>
            <w:tcBorders>
              <w:top w:val="nil"/>
              <w:left w:val="nil"/>
              <w:bottom w:val="single" w:sz="4" w:space="0" w:color="auto"/>
              <w:right w:val="single" w:sz="4" w:space="0" w:color="auto"/>
            </w:tcBorders>
            <w:noWrap/>
            <w:vAlign w:val="center"/>
            <w:hideMark/>
          </w:tcPr>
          <w:p w14:paraId="5CB55DF3" w14:textId="450564A1" w:rsidR="00A40699" w:rsidRPr="00131EED" w:rsidRDefault="00A40699" w:rsidP="00A40699">
            <w:pPr>
              <w:jc w:val="left"/>
              <w:rPr>
                <w:sz w:val="20"/>
                <w:szCs w:val="20"/>
                <w:lang w:eastAsia="en-US"/>
              </w:rPr>
            </w:pPr>
            <w:r w:rsidRPr="00131EED">
              <w:rPr>
                <w:sz w:val="20"/>
                <w:szCs w:val="20"/>
              </w:rPr>
              <w:t>75.3505</w:t>
            </w:r>
          </w:p>
        </w:tc>
      </w:tr>
      <w:tr w:rsidR="00A40699" w:rsidRPr="00131EED" w14:paraId="7713F142"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603A9CC4" w14:textId="3AA2D5FC" w:rsidR="00A40699" w:rsidRPr="00131EED" w:rsidRDefault="00A40699" w:rsidP="00A40699">
            <w:pPr>
              <w:jc w:val="left"/>
              <w:rPr>
                <w:sz w:val="20"/>
                <w:szCs w:val="20"/>
                <w:lang w:eastAsia="en-US"/>
              </w:rPr>
            </w:pPr>
            <w:r w:rsidRPr="00131EED">
              <w:rPr>
                <w:sz w:val="20"/>
                <w:szCs w:val="20"/>
              </w:rPr>
              <w:t>3.3.2. Afloramientos rocosos</w:t>
            </w:r>
          </w:p>
        </w:tc>
        <w:tc>
          <w:tcPr>
            <w:tcW w:w="1760" w:type="dxa"/>
            <w:tcBorders>
              <w:top w:val="nil"/>
              <w:left w:val="nil"/>
              <w:bottom w:val="single" w:sz="4" w:space="0" w:color="auto"/>
              <w:right w:val="single" w:sz="4" w:space="0" w:color="auto"/>
            </w:tcBorders>
            <w:noWrap/>
            <w:vAlign w:val="center"/>
            <w:hideMark/>
          </w:tcPr>
          <w:p w14:paraId="439CF29B" w14:textId="2A827DAD" w:rsidR="00A40699" w:rsidRPr="00131EED" w:rsidRDefault="00A40699" w:rsidP="00A40699">
            <w:pPr>
              <w:jc w:val="left"/>
              <w:rPr>
                <w:sz w:val="20"/>
                <w:szCs w:val="20"/>
                <w:lang w:eastAsia="en-US"/>
              </w:rPr>
            </w:pPr>
            <w:r w:rsidRPr="00131EED">
              <w:rPr>
                <w:sz w:val="20"/>
                <w:szCs w:val="20"/>
              </w:rPr>
              <w:t>8.9971</w:t>
            </w:r>
          </w:p>
        </w:tc>
      </w:tr>
      <w:tr w:rsidR="00A40699" w:rsidRPr="00131EED" w14:paraId="5230BF35"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531B5FB8" w14:textId="2F64B264" w:rsidR="00A40699" w:rsidRPr="00131EED" w:rsidRDefault="00A40699" w:rsidP="00A40699">
            <w:pPr>
              <w:jc w:val="left"/>
              <w:rPr>
                <w:sz w:val="20"/>
                <w:szCs w:val="20"/>
                <w:lang w:eastAsia="en-US"/>
              </w:rPr>
            </w:pPr>
            <w:r w:rsidRPr="00131EED">
              <w:rPr>
                <w:sz w:val="20"/>
                <w:szCs w:val="20"/>
              </w:rPr>
              <w:t>3.3.3. Tierras desnudas y degradadas</w:t>
            </w:r>
          </w:p>
        </w:tc>
        <w:tc>
          <w:tcPr>
            <w:tcW w:w="1760" w:type="dxa"/>
            <w:tcBorders>
              <w:top w:val="nil"/>
              <w:left w:val="nil"/>
              <w:bottom w:val="single" w:sz="4" w:space="0" w:color="auto"/>
              <w:right w:val="single" w:sz="4" w:space="0" w:color="auto"/>
            </w:tcBorders>
            <w:noWrap/>
            <w:vAlign w:val="center"/>
            <w:hideMark/>
          </w:tcPr>
          <w:p w14:paraId="5C3401AA" w14:textId="7184C241" w:rsidR="00A40699" w:rsidRPr="00131EED" w:rsidRDefault="00A40699" w:rsidP="00A40699">
            <w:pPr>
              <w:jc w:val="left"/>
              <w:rPr>
                <w:sz w:val="20"/>
                <w:szCs w:val="20"/>
                <w:lang w:eastAsia="en-US"/>
              </w:rPr>
            </w:pPr>
            <w:r w:rsidRPr="00131EED">
              <w:rPr>
                <w:sz w:val="20"/>
                <w:szCs w:val="20"/>
              </w:rPr>
              <w:t>894.2311</w:t>
            </w:r>
          </w:p>
        </w:tc>
      </w:tr>
      <w:tr w:rsidR="00A40699" w:rsidRPr="00131EED" w14:paraId="38544E21"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33243609" w14:textId="35B0D623" w:rsidR="00A40699" w:rsidRPr="00131EED" w:rsidRDefault="00A40699" w:rsidP="00A40699">
            <w:pPr>
              <w:jc w:val="left"/>
              <w:rPr>
                <w:sz w:val="20"/>
                <w:szCs w:val="20"/>
                <w:lang w:eastAsia="en-US"/>
              </w:rPr>
            </w:pPr>
            <w:r w:rsidRPr="00131EED">
              <w:rPr>
                <w:sz w:val="20"/>
                <w:szCs w:val="20"/>
              </w:rPr>
              <w:t>4.1.1. Zonas Pantanosas</w:t>
            </w:r>
          </w:p>
        </w:tc>
        <w:tc>
          <w:tcPr>
            <w:tcW w:w="1760" w:type="dxa"/>
            <w:tcBorders>
              <w:top w:val="nil"/>
              <w:left w:val="nil"/>
              <w:bottom w:val="single" w:sz="4" w:space="0" w:color="auto"/>
              <w:right w:val="single" w:sz="4" w:space="0" w:color="auto"/>
            </w:tcBorders>
            <w:noWrap/>
            <w:vAlign w:val="center"/>
            <w:hideMark/>
          </w:tcPr>
          <w:p w14:paraId="0F39D2AF" w14:textId="0090B1F6" w:rsidR="00A40699" w:rsidRPr="00131EED" w:rsidRDefault="00A40699" w:rsidP="00A40699">
            <w:pPr>
              <w:jc w:val="left"/>
              <w:rPr>
                <w:sz w:val="20"/>
                <w:szCs w:val="20"/>
                <w:lang w:eastAsia="en-US"/>
              </w:rPr>
            </w:pPr>
            <w:r w:rsidRPr="00131EED">
              <w:rPr>
                <w:sz w:val="20"/>
                <w:szCs w:val="20"/>
              </w:rPr>
              <w:t>571.5485</w:t>
            </w:r>
          </w:p>
        </w:tc>
      </w:tr>
      <w:tr w:rsidR="00A40699" w:rsidRPr="00131EED" w14:paraId="2E5BF54F"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15461791" w14:textId="4FD1BEB6" w:rsidR="00A40699" w:rsidRPr="00131EED" w:rsidRDefault="00A40699" w:rsidP="00A40699">
            <w:pPr>
              <w:jc w:val="left"/>
              <w:rPr>
                <w:sz w:val="20"/>
                <w:szCs w:val="20"/>
                <w:lang w:eastAsia="en-US"/>
              </w:rPr>
            </w:pPr>
            <w:r w:rsidRPr="00131EED">
              <w:rPr>
                <w:sz w:val="20"/>
                <w:szCs w:val="20"/>
              </w:rPr>
              <w:t xml:space="preserve">4.1.3. </w:t>
            </w:r>
            <w:r w:rsidR="00FE4A64" w:rsidRPr="00131EED">
              <w:rPr>
                <w:sz w:val="20"/>
                <w:szCs w:val="20"/>
              </w:rPr>
              <w:t>Vegetación</w:t>
            </w:r>
            <w:r w:rsidRPr="00131EED">
              <w:rPr>
                <w:sz w:val="20"/>
                <w:szCs w:val="20"/>
              </w:rPr>
              <w:t xml:space="preserve"> </w:t>
            </w:r>
            <w:r w:rsidR="00FE4A64" w:rsidRPr="00131EED">
              <w:rPr>
                <w:sz w:val="20"/>
                <w:szCs w:val="20"/>
              </w:rPr>
              <w:t>acuática</w:t>
            </w:r>
            <w:r w:rsidRPr="00131EED">
              <w:rPr>
                <w:sz w:val="20"/>
                <w:szCs w:val="20"/>
              </w:rPr>
              <w:t xml:space="preserve"> sobre cuerpos de agua</w:t>
            </w:r>
          </w:p>
        </w:tc>
        <w:tc>
          <w:tcPr>
            <w:tcW w:w="1760" w:type="dxa"/>
            <w:tcBorders>
              <w:top w:val="nil"/>
              <w:left w:val="nil"/>
              <w:bottom w:val="single" w:sz="4" w:space="0" w:color="auto"/>
              <w:right w:val="single" w:sz="4" w:space="0" w:color="auto"/>
            </w:tcBorders>
            <w:noWrap/>
            <w:vAlign w:val="center"/>
            <w:hideMark/>
          </w:tcPr>
          <w:p w14:paraId="3D02C568" w14:textId="29E661D8" w:rsidR="00A40699" w:rsidRPr="00131EED" w:rsidRDefault="00A40699" w:rsidP="00A40699">
            <w:pPr>
              <w:jc w:val="left"/>
              <w:rPr>
                <w:sz w:val="20"/>
                <w:szCs w:val="20"/>
                <w:lang w:eastAsia="en-US"/>
              </w:rPr>
            </w:pPr>
            <w:r w:rsidRPr="00131EED">
              <w:rPr>
                <w:sz w:val="20"/>
                <w:szCs w:val="20"/>
              </w:rPr>
              <w:t>34.6827</w:t>
            </w:r>
          </w:p>
        </w:tc>
      </w:tr>
      <w:tr w:rsidR="00A40699" w:rsidRPr="00131EED" w14:paraId="237F2817"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18DE98F7" w14:textId="09E539EE" w:rsidR="00A40699" w:rsidRPr="00131EED" w:rsidRDefault="00A40699" w:rsidP="00A40699">
            <w:pPr>
              <w:jc w:val="left"/>
              <w:rPr>
                <w:sz w:val="20"/>
                <w:szCs w:val="20"/>
                <w:lang w:eastAsia="en-US"/>
              </w:rPr>
            </w:pPr>
            <w:r w:rsidRPr="00131EED">
              <w:rPr>
                <w:sz w:val="20"/>
                <w:szCs w:val="20"/>
              </w:rPr>
              <w:t>5.1.4. Cuerpos de agua artificiales</w:t>
            </w:r>
          </w:p>
        </w:tc>
        <w:tc>
          <w:tcPr>
            <w:tcW w:w="1760" w:type="dxa"/>
            <w:tcBorders>
              <w:top w:val="nil"/>
              <w:left w:val="nil"/>
              <w:bottom w:val="single" w:sz="4" w:space="0" w:color="auto"/>
              <w:right w:val="single" w:sz="4" w:space="0" w:color="auto"/>
            </w:tcBorders>
            <w:noWrap/>
            <w:vAlign w:val="center"/>
            <w:hideMark/>
          </w:tcPr>
          <w:p w14:paraId="2E9EF73A" w14:textId="2F1E2431" w:rsidR="00A40699" w:rsidRPr="00131EED" w:rsidRDefault="00A40699" w:rsidP="00A40699">
            <w:pPr>
              <w:jc w:val="left"/>
              <w:rPr>
                <w:sz w:val="20"/>
                <w:szCs w:val="20"/>
                <w:lang w:eastAsia="en-US"/>
              </w:rPr>
            </w:pPr>
            <w:r w:rsidRPr="00131EED">
              <w:rPr>
                <w:sz w:val="20"/>
                <w:szCs w:val="20"/>
              </w:rPr>
              <w:t>12.1328</w:t>
            </w:r>
          </w:p>
        </w:tc>
      </w:tr>
      <w:tr w:rsidR="00A40699" w:rsidRPr="00131EED" w14:paraId="60ADF073" w14:textId="77777777" w:rsidTr="00A40699">
        <w:trPr>
          <w:trHeight w:val="288"/>
          <w:jc w:val="center"/>
        </w:trPr>
        <w:tc>
          <w:tcPr>
            <w:tcW w:w="4880" w:type="dxa"/>
            <w:tcBorders>
              <w:top w:val="nil"/>
              <w:left w:val="single" w:sz="4" w:space="0" w:color="auto"/>
              <w:bottom w:val="single" w:sz="4" w:space="0" w:color="auto"/>
              <w:right w:val="single" w:sz="4" w:space="0" w:color="auto"/>
            </w:tcBorders>
            <w:noWrap/>
            <w:vAlign w:val="center"/>
            <w:hideMark/>
          </w:tcPr>
          <w:p w14:paraId="6031C0C9" w14:textId="08731F1F" w:rsidR="00A40699" w:rsidRPr="00131EED" w:rsidRDefault="00A40699" w:rsidP="00A40699">
            <w:pPr>
              <w:jc w:val="left"/>
              <w:rPr>
                <w:sz w:val="20"/>
                <w:szCs w:val="20"/>
                <w:lang w:eastAsia="en-US"/>
              </w:rPr>
            </w:pPr>
            <w:r w:rsidRPr="00131EED">
              <w:rPr>
                <w:sz w:val="20"/>
                <w:szCs w:val="20"/>
              </w:rPr>
              <w:t>Total</w:t>
            </w:r>
          </w:p>
        </w:tc>
        <w:tc>
          <w:tcPr>
            <w:tcW w:w="1760" w:type="dxa"/>
            <w:tcBorders>
              <w:top w:val="nil"/>
              <w:left w:val="nil"/>
              <w:bottom w:val="single" w:sz="4" w:space="0" w:color="auto"/>
              <w:right w:val="single" w:sz="4" w:space="0" w:color="auto"/>
            </w:tcBorders>
            <w:noWrap/>
            <w:vAlign w:val="center"/>
            <w:hideMark/>
          </w:tcPr>
          <w:p w14:paraId="6FBDD554" w14:textId="446AB7BB" w:rsidR="00A40699" w:rsidRPr="00131EED" w:rsidRDefault="00A40699" w:rsidP="00A40699">
            <w:pPr>
              <w:jc w:val="left"/>
              <w:rPr>
                <w:sz w:val="20"/>
                <w:szCs w:val="20"/>
                <w:lang w:eastAsia="en-US"/>
              </w:rPr>
            </w:pPr>
            <w:r w:rsidRPr="00131EED">
              <w:rPr>
                <w:sz w:val="20"/>
                <w:szCs w:val="20"/>
              </w:rPr>
              <w:t>21786.0188</w:t>
            </w:r>
          </w:p>
        </w:tc>
      </w:tr>
    </w:tbl>
    <w:p w14:paraId="35EF4268" w14:textId="0F469262" w:rsidR="005874A0" w:rsidRPr="00131EED" w:rsidRDefault="00F74020" w:rsidP="00F74020">
      <w:pPr>
        <w:jc w:val="center"/>
        <w:rPr>
          <w:rFonts w:cs="Arial"/>
          <w:sz w:val="20"/>
          <w:szCs w:val="20"/>
        </w:rPr>
      </w:pPr>
      <w:r w:rsidRPr="00131EED">
        <w:rPr>
          <w:rFonts w:cs="Arial"/>
          <w:sz w:val="20"/>
          <w:szCs w:val="20"/>
        </w:rPr>
        <w:t>Fuente: Elaboración propia con datos de IGAC(2002, 2018)</w:t>
      </w:r>
    </w:p>
    <w:p w14:paraId="23134C35" w14:textId="77777777" w:rsidR="00195717" w:rsidRPr="00131EED" w:rsidRDefault="00195717" w:rsidP="00195717">
      <w:pPr>
        <w:rPr>
          <w:rFonts w:cs="Arial"/>
          <w:sz w:val="20"/>
          <w:szCs w:val="20"/>
        </w:rPr>
      </w:pPr>
    </w:p>
    <w:p w14:paraId="6B9F652A" w14:textId="73C7A3E4" w:rsidR="0034086F" w:rsidRPr="00131EED" w:rsidRDefault="0034086F" w:rsidP="0034086F">
      <w:pPr>
        <w:rPr>
          <w:rFonts w:cs="Arial"/>
        </w:rPr>
      </w:pPr>
      <w:r w:rsidRPr="00131EED">
        <w:rPr>
          <w:rFonts w:cs="Arial"/>
        </w:rPr>
        <w:t>De acuerdo con la tabla anterior, las coberturas de pastos, mosaicos y cultivos confinados suman más del 80% del total transformado, lo que evidencia una presión significativa sobre territorios agrícolas.</w:t>
      </w:r>
    </w:p>
    <w:p w14:paraId="5CF8FF75" w14:textId="77777777" w:rsidR="0034086F" w:rsidRPr="00131EED" w:rsidRDefault="0034086F" w:rsidP="0034086F">
      <w:pPr>
        <w:rPr>
          <w:rFonts w:cs="Arial"/>
        </w:rPr>
      </w:pPr>
    </w:p>
    <w:p w14:paraId="576D0771" w14:textId="08C9CA8F" w:rsidR="0034086F" w:rsidRPr="00131EED" w:rsidRDefault="0034086F" w:rsidP="0034086F">
      <w:pPr>
        <w:rPr>
          <w:rFonts w:cs="Arial"/>
        </w:rPr>
      </w:pPr>
      <w:r w:rsidRPr="00131EED">
        <w:rPr>
          <w:rFonts w:cs="Arial"/>
        </w:rPr>
        <w:t>Por contraste, bosques y áreas seminaturales, áreas húmedas y superficies de agua, presentan transformaciones menores en superficie absoluta, pero de alta importancia ecológica, especialmente en herbazales (420,46 ha), arbustales (982,73 ha) y zonas pantanosas (571,55 ha), que cumplen funciones claves en la regulación hídrica y la conectividad ecológica.</w:t>
      </w:r>
    </w:p>
    <w:p w14:paraId="0CC34F06" w14:textId="77777777" w:rsidR="0034086F" w:rsidRPr="00131EED" w:rsidRDefault="0034086F" w:rsidP="0034086F">
      <w:pPr>
        <w:rPr>
          <w:rFonts w:cs="Arial"/>
        </w:rPr>
      </w:pPr>
    </w:p>
    <w:p w14:paraId="57F3FEB9" w14:textId="09A0511F" w:rsidR="005874A0" w:rsidRPr="00131EED" w:rsidRDefault="0034086F" w:rsidP="0034086F">
      <w:pPr>
        <w:rPr>
          <w:rFonts w:cs="Arial"/>
        </w:rPr>
      </w:pPr>
      <w:r w:rsidRPr="00131EED">
        <w:rPr>
          <w:rFonts w:cs="Arial"/>
        </w:rPr>
        <w:t xml:space="preserve">El mayor impacto se concentra en la expansión de usos agropecuarios —particularmente pastos y mosaicos agrícolas—, lo que refleja una pérdida de </w:t>
      </w:r>
      <w:r w:rsidR="00B07C91" w:rsidRPr="00131EED">
        <w:rPr>
          <w:rFonts w:cs="Arial"/>
        </w:rPr>
        <w:t>integridad</w:t>
      </w:r>
      <w:r w:rsidRPr="00131EED">
        <w:rPr>
          <w:rFonts w:cs="Arial"/>
        </w:rPr>
        <w:t xml:space="preserve"> ecológica y una transformación intensa de los paisajes rurales hacia </w:t>
      </w:r>
      <w:r w:rsidR="006121CD" w:rsidRPr="00131EED">
        <w:rPr>
          <w:rFonts w:cs="Arial"/>
        </w:rPr>
        <w:t>territorios</w:t>
      </w:r>
      <w:r w:rsidR="00B07C91" w:rsidRPr="00131EED">
        <w:rPr>
          <w:rFonts w:cs="Arial"/>
        </w:rPr>
        <w:t xml:space="preserve"> de menor</w:t>
      </w:r>
      <w:r w:rsidRPr="00131EED">
        <w:rPr>
          <w:rFonts w:cs="Arial"/>
        </w:rPr>
        <w:t xml:space="preserve"> capacidad de soporte ambiental.</w:t>
      </w:r>
    </w:p>
    <w:p w14:paraId="565A04A9" w14:textId="77777777" w:rsidR="00565CA7" w:rsidRPr="00131EED" w:rsidRDefault="00565CA7" w:rsidP="00410194">
      <w:pPr>
        <w:pStyle w:val="Heading3"/>
        <w:numPr>
          <w:ilvl w:val="3"/>
          <w:numId w:val="31"/>
        </w:numPr>
        <w:rPr>
          <w:i/>
        </w:rPr>
      </w:pPr>
      <w:bookmarkStart w:id="338" w:name="_Toc216468740"/>
      <w:r w:rsidRPr="00131EED">
        <w:rPr>
          <w:rFonts w:eastAsia="Century Gothic"/>
          <w:i/>
        </w:rPr>
        <w:t>El suelo de la Sabana de Bogotá y su vocación agropecuaria y ambiental</w:t>
      </w:r>
      <w:bookmarkEnd w:id="338"/>
      <w:r w:rsidRPr="00131EED">
        <w:rPr>
          <w:rFonts w:eastAsia="Century Gothic"/>
          <w:i/>
        </w:rPr>
        <w:t xml:space="preserve">  </w:t>
      </w:r>
    </w:p>
    <w:p w14:paraId="5671B683" w14:textId="77777777" w:rsidR="00565CA7" w:rsidRPr="00131EED" w:rsidRDefault="00565CA7" w:rsidP="00565CA7">
      <w:pPr>
        <w:rPr>
          <w:rFonts w:ascii="Baskerville" w:hAnsi="Baskerville" w:cs="Arial"/>
        </w:rPr>
      </w:pPr>
    </w:p>
    <w:p w14:paraId="6373A7BD" w14:textId="77777777" w:rsidR="00565CA7" w:rsidRPr="00131EED" w:rsidRDefault="00565CA7" w:rsidP="00565CA7">
      <w:pPr>
        <w:rPr>
          <w:rFonts w:cs="Arial"/>
        </w:rPr>
      </w:pPr>
      <w:r w:rsidRPr="00131EED">
        <w:rPr>
          <w:rFonts w:cs="Arial"/>
        </w:rPr>
        <w:t>La política para la gestión sostenible del suelo (2016) busca promover el manejo sostenible del suelo en Colombia, en un contexto en el que confluyan la conservación de la biodiversidad, el agua y el aire, el ordenamiento del territorio y la gestión de riesgo, contribuyendo al desarrollo sostenible y al bienestar de los colombianos.</w:t>
      </w:r>
    </w:p>
    <w:p w14:paraId="66F6E9EE" w14:textId="77777777" w:rsidR="00565CA7" w:rsidRPr="00131EED" w:rsidRDefault="00565CA7" w:rsidP="00565CA7">
      <w:pPr>
        <w:rPr>
          <w:rFonts w:cs="Arial"/>
        </w:rPr>
      </w:pPr>
    </w:p>
    <w:p w14:paraId="29793B5C" w14:textId="77777777" w:rsidR="00565CA7" w:rsidRPr="00131EED" w:rsidRDefault="00565CA7" w:rsidP="00565CA7">
      <w:pPr>
        <w:rPr>
          <w:rFonts w:cs="Arial"/>
        </w:rPr>
      </w:pPr>
      <w:r w:rsidRPr="00131EED">
        <w:rPr>
          <w:rFonts w:cs="Arial"/>
        </w:rPr>
        <w:t>Entre los servicios ecosistémicos asociados al suelo se destacan: producción de alimentos; filtrado e intercambio de gases; depuración de la contaminación; regulación climática e hídrica; reciclaje de nutrientes; filtrado de agua; soporte para industria, infraestructura y turismo; entre otros (Blum, 2005; Bone et al., 2010; Millennium Ecosystem Assessment, 2005).</w:t>
      </w:r>
    </w:p>
    <w:p w14:paraId="2AE7017B" w14:textId="77777777" w:rsidR="00565CA7" w:rsidRPr="00131EED" w:rsidRDefault="00565CA7" w:rsidP="00565CA7">
      <w:pPr>
        <w:rPr>
          <w:rFonts w:cs="Arial"/>
        </w:rPr>
      </w:pPr>
    </w:p>
    <w:p w14:paraId="7B3082FA" w14:textId="77777777" w:rsidR="00565CA7" w:rsidRPr="00131EED" w:rsidRDefault="00565CA7" w:rsidP="00565CA7">
      <w:pPr>
        <w:rPr>
          <w:rFonts w:cs="Arial"/>
        </w:rPr>
      </w:pPr>
      <w:r w:rsidRPr="00131EED">
        <w:rPr>
          <w:rFonts w:cs="Arial"/>
        </w:rPr>
        <w:t>Los suelos hacen parte de la diversidad natural y biológica y están compuestos por minerales, agua, aire y organismos vivos; sus usos son esencialmente culturales, según las prácticas y las costumbres de los individuos y las comunidades, las cuales están predeterminadas por normas, reglas u orientaciones sociales, comunitarias o estatales.</w:t>
      </w:r>
    </w:p>
    <w:p w14:paraId="0F1DB2F9" w14:textId="77777777" w:rsidR="00565CA7" w:rsidRPr="00131EED" w:rsidRDefault="00565CA7" w:rsidP="00565CA7">
      <w:pPr>
        <w:rPr>
          <w:rFonts w:cs="Arial"/>
        </w:rPr>
      </w:pPr>
    </w:p>
    <w:p w14:paraId="0167C191" w14:textId="77777777" w:rsidR="00565CA7" w:rsidRPr="00131EED" w:rsidRDefault="00565CA7" w:rsidP="00565CA7">
      <w:pPr>
        <w:rPr>
          <w:rFonts w:cs="Arial"/>
        </w:rPr>
      </w:pPr>
      <w:r w:rsidRPr="00131EED">
        <w:rPr>
          <w:rFonts w:cs="Arial"/>
        </w:rPr>
        <w:t>Así́ mismo, son indispensables y determinantes para la estructura y el funcionamiento de los ciclos del agua, del aire y de los nutrientes, as</w:t>
      </w:r>
      <w:r w:rsidRPr="00131EED">
        <w:rPr>
          <w:rFonts w:cs="Baskerville Old Face"/>
        </w:rPr>
        <w:t>í</w:t>
      </w:r>
      <w:r w:rsidRPr="00131EED">
        <w:rPr>
          <w:rFonts w:cs="Arial"/>
        </w:rPr>
        <w:t>́ como para la biodiversidad. Esto en raz</w:t>
      </w:r>
      <w:r w:rsidRPr="00131EED">
        <w:rPr>
          <w:rFonts w:cs="Baskerville Old Face"/>
        </w:rPr>
        <w:t>ó</w:t>
      </w:r>
      <w:r w:rsidRPr="00131EED">
        <w:rPr>
          <w:rFonts w:cs="Arial"/>
        </w:rPr>
        <w:t>n a que el suelo es parte esencial de los ciclos biogeoqu</w:t>
      </w:r>
      <w:r w:rsidRPr="00131EED">
        <w:rPr>
          <w:rFonts w:cs="Baskerville Old Face"/>
        </w:rPr>
        <w:t>í</w:t>
      </w:r>
      <w:r w:rsidRPr="00131EED">
        <w:rPr>
          <w:rFonts w:cs="Arial"/>
        </w:rPr>
        <w:t>micos, en los cuales hay distribución, transporte, almacenamiento y transformación de materiales y energía necesarios para la vida en el planeta (van Miegrot y Johnsson, 2009; Martin, 1998).</w:t>
      </w:r>
    </w:p>
    <w:p w14:paraId="0479999E" w14:textId="77777777" w:rsidR="00565CA7" w:rsidRPr="00131EED" w:rsidRDefault="00565CA7" w:rsidP="00565CA7">
      <w:pPr>
        <w:rPr>
          <w:rFonts w:cs="Arial"/>
        </w:rPr>
      </w:pPr>
    </w:p>
    <w:p w14:paraId="4806EFE2" w14:textId="77777777" w:rsidR="00565CA7" w:rsidRPr="00131EED" w:rsidRDefault="00565CA7" w:rsidP="00565CA7">
      <w:pPr>
        <w:rPr>
          <w:rFonts w:cs="Arial"/>
        </w:rPr>
      </w:pPr>
      <w:r w:rsidRPr="00131EED">
        <w:rPr>
          <w:rFonts w:cs="Arial"/>
        </w:rPr>
        <w:t>El suelo en la sabana de Bogotá puede ser analizado desde su capacidad de uso, la cual se fundamenta en la identificación de tierras que tienen características similares en cuanto a limitantes que surgen de la topografía, el clima, los suelos, el exceso de humedad y la degradación física por erosión. Estos factores definen en conjunto el grado de utilización que puede llegar a darse en estas unidades y tomando como nivel de referencia los sistemas de producción agrícola, pastoril o multiestratificado, así como aquellas áreas que deben ser recuperadas o conservadas (IGAC, 2013).</w:t>
      </w:r>
    </w:p>
    <w:p w14:paraId="64A9F0AD" w14:textId="77777777" w:rsidR="00565CA7" w:rsidRPr="00131EED" w:rsidRDefault="00565CA7" w:rsidP="00565CA7">
      <w:pPr>
        <w:rPr>
          <w:rFonts w:cs="Arial"/>
        </w:rPr>
      </w:pPr>
    </w:p>
    <w:p w14:paraId="6682F64F" w14:textId="77777777" w:rsidR="00565CA7" w:rsidRPr="00131EED" w:rsidRDefault="00565CA7" w:rsidP="00565CA7">
      <w:pPr>
        <w:rPr>
          <w:rFonts w:cs="Arial"/>
        </w:rPr>
      </w:pPr>
      <w:r w:rsidRPr="00131EED">
        <w:rPr>
          <w:rFonts w:cs="Arial"/>
        </w:rPr>
        <w:t xml:space="preserve">La clasificación de tierras por su capacidad de uso aparece en el año 1968 como un planteamiento metodológico realizado por el Servicio de Conservación de Suelos del Departamento de Agricultura de los Estados Unidos (USDA). Desde el año 1974 el Instituto Geográfico Agustín Codazzi viene aplicando la metodología de manera continua a través de los levantamientos generales que se han realizado en nuestro país. </w:t>
      </w:r>
    </w:p>
    <w:p w14:paraId="49303041" w14:textId="77777777" w:rsidR="00565CA7" w:rsidRPr="00131EED" w:rsidRDefault="00565CA7" w:rsidP="00565CA7">
      <w:pPr>
        <w:rPr>
          <w:rFonts w:cs="Arial"/>
        </w:rPr>
      </w:pPr>
    </w:p>
    <w:p w14:paraId="58B81B9B" w14:textId="661D3245" w:rsidR="00565CA7" w:rsidRPr="00131EED" w:rsidRDefault="00565CA7" w:rsidP="00565CA7">
      <w:pPr>
        <w:rPr>
          <w:rFonts w:cs="Arial"/>
        </w:rPr>
      </w:pPr>
      <w:r w:rsidRPr="00131EED">
        <w:rPr>
          <w:rFonts w:cs="Arial"/>
        </w:rPr>
        <w:t>La clase agrológica corresponde al grupo de suelos con el mismo grado relativo de limitaciones basado principalmente en factores externos como el relieve y el clima y otros inferidos por la clasificación taxonómica hasta el nivel de subgrupo. La clase se aproxima cada vez más a la realidad, a medida que aumentan dichas limitaciones y las variables representativas del suelo a cada escala; es así como las clases a escala general, semidetallado y detallado pueden diferir de acuerdo al número de divisiones y pureza en los contenidos pedológicos de las unidades cartográficas de suelos (IGAC, 2013).</w:t>
      </w:r>
    </w:p>
    <w:p w14:paraId="2A07FC07" w14:textId="77777777" w:rsidR="00565CA7" w:rsidRPr="00131EED" w:rsidRDefault="00565CA7" w:rsidP="00565CA7">
      <w:pPr>
        <w:rPr>
          <w:rFonts w:ascii="Baskerville" w:hAnsi="Baskerville" w:cs="Arial"/>
        </w:rPr>
      </w:pPr>
    </w:p>
    <w:p w14:paraId="412C3536" w14:textId="77777777" w:rsidR="006A0ED7" w:rsidRPr="00131EED" w:rsidRDefault="006A0ED7">
      <w:pPr>
        <w:spacing w:after="200" w:line="276" w:lineRule="auto"/>
        <w:jc w:val="left"/>
        <w:rPr>
          <w:rFonts w:ascii="Arial" w:eastAsia="Calibri" w:hAnsi="Arial" w:cs="Arial"/>
          <w:i/>
          <w:iCs/>
          <w:color w:val="44546A"/>
          <w:sz w:val="18"/>
          <w:szCs w:val="18"/>
          <w:lang w:eastAsia="en-US"/>
        </w:rPr>
      </w:pPr>
      <w:r w:rsidRPr="00131EED">
        <w:br w:type="page"/>
      </w:r>
    </w:p>
    <w:p w14:paraId="0F5C4F8B" w14:textId="57C1BE76" w:rsidR="00565CA7" w:rsidRPr="00131EED" w:rsidRDefault="00E12881" w:rsidP="006A0ED7">
      <w:pPr>
        <w:pStyle w:val="Caption"/>
        <w:jc w:val="center"/>
      </w:pPr>
      <w:bookmarkStart w:id="339" w:name="_Toc216468860"/>
      <w:r w:rsidRPr="00131EED">
        <w:t xml:space="preserve">Ilustración </w:t>
      </w:r>
      <w:r w:rsidRPr="00131EED">
        <w:fldChar w:fldCharType="begin"/>
      </w:r>
      <w:r w:rsidRPr="00131EED">
        <w:instrText>SEQ Ilustración \* ARABIC</w:instrText>
      </w:r>
      <w:r w:rsidRPr="00131EED">
        <w:fldChar w:fldCharType="separate"/>
      </w:r>
      <w:r w:rsidR="00CE096F">
        <w:rPr>
          <w:noProof/>
        </w:rPr>
        <w:t>95</w:t>
      </w:r>
      <w:r w:rsidRPr="00131EED">
        <w:fldChar w:fldCharType="end"/>
      </w:r>
      <w:r w:rsidR="00565CA7" w:rsidRPr="00131EED">
        <w:t>. Clases agrológicas en la Sabana de Bogotá, escala 1:100 mil.</w:t>
      </w:r>
      <w:bookmarkEnd w:id="339"/>
    </w:p>
    <w:p w14:paraId="63644768" w14:textId="08EB0BCA" w:rsidR="00565CA7" w:rsidRPr="00131EED" w:rsidRDefault="00011DD6" w:rsidP="00565CA7">
      <w:pPr>
        <w:jc w:val="center"/>
        <w:rPr>
          <w:rFonts w:ascii="Baskerville" w:hAnsi="Baskerville" w:cs="Arial"/>
        </w:rPr>
      </w:pPr>
      <w:r w:rsidRPr="00131EED">
        <w:rPr>
          <w:rFonts w:ascii="Baskerville" w:hAnsi="Baskerville" w:cs="Arial"/>
          <w:noProof/>
          <w:lang w:eastAsia="en-US"/>
        </w:rPr>
        <w:drawing>
          <wp:inline distT="0" distB="0" distL="0" distR="0" wp14:anchorId="3C2FEF9E" wp14:editId="02A67624">
            <wp:extent cx="3818321" cy="5400000"/>
            <wp:effectExtent l="0" t="0" r="0" b="0"/>
            <wp:docPr id="1872738351"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738351" name="Imagen 1872738351"/>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3818321" cy="5400000"/>
                    </a:xfrm>
                    <a:prstGeom prst="rect">
                      <a:avLst/>
                    </a:prstGeom>
                  </pic:spPr>
                </pic:pic>
              </a:graphicData>
            </a:graphic>
          </wp:inline>
        </w:drawing>
      </w:r>
    </w:p>
    <w:p w14:paraId="19145EAA" w14:textId="77777777" w:rsidR="00565CA7" w:rsidRPr="00131EED" w:rsidRDefault="00565CA7" w:rsidP="00565CA7">
      <w:pPr>
        <w:jc w:val="center"/>
        <w:rPr>
          <w:rFonts w:cs="Arial"/>
          <w:sz w:val="20"/>
          <w:szCs w:val="20"/>
        </w:rPr>
      </w:pPr>
      <w:r w:rsidRPr="00131EED">
        <w:rPr>
          <w:rFonts w:cs="Arial"/>
          <w:sz w:val="20"/>
          <w:szCs w:val="20"/>
        </w:rPr>
        <w:t>Fuente IGAC.</w:t>
      </w:r>
    </w:p>
    <w:p w14:paraId="3D80593A" w14:textId="77777777" w:rsidR="00565CA7" w:rsidRPr="00131EED" w:rsidRDefault="00565CA7" w:rsidP="00565CA7">
      <w:pPr>
        <w:rPr>
          <w:rFonts w:ascii="Baskerville" w:hAnsi="Baskerville" w:cs="Arial"/>
        </w:rPr>
      </w:pPr>
    </w:p>
    <w:p w14:paraId="7FEBEC1E" w14:textId="77777777" w:rsidR="00565CA7" w:rsidRPr="00131EED" w:rsidRDefault="00565CA7" w:rsidP="00565CA7">
      <w:pPr>
        <w:rPr>
          <w:rFonts w:cs="Arial"/>
        </w:rPr>
      </w:pPr>
      <w:r w:rsidRPr="00131EED">
        <w:rPr>
          <w:rFonts w:cs="Arial"/>
        </w:rPr>
        <w:t>Para la Sabana de Bogotá se cuenta con cartografía 1:100 mil para la clasificación agrológica de todos los municipios y en particular se cuenta con cartografía a escala 1:10mil (2012 y 2013) para los municipios de: Sibaté, Soacha, Mosquera, Bojacá, Funza, Cota, Madrid, Facatativá, Tenjo, Chía, El Rosal, Sopó, Cajicá, Tabio, Tocancipá, Gachancipá, Subachoque, Zipaquirá, Nemocón, Cogua y Suesca.</w:t>
      </w:r>
    </w:p>
    <w:p w14:paraId="18CE4A3D" w14:textId="77777777" w:rsidR="00565CA7" w:rsidRPr="00131EED" w:rsidRDefault="00565CA7" w:rsidP="00565CA7">
      <w:pPr>
        <w:rPr>
          <w:rFonts w:ascii="Baskerville" w:hAnsi="Baskerville" w:cs="Arial"/>
        </w:rPr>
      </w:pPr>
    </w:p>
    <w:p w14:paraId="7F0AB658" w14:textId="77777777" w:rsidR="0074469C" w:rsidRPr="00131EED" w:rsidRDefault="0074469C">
      <w:pPr>
        <w:spacing w:after="200" w:line="276" w:lineRule="auto"/>
        <w:jc w:val="left"/>
        <w:rPr>
          <w:rFonts w:ascii="Arial" w:eastAsia="Calibri" w:hAnsi="Arial" w:cs="Arial"/>
          <w:i/>
          <w:iCs/>
          <w:color w:val="44546A"/>
          <w:sz w:val="18"/>
          <w:szCs w:val="18"/>
          <w:lang w:eastAsia="en-US"/>
        </w:rPr>
      </w:pPr>
      <w:r w:rsidRPr="00131EED">
        <w:br w:type="page"/>
      </w:r>
    </w:p>
    <w:p w14:paraId="3D02CC12" w14:textId="403660A7" w:rsidR="00565CA7" w:rsidRPr="00131EED" w:rsidRDefault="00E12881" w:rsidP="00561753">
      <w:pPr>
        <w:pStyle w:val="Caption"/>
        <w:jc w:val="center"/>
      </w:pPr>
      <w:bookmarkStart w:id="340" w:name="_Toc216468861"/>
      <w:r w:rsidRPr="00131EED">
        <w:t xml:space="preserve">Ilustración </w:t>
      </w:r>
      <w:r w:rsidRPr="00131EED">
        <w:fldChar w:fldCharType="begin"/>
      </w:r>
      <w:r w:rsidRPr="00131EED">
        <w:instrText>SEQ Ilustración \* ARABIC</w:instrText>
      </w:r>
      <w:r w:rsidRPr="00131EED">
        <w:fldChar w:fldCharType="separate"/>
      </w:r>
      <w:r w:rsidR="00CE096F">
        <w:rPr>
          <w:noProof/>
        </w:rPr>
        <w:t>96</w:t>
      </w:r>
      <w:r w:rsidRPr="00131EED">
        <w:fldChar w:fldCharType="end"/>
      </w:r>
      <w:r w:rsidR="00565CA7" w:rsidRPr="00131EED">
        <w:t xml:space="preserve"> Suelos en planicie según clasificación agrológica</w:t>
      </w:r>
      <w:bookmarkEnd w:id="340"/>
    </w:p>
    <w:p w14:paraId="2F5B9413" w14:textId="0E99631E" w:rsidR="00565CA7" w:rsidRPr="00131EED" w:rsidRDefault="00E46D1E" w:rsidP="00565CA7">
      <w:pPr>
        <w:jc w:val="center"/>
        <w:rPr>
          <w:rFonts w:ascii="Baskerville" w:hAnsi="Baskerville" w:cs="Arial"/>
          <w:vertAlign w:val="superscript"/>
        </w:rPr>
      </w:pPr>
      <w:r w:rsidRPr="00131EED">
        <w:rPr>
          <w:rFonts w:ascii="Baskerville" w:hAnsi="Baskerville" w:cs="Arial"/>
          <w:noProof/>
          <w:vertAlign w:val="superscript"/>
          <w:lang w:eastAsia="en-US"/>
        </w:rPr>
        <w:drawing>
          <wp:inline distT="0" distB="0" distL="0" distR="0" wp14:anchorId="2D7C1F7C" wp14:editId="76E9D9B5">
            <wp:extent cx="3818321" cy="5400000"/>
            <wp:effectExtent l="0" t="0" r="0" b="0"/>
            <wp:docPr id="1656619733" name="Imagen 5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619733" name="Imagen 51" descr="Mapa&#10;&#10;El contenido generado por IA puede ser incorrecto."/>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3818321" cy="5400000"/>
                    </a:xfrm>
                    <a:prstGeom prst="rect">
                      <a:avLst/>
                    </a:prstGeom>
                  </pic:spPr>
                </pic:pic>
              </a:graphicData>
            </a:graphic>
          </wp:inline>
        </w:drawing>
      </w:r>
    </w:p>
    <w:p w14:paraId="674C65F5" w14:textId="77777777" w:rsidR="00565CA7" w:rsidRPr="00131EED" w:rsidRDefault="00565CA7" w:rsidP="00565CA7">
      <w:pPr>
        <w:jc w:val="center"/>
        <w:rPr>
          <w:rFonts w:cs="Arial"/>
          <w:sz w:val="20"/>
          <w:szCs w:val="20"/>
        </w:rPr>
      </w:pPr>
      <w:r w:rsidRPr="00131EED">
        <w:rPr>
          <w:rFonts w:cs="Arial"/>
          <w:sz w:val="20"/>
          <w:szCs w:val="20"/>
        </w:rPr>
        <w:t>Fuente IGAC.</w:t>
      </w:r>
    </w:p>
    <w:p w14:paraId="78F045A9" w14:textId="77777777" w:rsidR="00565CA7" w:rsidRPr="00131EED" w:rsidRDefault="00565CA7" w:rsidP="00565CA7">
      <w:pPr>
        <w:jc w:val="center"/>
        <w:rPr>
          <w:rFonts w:ascii="Baskerville" w:hAnsi="Baskerville" w:cs="Arial"/>
        </w:rPr>
      </w:pPr>
    </w:p>
    <w:p w14:paraId="7B43CFF7" w14:textId="0D4A05C3" w:rsidR="00565CA7" w:rsidRPr="00131EED" w:rsidRDefault="00E12881" w:rsidP="00417586">
      <w:pPr>
        <w:pStyle w:val="Caption"/>
        <w:jc w:val="center"/>
      </w:pPr>
      <w:bookmarkStart w:id="341" w:name="_Toc216468969"/>
      <w:r w:rsidRPr="00131EED">
        <w:t xml:space="preserve">Tabla </w:t>
      </w:r>
      <w:fldSimple w:instr=" SEQ Tabla \* ARABIC ">
        <w:r w:rsidR="00CE096F">
          <w:rPr>
            <w:noProof/>
          </w:rPr>
          <w:t>59</w:t>
        </w:r>
      </w:fldSimple>
      <w:r w:rsidRPr="00131EED">
        <w:t xml:space="preserve"> Áreas</w:t>
      </w:r>
      <w:r w:rsidR="00565CA7" w:rsidRPr="00131EED">
        <w:t xml:space="preserve"> ocupad</w:t>
      </w:r>
      <w:r w:rsidR="00623F5B" w:rsidRPr="00131EED">
        <w:t>a</w:t>
      </w:r>
      <w:r w:rsidRPr="00131EED">
        <w:t>s</w:t>
      </w:r>
      <w:r w:rsidR="00565CA7" w:rsidRPr="00131EED">
        <w:t xml:space="preserve"> en planicie, </w:t>
      </w:r>
      <w:r w:rsidRPr="00131EED">
        <w:t xml:space="preserve">clasificados por </w:t>
      </w:r>
      <w:r w:rsidR="00565CA7" w:rsidRPr="00131EED">
        <w:t>su capacidad agrológica</w:t>
      </w:r>
      <w:bookmarkEnd w:id="341"/>
    </w:p>
    <w:tbl>
      <w:tblPr>
        <w:tblW w:w="8953" w:type="dxa"/>
        <w:jc w:val="center"/>
        <w:tblCellMar>
          <w:left w:w="70" w:type="dxa"/>
          <w:right w:w="70" w:type="dxa"/>
        </w:tblCellMar>
        <w:tblLook w:val="04A0" w:firstRow="1" w:lastRow="0" w:firstColumn="1" w:lastColumn="0" w:noHBand="0" w:noVBand="1"/>
      </w:tblPr>
      <w:tblGrid>
        <w:gridCol w:w="1482"/>
        <w:gridCol w:w="1137"/>
        <w:gridCol w:w="1137"/>
        <w:gridCol w:w="1137"/>
        <w:gridCol w:w="993"/>
        <w:gridCol w:w="1137"/>
        <w:gridCol w:w="999"/>
        <w:gridCol w:w="931"/>
      </w:tblGrid>
      <w:tr w:rsidR="00565CA7" w:rsidRPr="00131EED" w14:paraId="11C6F576" w14:textId="77777777" w:rsidTr="00053167">
        <w:trPr>
          <w:trHeight w:val="335"/>
          <w:tblHeader/>
          <w:jc w:val="center"/>
        </w:trPr>
        <w:tc>
          <w:tcPr>
            <w:tcW w:w="1482" w:type="dxa"/>
            <w:vMerge w:val="restart"/>
            <w:tcBorders>
              <w:top w:val="single" w:sz="4" w:space="0" w:color="auto"/>
              <w:left w:val="single" w:sz="4" w:space="0" w:color="auto"/>
              <w:bottom w:val="single" w:sz="4" w:space="0" w:color="auto"/>
              <w:right w:val="single" w:sz="4" w:space="0" w:color="auto"/>
            </w:tcBorders>
            <w:noWrap/>
            <w:vAlign w:val="center"/>
            <w:hideMark/>
          </w:tcPr>
          <w:p w14:paraId="738E1F07" w14:textId="77777777" w:rsidR="00565CA7" w:rsidRPr="00131EED" w:rsidRDefault="00565CA7" w:rsidP="00B60DA2">
            <w:pPr>
              <w:jc w:val="center"/>
              <w:rPr>
                <w:b/>
                <w:color w:val="000000"/>
                <w:sz w:val="20"/>
                <w:szCs w:val="20"/>
                <w:lang w:eastAsia="es-CO"/>
              </w:rPr>
            </w:pPr>
            <w:r w:rsidRPr="00131EED">
              <w:rPr>
                <w:b/>
                <w:color w:val="000000"/>
                <w:sz w:val="20"/>
                <w:szCs w:val="20"/>
                <w:lang w:eastAsia="es-CO"/>
              </w:rPr>
              <w:t>Municipio</w:t>
            </w:r>
          </w:p>
        </w:tc>
        <w:tc>
          <w:tcPr>
            <w:tcW w:w="6540" w:type="dxa"/>
            <w:gridSpan w:val="6"/>
            <w:tcBorders>
              <w:top w:val="single" w:sz="4" w:space="0" w:color="auto"/>
              <w:left w:val="nil"/>
              <w:bottom w:val="single" w:sz="4" w:space="0" w:color="auto"/>
              <w:right w:val="nil"/>
            </w:tcBorders>
            <w:noWrap/>
            <w:vAlign w:val="bottom"/>
            <w:hideMark/>
          </w:tcPr>
          <w:p w14:paraId="2E4949C1" w14:textId="77777777" w:rsidR="00565CA7" w:rsidRPr="00131EED" w:rsidRDefault="00565CA7" w:rsidP="00B60DA2">
            <w:pPr>
              <w:jc w:val="center"/>
              <w:rPr>
                <w:b/>
                <w:color w:val="000000"/>
                <w:sz w:val="20"/>
                <w:szCs w:val="20"/>
                <w:lang w:eastAsia="es-CO"/>
              </w:rPr>
            </w:pPr>
            <w:r w:rsidRPr="00131EED">
              <w:rPr>
                <w:b/>
                <w:color w:val="000000"/>
                <w:sz w:val="20"/>
                <w:szCs w:val="20"/>
                <w:lang w:eastAsia="es-CO"/>
              </w:rPr>
              <w:t>Clase Agrológica</w:t>
            </w:r>
          </w:p>
        </w:tc>
        <w:tc>
          <w:tcPr>
            <w:tcW w:w="931" w:type="dxa"/>
            <w:vMerge w:val="restart"/>
            <w:tcBorders>
              <w:top w:val="single" w:sz="4" w:space="0" w:color="auto"/>
              <w:left w:val="single" w:sz="4" w:space="0" w:color="auto"/>
              <w:bottom w:val="single" w:sz="4" w:space="0" w:color="000000"/>
              <w:right w:val="single" w:sz="4" w:space="0" w:color="auto"/>
            </w:tcBorders>
            <w:vAlign w:val="center"/>
            <w:hideMark/>
          </w:tcPr>
          <w:p w14:paraId="4C9F2E7B" w14:textId="77777777" w:rsidR="00565CA7" w:rsidRPr="00131EED" w:rsidRDefault="00565CA7" w:rsidP="00B60DA2">
            <w:pPr>
              <w:jc w:val="center"/>
              <w:rPr>
                <w:b/>
                <w:color w:val="000000"/>
                <w:sz w:val="20"/>
                <w:szCs w:val="20"/>
                <w:lang w:eastAsia="es-CO"/>
              </w:rPr>
            </w:pPr>
            <w:r w:rsidRPr="00131EED">
              <w:rPr>
                <w:b/>
                <w:color w:val="000000"/>
                <w:sz w:val="20"/>
                <w:szCs w:val="20"/>
                <w:lang w:eastAsia="es-CO"/>
              </w:rPr>
              <w:t>Total general (Has.)</w:t>
            </w:r>
          </w:p>
        </w:tc>
      </w:tr>
      <w:tr w:rsidR="00565CA7" w:rsidRPr="00131EED" w14:paraId="3AC96687" w14:textId="77777777" w:rsidTr="00053167">
        <w:trPr>
          <w:trHeight w:val="231"/>
          <w:tblHeader/>
          <w:jc w:val="center"/>
        </w:trPr>
        <w:tc>
          <w:tcPr>
            <w:tcW w:w="1482" w:type="dxa"/>
            <w:vMerge/>
            <w:tcBorders>
              <w:top w:val="single" w:sz="4" w:space="0" w:color="auto"/>
              <w:left w:val="single" w:sz="4" w:space="0" w:color="auto"/>
              <w:bottom w:val="single" w:sz="4" w:space="0" w:color="auto"/>
              <w:right w:val="single" w:sz="4" w:space="0" w:color="auto"/>
            </w:tcBorders>
            <w:vAlign w:val="center"/>
            <w:hideMark/>
          </w:tcPr>
          <w:p w14:paraId="18C35C01" w14:textId="77777777" w:rsidR="00565CA7" w:rsidRPr="00131EED" w:rsidRDefault="00565CA7" w:rsidP="00B60DA2">
            <w:pPr>
              <w:rPr>
                <w:b/>
                <w:color w:val="000000"/>
                <w:sz w:val="20"/>
                <w:szCs w:val="20"/>
                <w:lang w:eastAsia="es-CO"/>
              </w:rPr>
            </w:pPr>
          </w:p>
        </w:tc>
        <w:tc>
          <w:tcPr>
            <w:tcW w:w="1137" w:type="dxa"/>
            <w:tcBorders>
              <w:top w:val="nil"/>
              <w:left w:val="nil"/>
              <w:bottom w:val="single" w:sz="4" w:space="0" w:color="auto"/>
              <w:right w:val="single" w:sz="4" w:space="0" w:color="auto"/>
            </w:tcBorders>
            <w:noWrap/>
            <w:vAlign w:val="bottom"/>
            <w:hideMark/>
          </w:tcPr>
          <w:p w14:paraId="19AD4551" w14:textId="77777777" w:rsidR="00565CA7" w:rsidRPr="00131EED" w:rsidRDefault="00565CA7" w:rsidP="00B60DA2">
            <w:pPr>
              <w:jc w:val="center"/>
              <w:rPr>
                <w:b/>
                <w:color w:val="000000"/>
                <w:sz w:val="20"/>
                <w:szCs w:val="20"/>
                <w:lang w:eastAsia="es-CO"/>
              </w:rPr>
            </w:pPr>
            <w:r w:rsidRPr="00131EED">
              <w:rPr>
                <w:b/>
                <w:color w:val="000000"/>
                <w:sz w:val="20"/>
                <w:szCs w:val="20"/>
                <w:lang w:eastAsia="es-CO"/>
              </w:rPr>
              <w:t>II</w:t>
            </w:r>
          </w:p>
        </w:tc>
        <w:tc>
          <w:tcPr>
            <w:tcW w:w="1137" w:type="dxa"/>
            <w:tcBorders>
              <w:top w:val="nil"/>
              <w:left w:val="nil"/>
              <w:bottom w:val="single" w:sz="4" w:space="0" w:color="auto"/>
              <w:right w:val="single" w:sz="4" w:space="0" w:color="auto"/>
            </w:tcBorders>
            <w:noWrap/>
            <w:vAlign w:val="bottom"/>
            <w:hideMark/>
          </w:tcPr>
          <w:p w14:paraId="2748FBAF" w14:textId="77777777" w:rsidR="00565CA7" w:rsidRPr="00131EED" w:rsidRDefault="00565CA7" w:rsidP="00B60DA2">
            <w:pPr>
              <w:jc w:val="center"/>
              <w:rPr>
                <w:b/>
                <w:color w:val="000000"/>
                <w:sz w:val="20"/>
                <w:szCs w:val="20"/>
                <w:lang w:eastAsia="es-CO"/>
              </w:rPr>
            </w:pPr>
            <w:r w:rsidRPr="00131EED">
              <w:rPr>
                <w:b/>
                <w:color w:val="000000"/>
                <w:sz w:val="20"/>
                <w:szCs w:val="20"/>
                <w:lang w:eastAsia="es-CO"/>
              </w:rPr>
              <w:t>III</w:t>
            </w:r>
          </w:p>
        </w:tc>
        <w:tc>
          <w:tcPr>
            <w:tcW w:w="1137" w:type="dxa"/>
            <w:tcBorders>
              <w:top w:val="nil"/>
              <w:left w:val="nil"/>
              <w:bottom w:val="single" w:sz="4" w:space="0" w:color="auto"/>
              <w:right w:val="single" w:sz="4" w:space="0" w:color="auto"/>
            </w:tcBorders>
            <w:noWrap/>
            <w:vAlign w:val="bottom"/>
            <w:hideMark/>
          </w:tcPr>
          <w:p w14:paraId="35EC3873" w14:textId="77777777" w:rsidR="00565CA7" w:rsidRPr="00131EED" w:rsidRDefault="00565CA7" w:rsidP="00B60DA2">
            <w:pPr>
              <w:jc w:val="center"/>
              <w:rPr>
                <w:b/>
                <w:color w:val="000000"/>
                <w:sz w:val="20"/>
                <w:szCs w:val="20"/>
                <w:lang w:eastAsia="es-CO"/>
              </w:rPr>
            </w:pPr>
            <w:r w:rsidRPr="00131EED">
              <w:rPr>
                <w:b/>
                <w:color w:val="000000"/>
                <w:sz w:val="20"/>
                <w:szCs w:val="20"/>
                <w:lang w:eastAsia="es-CO"/>
              </w:rPr>
              <w:t>IV</w:t>
            </w:r>
          </w:p>
        </w:tc>
        <w:tc>
          <w:tcPr>
            <w:tcW w:w="993" w:type="dxa"/>
            <w:tcBorders>
              <w:top w:val="nil"/>
              <w:left w:val="nil"/>
              <w:bottom w:val="single" w:sz="4" w:space="0" w:color="auto"/>
              <w:right w:val="single" w:sz="4" w:space="0" w:color="auto"/>
            </w:tcBorders>
            <w:noWrap/>
            <w:vAlign w:val="bottom"/>
            <w:hideMark/>
          </w:tcPr>
          <w:p w14:paraId="423E5F61" w14:textId="77777777" w:rsidR="00565CA7" w:rsidRPr="00131EED" w:rsidRDefault="00565CA7" w:rsidP="00B60DA2">
            <w:pPr>
              <w:jc w:val="center"/>
              <w:rPr>
                <w:b/>
                <w:color w:val="000000"/>
                <w:sz w:val="20"/>
                <w:szCs w:val="20"/>
                <w:lang w:eastAsia="es-CO"/>
              </w:rPr>
            </w:pPr>
            <w:r w:rsidRPr="00131EED">
              <w:rPr>
                <w:b/>
                <w:color w:val="000000"/>
                <w:sz w:val="20"/>
                <w:szCs w:val="20"/>
                <w:lang w:eastAsia="es-CO"/>
              </w:rPr>
              <w:t>V</w:t>
            </w:r>
          </w:p>
        </w:tc>
        <w:tc>
          <w:tcPr>
            <w:tcW w:w="1137" w:type="dxa"/>
            <w:tcBorders>
              <w:top w:val="nil"/>
              <w:left w:val="nil"/>
              <w:bottom w:val="single" w:sz="4" w:space="0" w:color="auto"/>
              <w:right w:val="single" w:sz="4" w:space="0" w:color="auto"/>
            </w:tcBorders>
            <w:noWrap/>
            <w:vAlign w:val="bottom"/>
            <w:hideMark/>
          </w:tcPr>
          <w:p w14:paraId="6DDDF0A4" w14:textId="77777777" w:rsidR="00565CA7" w:rsidRPr="00131EED" w:rsidRDefault="00565CA7" w:rsidP="00B60DA2">
            <w:pPr>
              <w:jc w:val="center"/>
              <w:rPr>
                <w:b/>
                <w:color w:val="000000"/>
                <w:sz w:val="20"/>
                <w:szCs w:val="20"/>
                <w:lang w:eastAsia="es-CO"/>
              </w:rPr>
            </w:pPr>
            <w:r w:rsidRPr="00131EED">
              <w:rPr>
                <w:b/>
                <w:color w:val="000000"/>
                <w:sz w:val="20"/>
                <w:szCs w:val="20"/>
                <w:lang w:eastAsia="es-CO"/>
              </w:rPr>
              <w:t>VI</w:t>
            </w:r>
          </w:p>
        </w:tc>
        <w:tc>
          <w:tcPr>
            <w:tcW w:w="999" w:type="dxa"/>
            <w:tcBorders>
              <w:top w:val="nil"/>
              <w:left w:val="nil"/>
              <w:bottom w:val="single" w:sz="4" w:space="0" w:color="auto"/>
              <w:right w:val="single" w:sz="4" w:space="0" w:color="auto"/>
            </w:tcBorders>
            <w:noWrap/>
            <w:vAlign w:val="bottom"/>
            <w:hideMark/>
          </w:tcPr>
          <w:p w14:paraId="7665ACB3" w14:textId="77777777" w:rsidR="00565CA7" w:rsidRPr="00131EED" w:rsidRDefault="00565CA7" w:rsidP="00B60DA2">
            <w:pPr>
              <w:jc w:val="center"/>
              <w:rPr>
                <w:b/>
                <w:color w:val="000000"/>
                <w:sz w:val="20"/>
                <w:szCs w:val="20"/>
                <w:lang w:eastAsia="es-CO"/>
              </w:rPr>
            </w:pPr>
            <w:r w:rsidRPr="00131EED">
              <w:rPr>
                <w:b/>
                <w:color w:val="000000"/>
                <w:sz w:val="20"/>
                <w:szCs w:val="20"/>
                <w:lang w:eastAsia="es-CO"/>
              </w:rPr>
              <w:t>VII</w:t>
            </w:r>
          </w:p>
        </w:tc>
        <w:tc>
          <w:tcPr>
            <w:tcW w:w="931" w:type="dxa"/>
            <w:vMerge/>
            <w:tcBorders>
              <w:top w:val="single" w:sz="4" w:space="0" w:color="auto"/>
              <w:left w:val="single" w:sz="4" w:space="0" w:color="auto"/>
              <w:bottom w:val="single" w:sz="4" w:space="0" w:color="000000"/>
              <w:right w:val="single" w:sz="4" w:space="0" w:color="auto"/>
            </w:tcBorders>
            <w:vAlign w:val="center"/>
            <w:hideMark/>
          </w:tcPr>
          <w:p w14:paraId="359F493D" w14:textId="77777777" w:rsidR="00565CA7" w:rsidRPr="00131EED" w:rsidRDefault="00565CA7" w:rsidP="00B60DA2">
            <w:pPr>
              <w:rPr>
                <w:b/>
                <w:color w:val="000000"/>
                <w:sz w:val="20"/>
                <w:szCs w:val="20"/>
                <w:lang w:eastAsia="es-CO"/>
              </w:rPr>
            </w:pPr>
          </w:p>
        </w:tc>
      </w:tr>
      <w:tr w:rsidR="00565CA7" w:rsidRPr="00131EED" w14:paraId="35A8ACC7"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5B6F19D0" w14:textId="77777777" w:rsidR="00565CA7" w:rsidRPr="00131EED" w:rsidRDefault="00565CA7" w:rsidP="00B60DA2">
            <w:pPr>
              <w:rPr>
                <w:color w:val="000000"/>
                <w:sz w:val="20"/>
                <w:szCs w:val="20"/>
                <w:lang w:eastAsia="es-CO"/>
              </w:rPr>
            </w:pPr>
            <w:r w:rsidRPr="00131EED">
              <w:rPr>
                <w:color w:val="000000"/>
                <w:sz w:val="20"/>
                <w:szCs w:val="20"/>
                <w:lang w:eastAsia="es-CO"/>
              </w:rPr>
              <w:t>Bogotá, D.C.</w:t>
            </w:r>
          </w:p>
        </w:tc>
        <w:tc>
          <w:tcPr>
            <w:tcW w:w="1137" w:type="dxa"/>
            <w:tcBorders>
              <w:top w:val="nil"/>
              <w:left w:val="nil"/>
              <w:bottom w:val="single" w:sz="4" w:space="0" w:color="auto"/>
              <w:right w:val="single" w:sz="4" w:space="0" w:color="auto"/>
            </w:tcBorders>
            <w:noWrap/>
            <w:hideMark/>
          </w:tcPr>
          <w:p w14:paraId="503E396C" w14:textId="47D6DD35" w:rsidR="00565CA7" w:rsidRPr="00131EED"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7E2DBD8C" w14:textId="18F120AF" w:rsidR="00565CA7" w:rsidRPr="00131EED"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3BCD917B" w14:textId="3B10895A" w:rsidR="00565CA7" w:rsidRPr="00131EED" w:rsidRDefault="00565CA7" w:rsidP="00B60DA2">
            <w:pPr>
              <w:jc w:val="right"/>
              <w:rPr>
                <w:color w:val="000000"/>
                <w:sz w:val="20"/>
                <w:szCs w:val="20"/>
                <w:lang w:eastAsia="es-CO"/>
              </w:rPr>
            </w:pPr>
            <w:r w:rsidRPr="00131EED">
              <w:rPr>
                <w:sz w:val="20"/>
                <w:szCs w:val="20"/>
              </w:rPr>
              <w:t>4,33</w:t>
            </w:r>
          </w:p>
        </w:tc>
        <w:tc>
          <w:tcPr>
            <w:tcW w:w="993" w:type="dxa"/>
            <w:tcBorders>
              <w:top w:val="nil"/>
              <w:left w:val="nil"/>
              <w:bottom w:val="single" w:sz="4" w:space="0" w:color="auto"/>
              <w:right w:val="single" w:sz="4" w:space="0" w:color="auto"/>
            </w:tcBorders>
            <w:noWrap/>
            <w:hideMark/>
          </w:tcPr>
          <w:p w14:paraId="5852EBA2" w14:textId="24CB9428" w:rsidR="00565CA7" w:rsidRPr="00131EED" w:rsidRDefault="00565CA7" w:rsidP="00B60DA2">
            <w:pPr>
              <w:jc w:val="right"/>
              <w:rPr>
                <w:color w:val="000000"/>
                <w:sz w:val="20"/>
                <w:szCs w:val="20"/>
                <w:lang w:eastAsia="es-CO"/>
              </w:rPr>
            </w:pPr>
            <w:r w:rsidRPr="00131EED">
              <w:rPr>
                <w:sz w:val="20"/>
                <w:szCs w:val="20"/>
              </w:rPr>
              <w:t>0,03</w:t>
            </w:r>
          </w:p>
        </w:tc>
        <w:tc>
          <w:tcPr>
            <w:tcW w:w="1137" w:type="dxa"/>
            <w:tcBorders>
              <w:top w:val="nil"/>
              <w:left w:val="nil"/>
              <w:bottom w:val="single" w:sz="4" w:space="0" w:color="auto"/>
              <w:right w:val="single" w:sz="4" w:space="0" w:color="auto"/>
            </w:tcBorders>
            <w:noWrap/>
            <w:hideMark/>
          </w:tcPr>
          <w:p w14:paraId="0026786D" w14:textId="5513E8BD" w:rsidR="00565CA7" w:rsidRPr="00131EED" w:rsidRDefault="00565CA7" w:rsidP="00B60DA2">
            <w:pPr>
              <w:jc w:val="right"/>
              <w:rPr>
                <w:color w:val="000000"/>
                <w:sz w:val="20"/>
                <w:szCs w:val="20"/>
                <w:lang w:eastAsia="es-CO"/>
              </w:rPr>
            </w:pPr>
            <w:r w:rsidRPr="00131EED">
              <w:rPr>
                <w:sz w:val="20"/>
                <w:szCs w:val="20"/>
              </w:rPr>
              <w:t>7,23</w:t>
            </w:r>
          </w:p>
        </w:tc>
        <w:tc>
          <w:tcPr>
            <w:tcW w:w="999" w:type="dxa"/>
            <w:tcBorders>
              <w:top w:val="nil"/>
              <w:left w:val="nil"/>
              <w:bottom w:val="single" w:sz="4" w:space="0" w:color="auto"/>
              <w:right w:val="single" w:sz="4" w:space="0" w:color="auto"/>
            </w:tcBorders>
            <w:noWrap/>
            <w:hideMark/>
          </w:tcPr>
          <w:p w14:paraId="5EE6A784" w14:textId="77D48DD2" w:rsidR="00565CA7" w:rsidRPr="00131EED"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51B55C74" w14:textId="4A1E546B" w:rsidR="00565CA7" w:rsidRPr="00131EED" w:rsidRDefault="00565CA7" w:rsidP="00B60DA2">
            <w:pPr>
              <w:jc w:val="right"/>
              <w:rPr>
                <w:color w:val="000000"/>
                <w:sz w:val="20"/>
                <w:szCs w:val="20"/>
                <w:lang w:eastAsia="es-CO"/>
              </w:rPr>
            </w:pPr>
            <w:r w:rsidRPr="00131EED">
              <w:rPr>
                <w:sz w:val="20"/>
                <w:szCs w:val="20"/>
              </w:rPr>
              <w:t>11,59</w:t>
            </w:r>
          </w:p>
        </w:tc>
      </w:tr>
      <w:tr w:rsidR="00565CA7" w:rsidRPr="00131EED" w14:paraId="19CA2F75"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22F91195" w14:textId="77777777" w:rsidR="00565CA7" w:rsidRPr="00131EED" w:rsidRDefault="00565CA7" w:rsidP="00B60DA2">
            <w:pPr>
              <w:rPr>
                <w:color w:val="000000"/>
                <w:sz w:val="20"/>
                <w:szCs w:val="20"/>
                <w:lang w:eastAsia="es-CO"/>
              </w:rPr>
            </w:pPr>
            <w:r w:rsidRPr="00131EED">
              <w:rPr>
                <w:color w:val="000000"/>
                <w:sz w:val="20"/>
                <w:szCs w:val="20"/>
                <w:lang w:eastAsia="es-CO"/>
              </w:rPr>
              <w:t>Bojacá</w:t>
            </w:r>
          </w:p>
        </w:tc>
        <w:tc>
          <w:tcPr>
            <w:tcW w:w="1137" w:type="dxa"/>
            <w:tcBorders>
              <w:top w:val="nil"/>
              <w:left w:val="nil"/>
              <w:bottom w:val="single" w:sz="4" w:space="0" w:color="auto"/>
              <w:right w:val="single" w:sz="4" w:space="0" w:color="auto"/>
            </w:tcBorders>
            <w:noWrap/>
            <w:hideMark/>
          </w:tcPr>
          <w:p w14:paraId="482438F3" w14:textId="000345EC" w:rsidR="00565CA7" w:rsidRPr="00131EED" w:rsidRDefault="00565CA7" w:rsidP="00B60DA2">
            <w:pPr>
              <w:jc w:val="right"/>
              <w:rPr>
                <w:color w:val="000000"/>
                <w:sz w:val="20"/>
                <w:szCs w:val="20"/>
                <w:lang w:eastAsia="es-CO"/>
              </w:rPr>
            </w:pPr>
            <w:r w:rsidRPr="00131EED">
              <w:rPr>
                <w:sz w:val="20"/>
                <w:szCs w:val="20"/>
              </w:rPr>
              <w:t>278,06</w:t>
            </w:r>
          </w:p>
        </w:tc>
        <w:tc>
          <w:tcPr>
            <w:tcW w:w="1137" w:type="dxa"/>
            <w:tcBorders>
              <w:top w:val="nil"/>
              <w:left w:val="nil"/>
              <w:bottom w:val="single" w:sz="4" w:space="0" w:color="auto"/>
              <w:right w:val="single" w:sz="4" w:space="0" w:color="auto"/>
            </w:tcBorders>
            <w:noWrap/>
            <w:hideMark/>
          </w:tcPr>
          <w:p w14:paraId="30A9A87B" w14:textId="06201CF5" w:rsidR="00565CA7" w:rsidRPr="00131EED" w:rsidRDefault="00565CA7" w:rsidP="00B60DA2">
            <w:pPr>
              <w:jc w:val="right"/>
              <w:rPr>
                <w:color w:val="000000"/>
                <w:sz w:val="20"/>
                <w:szCs w:val="20"/>
                <w:lang w:eastAsia="es-CO"/>
              </w:rPr>
            </w:pPr>
            <w:r w:rsidRPr="00131EED">
              <w:rPr>
                <w:sz w:val="20"/>
                <w:szCs w:val="20"/>
              </w:rPr>
              <w:t>827,52</w:t>
            </w:r>
          </w:p>
        </w:tc>
        <w:tc>
          <w:tcPr>
            <w:tcW w:w="1137" w:type="dxa"/>
            <w:tcBorders>
              <w:top w:val="nil"/>
              <w:left w:val="nil"/>
              <w:bottom w:val="single" w:sz="4" w:space="0" w:color="auto"/>
              <w:right w:val="single" w:sz="4" w:space="0" w:color="auto"/>
            </w:tcBorders>
            <w:noWrap/>
            <w:hideMark/>
          </w:tcPr>
          <w:p w14:paraId="77B1473A" w14:textId="3A2DC8BB" w:rsidR="00565CA7" w:rsidRPr="00131EED" w:rsidRDefault="00565CA7" w:rsidP="00B60DA2">
            <w:pPr>
              <w:jc w:val="right"/>
              <w:rPr>
                <w:color w:val="000000"/>
                <w:sz w:val="20"/>
                <w:szCs w:val="20"/>
                <w:lang w:eastAsia="es-CO"/>
              </w:rPr>
            </w:pPr>
            <w:r w:rsidRPr="00131EED">
              <w:rPr>
                <w:sz w:val="20"/>
                <w:szCs w:val="20"/>
              </w:rPr>
              <w:t>111,10</w:t>
            </w:r>
          </w:p>
        </w:tc>
        <w:tc>
          <w:tcPr>
            <w:tcW w:w="993" w:type="dxa"/>
            <w:tcBorders>
              <w:top w:val="nil"/>
              <w:left w:val="nil"/>
              <w:bottom w:val="single" w:sz="4" w:space="0" w:color="auto"/>
              <w:right w:val="single" w:sz="4" w:space="0" w:color="auto"/>
            </w:tcBorders>
            <w:noWrap/>
            <w:hideMark/>
          </w:tcPr>
          <w:p w14:paraId="67068663" w14:textId="3BA7E4DC" w:rsidR="00565CA7" w:rsidRPr="00131EED" w:rsidRDefault="00565CA7" w:rsidP="00B60DA2">
            <w:pPr>
              <w:jc w:val="right"/>
              <w:rPr>
                <w:color w:val="000000"/>
                <w:sz w:val="20"/>
                <w:szCs w:val="20"/>
                <w:lang w:eastAsia="es-CO"/>
              </w:rPr>
            </w:pPr>
            <w:r w:rsidRPr="00131EED">
              <w:rPr>
                <w:sz w:val="20"/>
                <w:szCs w:val="20"/>
              </w:rPr>
              <w:t>15,22</w:t>
            </w:r>
          </w:p>
        </w:tc>
        <w:tc>
          <w:tcPr>
            <w:tcW w:w="1137" w:type="dxa"/>
            <w:tcBorders>
              <w:top w:val="nil"/>
              <w:left w:val="nil"/>
              <w:bottom w:val="single" w:sz="4" w:space="0" w:color="auto"/>
              <w:right w:val="single" w:sz="4" w:space="0" w:color="auto"/>
            </w:tcBorders>
            <w:noWrap/>
            <w:hideMark/>
          </w:tcPr>
          <w:p w14:paraId="005E69CC" w14:textId="2F4E2C41" w:rsidR="00565CA7" w:rsidRPr="00131EED" w:rsidRDefault="00565CA7" w:rsidP="00B60DA2">
            <w:pPr>
              <w:jc w:val="right"/>
              <w:rPr>
                <w:color w:val="000000"/>
                <w:sz w:val="20"/>
                <w:szCs w:val="20"/>
                <w:lang w:eastAsia="es-CO"/>
              </w:rPr>
            </w:pPr>
            <w:r w:rsidRPr="00131EED">
              <w:rPr>
                <w:sz w:val="20"/>
                <w:szCs w:val="20"/>
              </w:rPr>
              <w:t>1086,09</w:t>
            </w:r>
          </w:p>
        </w:tc>
        <w:tc>
          <w:tcPr>
            <w:tcW w:w="999" w:type="dxa"/>
            <w:tcBorders>
              <w:top w:val="nil"/>
              <w:left w:val="nil"/>
              <w:bottom w:val="single" w:sz="4" w:space="0" w:color="auto"/>
              <w:right w:val="single" w:sz="4" w:space="0" w:color="auto"/>
            </w:tcBorders>
            <w:noWrap/>
            <w:hideMark/>
          </w:tcPr>
          <w:p w14:paraId="410D64D1" w14:textId="77A5C855" w:rsidR="00565CA7" w:rsidRPr="00131EED" w:rsidRDefault="00565CA7" w:rsidP="00B60DA2">
            <w:pPr>
              <w:jc w:val="right"/>
              <w:rPr>
                <w:color w:val="000000"/>
                <w:sz w:val="20"/>
                <w:szCs w:val="20"/>
                <w:lang w:eastAsia="es-CO"/>
              </w:rPr>
            </w:pPr>
            <w:r w:rsidRPr="00131EED">
              <w:rPr>
                <w:sz w:val="20"/>
                <w:szCs w:val="20"/>
              </w:rPr>
              <w:t>416,78</w:t>
            </w:r>
          </w:p>
        </w:tc>
        <w:tc>
          <w:tcPr>
            <w:tcW w:w="931" w:type="dxa"/>
            <w:tcBorders>
              <w:top w:val="nil"/>
              <w:left w:val="nil"/>
              <w:bottom w:val="single" w:sz="4" w:space="0" w:color="auto"/>
              <w:right w:val="single" w:sz="4" w:space="0" w:color="auto"/>
            </w:tcBorders>
            <w:noWrap/>
            <w:hideMark/>
          </w:tcPr>
          <w:p w14:paraId="39E17820" w14:textId="52247591" w:rsidR="00565CA7" w:rsidRPr="00131EED" w:rsidRDefault="00D46379" w:rsidP="00B60DA2">
            <w:pPr>
              <w:jc w:val="right"/>
              <w:rPr>
                <w:color w:val="000000"/>
                <w:sz w:val="20"/>
                <w:szCs w:val="20"/>
                <w:lang w:eastAsia="es-CO"/>
              </w:rPr>
            </w:pPr>
            <w:r w:rsidRPr="00131EED">
              <w:rPr>
                <w:sz w:val="20"/>
                <w:szCs w:val="20"/>
              </w:rPr>
              <w:t>2317,98</w:t>
            </w:r>
          </w:p>
        </w:tc>
      </w:tr>
      <w:tr w:rsidR="00565CA7" w:rsidRPr="00131EED" w14:paraId="5B552330"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7C8B4815" w14:textId="77777777" w:rsidR="00565CA7" w:rsidRPr="00131EED" w:rsidRDefault="00565CA7" w:rsidP="00B60DA2">
            <w:pPr>
              <w:rPr>
                <w:color w:val="000000"/>
                <w:sz w:val="20"/>
                <w:szCs w:val="20"/>
                <w:lang w:eastAsia="es-CO"/>
              </w:rPr>
            </w:pPr>
            <w:r w:rsidRPr="00131EED">
              <w:rPr>
                <w:color w:val="000000"/>
                <w:sz w:val="20"/>
                <w:szCs w:val="20"/>
                <w:lang w:eastAsia="es-CO"/>
              </w:rPr>
              <w:t>Cajicá</w:t>
            </w:r>
          </w:p>
        </w:tc>
        <w:tc>
          <w:tcPr>
            <w:tcW w:w="1137" w:type="dxa"/>
            <w:tcBorders>
              <w:top w:val="nil"/>
              <w:left w:val="nil"/>
              <w:bottom w:val="single" w:sz="4" w:space="0" w:color="auto"/>
              <w:right w:val="single" w:sz="4" w:space="0" w:color="auto"/>
            </w:tcBorders>
            <w:noWrap/>
            <w:hideMark/>
          </w:tcPr>
          <w:p w14:paraId="065950C2" w14:textId="4D641238" w:rsidR="00565CA7" w:rsidRPr="00131EED" w:rsidRDefault="00565CA7" w:rsidP="00B60DA2">
            <w:pPr>
              <w:jc w:val="right"/>
              <w:rPr>
                <w:color w:val="000000"/>
                <w:sz w:val="20"/>
                <w:szCs w:val="20"/>
                <w:lang w:eastAsia="es-CO"/>
              </w:rPr>
            </w:pPr>
            <w:r w:rsidRPr="00131EED">
              <w:rPr>
                <w:sz w:val="20"/>
                <w:szCs w:val="20"/>
              </w:rPr>
              <w:t>102,24</w:t>
            </w:r>
          </w:p>
        </w:tc>
        <w:tc>
          <w:tcPr>
            <w:tcW w:w="1137" w:type="dxa"/>
            <w:tcBorders>
              <w:top w:val="nil"/>
              <w:left w:val="nil"/>
              <w:bottom w:val="single" w:sz="4" w:space="0" w:color="auto"/>
              <w:right w:val="single" w:sz="4" w:space="0" w:color="auto"/>
            </w:tcBorders>
            <w:noWrap/>
            <w:hideMark/>
          </w:tcPr>
          <w:p w14:paraId="2B7BD129" w14:textId="2BE4245C" w:rsidR="00565CA7" w:rsidRPr="00131EED" w:rsidRDefault="00565CA7" w:rsidP="00B60DA2">
            <w:pPr>
              <w:jc w:val="right"/>
              <w:rPr>
                <w:color w:val="000000"/>
                <w:sz w:val="20"/>
                <w:szCs w:val="20"/>
                <w:lang w:eastAsia="es-CO"/>
              </w:rPr>
            </w:pPr>
            <w:r w:rsidRPr="00131EED">
              <w:rPr>
                <w:sz w:val="20"/>
                <w:szCs w:val="20"/>
              </w:rPr>
              <w:t>994,97</w:t>
            </w:r>
          </w:p>
        </w:tc>
        <w:tc>
          <w:tcPr>
            <w:tcW w:w="1137" w:type="dxa"/>
            <w:tcBorders>
              <w:top w:val="nil"/>
              <w:left w:val="nil"/>
              <w:bottom w:val="single" w:sz="4" w:space="0" w:color="auto"/>
              <w:right w:val="single" w:sz="4" w:space="0" w:color="auto"/>
            </w:tcBorders>
            <w:noWrap/>
            <w:hideMark/>
          </w:tcPr>
          <w:p w14:paraId="4813CB97" w14:textId="26BECD21" w:rsidR="00565CA7" w:rsidRPr="00131EED" w:rsidRDefault="00565CA7" w:rsidP="00B60DA2">
            <w:pPr>
              <w:jc w:val="right"/>
              <w:rPr>
                <w:color w:val="000000"/>
                <w:sz w:val="20"/>
                <w:szCs w:val="20"/>
                <w:lang w:eastAsia="es-CO"/>
              </w:rPr>
            </w:pPr>
            <w:r w:rsidRPr="00131EED">
              <w:rPr>
                <w:sz w:val="20"/>
                <w:szCs w:val="20"/>
              </w:rPr>
              <w:t>2050,06</w:t>
            </w:r>
          </w:p>
        </w:tc>
        <w:tc>
          <w:tcPr>
            <w:tcW w:w="993" w:type="dxa"/>
            <w:tcBorders>
              <w:top w:val="nil"/>
              <w:left w:val="nil"/>
              <w:bottom w:val="single" w:sz="4" w:space="0" w:color="auto"/>
              <w:right w:val="single" w:sz="4" w:space="0" w:color="auto"/>
            </w:tcBorders>
            <w:noWrap/>
            <w:hideMark/>
          </w:tcPr>
          <w:p w14:paraId="3A763473" w14:textId="4D3B953C" w:rsidR="00565CA7" w:rsidRPr="00131EED" w:rsidRDefault="00565CA7" w:rsidP="00B60DA2">
            <w:pPr>
              <w:jc w:val="right"/>
              <w:rPr>
                <w:color w:val="000000"/>
                <w:sz w:val="20"/>
                <w:szCs w:val="20"/>
                <w:lang w:eastAsia="es-CO"/>
              </w:rPr>
            </w:pPr>
            <w:r w:rsidRPr="00131EED">
              <w:rPr>
                <w:sz w:val="20"/>
                <w:szCs w:val="20"/>
              </w:rPr>
              <w:t>19,76</w:t>
            </w:r>
          </w:p>
        </w:tc>
        <w:tc>
          <w:tcPr>
            <w:tcW w:w="1137" w:type="dxa"/>
            <w:tcBorders>
              <w:top w:val="nil"/>
              <w:left w:val="nil"/>
              <w:bottom w:val="single" w:sz="4" w:space="0" w:color="auto"/>
              <w:right w:val="single" w:sz="4" w:space="0" w:color="auto"/>
            </w:tcBorders>
            <w:noWrap/>
            <w:hideMark/>
          </w:tcPr>
          <w:p w14:paraId="63C6FC63" w14:textId="7DAD2C7E" w:rsidR="00565CA7" w:rsidRPr="00131EED" w:rsidRDefault="00565CA7" w:rsidP="00B60DA2">
            <w:pPr>
              <w:jc w:val="right"/>
              <w:rPr>
                <w:color w:val="000000"/>
                <w:sz w:val="20"/>
                <w:szCs w:val="20"/>
                <w:lang w:eastAsia="es-CO"/>
              </w:rPr>
            </w:pPr>
            <w:r w:rsidRPr="00131EED">
              <w:rPr>
                <w:sz w:val="20"/>
                <w:szCs w:val="20"/>
              </w:rPr>
              <w:t>502,94</w:t>
            </w:r>
          </w:p>
        </w:tc>
        <w:tc>
          <w:tcPr>
            <w:tcW w:w="999" w:type="dxa"/>
            <w:tcBorders>
              <w:top w:val="nil"/>
              <w:left w:val="nil"/>
              <w:bottom w:val="single" w:sz="4" w:space="0" w:color="auto"/>
              <w:right w:val="single" w:sz="4" w:space="0" w:color="auto"/>
            </w:tcBorders>
            <w:noWrap/>
            <w:hideMark/>
          </w:tcPr>
          <w:p w14:paraId="63CD4F49" w14:textId="7790CF97" w:rsidR="00565CA7" w:rsidRPr="00131EED"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56677DE2" w14:textId="789D7586" w:rsidR="00565CA7" w:rsidRPr="00131EED" w:rsidRDefault="00565CA7" w:rsidP="00B60DA2">
            <w:pPr>
              <w:jc w:val="right"/>
              <w:rPr>
                <w:color w:val="000000"/>
                <w:sz w:val="20"/>
                <w:szCs w:val="20"/>
                <w:lang w:eastAsia="es-CO"/>
              </w:rPr>
            </w:pPr>
            <w:r w:rsidRPr="00131EED">
              <w:rPr>
                <w:sz w:val="20"/>
                <w:szCs w:val="20"/>
              </w:rPr>
              <w:t>3669,97</w:t>
            </w:r>
          </w:p>
        </w:tc>
      </w:tr>
      <w:tr w:rsidR="00565CA7" w:rsidRPr="00131EED" w14:paraId="32FEBB4A"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6C33CB57" w14:textId="77777777" w:rsidR="00565CA7" w:rsidRPr="00131EED" w:rsidRDefault="00565CA7" w:rsidP="00B60DA2">
            <w:pPr>
              <w:rPr>
                <w:color w:val="000000"/>
                <w:sz w:val="20"/>
                <w:szCs w:val="20"/>
                <w:lang w:eastAsia="es-CO"/>
              </w:rPr>
            </w:pPr>
            <w:r w:rsidRPr="00131EED">
              <w:rPr>
                <w:color w:val="000000"/>
                <w:sz w:val="20"/>
                <w:szCs w:val="20"/>
                <w:lang w:eastAsia="es-CO"/>
              </w:rPr>
              <w:t>Chía</w:t>
            </w:r>
          </w:p>
        </w:tc>
        <w:tc>
          <w:tcPr>
            <w:tcW w:w="1137" w:type="dxa"/>
            <w:tcBorders>
              <w:top w:val="nil"/>
              <w:left w:val="nil"/>
              <w:bottom w:val="single" w:sz="4" w:space="0" w:color="auto"/>
              <w:right w:val="single" w:sz="4" w:space="0" w:color="auto"/>
            </w:tcBorders>
            <w:noWrap/>
            <w:hideMark/>
          </w:tcPr>
          <w:p w14:paraId="1A0CBFD2" w14:textId="1D522F18" w:rsidR="00565CA7" w:rsidRPr="00131EED" w:rsidRDefault="00565CA7" w:rsidP="00B60DA2">
            <w:pPr>
              <w:jc w:val="right"/>
              <w:rPr>
                <w:color w:val="000000"/>
                <w:sz w:val="20"/>
                <w:szCs w:val="20"/>
                <w:lang w:eastAsia="es-CO"/>
              </w:rPr>
            </w:pPr>
            <w:r w:rsidRPr="00131EED">
              <w:rPr>
                <w:sz w:val="20"/>
                <w:szCs w:val="20"/>
              </w:rPr>
              <w:t>849,05</w:t>
            </w:r>
          </w:p>
        </w:tc>
        <w:tc>
          <w:tcPr>
            <w:tcW w:w="1137" w:type="dxa"/>
            <w:tcBorders>
              <w:top w:val="nil"/>
              <w:left w:val="nil"/>
              <w:bottom w:val="single" w:sz="4" w:space="0" w:color="auto"/>
              <w:right w:val="single" w:sz="4" w:space="0" w:color="auto"/>
            </w:tcBorders>
            <w:noWrap/>
            <w:hideMark/>
          </w:tcPr>
          <w:p w14:paraId="76278E76" w14:textId="21E8CBA7" w:rsidR="00565CA7" w:rsidRPr="00131EED" w:rsidRDefault="00565CA7" w:rsidP="00B60DA2">
            <w:pPr>
              <w:jc w:val="right"/>
              <w:rPr>
                <w:color w:val="000000"/>
                <w:sz w:val="20"/>
                <w:szCs w:val="20"/>
                <w:lang w:eastAsia="es-CO"/>
              </w:rPr>
            </w:pPr>
            <w:r w:rsidRPr="00131EED">
              <w:rPr>
                <w:sz w:val="20"/>
                <w:szCs w:val="20"/>
              </w:rPr>
              <w:t>878,95</w:t>
            </w:r>
          </w:p>
        </w:tc>
        <w:tc>
          <w:tcPr>
            <w:tcW w:w="1137" w:type="dxa"/>
            <w:tcBorders>
              <w:top w:val="nil"/>
              <w:left w:val="nil"/>
              <w:bottom w:val="single" w:sz="4" w:space="0" w:color="auto"/>
              <w:right w:val="single" w:sz="4" w:space="0" w:color="auto"/>
            </w:tcBorders>
            <w:noWrap/>
            <w:hideMark/>
          </w:tcPr>
          <w:p w14:paraId="66914764" w14:textId="0692F4E4" w:rsidR="00565CA7" w:rsidRPr="00131EED" w:rsidRDefault="00565CA7" w:rsidP="00B60DA2">
            <w:pPr>
              <w:jc w:val="right"/>
              <w:rPr>
                <w:color w:val="000000"/>
                <w:sz w:val="20"/>
                <w:szCs w:val="20"/>
                <w:lang w:eastAsia="es-CO"/>
              </w:rPr>
            </w:pPr>
            <w:r w:rsidRPr="00131EED">
              <w:rPr>
                <w:sz w:val="20"/>
                <w:szCs w:val="20"/>
              </w:rPr>
              <w:t>1140,43</w:t>
            </w:r>
          </w:p>
        </w:tc>
        <w:tc>
          <w:tcPr>
            <w:tcW w:w="993" w:type="dxa"/>
            <w:tcBorders>
              <w:top w:val="nil"/>
              <w:left w:val="nil"/>
              <w:bottom w:val="single" w:sz="4" w:space="0" w:color="auto"/>
              <w:right w:val="single" w:sz="4" w:space="0" w:color="auto"/>
            </w:tcBorders>
            <w:noWrap/>
            <w:hideMark/>
          </w:tcPr>
          <w:p w14:paraId="6E6CB159" w14:textId="21EF4F26" w:rsidR="00565CA7" w:rsidRPr="00131EED" w:rsidRDefault="00565CA7" w:rsidP="00B60DA2">
            <w:pPr>
              <w:jc w:val="right"/>
              <w:rPr>
                <w:color w:val="000000"/>
                <w:sz w:val="20"/>
                <w:szCs w:val="20"/>
                <w:lang w:eastAsia="es-CO"/>
              </w:rPr>
            </w:pPr>
            <w:r w:rsidRPr="00131EED">
              <w:rPr>
                <w:sz w:val="20"/>
                <w:szCs w:val="20"/>
              </w:rPr>
              <w:t>157,09</w:t>
            </w:r>
          </w:p>
        </w:tc>
        <w:tc>
          <w:tcPr>
            <w:tcW w:w="1137" w:type="dxa"/>
            <w:tcBorders>
              <w:top w:val="nil"/>
              <w:left w:val="nil"/>
              <w:bottom w:val="single" w:sz="4" w:space="0" w:color="auto"/>
              <w:right w:val="single" w:sz="4" w:space="0" w:color="auto"/>
            </w:tcBorders>
            <w:noWrap/>
            <w:hideMark/>
          </w:tcPr>
          <w:p w14:paraId="5ADCA45B" w14:textId="7415591C" w:rsidR="00565CA7" w:rsidRPr="00131EED" w:rsidRDefault="00565CA7" w:rsidP="00B60DA2">
            <w:pPr>
              <w:jc w:val="right"/>
              <w:rPr>
                <w:color w:val="000000"/>
                <w:sz w:val="20"/>
                <w:szCs w:val="20"/>
                <w:lang w:eastAsia="es-CO"/>
              </w:rPr>
            </w:pPr>
            <w:r w:rsidRPr="00131EED">
              <w:rPr>
                <w:sz w:val="20"/>
                <w:szCs w:val="20"/>
              </w:rPr>
              <w:t>1181,61</w:t>
            </w:r>
          </w:p>
        </w:tc>
        <w:tc>
          <w:tcPr>
            <w:tcW w:w="999" w:type="dxa"/>
            <w:tcBorders>
              <w:top w:val="nil"/>
              <w:left w:val="nil"/>
              <w:bottom w:val="single" w:sz="4" w:space="0" w:color="auto"/>
              <w:right w:val="single" w:sz="4" w:space="0" w:color="auto"/>
            </w:tcBorders>
            <w:noWrap/>
            <w:hideMark/>
          </w:tcPr>
          <w:p w14:paraId="5D9A2F2B" w14:textId="72088FC3" w:rsidR="00565CA7" w:rsidRPr="00131EED"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7F1064FA" w14:textId="49E9EAF3" w:rsidR="00565CA7" w:rsidRPr="00131EED" w:rsidRDefault="00565CA7" w:rsidP="00B60DA2">
            <w:pPr>
              <w:jc w:val="right"/>
              <w:rPr>
                <w:color w:val="000000"/>
                <w:sz w:val="20"/>
                <w:szCs w:val="20"/>
                <w:lang w:eastAsia="es-CO"/>
              </w:rPr>
            </w:pPr>
            <w:r w:rsidRPr="00131EED">
              <w:rPr>
                <w:sz w:val="20"/>
                <w:szCs w:val="20"/>
              </w:rPr>
              <w:t>4207,14</w:t>
            </w:r>
          </w:p>
        </w:tc>
      </w:tr>
      <w:tr w:rsidR="00565CA7" w:rsidRPr="00131EED" w14:paraId="5EE43091"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7163D215" w14:textId="77777777" w:rsidR="00565CA7" w:rsidRPr="00131EED" w:rsidRDefault="00565CA7" w:rsidP="00B60DA2">
            <w:pPr>
              <w:rPr>
                <w:color w:val="000000"/>
                <w:sz w:val="20"/>
                <w:szCs w:val="20"/>
                <w:lang w:eastAsia="es-CO"/>
              </w:rPr>
            </w:pPr>
            <w:r w:rsidRPr="00131EED">
              <w:rPr>
                <w:color w:val="000000"/>
                <w:sz w:val="20"/>
                <w:szCs w:val="20"/>
                <w:lang w:eastAsia="es-CO"/>
              </w:rPr>
              <w:t>Cogua</w:t>
            </w:r>
          </w:p>
        </w:tc>
        <w:tc>
          <w:tcPr>
            <w:tcW w:w="1137" w:type="dxa"/>
            <w:tcBorders>
              <w:top w:val="nil"/>
              <w:left w:val="nil"/>
              <w:bottom w:val="single" w:sz="4" w:space="0" w:color="auto"/>
              <w:right w:val="single" w:sz="4" w:space="0" w:color="auto"/>
            </w:tcBorders>
            <w:noWrap/>
            <w:hideMark/>
          </w:tcPr>
          <w:p w14:paraId="1D7F656B" w14:textId="1BB3677F" w:rsidR="00565CA7" w:rsidRPr="00131EED" w:rsidRDefault="00565CA7" w:rsidP="00B60DA2">
            <w:pPr>
              <w:jc w:val="right"/>
              <w:rPr>
                <w:color w:val="000000"/>
                <w:sz w:val="20"/>
                <w:szCs w:val="20"/>
                <w:lang w:eastAsia="es-CO"/>
              </w:rPr>
            </w:pPr>
            <w:r w:rsidRPr="00131EED">
              <w:rPr>
                <w:sz w:val="20"/>
                <w:szCs w:val="20"/>
              </w:rPr>
              <w:t>109,83</w:t>
            </w:r>
          </w:p>
        </w:tc>
        <w:tc>
          <w:tcPr>
            <w:tcW w:w="1137" w:type="dxa"/>
            <w:tcBorders>
              <w:top w:val="nil"/>
              <w:left w:val="nil"/>
              <w:bottom w:val="single" w:sz="4" w:space="0" w:color="auto"/>
              <w:right w:val="single" w:sz="4" w:space="0" w:color="auto"/>
            </w:tcBorders>
            <w:noWrap/>
            <w:hideMark/>
          </w:tcPr>
          <w:p w14:paraId="3B628207" w14:textId="39A16C32" w:rsidR="00565CA7" w:rsidRPr="00131EED" w:rsidRDefault="00565CA7" w:rsidP="00B60DA2">
            <w:pPr>
              <w:jc w:val="right"/>
              <w:rPr>
                <w:color w:val="000000"/>
                <w:sz w:val="20"/>
                <w:szCs w:val="20"/>
                <w:lang w:eastAsia="es-CO"/>
              </w:rPr>
            </w:pPr>
            <w:r w:rsidRPr="00131EED">
              <w:rPr>
                <w:sz w:val="20"/>
                <w:szCs w:val="20"/>
              </w:rPr>
              <w:t>118,36</w:t>
            </w:r>
          </w:p>
        </w:tc>
        <w:tc>
          <w:tcPr>
            <w:tcW w:w="1137" w:type="dxa"/>
            <w:tcBorders>
              <w:top w:val="nil"/>
              <w:left w:val="nil"/>
              <w:bottom w:val="single" w:sz="4" w:space="0" w:color="auto"/>
              <w:right w:val="single" w:sz="4" w:space="0" w:color="auto"/>
            </w:tcBorders>
            <w:noWrap/>
            <w:hideMark/>
          </w:tcPr>
          <w:p w14:paraId="4D231D4F" w14:textId="76C9DE3B" w:rsidR="00565CA7" w:rsidRPr="00131EED" w:rsidRDefault="00565CA7" w:rsidP="00B60DA2">
            <w:pPr>
              <w:jc w:val="right"/>
              <w:rPr>
                <w:color w:val="000000"/>
                <w:sz w:val="20"/>
                <w:szCs w:val="20"/>
                <w:lang w:eastAsia="es-CO"/>
              </w:rPr>
            </w:pPr>
            <w:r w:rsidRPr="00131EED">
              <w:rPr>
                <w:sz w:val="20"/>
                <w:szCs w:val="20"/>
              </w:rPr>
              <w:t>335,73</w:t>
            </w:r>
          </w:p>
        </w:tc>
        <w:tc>
          <w:tcPr>
            <w:tcW w:w="993" w:type="dxa"/>
            <w:tcBorders>
              <w:top w:val="nil"/>
              <w:left w:val="nil"/>
              <w:bottom w:val="single" w:sz="4" w:space="0" w:color="auto"/>
              <w:right w:val="single" w:sz="4" w:space="0" w:color="auto"/>
            </w:tcBorders>
            <w:noWrap/>
            <w:hideMark/>
          </w:tcPr>
          <w:p w14:paraId="57284693" w14:textId="395F7685" w:rsidR="00565CA7" w:rsidRPr="00131EED"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3F285E4D" w14:textId="62C5E953" w:rsidR="00565CA7" w:rsidRPr="00131EED" w:rsidRDefault="00565CA7" w:rsidP="00B60DA2">
            <w:pPr>
              <w:jc w:val="right"/>
              <w:rPr>
                <w:color w:val="000000"/>
                <w:sz w:val="20"/>
                <w:szCs w:val="20"/>
                <w:lang w:eastAsia="es-CO"/>
              </w:rPr>
            </w:pPr>
            <w:r w:rsidRPr="00131EED">
              <w:rPr>
                <w:sz w:val="20"/>
                <w:szCs w:val="20"/>
              </w:rPr>
              <w:t>1227,66</w:t>
            </w:r>
          </w:p>
        </w:tc>
        <w:tc>
          <w:tcPr>
            <w:tcW w:w="999" w:type="dxa"/>
            <w:tcBorders>
              <w:top w:val="nil"/>
              <w:left w:val="nil"/>
              <w:bottom w:val="single" w:sz="4" w:space="0" w:color="auto"/>
              <w:right w:val="single" w:sz="4" w:space="0" w:color="auto"/>
            </w:tcBorders>
            <w:noWrap/>
            <w:hideMark/>
          </w:tcPr>
          <w:p w14:paraId="0AB69534" w14:textId="5D94F7AE" w:rsidR="00565CA7" w:rsidRPr="00131EED"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1986AE94" w14:textId="019FB3A0" w:rsidR="00565CA7" w:rsidRPr="00131EED" w:rsidRDefault="00565CA7" w:rsidP="00B60DA2">
            <w:pPr>
              <w:jc w:val="right"/>
              <w:rPr>
                <w:color w:val="000000"/>
                <w:sz w:val="20"/>
                <w:szCs w:val="20"/>
                <w:lang w:eastAsia="es-CO"/>
              </w:rPr>
            </w:pPr>
            <w:r w:rsidRPr="00131EED">
              <w:rPr>
                <w:sz w:val="20"/>
                <w:szCs w:val="20"/>
              </w:rPr>
              <w:t>1791,58</w:t>
            </w:r>
          </w:p>
        </w:tc>
      </w:tr>
      <w:tr w:rsidR="00565CA7" w:rsidRPr="00131EED" w14:paraId="04098700"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73280B7B" w14:textId="77777777" w:rsidR="00565CA7" w:rsidRPr="00131EED" w:rsidRDefault="00565CA7" w:rsidP="00B60DA2">
            <w:pPr>
              <w:rPr>
                <w:color w:val="000000"/>
                <w:sz w:val="20"/>
                <w:szCs w:val="20"/>
                <w:lang w:eastAsia="es-CO"/>
              </w:rPr>
            </w:pPr>
            <w:r w:rsidRPr="00131EED">
              <w:rPr>
                <w:color w:val="000000"/>
                <w:sz w:val="20"/>
                <w:szCs w:val="20"/>
                <w:lang w:eastAsia="es-CO"/>
              </w:rPr>
              <w:t>Cota</w:t>
            </w:r>
          </w:p>
        </w:tc>
        <w:tc>
          <w:tcPr>
            <w:tcW w:w="1137" w:type="dxa"/>
            <w:tcBorders>
              <w:top w:val="nil"/>
              <w:left w:val="nil"/>
              <w:bottom w:val="single" w:sz="4" w:space="0" w:color="auto"/>
              <w:right w:val="single" w:sz="4" w:space="0" w:color="auto"/>
            </w:tcBorders>
            <w:noWrap/>
            <w:hideMark/>
          </w:tcPr>
          <w:p w14:paraId="624D6199" w14:textId="22B534DF" w:rsidR="00565CA7" w:rsidRPr="00131EED" w:rsidRDefault="00565CA7" w:rsidP="00B60DA2">
            <w:pPr>
              <w:jc w:val="right"/>
              <w:rPr>
                <w:color w:val="000000"/>
                <w:sz w:val="20"/>
                <w:szCs w:val="20"/>
                <w:lang w:eastAsia="es-CO"/>
              </w:rPr>
            </w:pPr>
            <w:r w:rsidRPr="00131EED">
              <w:rPr>
                <w:sz w:val="20"/>
                <w:szCs w:val="20"/>
              </w:rPr>
              <w:t>2003,70</w:t>
            </w:r>
          </w:p>
        </w:tc>
        <w:tc>
          <w:tcPr>
            <w:tcW w:w="1137" w:type="dxa"/>
            <w:tcBorders>
              <w:top w:val="nil"/>
              <w:left w:val="nil"/>
              <w:bottom w:val="single" w:sz="4" w:space="0" w:color="auto"/>
              <w:right w:val="single" w:sz="4" w:space="0" w:color="auto"/>
            </w:tcBorders>
            <w:noWrap/>
            <w:hideMark/>
          </w:tcPr>
          <w:p w14:paraId="4DA6046C" w14:textId="2AA19D2F" w:rsidR="00565CA7" w:rsidRPr="00131EED" w:rsidRDefault="00565CA7" w:rsidP="00B60DA2">
            <w:pPr>
              <w:jc w:val="right"/>
              <w:rPr>
                <w:color w:val="000000"/>
                <w:sz w:val="20"/>
                <w:szCs w:val="20"/>
                <w:lang w:eastAsia="es-CO"/>
              </w:rPr>
            </w:pPr>
            <w:r w:rsidRPr="00131EED">
              <w:rPr>
                <w:sz w:val="20"/>
                <w:szCs w:val="20"/>
              </w:rPr>
              <w:t>311,32</w:t>
            </w:r>
          </w:p>
        </w:tc>
        <w:tc>
          <w:tcPr>
            <w:tcW w:w="1137" w:type="dxa"/>
            <w:tcBorders>
              <w:top w:val="nil"/>
              <w:left w:val="nil"/>
              <w:bottom w:val="single" w:sz="4" w:space="0" w:color="auto"/>
              <w:right w:val="single" w:sz="4" w:space="0" w:color="auto"/>
            </w:tcBorders>
            <w:noWrap/>
            <w:hideMark/>
          </w:tcPr>
          <w:p w14:paraId="750474E7" w14:textId="4D5D71BD" w:rsidR="00565CA7" w:rsidRPr="00131EED" w:rsidRDefault="00565CA7" w:rsidP="00B60DA2">
            <w:pPr>
              <w:jc w:val="right"/>
              <w:rPr>
                <w:color w:val="000000"/>
                <w:sz w:val="20"/>
                <w:szCs w:val="20"/>
                <w:lang w:eastAsia="es-CO"/>
              </w:rPr>
            </w:pPr>
            <w:r w:rsidRPr="00131EED">
              <w:rPr>
                <w:sz w:val="20"/>
                <w:szCs w:val="20"/>
              </w:rPr>
              <w:t>537,77</w:t>
            </w:r>
          </w:p>
        </w:tc>
        <w:tc>
          <w:tcPr>
            <w:tcW w:w="993" w:type="dxa"/>
            <w:tcBorders>
              <w:top w:val="nil"/>
              <w:left w:val="nil"/>
              <w:bottom w:val="single" w:sz="4" w:space="0" w:color="auto"/>
              <w:right w:val="single" w:sz="4" w:space="0" w:color="auto"/>
            </w:tcBorders>
            <w:noWrap/>
            <w:hideMark/>
          </w:tcPr>
          <w:p w14:paraId="4705C1AC" w14:textId="1EC6BC6B" w:rsidR="00565CA7" w:rsidRPr="00131EED" w:rsidRDefault="00565CA7" w:rsidP="00B60DA2">
            <w:pPr>
              <w:jc w:val="right"/>
              <w:rPr>
                <w:color w:val="000000"/>
                <w:sz w:val="20"/>
                <w:szCs w:val="20"/>
                <w:lang w:eastAsia="es-CO"/>
              </w:rPr>
            </w:pPr>
            <w:r w:rsidRPr="00131EED">
              <w:rPr>
                <w:sz w:val="20"/>
                <w:szCs w:val="20"/>
              </w:rPr>
              <w:t>391,68</w:t>
            </w:r>
          </w:p>
        </w:tc>
        <w:tc>
          <w:tcPr>
            <w:tcW w:w="1137" w:type="dxa"/>
            <w:tcBorders>
              <w:top w:val="nil"/>
              <w:left w:val="nil"/>
              <w:bottom w:val="single" w:sz="4" w:space="0" w:color="auto"/>
              <w:right w:val="single" w:sz="4" w:space="0" w:color="auto"/>
            </w:tcBorders>
            <w:noWrap/>
            <w:hideMark/>
          </w:tcPr>
          <w:p w14:paraId="42E3B1C9" w14:textId="5F4DCFBE" w:rsidR="00565CA7" w:rsidRPr="00131EED" w:rsidRDefault="00565CA7" w:rsidP="00B60DA2">
            <w:pPr>
              <w:jc w:val="right"/>
              <w:rPr>
                <w:color w:val="000000"/>
                <w:sz w:val="20"/>
                <w:szCs w:val="20"/>
                <w:lang w:eastAsia="es-CO"/>
              </w:rPr>
            </w:pPr>
            <w:r w:rsidRPr="00131EED">
              <w:rPr>
                <w:sz w:val="20"/>
                <w:szCs w:val="20"/>
              </w:rPr>
              <w:t>359,46</w:t>
            </w:r>
          </w:p>
        </w:tc>
        <w:tc>
          <w:tcPr>
            <w:tcW w:w="999" w:type="dxa"/>
            <w:tcBorders>
              <w:top w:val="nil"/>
              <w:left w:val="nil"/>
              <w:bottom w:val="single" w:sz="4" w:space="0" w:color="auto"/>
              <w:right w:val="single" w:sz="4" w:space="0" w:color="auto"/>
            </w:tcBorders>
            <w:noWrap/>
            <w:hideMark/>
          </w:tcPr>
          <w:p w14:paraId="34283EBE" w14:textId="4727A389" w:rsidR="00565CA7" w:rsidRPr="00131EED"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06FBC6E2" w14:textId="277F9D19" w:rsidR="00565CA7" w:rsidRPr="00131EED" w:rsidRDefault="00565CA7" w:rsidP="00B60DA2">
            <w:pPr>
              <w:jc w:val="right"/>
              <w:rPr>
                <w:color w:val="000000"/>
                <w:sz w:val="20"/>
                <w:szCs w:val="20"/>
                <w:lang w:eastAsia="es-CO"/>
              </w:rPr>
            </w:pPr>
            <w:r w:rsidRPr="00131EED">
              <w:rPr>
                <w:sz w:val="20"/>
                <w:szCs w:val="20"/>
              </w:rPr>
              <w:t>3603,93</w:t>
            </w:r>
          </w:p>
        </w:tc>
      </w:tr>
      <w:tr w:rsidR="00565CA7" w:rsidRPr="00131EED" w14:paraId="4A29E336"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7C8CB5A1" w14:textId="77777777" w:rsidR="00565CA7" w:rsidRPr="00131EED" w:rsidRDefault="00565CA7" w:rsidP="00B60DA2">
            <w:pPr>
              <w:rPr>
                <w:color w:val="000000"/>
                <w:sz w:val="20"/>
                <w:szCs w:val="20"/>
                <w:lang w:eastAsia="es-CO"/>
              </w:rPr>
            </w:pPr>
            <w:r w:rsidRPr="00131EED">
              <w:rPr>
                <w:color w:val="000000"/>
                <w:sz w:val="20"/>
                <w:szCs w:val="20"/>
                <w:lang w:eastAsia="es-CO"/>
              </w:rPr>
              <w:t>El Rosal</w:t>
            </w:r>
          </w:p>
        </w:tc>
        <w:tc>
          <w:tcPr>
            <w:tcW w:w="1137" w:type="dxa"/>
            <w:tcBorders>
              <w:top w:val="nil"/>
              <w:left w:val="nil"/>
              <w:bottom w:val="single" w:sz="4" w:space="0" w:color="auto"/>
              <w:right w:val="single" w:sz="4" w:space="0" w:color="auto"/>
            </w:tcBorders>
            <w:noWrap/>
            <w:hideMark/>
          </w:tcPr>
          <w:p w14:paraId="3D20EF41" w14:textId="4161A93F" w:rsidR="00565CA7" w:rsidRPr="00131EED" w:rsidRDefault="00565CA7" w:rsidP="00B60DA2">
            <w:pPr>
              <w:jc w:val="right"/>
              <w:rPr>
                <w:color w:val="000000"/>
                <w:sz w:val="20"/>
                <w:szCs w:val="20"/>
                <w:lang w:eastAsia="es-CO"/>
              </w:rPr>
            </w:pPr>
            <w:r w:rsidRPr="00131EED">
              <w:rPr>
                <w:sz w:val="20"/>
                <w:szCs w:val="20"/>
              </w:rPr>
              <w:t>3006,39</w:t>
            </w:r>
          </w:p>
        </w:tc>
        <w:tc>
          <w:tcPr>
            <w:tcW w:w="1137" w:type="dxa"/>
            <w:tcBorders>
              <w:top w:val="nil"/>
              <w:left w:val="nil"/>
              <w:bottom w:val="single" w:sz="4" w:space="0" w:color="auto"/>
              <w:right w:val="single" w:sz="4" w:space="0" w:color="auto"/>
            </w:tcBorders>
            <w:noWrap/>
            <w:hideMark/>
          </w:tcPr>
          <w:p w14:paraId="33875D91" w14:textId="475CE7FE" w:rsidR="00565CA7" w:rsidRPr="00131EED" w:rsidRDefault="00565CA7" w:rsidP="00B60DA2">
            <w:pPr>
              <w:jc w:val="right"/>
              <w:rPr>
                <w:color w:val="000000"/>
                <w:sz w:val="20"/>
                <w:szCs w:val="20"/>
                <w:lang w:eastAsia="es-CO"/>
              </w:rPr>
            </w:pPr>
            <w:r w:rsidRPr="00131EED">
              <w:rPr>
                <w:sz w:val="20"/>
                <w:szCs w:val="20"/>
              </w:rPr>
              <w:t>1009,69</w:t>
            </w:r>
          </w:p>
        </w:tc>
        <w:tc>
          <w:tcPr>
            <w:tcW w:w="1137" w:type="dxa"/>
            <w:tcBorders>
              <w:top w:val="nil"/>
              <w:left w:val="nil"/>
              <w:bottom w:val="single" w:sz="4" w:space="0" w:color="auto"/>
              <w:right w:val="single" w:sz="4" w:space="0" w:color="auto"/>
            </w:tcBorders>
            <w:noWrap/>
            <w:hideMark/>
          </w:tcPr>
          <w:p w14:paraId="6B1D4C0E" w14:textId="0360E45B" w:rsidR="00565CA7" w:rsidRPr="00131EED" w:rsidRDefault="00565CA7" w:rsidP="00B60DA2">
            <w:pPr>
              <w:jc w:val="right"/>
              <w:rPr>
                <w:color w:val="000000"/>
                <w:sz w:val="20"/>
                <w:szCs w:val="20"/>
                <w:lang w:eastAsia="es-CO"/>
              </w:rPr>
            </w:pPr>
            <w:r w:rsidRPr="00131EED">
              <w:rPr>
                <w:sz w:val="20"/>
                <w:szCs w:val="20"/>
              </w:rPr>
              <w:t>101,47</w:t>
            </w:r>
          </w:p>
        </w:tc>
        <w:tc>
          <w:tcPr>
            <w:tcW w:w="993" w:type="dxa"/>
            <w:tcBorders>
              <w:top w:val="nil"/>
              <w:left w:val="nil"/>
              <w:bottom w:val="single" w:sz="4" w:space="0" w:color="auto"/>
              <w:right w:val="single" w:sz="4" w:space="0" w:color="auto"/>
            </w:tcBorders>
            <w:noWrap/>
            <w:hideMark/>
          </w:tcPr>
          <w:p w14:paraId="5DFBA0C2" w14:textId="298FA7EA" w:rsidR="00565CA7" w:rsidRPr="00131EED" w:rsidRDefault="00565CA7" w:rsidP="00B60DA2">
            <w:pPr>
              <w:jc w:val="right"/>
              <w:rPr>
                <w:color w:val="000000"/>
                <w:sz w:val="20"/>
                <w:szCs w:val="20"/>
                <w:lang w:eastAsia="es-CO"/>
              </w:rPr>
            </w:pPr>
            <w:r w:rsidRPr="00131EED">
              <w:rPr>
                <w:sz w:val="20"/>
                <w:szCs w:val="20"/>
              </w:rPr>
              <w:t>5,91</w:t>
            </w:r>
          </w:p>
        </w:tc>
        <w:tc>
          <w:tcPr>
            <w:tcW w:w="1137" w:type="dxa"/>
            <w:tcBorders>
              <w:top w:val="nil"/>
              <w:left w:val="nil"/>
              <w:bottom w:val="single" w:sz="4" w:space="0" w:color="auto"/>
              <w:right w:val="single" w:sz="4" w:space="0" w:color="auto"/>
            </w:tcBorders>
            <w:noWrap/>
            <w:hideMark/>
          </w:tcPr>
          <w:p w14:paraId="19530D11" w14:textId="601066E4" w:rsidR="00565CA7" w:rsidRPr="00131EED" w:rsidRDefault="00565CA7" w:rsidP="00B60DA2">
            <w:pPr>
              <w:jc w:val="right"/>
              <w:rPr>
                <w:color w:val="000000"/>
                <w:sz w:val="20"/>
                <w:szCs w:val="20"/>
                <w:lang w:eastAsia="es-CO"/>
              </w:rPr>
            </w:pPr>
            <w:r w:rsidRPr="00131EED">
              <w:rPr>
                <w:sz w:val="20"/>
                <w:szCs w:val="20"/>
              </w:rPr>
              <w:t>320,48</w:t>
            </w:r>
          </w:p>
        </w:tc>
        <w:tc>
          <w:tcPr>
            <w:tcW w:w="999" w:type="dxa"/>
            <w:tcBorders>
              <w:top w:val="nil"/>
              <w:left w:val="nil"/>
              <w:bottom w:val="single" w:sz="4" w:space="0" w:color="auto"/>
              <w:right w:val="single" w:sz="4" w:space="0" w:color="auto"/>
            </w:tcBorders>
            <w:noWrap/>
            <w:hideMark/>
          </w:tcPr>
          <w:p w14:paraId="22290FCE" w14:textId="70483043" w:rsidR="00565CA7" w:rsidRPr="00131EED"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1C502861" w14:textId="1F6DD706" w:rsidR="00565CA7" w:rsidRPr="00131EED" w:rsidRDefault="00565CA7" w:rsidP="00B60DA2">
            <w:pPr>
              <w:jc w:val="right"/>
              <w:rPr>
                <w:color w:val="000000"/>
                <w:sz w:val="20"/>
                <w:szCs w:val="20"/>
                <w:lang w:eastAsia="es-CO"/>
              </w:rPr>
            </w:pPr>
            <w:r w:rsidRPr="00131EED">
              <w:rPr>
                <w:sz w:val="20"/>
                <w:szCs w:val="20"/>
              </w:rPr>
              <w:t>4443,94</w:t>
            </w:r>
          </w:p>
        </w:tc>
      </w:tr>
      <w:tr w:rsidR="00565CA7" w:rsidRPr="00131EED" w14:paraId="6FDF1F85"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43FE5D84" w14:textId="77777777" w:rsidR="00565CA7" w:rsidRPr="00131EED" w:rsidRDefault="00565CA7" w:rsidP="00B60DA2">
            <w:pPr>
              <w:rPr>
                <w:color w:val="000000"/>
                <w:sz w:val="20"/>
                <w:szCs w:val="20"/>
                <w:lang w:eastAsia="es-CO"/>
              </w:rPr>
            </w:pPr>
            <w:r w:rsidRPr="00131EED">
              <w:rPr>
                <w:color w:val="000000"/>
                <w:sz w:val="20"/>
                <w:szCs w:val="20"/>
                <w:lang w:eastAsia="es-CO"/>
              </w:rPr>
              <w:t>Facatativá</w:t>
            </w:r>
          </w:p>
        </w:tc>
        <w:tc>
          <w:tcPr>
            <w:tcW w:w="1137" w:type="dxa"/>
            <w:tcBorders>
              <w:top w:val="nil"/>
              <w:left w:val="nil"/>
              <w:bottom w:val="single" w:sz="4" w:space="0" w:color="auto"/>
              <w:right w:val="single" w:sz="4" w:space="0" w:color="auto"/>
            </w:tcBorders>
            <w:noWrap/>
            <w:hideMark/>
          </w:tcPr>
          <w:p w14:paraId="10567510" w14:textId="260111F3" w:rsidR="00565CA7" w:rsidRPr="00131EED" w:rsidRDefault="00565CA7" w:rsidP="00B60DA2">
            <w:pPr>
              <w:jc w:val="right"/>
              <w:rPr>
                <w:color w:val="000000"/>
                <w:sz w:val="20"/>
                <w:szCs w:val="20"/>
                <w:lang w:eastAsia="es-CO"/>
              </w:rPr>
            </w:pPr>
            <w:r w:rsidRPr="00131EED">
              <w:rPr>
                <w:sz w:val="20"/>
                <w:szCs w:val="20"/>
              </w:rPr>
              <w:t>1226,85</w:t>
            </w:r>
          </w:p>
        </w:tc>
        <w:tc>
          <w:tcPr>
            <w:tcW w:w="1137" w:type="dxa"/>
            <w:tcBorders>
              <w:top w:val="nil"/>
              <w:left w:val="nil"/>
              <w:bottom w:val="single" w:sz="4" w:space="0" w:color="auto"/>
              <w:right w:val="single" w:sz="4" w:space="0" w:color="auto"/>
            </w:tcBorders>
            <w:noWrap/>
            <w:hideMark/>
          </w:tcPr>
          <w:p w14:paraId="5FD58DB3" w14:textId="18841F54" w:rsidR="00565CA7" w:rsidRPr="00131EED" w:rsidRDefault="00565CA7" w:rsidP="00B60DA2">
            <w:pPr>
              <w:jc w:val="right"/>
              <w:rPr>
                <w:color w:val="000000"/>
                <w:sz w:val="20"/>
                <w:szCs w:val="20"/>
                <w:lang w:eastAsia="es-CO"/>
              </w:rPr>
            </w:pPr>
            <w:r w:rsidRPr="00131EED">
              <w:rPr>
                <w:sz w:val="20"/>
                <w:szCs w:val="20"/>
              </w:rPr>
              <w:t>2553,47</w:t>
            </w:r>
          </w:p>
        </w:tc>
        <w:tc>
          <w:tcPr>
            <w:tcW w:w="1137" w:type="dxa"/>
            <w:tcBorders>
              <w:top w:val="nil"/>
              <w:left w:val="nil"/>
              <w:bottom w:val="single" w:sz="4" w:space="0" w:color="auto"/>
              <w:right w:val="single" w:sz="4" w:space="0" w:color="auto"/>
            </w:tcBorders>
            <w:noWrap/>
            <w:hideMark/>
          </w:tcPr>
          <w:p w14:paraId="1EA9F049" w14:textId="1FFD1C44" w:rsidR="00565CA7" w:rsidRPr="00131EED" w:rsidRDefault="00565CA7" w:rsidP="00B60DA2">
            <w:pPr>
              <w:jc w:val="right"/>
              <w:rPr>
                <w:color w:val="000000"/>
                <w:sz w:val="20"/>
                <w:szCs w:val="20"/>
                <w:lang w:eastAsia="es-CO"/>
              </w:rPr>
            </w:pPr>
            <w:r w:rsidRPr="00131EED">
              <w:rPr>
                <w:sz w:val="20"/>
                <w:szCs w:val="20"/>
              </w:rPr>
              <w:t>339,31</w:t>
            </w:r>
          </w:p>
        </w:tc>
        <w:tc>
          <w:tcPr>
            <w:tcW w:w="993" w:type="dxa"/>
            <w:tcBorders>
              <w:top w:val="nil"/>
              <w:left w:val="nil"/>
              <w:bottom w:val="single" w:sz="4" w:space="0" w:color="auto"/>
              <w:right w:val="single" w:sz="4" w:space="0" w:color="auto"/>
            </w:tcBorders>
            <w:noWrap/>
            <w:hideMark/>
          </w:tcPr>
          <w:p w14:paraId="7873D557" w14:textId="3B0A7F33" w:rsidR="00565CA7" w:rsidRPr="00131EED" w:rsidRDefault="00565CA7" w:rsidP="00B60DA2">
            <w:pPr>
              <w:jc w:val="right"/>
              <w:rPr>
                <w:color w:val="000000"/>
                <w:sz w:val="20"/>
                <w:szCs w:val="20"/>
                <w:lang w:eastAsia="es-CO"/>
              </w:rPr>
            </w:pPr>
            <w:r w:rsidRPr="00131EED">
              <w:rPr>
                <w:sz w:val="20"/>
                <w:szCs w:val="20"/>
              </w:rPr>
              <w:t>99,54</w:t>
            </w:r>
          </w:p>
        </w:tc>
        <w:tc>
          <w:tcPr>
            <w:tcW w:w="1137" w:type="dxa"/>
            <w:tcBorders>
              <w:top w:val="nil"/>
              <w:left w:val="nil"/>
              <w:bottom w:val="single" w:sz="4" w:space="0" w:color="auto"/>
              <w:right w:val="single" w:sz="4" w:space="0" w:color="auto"/>
            </w:tcBorders>
            <w:noWrap/>
            <w:hideMark/>
          </w:tcPr>
          <w:p w14:paraId="0ECC6CFC" w14:textId="550869F0" w:rsidR="00565CA7" w:rsidRPr="00131EED" w:rsidRDefault="00565CA7" w:rsidP="00B60DA2">
            <w:pPr>
              <w:jc w:val="right"/>
              <w:rPr>
                <w:color w:val="000000"/>
                <w:sz w:val="20"/>
                <w:szCs w:val="20"/>
                <w:lang w:eastAsia="es-CO"/>
              </w:rPr>
            </w:pPr>
            <w:r w:rsidRPr="00131EED">
              <w:rPr>
                <w:sz w:val="20"/>
                <w:szCs w:val="20"/>
              </w:rPr>
              <w:t>419,82</w:t>
            </w:r>
          </w:p>
        </w:tc>
        <w:tc>
          <w:tcPr>
            <w:tcW w:w="999" w:type="dxa"/>
            <w:tcBorders>
              <w:top w:val="nil"/>
              <w:left w:val="nil"/>
              <w:bottom w:val="single" w:sz="4" w:space="0" w:color="auto"/>
              <w:right w:val="single" w:sz="4" w:space="0" w:color="auto"/>
            </w:tcBorders>
            <w:noWrap/>
            <w:hideMark/>
          </w:tcPr>
          <w:p w14:paraId="537DB51F" w14:textId="09E3E83F" w:rsidR="00565CA7" w:rsidRPr="00131EED" w:rsidRDefault="00565CA7" w:rsidP="00B60DA2">
            <w:pPr>
              <w:jc w:val="right"/>
              <w:rPr>
                <w:color w:val="000000"/>
                <w:sz w:val="20"/>
                <w:szCs w:val="20"/>
                <w:lang w:eastAsia="es-CO"/>
              </w:rPr>
            </w:pPr>
            <w:r w:rsidRPr="00131EED">
              <w:rPr>
                <w:sz w:val="20"/>
                <w:szCs w:val="20"/>
              </w:rPr>
              <w:t>162,02</w:t>
            </w:r>
          </w:p>
        </w:tc>
        <w:tc>
          <w:tcPr>
            <w:tcW w:w="931" w:type="dxa"/>
            <w:tcBorders>
              <w:top w:val="nil"/>
              <w:left w:val="nil"/>
              <w:bottom w:val="single" w:sz="4" w:space="0" w:color="auto"/>
              <w:right w:val="single" w:sz="4" w:space="0" w:color="auto"/>
            </w:tcBorders>
            <w:noWrap/>
            <w:hideMark/>
          </w:tcPr>
          <w:p w14:paraId="189A3B3C" w14:textId="59975EE1" w:rsidR="00565CA7" w:rsidRPr="00131EED" w:rsidRDefault="00D46379" w:rsidP="00B60DA2">
            <w:pPr>
              <w:jc w:val="right"/>
              <w:rPr>
                <w:color w:val="000000"/>
                <w:sz w:val="20"/>
                <w:szCs w:val="20"/>
                <w:lang w:eastAsia="es-CO"/>
              </w:rPr>
            </w:pPr>
            <w:r w:rsidRPr="00131EED">
              <w:rPr>
                <w:sz w:val="20"/>
                <w:szCs w:val="20"/>
              </w:rPr>
              <w:t>4638,99</w:t>
            </w:r>
          </w:p>
        </w:tc>
      </w:tr>
      <w:tr w:rsidR="00565CA7" w:rsidRPr="00131EED" w14:paraId="1026AA1B"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5DC93065" w14:textId="77777777" w:rsidR="00565CA7" w:rsidRPr="00131EED" w:rsidRDefault="00565CA7" w:rsidP="00B60DA2">
            <w:pPr>
              <w:rPr>
                <w:color w:val="000000"/>
                <w:sz w:val="20"/>
                <w:szCs w:val="20"/>
                <w:lang w:eastAsia="es-CO"/>
              </w:rPr>
            </w:pPr>
            <w:r w:rsidRPr="00131EED">
              <w:rPr>
                <w:color w:val="000000"/>
                <w:sz w:val="20"/>
                <w:szCs w:val="20"/>
                <w:lang w:eastAsia="es-CO"/>
              </w:rPr>
              <w:t>Funza</w:t>
            </w:r>
          </w:p>
        </w:tc>
        <w:tc>
          <w:tcPr>
            <w:tcW w:w="1137" w:type="dxa"/>
            <w:tcBorders>
              <w:top w:val="nil"/>
              <w:left w:val="nil"/>
              <w:bottom w:val="single" w:sz="4" w:space="0" w:color="auto"/>
              <w:right w:val="single" w:sz="4" w:space="0" w:color="auto"/>
            </w:tcBorders>
            <w:noWrap/>
            <w:hideMark/>
          </w:tcPr>
          <w:p w14:paraId="0A526EEF" w14:textId="1FCC8F30" w:rsidR="00565CA7" w:rsidRPr="00131EED" w:rsidRDefault="00565CA7" w:rsidP="00B60DA2">
            <w:pPr>
              <w:jc w:val="right"/>
              <w:rPr>
                <w:color w:val="000000"/>
                <w:sz w:val="20"/>
                <w:szCs w:val="20"/>
                <w:lang w:eastAsia="es-CO"/>
              </w:rPr>
            </w:pPr>
            <w:r w:rsidRPr="00131EED">
              <w:rPr>
                <w:sz w:val="20"/>
                <w:szCs w:val="20"/>
              </w:rPr>
              <w:t>2018,43</w:t>
            </w:r>
          </w:p>
        </w:tc>
        <w:tc>
          <w:tcPr>
            <w:tcW w:w="1137" w:type="dxa"/>
            <w:tcBorders>
              <w:top w:val="nil"/>
              <w:left w:val="nil"/>
              <w:bottom w:val="single" w:sz="4" w:space="0" w:color="auto"/>
              <w:right w:val="single" w:sz="4" w:space="0" w:color="auto"/>
            </w:tcBorders>
            <w:noWrap/>
            <w:hideMark/>
          </w:tcPr>
          <w:p w14:paraId="17766AF1" w14:textId="1722B322" w:rsidR="00565CA7" w:rsidRPr="00131EED" w:rsidRDefault="00565CA7" w:rsidP="00B60DA2">
            <w:pPr>
              <w:jc w:val="right"/>
              <w:rPr>
                <w:color w:val="000000"/>
                <w:sz w:val="20"/>
                <w:szCs w:val="20"/>
                <w:lang w:eastAsia="es-CO"/>
              </w:rPr>
            </w:pPr>
            <w:r w:rsidRPr="00131EED">
              <w:rPr>
                <w:sz w:val="20"/>
                <w:szCs w:val="20"/>
              </w:rPr>
              <w:t>2560,57</w:t>
            </w:r>
          </w:p>
        </w:tc>
        <w:tc>
          <w:tcPr>
            <w:tcW w:w="1137" w:type="dxa"/>
            <w:tcBorders>
              <w:top w:val="nil"/>
              <w:left w:val="nil"/>
              <w:bottom w:val="single" w:sz="4" w:space="0" w:color="auto"/>
              <w:right w:val="single" w:sz="4" w:space="0" w:color="auto"/>
            </w:tcBorders>
            <w:noWrap/>
            <w:hideMark/>
          </w:tcPr>
          <w:p w14:paraId="34F16828" w14:textId="6DE255E1" w:rsidR="00565CA7" w:rsidRPr="00131EED" w:rsidRDefault="00565CA7" w:rsidP="00B60DA2">
            <w:pPr>
              <w:jc w:val="right"/>
              <w:rPr>
                <w:color w:val="000000"/>
                <w:sz w:val="20"/>
                <w:szCs w:val="20"/>
                <w:lang w:eastAsia="es-CO"/>
              </w:rPr>
            </w:pPr>
            <w:r w:rsidRPr="00131EED">
              <w:rPr>
                <w:sz w:val="20"/>
                <w:szCs w:val="20"/>
              </w:rPr>
              <w:t>671,05</w:t>
            </w:r>
          </w:p>
        </w:tc>
        <w:tc>
          <w:tcPr>
            <w:tcW w:w="993" w:type="dxa"/>
            <w:tcBorders>
              <w:top w:val="nil"/>
              <w:left w:val="nil"/>
              <w:bottom w:val="single" w:sz="4" w:space="0" w:color="auto"/>
              <w:right w:val="single" w:sz="4" w:space="0" w:color="auto"/>
            </w:tcBorders>
            <w:noWrap/>
            <w:hideMark/>
          </w:tcPr>
          <w:p w14:paraId="2C35A0BF" w14:textId="3184ACDC" w:rsidR="00565CA7" w:rsidRPr="00131EED" w:rsidRDefault="00565CA7" w:rsidP="00B60DA2">
            <w:pPr>
              <w:jc w:val="right"/>
              <w:rPr>
                <w:color w:val="000000"/>
                <w:sz w:val="20"/>
                <w:szCs w:val="20"/>
                <w:lang w:eastAsia="es-CO"/>
              </w:rPr>
            </w:pPr>
            <w:r w:rsidRPr="00131EED">
              <w:rPr>
                <w:sz w:val="20"/>
                <w:szCs w:val="20"/>
              </w:rPr>
              <w:t>9,99</w:t>
            </w:r>
          </w:p>
        </w:tc>
        <w:tc>
          <w:tcPr>
            <w:tcW w:w="1137" w:type="dxa"/>
            <w:tcBorders>
              <w:top w:val="nil"/>
              <w:left w:val="nil"/>
              <w:bottom w:val="single" w:sz="4" w:space="0" w:color="auto"/>
              <w:right w:val="single" w:sz="4" w:space="0" w:color="auto"/>
            </w:tcBorders>
            <w:noWrap/>
            <w:hideMark/>
          </w:tcPr>
          <w:p w14:paraId="20648D8A" w14:textId="6BA9554D" w:rsidR="00565CA7" w:rsidRPr="00131EED" w:rsidRDefault="00565CA7" w:rsidP="00B60DA2">
            <w:pPr>
              <w:jc w:val="right"/>
              <w:rPr>
                <w:color w:val="000000"/>
                <w:sz w:val="20"/>
                <w:szCs w:val="20"/>
                <w:lang w:eastAsia="es-CO"/>
              </w:rPr>
            </w:pPr>
            <w:r w:rsidRPr="00131EED">
              <w:rPr>
                <w:sz w:val="20"/>
                <w:szCs w:val="20"/>
              </w:rPr>
              <w:t>232,31</w:t>
            </w:r>
          </w:p>
        </w:tc>
        <w:tc>
          <w:tcPr>
            <w:tcW w:w="999" w:type="dxa"/>
            <w:tcBorders>
              <w:top w:val="nil"/>
              <w:left w:val="nil"/>
              <w:bottom w:val="single" w:sz="4" w:space="0" w:color="auto"/>
              <w:right w:val="single" w:sz="4" w:space="0" w:color="auto"/>
            </w:tcBorders>
            <w:noWrap/>
            <w:hideMark/>
          </w:tcPr>
          <w:p w14:paraId="4C96ABEB" w14:textId="0A6B7A59" w:rsidR="00565CA7" w:rsidRPr="00131EED" w:rsidRDefault="00565CA7" w:rsidP="00B60DA2">
            <w:pPr>
              <w:jc w:val="right"/>
              <w:rPr>
                <w:color w:val="000000"/>
                <w:sz w:val="20"/>
                <w:szCs w:val="20"/>
                <w:lang w:eastAsia="es-CO"/>
              </w:rPr>
            </w:pPr>
            <w:r w:rsidRPr="00131EED">
              <w:rPr>
                <w:sz w:val="20"/>
                <w:szCs w:val="20"/>
              </w:rPr>
              <w:t>170,12</w:t>
            </w:r>
          </w:p>
        </w:tc>
        <w:tc>
          <w:tcPr>
            <w:tcW w:w="931" w:type="dxa"/>
            <w:tcBorders>
              <w:top w:val="nil"/>
              <w:left w:val="nil"/>
              <w:bottom w:val="single" w:sz="4" w:space="0" w:color="auto"/>
              <w:right w:val="single" w:sz="4" w:space="0" w:color="auto"/>
            </w:tcBorders>
            <w:noWrap/>
            <w:hideMark/>
          </w:tcPr>
          <w:p w14:paraId="4B4E2678" w14:textId="5E46878D" w:rsidR="00565CA7" w:rsidRPr="00131EED" w:rsidRDefault="00D46379" w:rsidP="00B60DA2">
            <w:pPr>
              <w:jc w:val="right"/>
              <w:rPr>
                <w:color w:val="000000"/>
                <w:sz w:val="20"/>
                <w:szCs w:val="20"/>
                <w:lang w:eastAsia="es-CO"/>
              </w:rPr>
            </w:pPr>
            <w:r w:rsidRPr="00131EED">
              <w:rPr>
                <w:sz w:val="20"/>
                <w:szCs w:val="20"/>
              </w:rPr>
              <w:t>5492,35</w:t>
            </w:r>
          </w:p>
        </w:tc>
      </w:tr>
      <w:tr w:rsidR="00565CA7" w:rsidRPr="00131EED" w14:paraId="11DB6319"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36587F7D" w14:textId="77777777" w:rsidR="00565CA7" w:rsidRPr="00131EED" w:rsidRDefault="00565CA7" w:rsidP="00B60DA2">
            <w:pPr>
              <w:rPr>
                <w:color w:val="000000"/>
                <w:sz w:val="20"/>
                <w:szCs w:val="20"/>
                <w:lang w:eastAsia="es-CO"/>
              </w:rPr>
            </w:pPr>
            <w:r w:rsidRPr="00131EED">
              <w:rPr>
                <w:color w:val="000000"/>
                <w:sz w:val="20"/>
                <w:szCs w:val="20"/>
                <w:lang w:eastAsia="es-CO"/>
              </w:rPr>
              <w:t>Gachancipá</w:t>
            </w:r>
          </w:p>
        </w:tc>
        <w:tc>
          <w:tcPr>
            <w:tcW w:w="1137" w:type="dxa"/>
            <w:tcBorders>
              <w:top w:val="nil"/>
              <w:left w:val="nil"/>
              <w:bottom w:val="single" w:sz="4" w:space="0" w:color="auto"/>
              <w:right w:val="single" w:sz="4" w:space="0" w:color="auto"/>
            </w:tcBorders>
            <w:noWrap/>
            <w:hideMark/>
          </w:tcPr>
          <w:p w14:paraId="7C1FA24B" w14:textId="53EAAC02" w:rsidR="00565CA7" w:rsidRPr="00131EED" w:rsidRDefault="00565CA7" w:rsidP="00B60DA2">
            <w:pPr>
              <w:jc w:val="right"/>
              <w:rPr>
                <w:color w:val="000000"/>
                <w:sz w:val="20"/>
                <w:szCs w:val="20"/>
                <w:lang w:eastAsia="es-CO"/>
              </w:rPr>
            </w:pPr>
            <w:r w:rsidRPr="00131EED">
              <w:rPr>
                <w:sz w:val="20"/>
                <w:szCs w:val="20"/>
              </w:rPr>
              <w:t>240,62</w:t>
            </w:r>
          </w:p>
        </w:tc>
        <w:tc>
          <w:tcPr>
            <w:tcW w:w="1137" w:type="dxa"/>
            <w:tcBorders>
              <w:top w:val="nil"/>
              <w:left w:val="nil"/>
              <w:bottom w:val="single" w:sz="4" w:space="0" w:color="auto"/>
              <w:right w:val="single" w:sz="4" w:space="0" w:color="auto"/>
            </w:tcBorders>
            <w:noWrap/>
            <w:hideMark/>
          </w:tcPr>
          <w:p w14:paraId="64A206D0" w14:textId="59CA91DB" w:rsidR="00565CA7" w:rsidRPr="00131EED" w:rsidRDefault="00565CA7" w:rsidP="00B60DA2">
            <w:pPr>
              <w:jc w:val="right"/>
              <w:rPr>
                <w:color w:val="000000"/>
                <w:sz w:val="20"/>
                <w:szCs w:val="20"/>
                <w:lang w:eastAsia="es-CO"/>
              </w:rPr>
            </w:pPr>
            <w:r w:rsidRPr="00131EED">
              <w:rPr>
                <w:sz w:val="20"/>
                <w:szCs w:val="20"/>
              </w:rPr>
              <w:t>19,27</w:t>
            </w:r>
          </w:p>
        </w:tc>
        <w:tc>
          <w:tcPr>
            <w:tcW w:w="1137" w:type="dxa"/>
            <w:tcBorders>
              <w:top w:val="nil"/>
              <w:left w:val="nil"/>
              <w:bottom w:val="single" w:sz="4" w:space="0" w:color="auto"/>
              <w:right w:val="single" w:sz="4" w:space="0" w:color="auto"/>
            </w:tcBorders>
            <w:noWrap/>
            <w:hideMark/>
          </w:tcPr>
          <w:p w14:paraId="36EC453C" w14:textId="0158AE43" w:rsidR="00565CA7" w:rsidRPr="00131EED" w:rsidRDefault="00565CA7" w:rsidP="00B60DA2">
            <w:pPr>
              <w:jc w:val="right"/>
              <w:rPr>
                <w:color w:val="000000"/>
                <w:sz w:val="20"/>
                <w:szCs w:val="20"/>
                <w:lang w:eastAsia="es-CO"/>
              </w:rPr>
            </w:pPr>
            <w:r w:rsidRPr="00131EED">
              <w:rPr>
                <w:sz w:val="20"/>
                <w:szCs w:val="20"/>
              </w:rPr>
              <w:t>1383,60</w:t>
            </w:r>
          </w:p>
        </w:tc>
        <w:tc>
          <w:tcPr>
            <w:tcW w:w="993" w:type="dxa"/>
            <w:tcBorders>
              <w:top w:val="nil"/>
              <w:left w:val="nil"/>
              <w:bottom w:val="single" w:sz="4" w:space="0" w:color="auto"/>
              <w:right w:val="single" w:sz="4" w:space="0" w:color="auto"/>
            </w:tcBorders>
            <w:noWrap/>
            <w:hideMark/>
          </w:tcPr>
          <w:p w14:paraId="2128E950" w14:textId="29D2FEC6" w:rsidR="00565CA7" w:rsidRPr="00131EED" w:rsidRDefault="00565CA7" w:rsidP="00B60DA2">
            <w:pPr>
              <w:jc w:val="right"/>
              <w:rPr>
                <w:color w:val="000000"/>
                <w:sz w:val="20"/>
                <w:szCs w:val="20"/>
                <w:lang w:eastAsia="es-CO"/>
              </w:rPr>
            </w:pPr>
            <w:r w:rsidRPr="00131EED">
              <w:rPr>
                <w:sz w:val="20"/>
                <w:szCs w:val="20"/>
              </w:rPr>
              <w:t>68,40</w:t>
            </w:r>
          </w:p>
        </w:tc>
        <w:tc>
          <w:tcPr>
            <w:tcW w:w="1137" w:type="dxa"/>
            <w:tcBorders>
              <w:top w:val="nil"/>
              <w:left w:val="nil"/>
              <w:bottom w:val="single" w:sz="4" w:space="0" w:color="auto"/>
              <w:right w:val="single" w:sz="4" w:space="0" w:color="auto"/>
            </w:tcBorders>
            <w:noWrap/>
            <w:hideMark/>
          </w:tcPr>
          <w:p w14:paraId="398B65B9" w14:textId="67CC3343" w:rsidR="00565CA7" w:rsidRPr="00131EED" w:rsidRDefault="00565CA7" w:rsidP="00B60DA2">
            <w:pPr>
              <w:jc w:val="right"/>
              <w:rPr>
                <w:color w:val="000000"/>
                <w:sz w:val="20"/>
                <w:szCs w:val="20"/>
                <w:lang w:eastAsia="es-CO"/>
              </w:rPr>
            </w:pPr>
            <w:r w:rsidRPr="00131EED">
              <w:rPr>
                <w:sz w:val="20"/>
                <w:szCs w:val="20"/>
              </w:rPr>
              <w:t>686,80</w:t>
            </w:r>
          </w:p>
        </w:tc>
        <w:tc>
          <w:tcPr>
            <w:tcW w:w="999" w:type="dxa"/>
            <w:tcBorders>
              <w:top w:val="nil"/>
              <w:left w:val="nil"/>
              <w:bottom w:val="single" w:sz="4" w:space="0" w:color="auto"/>
              <w:right w:val="single" w:sz="4" w:space="0" w:color="auto"/>
            </w:tcBorders>
            <w:noWrap/>
            <w:hideMark/>
          </w:tcPr>
          <w:p w14:paraId="33CA44DF" w14:textId="1FD77F0A" w:rsidR="00565CA7" w:rsidRPr="00131EED"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71C0F09B" w14:textId="644E4704" w:rsidR="00565CA7" w:rsidRPr="00131EED" w:rsidRDefault="00565CA7" w:rsidP="00B60DA2">
            <w:pPr>
              <w:jc w:val="right"/>
              <w:rPr>
                <w:color w:val="000000"/>
                <w:sz w:val="20"/>
                <w:szCs w:val="20"/>
                <w:lang w:eastAsia="es-CO"/>
              </w:rPr>
            </w:pPr>
            <w:r w:rsidRPr="00131EED">
              <w:rPr>
                <w:sz w:val="20"/>
                <w:szCs w:val="20"/>
              </w:rPr>
              <w:t>2398,70</w:t>
            </w:r>
          </w:p>
        </w:tc>
      </w:tr>
      <w:tr w:rsidR="00565CA7" w:rsidRPr="00131EED" w14:paraId="70600B93"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28756211" w14:textId="77777777" w:rsidR="00565CA7" w:rsidRPr="00131EED" w:rsidRDefault="00565CA7" w:rsidP="00B60DA2">
            <w:pPr>
              <w:rPr>
                <w:color w:val="000000"/>
                <w:sz w:val="20"/>
                <w:szCs w:val="20"/>
                <w:lang w:eastAsia="es-CO"/>
              </w:rPr>
            </w:pPr>
            <w:r w:rsidRPr="00131EED">
              <w:rPr>
                <w:color w:val="000000"/>
                <w:sz w:val="20"/>
                <w:szCs w:val="20"/>
                <w:lang w:eastAsia="es-CO"/>
              </w:rPr>
              <w:t>Guasca</w:t>
            </w:r>
          </w:p>
        </w:tc>
        <w:tc>
          <w:tcPr>
            <w:tcW w:w="1137" w:type="dxa"/>
            <w:tcBorders>
              <w:top w:val="nil"/>
              <w:left w:val="nil"/>
              <w:bottom w:val="single" w:sz="4" w:space="0" w:color="auto"/>
              <w:right w:val="single" w:sz="4" w:space="0" w:color="auto"/>
            </w:tcBorders>
            <w:noWrap/>
            <w:hideMark/>
          </w:tcPr>
          <w:p w14:paraId="3A3FF18E" w14:textId="2A07493C" w:rsidR="00565CA7" w:rsidRPr="00131EED"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4222A416" w14:textId="74914209" w:rsidR="00565CA7" w:rsidRPr="00131EED"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45FDAF1E" w14:textId="0E52C8BF" w:rsidR="00565CA7" w:rsidRPr="00131EED" w:rsidRDefault="00565CA7" w:rsidP="00B60DA2">
            <w:pPr>
              <w:jc w:val="right"/>
              <w:rPr>
                <w:color w:val="000000"/>
                <w:sz w:val="20"/>
                <w:szCs w:val="20"/>
                <w:lang w:eastAsia="es-CO"/>
              </w:rPr>
            </w:pPr>
            <w:r w:rsidRPr="00131EED">
              <w:rPr>
                <w:sz w:val="20"/>
                <w:szCs w:val="20"/>
              </w:rPr>
              <w:t>1,05</w:t>
            </w:r>
          </w:p>
        </w:tc>
        <w:tc>
          <w:tcPr>
            <w:tcW w:w="993" w:type="dxa"/>
            <w:tcBorders>
              <w:top w:val="nil"/>
              <w:left w:val="nil"/>
              <w:bottom w:val="single" w:sz="4" w:space="0" w:color="auto"/>
              <w:right w:val="single" w:sz="4" w:space="0" w:color="auto"/>
            </w:tcBorders>
            <w:noWrap/>
            <w:hideMark/>
          </w:tcPr>
          <w:p w14:paraId="3033E48C" w14:textId="18EC0AAD" w:rsidR="00565CA7" w:rsidRPr="00131EED"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51D38FBF" w14:textId="7F3DF452" w:rsidR="00565CA7" w:rsidRPr="00131EED" w:rsidRDefault="00565CA7" w:rsidP="00B60DA2">
            <w:pPr>
              <w:jc w:val="right"/>
              <w:rPr>
                <w:color w:val="000000"/>
                <w:sz w:val="20"/>
                <w:szCs w:val="20"/>
                <w:lang w:eastAsia="es-CO"/>
              </w:rPr>
            </w:pPr>
            <w:r w:rsidRPr="00131EED">
              <w:rPr>
                <w:sz w:val="20"/>
                <w:szCs w:val="20"/>
              </w:rPr>
              <w:t>2,16</w:t>
            </w:r>
          </w:p>
        </w:tc>
        <w:tc>
          <w:tcPr>
            <w:tcW w:w="999" w:type="dxa"/>
            <w:tcBorders>
              <w:top w:val="nil"/>
              <w:left w:val="nil"/>
              <w:bottom w:val="single" w:sz="4" w:space="0" w:color="auto"/>
              <w:right w:val="single" w:sz="4" w:space="0" w:color="auto"/>
            </w:tcBorders>
            <w:noWrap/>
            <w:hideMark/>
          </w:tcPr>
          <w:p w14:paraId="3C3E77C4" w14:textId="06D2E4B4" w:rsidR="00565CA7" w:rsidRPr="00131EED"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43856AD3" w14:textId="078F84BC" w:rsidR="00565CA7" w:rsidRPr="00131EED" w:rsidRDefault="00565CA7" w:rsidP="00B60DA2">
            <w:pPr>
              <w:jc w:val="right"/>
              <w:rPr>
                <w:color w:val="000000"/>
                <w:sz w:val="20"/>
                <w:szCs w:val="20"/>
                <w:lang w:eastAsia="es-CO"/>
              </w:rPr>
            </w:pPr>
            <w:r w:rsidRPr="00131EED">
              <w:rPr>
                <w:sz w:val="20"/>
                <w:szCs w:val="20"/>
              </w:rPr>
              <w:t>3,21</w:t>
            </w:r>
          </w:p>
        </w:tc>
      </w:tr>
      <w:tr w:rsidR="00565CA7" w:rsidRPr="00131EED" w14:paraId="504E7040"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2FA8E7F6" w14:textId="77777777" w:rsidR="00565CA7" w:rsidRPr="00131EED" w:rsidRDefault="00565CA7" w:rsidP="00B60DA2">
            <w:pPr>
              <w:rPr>
                <w:color w:val="000000"/>
                <w:sz w:val="20"/>
                <w:szCs w:val="20"/>
                <w:lang w:eastAsia="es-CO"/>
              </w:rPr>
            </w:pPr>
            <w:r w:rsidRPr="00131EED">
              <w:rPr>
                <w:color w:val="000000"/>
                <w:sz w:val="20"/>
                <w:szCs w:val="20"/>
                <w:lang w:eastAsia="es-CO"/>
              </w:rPr>
              <w:t>Madrid</w:t>
            </w:r>
          </w:p>
        </w:tc>
        <w:tc>
          <w:tcPr>
            <w:tcW w:w="1137" w:type="dxa"/>
            <w:tcBorders>
              <w:top w:val="nil"/>
              <w:left w:val="nil"/>
              <w:bottom w:val="single" w:sz="4" w:space="0" w:color="auto"/>
              <w:right w:val="single" w:sz="4" w:space="0" w:color="auto"/>
            </w:tcBorders>
            <w:noWrap/>
            <w:hideMark/>
          </w:tcPr>
          <w:p w14:paraId="7DD78F05" w14:textId="6C6DCB83" w:rsidR="00565CA7" w:rsidRPr="00131EED" w:rsidRDefault="00565CA7" w:rsidP="00B60DA2">
            <w:pPr>
              <w:jc w:val="right"/>
              <w:rPr>
                <w:color w:val="000000"/>
                <w:sz w:val="20"/>
                <w:szCs w:val="20"/>
                <w:lang w:eastAsia="es-CO"/>
              </w:rPr>
            </w:pPr>
            <w:r w:rsidRPr="00131EED">
              <w:rPr>
                <w:sz w:val="20"/>
                <w:szCs w:val="20"/>
              </w:rPr>
              <w:t>1042,34</w:t>
            </w:r>
          </w:p>
        </w:tc>
        <w:tc>
          <w:tcPr>
            <w:tcW w:w="1137" w:type="dxa"/>
            <w:tcBorders>
              <w:top w:val="nil"/>
              <w:left w:val="nil"/>
              <w:bottom w:val="single" w:sz="4" w:space="0" w:color="auto"/>
              <w:right w:val="single" w:sz="4" w:space="0" w:color="auto"/>
            </w:tcBorders>
            <w:noWrap/>
            <w:hideMark/>
          </w:tcPr>
          <w:p w14:paraId="5196BE08" w14:textId="6F19D5E0" w:rsidR="00565CA7" w:rsidRPr="00131EED" w:rsidRDefault="00565CA7" w:rsidP="00B60DA2">
            <w:pPr>
              <w:jc w:val="right"/>
              <w:rPr>
                <w:color w:val="000000"/>
                <w:sz w:val="20"/>
                <w:szCs w:val="20"/>
                <w:lang w:eastAsia="es-CO"/>
              </w:rPr>
            </w:pPr>
            <w:r w:rsidRPr="00131EED">
              <w:rPr>
                <w:sz w:val="20"/>
                <w:szCs w:val="20"/>
              </w:rPr>
              <w:t>7079,16</w:t>
            </w:r>
          </w:p>
        </w:tc>
        <w:tc>
          <w:tcPr>
            <w:tcW w:w="1137" w:type="dxa"/>
            <w:tcBorders>
              <w:top w:val="nil"/>
              <w:left w:val="nil"/>
              <w:bottom w:val="single" w:sz="4" w:space="0" w:color="auto"/>
              <w:right w:val="single" w:sz="4" w:space="0" w:color="auto"/>
            </w:tcBorders>
            <w:noWrap/>
            <w:hideMark/>
          </w:tcPr>
          <w:p w14:paraId="1F0525A1" w14:textId="1D258934" w:rsidR="00565CA7" w:rsidRPr="00131EED" w:rsidRDefault="00565CA7" w:rsidP="00B60DA2">
            <w:pPr>
              <w:jc w:val="right"/>
              <w:rPr>
                <w:color w:val="000000"/>
                <w:sz w:val="20"/>
                <w:szCs w:val="20"/>
                <w:lang w:eastAsia="es-CO"/>
              </w:rPr>
            </w:pPr>
            <w:r w:rsidRPr="00131EED">
              <w:rPr>
                <w:sz w:val="20"/>
                <w:szCs w:val="20"/>
              </w:rPr>
              <w:t>365,90</w:t>
            </w:r>
          </w:p>
        </w:tc>
        <w:tc>
          <w:tcPr>
            <w:tcW w:w="993" w:type="dxa"/>
            <w:tcBorders>
              <w:top w:val="nil"/>
              <w:left w:val="nil"/>
              <w:bottom w:val="single" w:sz="4" w:space="0" w:color="auto"/>
              <w:right w:val="single" w:sz="4" w:space="0" w:color="auto"/>
            </w:tcBorders>
            <w:noWrap/>
            <w:hideMark/>
          </w:tcPr>
          <w:p w14:paraId="23815A78" w14:textId="4C095CE1" w:rsidR="00565CA7" w:rsidRPr="00131EED" w:rsidRDefault="00565CA7" w:rsidP="00B60DA2">
            <w:pPr>
              <w:jc w:val="right"/>
              <w:rPr>
                <w:color w:val="000000"/>
                <w:sz w:val="20"/>
                <w:szCs w:val="20"/>
                <w:lang w:eastAsia="es-CO"/>
              </w:rPr>
            </w:pPr>
            <w:r w:rsidRPr="00131EED">
              <w:rPr>
                <w:sz w:val="20"/>
                <w:szCs w:val="20"/>
              </w:rPr>
              <w:t>69,47</w:t>
            </w:r>
          </w:p>
        </w:tc>
        <w:tc>
          <w:tcPr>
            <w:tcW w:w="1137" w:type="dxa"/>
            <w:tcBorders>
              <w:top w:val="nil"/>
              <w:left w:val="nil"/>
              <w:bottom w:val="single" w:sz="4" w:space="0" w:color="auto"/>
              <w:right w:val="single" w:sz="4" w:space="0" w:color="auto"/>
            </w:tcBorders>
            <w:noWrap/>
            <w:hideMark/>
          </w:tcPr>
          <w:p w14:paraId="34788449" w14:textId="2703AF7B" w:rsidR="00565CA7" w:rsidRPr="00131EED" w:rsidRDefault="00565CA7" w:rsidP="00B60DA2">
            <w:pPr>
              <w:jc w:val="right"/>
              <w:rPr>
                <w:color w:val="000000"/>
                <w:sz w:val="20"/>
                <w:szCs w:val="20"/>
                <w:lang w:eastAsia="es-CO"/>
              </w:rPr>
            </w:pPr>
            <w:r w:rsidRPr="00131EED">
              <w:rPr>
                <w:sz w:val="20"/>
                <w:szCs w:val="20"/>
              </w:rPr>
              <w:t>326,84</w:t>
            </w:r>
          </w:p>
        </w:tc>
        <w:tc>
          <w:tcPr>
            <w:tcW w:w="999" w:type="dxa"/>
            <w:tcBorders>
              <w:top w:val="nil"/>
              <w:left w:val="nil"/>
              <w:bottom w:val="single" w:sz="4" w:space="0" w:color="auto"/>
              <w:right w:val="single" w:sz="4" w:space="0" w:color="auto"/>
            </w:tcBorders>
            <w:noWrap/>
            <w:hideMark/>
          </w:tcPr>
          <w:p w14:paraId="0E77C46E" w14:textId="00FE46A1" w:rsidR="00565CA7" w:rsidRPr="00131EED" w:rsidRDefault="00565CA7" w:rsidP="00B60DA2">
            <w:pPr>
              <w:jc w:val="right"/>
              <w:rPr>
                <w:color w:val="000000"/>
                <w:sz w:val="20"/>
                <w:szCs w:val="20"/>
                <w:lang w:eastAsia="es-CO"/>
              </w:rPr>
            </w:pPr>
            <w:r w:rsidRPr="00131EED">
              <w:rPr>
                <w:sz w:val="20"/>
                <w:szCs w:val="20"/>
              </w:rPr>
              <w:t>385,18</w:t>
            </w:r>
          </w:p>
        </w:tc>
        <w:tc>
          <w:tcPr>
            <w:tcW w:w="931" w:type="dxa"/>
            <w:tcBorders>
              <w:top w:val="nil"/>
              <w:left w:val="nil"/>
              <w:bottom w:val="single" w:sz="4" w:space="0" w:color="auto"/>
              <w:right w:val="single" w:sz="4" w:space="0" w:color="auto"/>
            </w:tcBorders>
            <w:noWrap/>
            <w:hideMark/>
          </w:tcPr>
          <w:p w14:paraId="23B7769F" w14:textId="29BBD7F7" w:rsidR="00565CA7" w:rsidRPr="00131EED" w:rsidRDefault="00D46379" w:rsidP="00B60DA2">
            <w:pPr>
              <w:jc w:val="right"/>
              <w:rPr>
                <w:color w:val="000000"/>
                <w:sz w:val="20"/>
                <w:szCs w:val="20"/>
                <w:lang w:eastAsia="es-CO"/>
              </w:rPr>
            </w:pPr>
            <w:r w:rsidRPr="00131EED">
              <w:rPr>
                <w:sz w:val="20"/>
                <w:szCs w:val="20"/>
              </w:rPr>
              <w:t>8883,71</w:t>
            </w:r>
          </w:p>
        </w:tc>
      </w:tr>
      <w:tr w:rsidR="00565CA7" w:rsidRPr="00131EED" w14:paraId="64176558"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6C3533D2" w14:textId="77777777" w:rsidR="00565CA7" w:rsidRPr="00131EED" w:rsidRDefault="00565CA7" w:rsidP="00B60DA2">
            <w:pPr>
              <w:rPr>
                <w:color w:val="000000"/>
                <w:sz w:val="20"/>
                <w:szCs w:val="20"/>
                <w:lang w:eastAsia="es-CO"/>
              </w:rPr>
            </w:pPr>
            <w:r w:rsidRPr="00131EED">
              <w:rPr>
                <w:color w:val="000000"/>
                <w:sz w:val="20"/>
                <w:szCs w:val="20"/>
                <w:lang w:eastAsia="es-CO"/>
              </w:rPr>
              <w:t>Mosquera</w:t>
            </w:r>
          </w:p>
        </w:tc>
        <w:tc>
          <w:tcPr>
            <w:tcW w:w="1137" w:type="dxa"/>
            <w:tcBorders>
              <w:top w:val="nil"/>
              <w:left w:val="nil"/>
              <w:bottom w:val="single" w:sz="4" w:space="0" w:color="auto"/>
              <w:right w:val="single" w:sz="4" w:space="0" w:color="auto"/>
            </w:tcBorders>
            <w:noWrap/>
            <w:hideMark/>
          </w:tcPr>
          <w:p w14:paraId="5011E0B2" w14:textId="3DBAD0EB" w:rsidR="00565CA7" w:rsidRPr="00131EED" w:rsidRDefault="00565CA7" w:rsidP="00B60DA2">
            <w:pPr>
              <w:jc w:val="right"/>
              <w:rPr>
                <w:color w:val="000000"/>
                <w:sz w:val="20"/>
                <w:szCs w:val="20"/>
                <w:lang w:eastAsia="es-CO"/>
              </w:rPr>
            </w:pPr>
            <w:r w:rsidRPr="00131EED">
              <w:rPr>
                <w:sz w:val="20"/>
                <w:szCs w:val="20"/>
              </w:rPr>
              <w:t>980,77</w:t>
            </w:r>
          </w:p>
        </w:tc>
        <w:tc>
          <w:tcPr>
            <w:tcW w:w="1137" w:type="dxa"/>
            <w:tcBorders>
              <w:top w:val="nil"/>
              <w:left w:val="nil"/>
              <w:bottom w:val="single" w:sz="4" w:space="0" w:color="auto"/>
              <w:right w:val="single" w:sz="4" w:space="0" w:color="auto"/>
            </w:tcBorders>
            <w:noWrap/>
            <w:hideMark/>
          </w:tcPr>
          <w:p w14:paraId="58E5EB99" w14:textId="32231CB8" w:rsidR="00565CA7" w:rsidRPr="00131EED" w:rsidRDefault="00565CA7" w:rsidP="00B60DA2">
            <w:pPr>
              <w:jc w:val="right"/>
              <w:rPr>
                <w:color w:val="000000"/>
                <w:sz w:val="20"/>
                <w:szCs w:val="20"/>
                <w:lang w:eastAsia="es-CO"/>
              </w:rPr>
            </w:pPr>
            <w:r w:rsidRPr="00131EED">
              <w:rPr>
                <w:sz w:val="20"/>
                <w:szCs w:val="20"/>
              </w:rPr>
              <w:t>465,41</w:t>
            </w:r>
          </w:p>
        </w:tc>
        <w:tc>
          <w:tcPr>
            <w:tcW w:w="1137" w:type="dxa"/>
            <w:tcBorders>
              <w:top w:val="nil"/>
              <w:left w:val="nil"/>
              <w:bottom w:val="single" w:sz="4" w:space="0" w:color="auto"/>
              <w:right w:val="single" w:sz="4" w:space="0" w:color="auto"/>
            </w:tcBorders>
            <w:noWrap/>
            <w:hideMark/>
          </w:tcPr>
          <w:p w14:paraId="078C2BBF" w14:textId="2654C0A9" w:rsidR="00565CA7" w:rsidRPr="00131EED" w:rsidRDefault="00565CA7" w:rsidP="00B60DA2">
            <w:pPr>
              <w:jc w:val="right"/>
              <w:rPr>
                <w:color w:val="000000"/>
                <w:sz w:val="20"/>
                <w:szCs w:val="20"/>
                <w:lang w:eastAsia="es-CO"/>
              </w:rPr>
            </w:pPr>
            <w:r w:rsidRPr="00131EED">
              <w:rPr>
                <w:sz w:val="20"/>
                <w:szCs w:val="20"/>
              </w:rPr>
              <w:t>120,95</w:t>
            </w:r>
          </w:p>
        </w:tc>
        <w:tc>
          <w:tcPr>
            <w:tcW w:w="993" w:type="dxa"/>
            <w:tcBorders>
              <w:top w:val="nil"/>
              <w:left w:val="nil"/>
              <w:bottom w:val="single" w:sz="4" w:space="0" w:color="auto"/>
              <w:right w:val="single" w:sz="4" w:space="0" w:color="auto"/>
            </w:tcBorders>
            <w:noWrap/>
            <w:hideMark/>
          </w:tcPr>
          <w:p w14:paraId="2776E5BA" w14:textId="0C013314" w:rsidR="00565CA7" w:rsidRPr="00131EED" w:rsidRDefault="00565CA7" w:rsidP="00B60DA2">
            <w:pPr>
              <w:jc w:val="right"/>
              <w:rPr>
                <w:color w:val="000000"/>
                <w:sz w:val="20"/>
                <w:szCs w:val="20"/>
                <w:lang w:eastAsia="es-CO"/>
              </w:rPr>
            </w:pPr>
            <w:r w:rsidRPr="00131EED">
              <w:rPr>
                <w:sz w:val="20"/>
                <w:szCs w:val="20"/>
              </w:rPr>
              <w:t>351,04</w:t>
            </w:r>
          </w:p>
        </w:tc>
        <w:tc>
          <w:tcPr>
            <w:tcW w:w="1137" w:type="dxa"/>
            <w:tcBorders>
              <w:top w:val="nil"/>
              <w:left w:val="nil"/>
              <w:bottom w:val="single" w:sz="4" w:space="0" w:color="auto"/>
              <w:right w:val="single" w:sz="4" w:space="0" w:color="auto"/>
            </w:tcBorders>
            <w:noWrap/>
            <w:hideMark/>
          </w:tcPr>
          <w:p w14:paraId="1757D1E9" w14:textId="1FB60D26" w:rsidR="00565CA7" w:rsidRPr="00131EED" w:rsidRDefault="00565CA7" w:rsidP="00B60DA2">
            <w:pPr>
              <w:jc w:val="right"/>
              <w:rPr>
                <w:color w:val="000000"/>
                <w:sz w:val="20"/>
                <w:szCs w:val="20"/>
                <w:lang w:eastAsia="es-CO"/>
              </w:rPr>
            </w:pPr>
            <w:r w:rsidRPr="00131EED">
              <w:rPr>
                <w:sz w:val="20"/>
                <w:szCs w:val="20"/>
              </w:rPr>
              <w:t>2438,52</w:t>
            </w:r>
          </w:p>
        </w:tc>
        <w:tc>
          <w:tcPr>
            <w:tcW w:w="999" w:type="dxa"/>
            <w:tcBorders>
              <w:top w:val="nil"/>
              <w:left w:val="nil"/>
              <w:bottom w:val="single" w:sz="4" w:space="0" w:color="auto"/>
              <w:right w:val="single" w:sz="4" w:space="0" w:color="auto"/>
            </w:tcBorders>
            <w:noWrap/>
            <w:hideMark/>
          </w:tcPr>
          <w:p w14:paraId="1F1C9A1C" w14:textId="2D39373A" w:rsidR="00565CA7" w:rsidRPr="00131EED" w:rsidRDefault="00565CA7" w:rsidP="00B60DA2">
            <w:pPr>
              <w:jc w:val="right"/>
              <w:rPr>
                <w:color w:val="000000"/>
                <w:sz w:val="20"/>
                <w:szCs w:val="20"/>
                <w:lang w:eastAsia="es-CO"/>
              </w:rPr>
            </w:pPr>
            <w:r w:rsidRPr="00131EED">
              <w:rPr>
                <w:sz w:val="20"/>
                <w:szCs w:val="20"/>
              </w:rPr>
              <w:t>96,40</w:t>
            </w:r>
          </w:p>
        </w:tc>
        <w:tc>
          <w:tcPr>
            <w:tcW w:w="931" w:type="dxa"/>
            <w:tcBorders>
              <w:top w:val="nil"/>
              <w:left w:val="nil"/>
              <w:bottom w:val="single" w:sz="4" w:space="0" w:color="auto"/>
              <w:right w:val="single" w:sz="4" w:space="0" w:color="auto"/>
            </w:tcBorders>
            <w:noWrap/>
            <w:hideMark/>
          </w:tcPr>
          <w:p w14:paraId="2750DC12" w14:textId="684EC3A2" w:rsidR="00565CA7" w:rsidRPr="00131EED" w:rsidRDefault="00D46379" w:rsidP="00B60DA2">
            <w:pPr>
              <w:jc w:val="right"/>
              <w:rPr>
                <w:color w:val="000000"/>
                <w:sz w:val="20"/>
                <w:szCs w:val="20"/>
                <w:lang w:eastAsia="es-CO"/>
              </w:rPr>
            </w:pPr>
            <w:r w:rsidRPr="00131EED">
              <w:rPr>
                <w:sz w:val="20"/>
                <w:szCs w:val="20"/>
              </w:rPr>
              <w:t>4356,69</w:t>
            </w:r>
          </w:p>
        </w:tc>
      </w:tr>
      <w:tr w:rsidR="00565CA7" w:rsidRPr="00131EED" w14:paraId="71F89370"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7097D3C2" w14:textId="77777777" w:rsidR="00565CA7" w:rsidRPr="00131EED" w:rsidRDefault="00565CA7" w:rsidP="00B60DA2">
            <w:pPr>
              <w:rPr>
                <w:color w:val="000000"/>
                <w:sz w:val="20"/>
                <w:szCs w:val="20"/>
                <w:lang w:eastAsia="es-CO"/>
              </w:rPr>
            </w:pPr>
            <w:r w:rsidRPr="00131EED">
              <w:rPr>
                <w:color w:val="000000"/>
                <w:sz w:val="20"/>
                <w:szCs w:val="20"/>
                <w:lang w:eastAsia="es-CO"/>
              </w:rPr>
              <w:t>Nemocón</w:t>
            </w:r>
          </w:p>
        </w:tc>
        <w:tc>
          <w:tcPr>
            <w:tcW w:w="1137" w:type="dxa"/>
            <w:tcBorders>
              <w:top w:val="nil"/>
              <w:left w:val="nil"/>
              <w:bottom w:val="single" w:sz="4" w:space="0" w:color="auto"/>
              <w:right w:val="single" w:sz="4" w:space="0" w:color="auto"/>
            </w:tcBorders>
            <w:noWrap/>
            <w:hideMark/>
          </w:tcPr>
          <w:p w14:paraId="0BA39DCF" w14:textId="03CD4BFE" w:rsidR="00565CA7" w:rsidRPr="00131EED" w:rsidRDefault="00565CA7" w:rsidP="00B60DA2">
            <w:pPr>
              <w:jc w:val="right"/>
              <w:rPr>
                <w:color w:val="000000"/>
                <w:sz w:val="20"/>
                <w:szCs w:val="20"/>
                <w:lang w:eastAsia="es-CO"/>
              </w:rPr>
            </w:pPr>
            <w:r w:rsidRPr="00131EED">
              <w:rPr>
                <w:sz w:val="20"/>
                <w:szCs w:val="20"/>
              </w:rPr>
              <w:t>432,84</w:t>
            </w:r>
          </w:p>
        </w:tc>
        <w:tc>
          <w:tcPr>
            <w:tcW w:w="1137" w:type="dxa"/>
            <w:tcBorders>
              <w:top w:val="nil"/>
              <w:left w:val="nil"/>
              <w:bottom w:val="single" w:sz="4" w:space="0" w:color="auto"/>
              <w:right w:val="single" w:sz="4" w:space="0" w:color="auto"/>
            </w:tcBorders>
            <w:noWrap/>
            <w:hideMark/>
          </w:tcPr>
          <w:p w14:paraId="1EE9CA12" w14:textId="082F4503" w:rsidR="00565CA7" w:rsidRPr="00131EED" w:rsidRDefault="00565CA7" w:rsidP="00B60DA2">
            <w:pPr>
              <w:jc w:val="right"/>
              <w:rPr>
                <w:color w:val="000000"/>
                <w:sz w:val="20"/>
                <w:szCs w:val="20"/>
                <w:lang w:eastAsia="es-CO"/>
              </w:rPr>
            </w:pPr>
            <w:r w:rsidRPr="00131EED">
              <w:rPr>
                <w:sz w:val="20"/>
                <w:szCs w:val="20"/>
              </w:rPr>
              <w:t>1247,50</w:t>
            </w:r>
          </w:p>
        </w:tc>
        <w:tc>
          <w:tcPr>
            <w:tcW w:w="1137" w:type="dxa"/>
            <w:tcBorders>
              <w:top w:val="nil"/>
              <w:left w:val="nil"/>
              <w:bottom w:val="single" w:sz="4" w:space="0" w:color="auto"/>
              <w:right w:val="single" w:sz="4" w:space="0" w:color="auto"/>
            </w:tcBorders>
            <w:noWrap/>
            <w:hideMark/>
          </w:tcPr>
          <w:p w14:paraId="09F9CD0A" w14:textId="2EC41C8F" w:rsidR="00565CA7" w:rsidRPr="00131EED" w:rsidRDefault="00565CA7" w:rsidP="00B60DA2">
            <w:pPr>
              <w:jc w:val="right"/>
              <w:rPr>
                <w:color w:val="000000"/>
                <w:sz w:val="20"/>
                <w:szCs w:val="20"/>
                <w:lang w:eastAsia="es-CO"/>
              </w:rPr>
            </w:pPr>
            <w:r w:rsidRPr="00131EED">
              <w:rPr>
                <w:sz w:val="20"/>
                <w:szCs w:val="20"/>
              </w:rPr>
              <w:t>484,57</w:t>
            </w:r>
          </w:p>
        </w:tc>
        <w:tc>
          <w:tcPr>
            <w:tcW w:w="993" w:type="dxa"/>
            <w:tcBorders>
              <w:top w:val="nil"/>
              <w:left w:val="nil"/>
              <w:bottom w:val="single" w:sz="4" w:space="0" w:color="auto"/>
              <w:right w:val="single" w:sz="4" w:space="0" w:color="auto"/>
            </w:tcBorders>
            <w:noWrap/>
            <w:hideMark/>
          </w:tcPr>
          <w:p w14:paraId="4F3BAA76" w14:textId="348864A7" w:rsidR="00565CA7" w:rsidRPr="00131EED"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3F0742B0" w14:textId="249A0A90" w:rsidR="00565CA7" w:rsidRPr="00131EED" w:rsidRDefault="00565CA7" w:rsidP="00B60DA2">
            <w:pPr>
              <w:jc w:val="right"/>
              <w:rPr>
                <w:color w:val="000000"/>
                <w:sz w:val="20"/>
                <w:szCs w:val="20"/>
                <w:lang w:eastAsia="es-CO"/>
              </w:rPr>
            </w:pPr>
            <w:r w:rsidRPr="00131EED">
              <w:rPr>
                <w:sz w:val="20"/>
                <w:szCs w:val="20"/>
              </w:rPr>
              <w:t>2283,31</w:t>
            </w:r>
          </w:p>
        </w:tc>
        <w:tc>
          <w:tcPr>
            <w:tcW w:w="999" w:type="dxa"/>
            <w:tcBorders>
              <w:top w:val="nil"/>
              <w:left w:val="nil"/>
              <w:bottom w:val="single" w:sz="4" w:space="0" w:color="auto"/>
              <w:right w:val="single" w:sz="4" w:space="0" w:color="auto"/>
            </w:tcBorders>
            <w:noWrap/>
            <w:hideMark/>
          </w:tcPr>
          <w:p w14:paraId="14964144" w14:textId="449405A9" w:rsidR="00565CA7" w:rsidRPr="00131EED"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635293AF" w14:textId="7F991DCC" w:rsidR="00565CA7" w:rsidRPr="00131EED" w:rsidRDefault="00565CA7" w:rsidP="00B60DA2">
            <w:pPr>
              <w:jc w:val="right"/>
              <w:rPr>
                <w:color w:val="000000"/>
                <w:sz w:val="20"/>
                <w:szCs w:val="20"/>
                <w:lang w:eastAsia="es-CO"/>
              </w:rPr>
            </w:pPr>
            <w:r w:rsidRPr="00131EED">
              <w:rPr>
                <w:sz w:val="20"/>
                <w:szCs w:val="20"/>
              </w:rPr>
              <w:t>4448,23</w:t>
            </w:r>
          </w:p>
        </w:tc>
      </w:tr>
      <w:tr w:rsidR="00565CA7" w:rsidRPr="00131EED" w14:paraId="403A3B43"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683D1AFC" w14:textId="77777777" w:rsidR="00565CA7" w:rsidRPr="00131EED" w:rsidRDefault="00565CA7" w:rsidP="00B60DA2">
            <w:pPr>
              <w:rPr>
                <w:color w:val="000000"/>
                <w:sz w:val="20"/>
                <w:szCs w:val="20"/>
                <w:lang w:eastAsia="es-CO"/>
              </w:rPr>
            </w:pPr>
            <w:r w:rsidRPr="00131EED">
              <w:rPr>
                <w:color w:val="000000"/>
                <w:sz w:val="20"/>
                <w:szCs w:val="20"/>
                <w:lang w:eastAsia="es-CO"/>
              </w:rPr>
              <w:t>Sesquilé</w:t>
            </w:r>
          </w:p>
        </w:tc>
        <w:tc>
          <w:tcPr>
            <w:tcW w:w="1137" w:type="dxa"/>
            <w:tcBorders>
              <w:top w:val="nil"/>
              <w:left w:val="nil"/>
              <w:bottom w:val="single" w:sz="4" w:space="0" w:color="auto"/>
              <w:right w:val="single" w:sz="4" w:space="0" w:color="auto"/>
            </w:tcBorders>
            <w:noWrap/>
            <w:hideMark/>
          </w:tcPr>
          <w:p w14:paraId="0B411396" w14:textId="3019280D" w:rsidR="00565CA7" w:rsidRPr="00131EED"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5A991365" w14:textId="4E2A3FF8" w:rsidR="00565CA7" w:rsidRPr="00131EED" w:rsidRDefault="00565CA7" w:rsidP="00B60DA2">
            <w:pPr>
              <w:jc w:val="right"/>
              <w:rPr>
                <w:color w:val="000000"/>
                <w:sz w:val="20"/>
                <w:szCs w:val="20"/>
                <w:lang w:eastAsia="es-CO"/>
              </w:rPr>
            </w:pPr>
            <w:r w:rsidRPr="00131EED">
              <w:rPr>
                <w:sz w:val="20"/>
                <w:szCs w:val="20"/>
              </w:rPr>
              <w:t>0,53</w:t>
            </w:r>
          </w:p>
        </w:tc>
        <w:tc>
          <w:tcPr>
            <w:tcW w:w="1137" w:type="dxa"/>
            <w:tcBorders>
              <w:top w:val="nil"/>
              <w:left w:val="nil"/>
              <w:bottom w:val="single" w:sz="4" w:space="0" w:color="auto"/>
              <w:right w:val="single" w:sz="4" w:space="0" w:color="auto"/>
            </w:tcBorders>
            <w:noWrap/>
            <w:hideMark/>
          </w:tcPr>
          <w:p w14:paraId="3D89E27B" w14:textId="7AEC1FF0" w:rsidR="00565CA7" w:rsidRPr="00131EED" w:rsidRDefault="00565CA7" w:rsidP="00B60DA2">
            <w:pPr>
              <w:jc w:val="right"/>
              <w:rPr>
                <w:color w:val="000000"/>
                <w:sz w:val="20"/>
                <w:szCs w:val="20"/>
                <w:lang w:eastAsia="es-CO"/>
              </w:rPr>
            </w:pPr>
            <w:r w:rsidRPr="00131EED">
              <w:rPr>
                <w:sz w:val="20"/>
                <w:szCs w:val="20"/>
              </w:rPr>
              <w:t>9,88</w:t>
            </w:r>
          </w:p>
        </w:tc>
        <w:tc>
          <w:tcPr>
            <w:tcW w:w="993" w:type="dxa"/>
            <w:tcBorders>
              <w:top w:val="nil"/>
              <w:left w:val="nil"/>
              <w:bottom w:val="single" w:sz="4" w:space="0" w:color="auto"/>
              <w:right w:val="single" w:sz="4" w:space="0" w:color="auto"/>
            </w:tcBorders>
            <w:noWrap/>
            <w:hideMark/>
          </w:tcPr>
          <w:p w14:paraId="6DC26BE3" w14:textId="4F924388" w:rsidR="00565CA7" w:rsidRPr="00131EED"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56B1D02F" w14:textId="56ED8FEC" w:rsidR="00565CA7" w:rsidRPr="00131EED" w:rsidRDefault="00565CA7" w:rsidP="00B60DA2">
            <w:pPr>
              <w:jc w:val="right"/>
              <w:rPr>
                <w:color w:val="000000"/>
                <w:sz w:val="20"/>
                <w:szCs w:val="20"/>
                <w:lang w:eastAsia="es-CO"/>
              </w:rPr>
            </w:pPr>
            <w:r w:rsidRPr="00131EED">
              <w:rPr>
                <w:sz w:val="20"/>
                <w:szCs w:val="20"/>
              </w:rPr>
              <w:t>21,15</w:t>
            </w:r>
          </w:p>
        </w:tc>
        <w:tc>
          <w:tcPr>
            <w:tcW w:w="999" w:type="dxa"/>
            <w:tcBorders>
              <w:top w:val="nil"/>
              <w:left w:val="nil"/>
              <w:bottom w:val="single" w:sz="4" w:space="0" w:color="auto"/>
              <w:right w:val="single" w:sz="4" w:space="0" w:color="auto"/>
            </w:tcBorders>
            <w:noWrap/>
            <w:hideMark/>
          </w:tcPr>
          <w:p w14:paraId="7E8C8A7D" w14:textId="72B7222E" w:rsidR="00565CA7" w:rsidRPr="00131EED"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70A9E16E" w14:textId="05F22DB1" w:rsidR="00565CA7" w:rsidRPr="00131EED" w:rsidRDefault="00565CA7" w:rsidP="00B60DA2">
            <w:pPr>
              <w:jc w:val="right"/>
              <w:rPr>
                <w:color w:val="000000"/>
                <w:sz w:val="20"/>
                <w:szCs w:val="20"/>
                <w:lang w:eastAsia="es-CO"/>
              </w:rPr>
            </w:pPr>
            <w:r w:rsidRPr="00131EED">
              <w:rPr>
                <w:sz w:val="20"/>
                <w:szCs w:val="20"/>
              </w:rPr>
              <w:t>31,56</w:t>
            </w:r>
          </w:p>
        </w:tc>
      </w:tr>
      <w:tr w:rsidR="00565CA7" w:rsidRPr="00131EED" w14:paraId="4F32714B"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15004E63" w14:textId="77777777" w:rsidR="00565CA7" w:rsidRPr="00131EED" w:rsidRDefault="00565CA7" w:rsidP="00B60DA2">
            <w:pPr>
              <w:rPr>
                <w:color w:val="000000"/>
                <w:sz w:val="20"/>
                <w:szCs w:val="20"/>
                <w:lang w:eastAsia="es-CO"/>
              </w:rPr>
            </w:pPr>
            <w:r w:rsidRPr="00131EED">
              <w:rPr>
                <w:color w:val="000000"/>
                <w:sz w:val="20"/>
                <w:szCs w:val="20"/>
                <w:lang w:eastAsia="es-CO"/>
              </w:rPr>
              <w:t>Sibaté</w:t>
            </w:r>
          </w:p>
        </w:tc>
        <w:tc>
          <w:tcPr>
            <w:tcW w:w="1137" w:type="dxa"/>
            <w:tcBorders>
              <w:top w:val="nil"/>
              <w:left w:val="nil"/>
              <w:bottom w:val="single" w:sz="4" w:space="0" w:color="auto"/>
              <w:right w:val="single" w:sz="4" w:space="0" w:color="auto"/>
            </w:tcBorders>
            <w:noWrap/>
            <w:hideMark/>
          </w:tcPr>
          <w:p w14:paraId="47CBE5A9" w14:textId="5410B008" w:rsidR="00565CA7" w:rsidRPr="00131EED" w:rsidRDefault="00565CA7" w:rsidP="00B60DA2">
            <w:pPr>
              <w:jc w:val="right"/>
              <w:rPr>
                <w:color w:val="000000"/>
                <w:sz w:val="20"/>
                <w:szCs w:val="20"/>
                <w:lang w:eastAsia="es-CO"/>
              </w:rPr>
            </w:pPr>
            <w:r w:rsidRPr="00131EED">
              <w:rPr>
                <w:sz w:val="20"/>
                <w:szCs w:val="20"/>
              </w:rPr>
              <w:t>1,45</w:t>
            </w:r>
          </w:p>
        </w:tc>
        <w:tc>
          <w:tcPr>
            <w:tcW w:w="1137" w:type="dxa"/>
            <w:tcBorders>
              <w:top w:val="nil"/>
              <w:left w:val="nil"/>
              <w:bottom w:val="single" w:sz="4" w:space="0" w:color="auto"/>
              <w:right w:val="single" w:sz="4" w:space="0" w:color="auto"/>
            </w:tcBorders>
            <w:noWrap/>
            <w:hideMark/>
          </w:tcPr>
          <w:p w14:paraId="743658FC" w14:textId="1F3E17DF" w:rsidR="00565CA7" w:rsidRPr="00131EED"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6400BE85" w14:textId="5E2BBE42" w:rsidR="00565CA7" w:rsidRPr="00131EED" w:rsidRDefault="00565CA7" w:rsidP="00B60DA2">
            <w:pPr>
              <w:jc w:val="right"/>
              <w:rPr>
                <w:color w:val="000000"/>
                <w:sz w:val="20"/>
                <w:szCs w:val="20"/>
                <w:lang w:eastAsia="es-CO"/>
              </w:rPr>
            </w:pPr>
            <w:r w:rsidRPr="00131EED">
              <w:rPr>
                <w:sz w:val="20"/>
                <w:szCs w:val="20"/>
              </w:rPr>
              <w:t>0,32</w:t>
            </w:r>
          </w:p>
        </w:tc>
        <w:tc>
          <w:tcPr>
            <w:tcW w:w="993" w:type="dxa"/>
            <w:tcBorders>
              <w:top w:val="nil"/>
              <w:left w:val="nil"/>
              <w:bottom w:val="single" w:sz="4" w:space="0" w:color="auto"/>
              <w:right w:val="single" w:sz="4" w:space="0" w:color="auto"/>
            </w:tcBorders>
            <w:noWrap/>
            <w:hideMark/>
          </w:tcPr>
          <w:p w14:paraId="0B99E1A4" w14:textId="4F2ECCBB" w:rsidR="00565CA7" w:rsidRPr="00131EED"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29720494" w14:textId="78C7D1F5" w:rsidR="00565CA7" w:rsidRPr="00131EED" w:rsidRDefault="00565CA7" w:rsidP="00B60DA2">
            <w:pPr>
              <w:jc w:val="right"/>
              <w:rPr>
                <w:color w:val="000000"/>
                <w:sz w:val="20"/>
                <w:szCs w:val="20"/>
                <w:lang w:eastAsia="es-CO"/>
              </w:rPr>
            </w:pPr>
            <w:r w:rsidRPr="00131EED">
              <w:rPr>
                <w:sz w:val="20"/>
                <w:szCs w:val="20"/>
              </w:rPr>
              <w:t>0,07</w:t>
            </w:r>
          </w:p>
        </w:tc>
        <w:tc>
          <w:tcPr>
            <w:tcW w:w="999" w:type="dxa"/>
            <w:tcBorders>
              <w:top w:val="nil"/>
              <w:left w:val="nil"/>
              <w:bottom w:val="single" w:sz="4" w:space="0" w:color="auto"/>
              <w:right w:val="single" w:sz="4" w:space="0" w:color="auto"/>
            </w:tcBorders>
            <w:noWrap/>
            <w:hideMark/>
          </w:tcPr>
          <w:p w14:paraId="16267DDB" w14:textId="25AF6050" w:rsidR="00565CA7" w:rsidRPr="00131EED" w:rsidRDefault="00565CA7" w:rsidP="00B60DA2">
            <w:pPr>
              <w:jc w:val="right"/>
              <w:rPr>
                <w:color w:val="000000"/>
                <w:sz w:val="20"/>
                <w:szCs w:val="20"/>
                <w:lang w:eastAsia="es-CO"/>
              </w:rPr>
            </w:pPr>
            <w:r w:rsidRPr="00131EED">
              <w:rPr>
                <w:sz w:val="20"/>
                <w:szCs w:val="20"/>
              </w:rPr>
              <w:t>1,95</w:t>
            </w:r>
          </w:p>
        </w:tc>
        <w:tc>
          <w:tcPr>
            <w:tcW w:w="931" w:type="dxa"/>
            <w:tcBorders>
              <w:top w:val="nil"/>
              <w:left w:val="nil"/>
              <w:bottom w:val="single" w:sz="4" w:space="0" w:color="auto"/>
              <w:right w:val="single" w:sz="4" w:space="0" w:color="auto"/>
            </w:tcBorders>
            <w:noWrap/>
            <w:hideMark/>
          </w:tcPr>
          <w:p w14:paraId="5DB6F719" w14:textId="52FEB3ED" w:rsidR="00565CA7" w:rsidRPr="00131EED" w:rsidRDefault="00D46379" w:rsidP="00B60DA2">
            <w:pPr>
              <w:jc w:val="right"/>
              <w:rPr>
                <w:color w:val="000000"/>
                <w:sz w:val="20"/>
                <w:szCs w:val="20"/>
                <w:lang w:eastAsia="es-CO"/>
              </w:rPr>
            </w:pPr>
            <w:r w:rsidRPr="00131EED">
              <w:rPr>
                <w:sz w:val="20"/>
                <w:szCs w:val="20"/>
              </w:rPr>
              <w:t>1,84</w:t>
            </w:r>
          </w:p>
        </w:tc>
      </w:tr>
      <w:tr w:rsidR="00565CA7" w:rsidRPr="00131EED" w14:paraId="1F6B144C"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5D3123B6" w14:textId="77777777" w:rsidR="00565CA7" w:rsidRPr="00131EED" w:rsidRDefault="00565CA7" w:rsidP="00B60DA2">
            <w:pPr>
              <w:rPr>
                <w:color w:val="000000"/>
                <w:sz w:val="20"/>
                <w:szCs w:val="20"/>
                <w:lang w:eastAsia="es-CO"/>
              </w:rPr>
            </w:pPr>
            <w:r w:rsidRPr="00131EED">
              <w:rPr>
                <w:color w:val="000000"/>
                <w:sz w:val="20"/>
                <w:szCs w:val="20"/>
                <w:lang w:eastAsia="es-CO"/>
              </w:rPr>
              <w:t>Soacha</w:t>
            </w:r>
          </w:p>
        </w:tc>
        <w:tc>
          <w:tcPr>
            <w:tcW w:w="1137" w:type="dxa"/>
            <w:tcBorders>
              <w:top w:val="nil"/>
              <w:left w:val="nil"/>
              <w:bottom w:val="single" w:sz="4" w:space="0" w:color="auto"/>
              <w:right w:val="single" w:sz="4" w:space="0" w:color="auto"/>
            </w:tcBorders>
            <w:noWrap/>
            <w:hideMark/>
          </w:tcPr>
          <w:p w14:paraId="4133D250" w14:textId="6C24EC2D" w:rsidR="00565CA7" w:rsidRPr="00131EED" w:rsidRDefault="00565CA7" w:rsidP="00B60DA2">
            <w:pPr>
              <w:jc w:val="right"/>
              <w:rPr>
                <w:color w:val="000000"/>
                <w:sz w:val="20"/>
                <w:szCs w:val="20"/>
                <w:lang w:eastAsia="es-CO"/>
              </w:rPr>
            </w:pPr>
            <w:r w:rsidRPr="00131EED">
              <w:rPr>
                <w:sz w:val="20"/>
                <w:szCs w:val="20"/>
              </w:rPr>
              <w:t>240,01</w:t>
            </w:r>
          </w:p>
        </w:tc>
        <w:tc>
          <w:tcPr>
            <w:tcW w:w="1137" w:type="dxa"/>
            <w:tcBorders>
              <w:top w:val="nil"/>
              <w:left w:val="nil"/>
              <w:bottom w:val="single" w:sz="4" w:space="0" w:color="auto"/>
              <w:right w:val="single" w:sz="4" w:space="0" w:color="auto"/>
            </w:tcBorders>
            <w:noWrap/>
            <w:hideMark/>
          </w:tcPr>
          <w:p w14:paraId="7C180EB1" w14:textId="19BC1E99" w:rsidR="00565CA7" w:rsidRPr="00131EED" w:rsidRDefault="00565CA7" w:rsidP="00B60DA2">
            <w:pPr>
              <w:jc w:val="right"/>
              <w:rPr>
                <w:color w:val="000000"/>
                <w:sz w:val="20"/>
                <w:szCs w:val="20"/>
                <w:lang w:eastAsia="es-CO"/>
              </w:rPr>
            </w:pPr>
            <w:r w:rsidRPr="00131EED">
              <w:rPr>
                <w:sz w:val="20"/>
                <w:szCs w:val="20"/>
              </w:rPr>
              <w:t>534,14</w:t>
            </w:r>
          </w:p>
        </w:tc>
        <w:tc>
          <w:tcPr>
            <w:tcW w:w="1137" w:type="dxa"/>
            <w:tcBorders>
              <w:top w:val="nil"/>
              <w:left w:val="nil"/>
              <w:bottom w:val="single" w:sz="4" w:space="0" w:color="auto"/>
              <w:right w:val="single" w:sz="4" w:space="0" w:color="auto"/>
            </w:tcBorders>
            <w:noWrap/>
            <w:hideMark/>
          </w:tcPr>
          <w:p w14:paraId="41F88F04" w14:textId="3AA331E8" w:rsidR="00565CA7" w:rsidRPr="00131EED" w:rsidRDefault="00565CA7" w:rsidP="00B60DA2">
            <w:pPr>
              <w:jc w:val="right"/>
              <w:rPr>
                <w:color w:val="000000"/>
                <w:sz w:val="20"/>
                <w:szCs w:val="20"/>
                <w:lang w:eastAsia="es-CO"/>
              </w:rPr>
            </w:pPr>
            <w:r w:rsidRPr="00131EED">
              <w:rPr>
                <w:sz w:val="20"/>
                <w:szCs w:val="20"/>
              </w:rPr>
              <w:t>450,15</w:t>
            </w:r>
          </w:p>
        </w:tc>
        <w:tc>
          <w:tcPr>
            <w:tcW w:w="993" w:type="dxa"/>
            <w:tcBorders>
              <w:top w:val="nil"/>
              <w:left w:val="nil"/>
              <w:bottom w:val="single" w:sz="4" w:space="0" w:color="auto"/>
              <w:right w:val="single" w:sz="4" w:space="0" w:color="auto"/>
            </w:tcBorders>
            <w:noWrap/>
            <w:hideMark/>
          </w:tcPr>
          <w:p w14:paraId="779369E3" w14:textId="1E4356EA" w:rsidR="00565CA7" w:rsidRPr="00131EED" w:rsidRDefault="00565CA7" w:rsidP="00B60DA2">
            <w:pPr>
              <w:jc w:val="right"/>
              <w:rPr>
                <w:color w:val="000000"/>
                <w:sz w:val="20"/>
                <w:szCs w:val="20"/>
                <w:lang w:eastAsia="es-CO"/>
              </w:rPr>
            </w:pPr>
            <w:r w:rsidRPr="00131EED">
              <w:rPr>
                <w:sz w:val="20"/>
                <w:szCs w:val="20"/>
              </w:rPr>
              <w:t>315,41</w:t>
            </w:r>
          </w:p>
        </w:tc>
        <w:tc>
          <w:tcPr>
            <w:tcW w:w="1137" w:type="dxa"/>
            <w:tcBorders>
              <w:top w:val="nil"/>
              <w:left w:val="nil"/>
              <w:bottom w:val="single" w:sz="4" w:space="0" w:color="auto"/>
              <w:right w:val="single" w:sz="4" w:space="0" w:color="auto"/>
            </w:tcBorders>
            <w:noWrap/>
            <w:hideMark/>
          </w:tcPr>
          <w:p w14:paraId="6D5216B5" w14:textId="381EA780" w:rsidR="00565CA7" w:rsidRPr="00131EED" w:rsidRDefault="00565CA7" w:rsidP="00B60DA2">
            <w:pPr>
              <w:jc w:val="right"/>
              <w:rPr>
                <w:color w:val="000000"/>
                <w:sz w:val="20"/>
                <w:szCs w:val="20"/>
                <w:lang w:eastAsia="es-CO"/>
              </w:rPr>
            </w:pPr>
            <w:r w:rsidRPr="00131EED">
              <w:rPr>
                <w:sz w:val="20"/>
                <w:szCs w:val="20"/>
              </w:rPr>
              <w:t>441,95</w:t>
            </w:r>
          </w:p>
        </w:tc>
        <w:tc>
          <w:tcPr>
            <w:tcW w:w="999" w:type="dxa"/>
            <w:tcBorders>
              <w:top w:val="nil"/>
              <w:left w:val="nil"/>
              <w:bottom w:val="single" w:sz="4" w:space="0" w:color="auto"/>
              <w:right w:val="single" w:sz="4" w:space="0" w:color="auto"/>
            </w:tcBorders>
            <w:noWrap/>
            <w:hideMark/>
          </w:tcPr>
          <w:p w14:paraId="013E17AB" w14:textId="01853F91" w:rsidR="00565CA7" w:rsidRPr="00131EED" w:rsidRDefault="00565CA7" w:rsidP="00B60DA2">
            <w:pPr>
              <w:jc w:val="right"/>
              <w:rPr>
                <w:color w:val="000000"/>
                <w:sz w:val="20"/>
                <w:szCs w:val="20"/>
                <w:lang w:eastAsia="es-CO"/>
              </w:rPr>
            </w:pPr>
            <w:r w:rsidRPr="00131EED">
              <w:rPr>
                <w:sz w:val="20"/>
                <w:szCs w:val="20"/>
              </w:rPr>
              <w:t>113,40</w:t>
            </w:r>
          </w:p>
        </w:tc>
        <w:tc>
          <w:tcPr>
            <w:tcW w:w="931" w:type="dxa"/>
            <w:tcBorders>
              <w:top w:val="nil"/>
              <w:left w:val="nil"/>
              <w:bottom w:val="single" w:sz="4" w:space="0" w:color="auto"/>
              <w:right w:val="single" w:sz="4" w:space="0" w:color="auto"/>
            </w:tcBorders>
            <w:noWrap/>
            <w:hideMark/>
          </w:tcPr>
          <w:p w14:paraId="461E9C9D" w14:textId="23804890" w:rsidR="00565CA7" w:rsidRPr="00131EED" w:rsidRDefault="00D46379" w:rsidP="00B60DA2">
            <w:pPr>
              <w:jc w:val="right"/>
              <w:rPr>
                <w:color w:val="000000"/>
                <w:sz w:val="20"/>
                <w:szCs w:val="20"/>
                <w:lang w:eastAsia="es-CO"/>
              </w:rPr>
            </w:pPr>
            <w:r w:rsidRPr="00131EED">
              <w:rPr>
                <w:sz w:val="20"/>
                <w:szCs w:val="20"/>
              </w:rPr>
              <w:t>1981,66</w:t>
            </w:r>
          </w:p>
        </w:tc>
      </w:tr>
      <w:tr w:rsidR="00565CA7" w:rsidRPr="00131EED" w14:paraId="1EC6A898"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69F65DB5" w14:textId="77777777" w:rsidR="00565CA7" w:rsidRPr="00131EED" w:rsidRDefault="00565CA7" w:rsidP="00B60DA2">
            <w:pPr>
              <w:rPr>
                <w:color w:val="000000"/>
                <w:sz w:val="20"/>
                <w:szCs w:val="20"/>
                <w:lang w:eastAsia="es-CO"/>
              </w:rPr>
            </w:pPr>
            <w:r w:rsidRPr="00131EED">
              <w:rPr>
                <w:color w:val="000000"/>
                <w:sz w:val="20"/>
                <w:szCs w:val="20"/>
                <w:lang w:eastAsia="es-CO"/>
              </w:rPr>
              <w:t>Sopó</w:t>
            </w:r>
          </w:p>
        </w:tc>
        <w:tc>
          <w:tcPr>
            <w:tcW w:w="1137" w:type="dxa"/>
            <w:tcBorders>
              <w:top w:val="nil"/>
              <w:left w:val="nil"/>
              <w:bottom w:val="single" w:sz="4" w:space="0" w:color="auto"/>
              <w:right w:val="single" w:sz="4" w:space="0" w:color="auto"/>
            </w:tcBorders>
            <w:noWrap/>
            <w:hideMark/>
          </w:tcPr>
          <w:p w14:paraId="2B75C824" w14:textId="5A14E989" w:rsidR="00565CA7" w:rsidRPr="00131EED" w:rsidRDefault="00565CA7" w:rsidP="00B60DA2">
            <w:pPr>
              <w:jc w:val="right"/>
              <w:rPr>
                <w:color w:val="000000"/>
                <w:sz w:val="20"/>
                <w:szCs w:val="20"/>
                <w:lang w:eastAsia="es-CO"/>
              </w:rPr>
            </w:pPr>
            <w:r w:rsidRPr="00131EED">
              <w:rPr>
                <w:sz w:val="20"/>
                <w:szCs w:val="20"/>
              </w:rPr>
              <w:t>467,37</w:t>
            </w:r>
          </w:p>
        </w:tc>
        <w:tc>
          <w:tcPr>
            <w:tcW w:w="1137" w:type="dxa"/>
            <w:tcBorders>
              <w:top w:val="nil"/>
              <w:left w:val="nil"/>
              <w:bottom w:val="single" w:sz="4" w:space="0" w:color="auto"/>
              <w:right w:val="single" w:sz="4" w:space="0" w:color="auto"/>
            </w:tcBorders>
            <w:noWrap/>
            <w:hideMark/>
          </w:tcPr>
          <w:p w14:paraId="608BC952" w14:textId="6F507B5B" w:rsidR="00565CA7" w:rsidRPr="00131EED" w:rsidRDefault="00565CA7" w:rsidP="00B60DA2">
            <w:pPr>
              <w:jc w:val="right"/>
              <w:rPr>
                <w:color w:val="000000"/>
                <w:sz w:val="20"/>
                <w:szCs w:val="20"/>
                <w:lang w:eastAsia="es-CO"/>
              </w:rPr>
            </w:pPr>
            <w:r w:rsidRPr="00131EED">
              <w:rPr>
                <w:sz w:val="20"/>
                <w:szCs w:val="20"/>
              </w:rPr>
              <w:t>124,35</w:t>
            </w:r>
          </w:p>
        </w:tc>
        <w:tc>
          <w:tcPr>
            <w:tcW w:w="1137" w:type="dxa"/>
            <w:tcBorders>
              <w:top w:val="nil"/>
              <w:left w:val="nil"/>
              <w:bottom w:val="single" w:sz="4" w:space="0" w:color="auto"/>
              <w:right w:val="single" w:sz="4" w:space="0" w:color="auto"/>
            </w:tcBorders>
            <w:noWrap/>
            <w:hideMark/>
          </w:tcPr>
          <w:p w14:paraId="6DB72A20" w14:textId="79BCD6B6" w:rsidR="00565CA7" w:rsidRPr="00131EED" w:rsidRDefault="00565CA7" w:rsidP="00B60DA2">
            <w:pPr>
              <w:jc w:val="right"/>
              <w:rPr>
                <w:color w:val="000000"/>
                <w:sz w:val="20"/>
                <w:szCs w:val="20"/>
                <w:lang w:eastAsia="es-CO"/>
              </w:rPr>
            </w:pPr>
            <w:r w:rsidRPr="00131EED">
              <w:rPr>
                <w:sz w:val="20"/>
                <w:szCs w:val="20"/>
              </w:rPr>
              <w:t>3936,01</w:t>
            </w:r>
          </w:p>
        </w:tc>
        <w:tc>
          <w:tcPr>
            <w:tcW w:w="993" w:type="dxa"/>
            <w:tcBorders>
              <w:top w:val="nil"/>
              <w:left w:val="nil"/>
              <w:bottom w:val="single" w:sz="4" w:space="0" w:color="auto"/>
              <w:right w:val="single" w:sz="4" w:space="0" w:color="auto"/>
            </w:tcBorders>
            <w:noWrap/>
            <w:hideMark/>
          </w:tcPr>
          <w:p w14:paraId="26D7F793" w14:textId="5C85F389" w:rsidR="00565CA7" w:rsidRPr="00131EED"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4641963F" w14:textId="41D2B39E" w:rsidR="00565CA7" w:rsidRPr="00131EED" w:rsidRDefault="00565CA7" w:rsidP="00B60DA2">
            <w:pPr>
              <w:jc w:val="right"/>
              <w:rPr>
                <w:color w:val="000000"/>
                <w:sz w:val="20"/>
                <w:szCs w:val="20"/>
                <w:lang w:eastAsia="es-CO"/>
              </w:rPr>
            </w:pPr>
            <w:r w:rsidRPr="00131EED">
              <w:rPr>
                <w:sz w:val="20"/>
                <w:szCs w:val="20"/>
              </w:rPr>
              <w:t>1136,62</w:t>
            </w:r>
          </w:p>
        </w:tc>
        <w:tc>
          <w:tcPr>
            <w:tcW w:w="999" w:type="dxa"/>
            <w:tcBorders>
              <w:top w:val="nil"/>
              <w:left w:val="nil"/>
              <w:bottom w:val="single" w:sz="4" w:space="0" w:color="auto"/>
              <w:right w:val="single" w:sz="4" w:space="0" w:color="auto"/>
            </w:tcBorders>
            <w:noWrap/>
            <w:hideMark/>
          </w:tcPr>
          <w:p w14:paraId="5D2DD28A" w14:textId="4B419DAC" w:rsidR="00565CA7" w:rsidRPr="00131EED"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41F2E84D" w14:textId="5F7C793E" w:rsidR="00565CA7" w:rsidRPr="00131EED" w:rsidRDefault="00565CA7" w:rsidP="00B60DA2">
            <w:pPr>
              <w:jc w:val="right"/>
              <w:rPr>
                <w:color w:val="000000"/>
                <w:sz w:val="20"/>
                <w:szCs w:val="20"/>
                <w:lang w:eastAsia="es-CO"/>
              </w:rPr>
            </w:pPr>
            <w:r w:rsidRPr="00131EED">
              <w:rPr>
                <w:sz w:val="20"/>
                <w:szCs w:val="20"/>
              </w:rPr>
              <w:t>5664,35</w:t>
            </w:r>
          </w:p>
        </w:tc>
      </w:tr>
      <w:tr w:rsidR="00565CA7" w:rsidRPr="00131EED" w14:paraId="367A70BE"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463E81CC" w14:textId="77777777" w:rsidR="00565CA7" w:rsidRPr="00131EED" w:rsidRDefault="00565CA7" w:rsidP="00B60DA2">
            <w:pPr>
              <w:rPr>
                <w:color w:val="000000"/>
                <w:sz w:val="20"/>
                <w:szCs w:val="20"/>
                <w:lang w:eastAsia="es-CO"/>
              </w:rPr>
            </w:pPr>
            <w:r w:rsidRPr="00131EED">
              <w:rPr>
                <w:color w:val="000000"/>
                <w:sz w:val="20"/>
                <w:szCs w:val="20"/>
                <w:lang w:eastAsia="es-CO"/>
              </w:rPr>
              <w:t>Subachoque</w:t>
            </w:r>
          </w:p>
        </w:tc>
        <w:tc>
          <w:tcPr>
            <w:tcW w:w="1137" w:type="dxa"/>
            <w:tcBorders>
              <w:top w:val="nil"/>
              <w:left w:val="nil"/>
              <w:bottom w:val="single" w:sz="4" w:space="0" w:color="auto"/>
              <w:right w:val="single" w:sz="4" w:space="0" w:color="auto"/>
            </w:tcBorders>
            <w:noWrap/>
            <w:hideMark/>
          </w:tcPr>
          <w:p w14:paraId="670639E3" w14:textId="64A14783" w:rsidR="00565CA7" w:rsidRPr="00131EED" w:rsidRDefault="00565CA7" w:rsidP="00B60DA2">
            <w:pPr>
              <w:jc w:val="right"/>
              <w:rPr>
                <w:color w:val="000000"/>
                <w:sz w:val="20"/>
                <w:szCs w:val="20"/>
                <w:lang w:eastAsia="es-CO"/>
              </w:rPr>
            </w:pPr>
            <w:r w:rsidRPr="00131EED">
              <w:rPr>
                <w:sz w:val="20"/>
                <w:szCs w:val="20"/>
              </w:rPr>
              <w:t>1991,07</w:t>
            </w:r>
          </w:p>
        </w:tc>
        <w:tc>
          <w:tcPr>
            <w:tcW w:w="1137" w:type="dxa"/>
            <w:tcBorders>
              <w:top w:val="nil"/>
              <w:left w:val="nil"/>
              <w:bottom w:val="single" w:sz="4" w:space="0" w:color="auto"/>
              <w:right w:val="single" w:sz="4" w:space="0" w:color="auto"/>
            </w:tcBorders>
            <w:noWrap/>
            <w:hideMark/>
          </w:tcPr>
          <w:p w14:paraId="74E79DF1" w14:textId="552F1C05" w:rsidR="00565CA7" w:rsidRPr="00131EED" w:rsidRDefault="00565CA7" w:rsidP="00B60DA2">
            <w:pPr>
              <w:jc w:val="right"/>
              <w:rPr>
                <w:color w:val="000000"/>
                <w:sz w:val="20"/>
                <w:szCs w:val="20"/>
                <w:lang w:eastAsia="es-CO"/>
              </w:rPr>
            </w:pPr>
            <w:r w:rsidRPr="00131EED">
              <w:rPr>
                <w:sz w:val="20"/>
                <w:szCs w:val="20"/>
              </w:rPr>
              <w:t>175,84</w:t>
            </w:r>
          </w:p>
        </w:tc>
        <w:tc>
          <w:tcPr>
            <w:tcW w:w="1137" w:type="dxa"/>
            <w:tcBorders>
              <w:top w:val="nil"/>
              <w:left w:val="nil"/>
              <w:bottom w:val="single" w:sz="4" w:space="0" w:color="auto"/>
              <w:right w:val="single" w:sz="4" w:space="0" w:color="auto"/>
            </w:tcBorders>
            <w:noWrap/>
            <w:hideMark/>
          </w:tcPr>
          <w:p w14:paraId="74A316A4" w14:textId="033E9B25" w:rsidR="00565CA7" w:rsidRPr="00131EED" w:rsidRDefault="00565CA7" w:rsidP="00B60DA2">
            <w:pPr>
              <w:jc w:val="right"/>
              <w:rPr>
                <w:color w:val="000000"/>
                <w:sz w:val="20"/>
                <w:szCs w:val="20"/>
                <w:lang w:eastAsia="es-CO"/>
              </w:rPr>
            </w:pPr>
            <w:r w:rsidRPr="00131EED">
              <w:rPr>
                <w:sz w:val="20"/>
                <w:szCs w:val="20"/>
              </w:rPr>
              <w:t>210,21</w:t>
            </w:r>
          </w:p>
        </w:tc>
        <w:tc>
          <w:tcPr>
            <w:tcW w:w="993" w:type="dxa"/>
            <w:tcBorders>
              <w:top w:val="nil"/>
              <w:left w:val="nil"/>
              <w:bottom w:val="single" w:sz="4" w:space="0" w:color="auto"/>
              <w:right w:val="single" w:sz="4" w:space="0" w:color="auto"/>
            </w:tcBorders>
            <w:noWrap/>
            <w:hideMark/>
          </w:tcPr>
          <w:p w14:paraId="2FA88797" w14:textId="13D28A66" w:rsidR="00565CA7" w:rsidRPr="00131EED"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6F6688FD" w14:textId="13541F88" w:rsidR="00565CA7" w:rsidRPr="00131EED" w:rsidRDefault="00565CA7" w:rsidP="00B60DA2">
            <w:pPr>
              <w:jc w:val="right"/>
              <w:rPr>
                <w:color w:val="000000"/>
                <w:sz w:val="20"/>
                <w:szCs w:val="20"/>
                <w:lang w:eastAsia="es-CO"/>
              </w:rPr>
            </w:pPr>
            <w:r w:rsidRPr="00131EED">
              <w:rPr>
                <w:sz w:val="20"/>
                <w:szCs w:val="20"/>
              </w:rPr>
              <w:t>509,51</w:t>
            </w:r>
          </w:p>
        </w:tc>
        <w:tc>
          <w:tcPr>
            <w:tcW w:w="999" w:type="dxa"/>
            <w:tcBorders>
              <w:top w:val="nil"/>
              <w:left w:val="nil"/>
              <w:bottom w:val="single" w:sz="4" w:space="0" w:color="auto"/>
              <w:right w:val="single" w:sz="4" w:space="0" w:color="auto"/>
            </w:tcBorders>
            <w:noWrap/>
            <w:hideMark/>
          </w:tcPr>
          <w:p w14:paraId="4BA249A5" w14:textId="1D4A57F6" w:rsidR="00565CA7" w:rsidRPr="00131EED"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2BF022F9" w14:textId="21F9D136" w:rsidR="00565CA7" w:rsidRPr="00131EED" w:rsidRDefault="00565CA7" w:rsidP="00B60DA2">
            <w:pPr>
              <w:jc w:val="right"/>
              <w:rPr>
                <w:color w:val="000000"/>
                <w:sz w:val="20"/>
                <w:szCs w:val="20"/>
                <w:lang w:eastAsia="es-CO"/>
              </w:rPr>
            </w:pPr>
            <w:r w:rsidRPr="00131EED">
              <w:rPr>
                <w:sz w:val="20"/>
                <w:szCs w:val="20"/>
              </w:rPr>
              <w:t>2886,62</w:t>
            </w:r>
          </w:p>
        </w:tc>
      </w:tr>
      <w:tr w:rsidR="00565CA7" w:rsidRPr="00131EED" w14:paraId="4EF6E5FB"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1243EB0A" w14:textId="77777777" w:rsidR="00565CA7" w:rsidRPr="00131EED" w:rsidRDefault="00565CA7" w:rsidP="00B60DA2">
            <w:pPr>
              <w:rPr>
                <w:color w:val="000000"/>
                <w:sz w:val="20"/>
                <w:szCs w:val="20"/>
                <w:lang w:eastAsia="es-CO"/>
              </w:rPr>
            </w:pPr>
            <w:r w:rsidRPr="00131EED">
              <w:rPr>
                <w:color w:val="000000"/>
                <w:sz w:val="20"/>
                <w:szCs w:val="20"/>
                <w:lang w:eastAsia="es-CO"/>
              </w:rPr>
              <w:t>Suesca</w:t>
            </w:r>
          </w:p>
        </w:tc>
        <w:tc>
          <w:tcPr>
            <w:tcW w:w="1137" w:type="dxa"/>
            <w:tcBorders>
              <w:top w:val="nil"/>
              <w:left w:val="nil"/>
              <w:bottom w:val="single" w:sz="4" w:space="0" w:color="auto"/>
              <w:right w:val="single" w:sz="4" w:space="0" w:color="auto"/>
            </w:tcBorders>
            <w:noWrap/>
            <w:hideMark/>
          </w:tcPr>
          <w:p w14:paraId="529C9315" w14:textId="1742D394" w:rsidR="00565CA7" w:rsidRPr="00131EED" w:rsidRDefault="00565CA7" w:rsidP="00B60DA2">
            <w:pPr>
              <w:jc w:val="right"/>
              <w:rPr>
                <w:color w:val="000000"/>
                <w:sz w:val="20"/>
                <w:szCs w:val="20"/>
                <w:lang w:eastAsia="es-CO"/>
              </w:rPr>
            </w:pPr>
            <w:r w:rsidRPr="00131EED">
              <w:rPr>
                <w:sz w:val="20"/>
                <w:szCs w:val="20"/>
              </w:rPr>
              <w:t>5,54</w:t>
            </w:r>
          </w:p>
        </w:tc>
        <w:tc>
          <w:tcPr>
            <w:tcW w:w="1137" w:type="dxa"/>
            <w:tcBorders>
              <w:top w:val="nil"/>
              <w:left w:val="nil"/>
              <w:bottom w:val="single" w:sz="4" w:space="0" w:color="auto"/>
              <w:right w:val="single" w:sz="4" w:space="0" w:color="auto"/>
            </w:tcBorders>
            <w:noWrap/>
            <w:hideMark/>
          </w:tcPr>
          <w:p w14:paraId="5BC36C29" w14:textId="2AFBFD79" w:rsidR="00565CA7" w:rsidRPr="00131EED" w:rsidRDefault="00565CA7" w:rsidP="00B60DA2">
            <w:pPr>
              <w:jc w:val="right"/>
              <w:rPr>
                <w:color w:val="000000"/>
                <w:sz w:val="20"/>
                <w:szCs w:val="20"/>
                <w:lang w:eastAsia="es-CO"/>
              </w:rPr>
            </w:pPr>
            <w:r w:rsidRPr="00131EED">
              <w:rPr>
                <w:sz w:val="20"/>
                <w:szCs w:val="20"/>
              </w:rPr>
              <w:t>347,08</w:t>
            </w:r>
          </w:p>
        </w:tc>
        <w:tc>
          <w:tcPr>
            <w:tcW w:w="1137" w:type="dxa"/>
            <w:tcBorders>
              <w:top w:val="nil"/>
              <w:left w:val="nil"/>
              <w:bottom w:val="single" w:sz="4" w:space="0" w:color="auto"/>
              <w:right w:val="single" w:sz="4" w:space="0" w:color="auto"/>
            </w:tcBorders>
            <w:noWrap/>
            <w:hideMark/>
          </w:tcPr>
          <w:p w14:paraId="7319516F" w14:textId="17E75F19" w:rsidR="00565CA7" w:rsidRPr="00131EED" w:rsidRDefault="00565CA7" w:rsidP="00B60DA2">
            <w:pPr>
              <w:jc w:val="right"/>
              <w:rPr>
                <w:color w:val="000000"/>
                <w:sz w:val="20"/>
                <w:szCs w:val="20"/>
                <w:lang w:eastAsia="es-CO"/>
              </w:rPr>
            </w:pPr>
            <w:r w:rsidRPr="00131EED">
              <w:rPr>
                <w:sz w:val="20"/>
                <w:szCs w:val="20"/>
              </w:rPr>
              <w:t>535,76</w:t>
            </w:r>
          </w:p>
        </w:tc>
        <w:tc>
          <w:tcPr>
            <w:tcW w:w="993" w:type="dxa"/>
            <w:tcBorders>
              <w:top w:val="nil"/>
              <w:left w:val="nil"/>
              <w:bottom w:val="single" w:sz="4" w:space="0" w:color="auto"/>
              <w:right w:val="single" w:sz="4" w:space="0" w:color="auto"/>
            </w:tcBorders>
            <w:noWrap/>
            <w:hideMark/>
          </w:tcPr>
          <w:p w14:paraId="2D5608C9" w14:textId="22380E49" w:rsidR="00565CA7" w:rsidRPr="00131EED"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589BCB6E" w14:textId="2B846D12" w:rsidR="00565CA7" w:rsidRPr="00131EED" w:rsidRDefault="00565CA7" w:rsidP="00B60DA2">
            <w:pPr>
              <w:jc w:val="right"/>
              <w:rPr>
                <w:color w:val="000000"/>
                <w:sz w:val="20"/>
                <w:szCs w:val="20"/>
                <w:lang w:eastAsia="es-CO"/>
              </w:rPr>
            </w:pPr>
            <w:r w:rsidRPr="00131EED">
              <w:rPr>
                <w:sz w:val="20"/>
                <w:szCs w:val="20"/>
              </w:rPr>
              <w:t>1089,34</w:t>
            </w:r>
          </w:p>
        </w:tc>
        <w:tc>
          <w:tcPr>
            <w:tcW w:w="999" w:type="dxa"/>
            <w:tcBorders>
              <w:top w:val="nil"/>
              <w:left w:val="nil"/>
              <w:bottom w:val="single" w:sz="4" w:space="0" w:color="auto"/>
              <w:right w:val="single" w:sz="4" w:space="0" w:color="auto"/>
            </w:tcBorders>
            <w:noWrap/>
            <w:hideMark/>
          </w:tcPr>
          <w:p w14:paraId="6BD80E94" w14:textId="1259224F" w:rsidR="00565CA7" w:rsidRPr="00131EED"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5AB438E1" w14:textId="2D838D85" w:rsidR="00565CA7" w:rsidRPr="00131EED" w:rsidRDefault="00565CA7" w:rsidP="00B60DA2">
            <w:pPr>
              <w:jc w:val="right"/>
              <w:rPr>
                <w:color w:val="000000"/>
                <w:sz w:val="20"/>
                <w:szCs w:val="20"/>
                <w:lang w:eastAsia="es-CO"/>
              </w:rPr>
            </w:pPr>
            <w:r w:rsidRPr="00131EED">
              <w:rPr>
                <w:sz w:val="20"/>
                <w:szCs w:val="20"/>
              </w:rPr>
              <w:t>1977,72</w:t>
            </w:r>
          </w:p>
        </w:tc>
      </w:tr>
      <w:tr w:rsidR="00565CA7" w:rsidRPr="00131EED" w14:paraId="22257F36"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70E1AAA4" w14:textId="77777777" w:rsidR="00565CA7" w:rsidRPr="00131EED" w:rsidRDefault="00565CA7" w:rsidP="00B60DA2">
            <w:pPr>
              <w:rPr>
                <w:color w:val="000000"/>
                <w:sz w:val="20"/>
                <w:szCs w:val="20"/>
                <w:lang w:eastAsia="es-CO"/>
              </w:rPr>
            </w:pPr>
            <w:r w:rsidRPr="00131EED">
              <w:rPr>
                <w:color w:val="000000"/>
                <w:sz w:val="20"/>
                <w:szCs w:val="20"/>
                <w:lang w:eastAsia="es-CO"/>
              </w:rPr>
              <w:t>Tabio</w:t>
            </w:r>
          </w:p>
        </w:tc>
        <w:tc>
          <w:tcPr>
            <w:tcW w:w="1137" w:type="dxa"/>
            <w:tcBorders>
              <w:top w:val="nil"/>
              <w:left w:val="nil"/>
              <w:bottom w:val="single" w:sz="4" w:space="0" w:color="auto"/>
              <w:right w:val="single" w:sz="4" w:space="0" w:color="auto"/>
            </w:tcBorders>
            <w:noWrap/>
            <w:hideMark/>
          </w:tcPr>
          <w:p w14:paraId="1C5C5B54" w14:textId="5E036743" w:rsidR="00565CA7" w:rsidRPr="00131EED" w:rsidRDefault="00565CA7" w:rsidP="00B60DA2">
            <w:pPr>
              <w:jc w:val="right"/>
              <w:rPr>
                <w:color w:val="000000"/>
                <w:sz w:val="20"/>
                <w:szCs w:val="20"/>
                <w:lang w:eastAsia="es-CO"/>
              </w:rPr>
            </w:pPr>
            <w:r w:rsidRPr="00131EED">
              <w:rPr>
                <w:sz w:val="20"/>
                <w:szCs w:val="20"/>
              </w:rPr>
              <w:t>893,23</w:t>
            </w:r>
          </w:p>
        </w:tc>
        <w:tc>
          <w:tcPr>
            <w:tcW w:w="1137" w:type="dxa"/>
            <w:tcBorders>
              <w:top w:val="nil"/>
              <w:left w:val="nil"/>
              <w:bottom w:val="single" w:sz="4" w:space="0" w:color="auto"/>
              <w:right w:val="single" w:sz="4" w:space="0" w:color="auto"/>
            </w:tcBorders>
            <w:noWrap/>
            <w:hideMark/>
          </w:tcPr>
          <w:p w14:paraId="1E2861D6" w14:textId="053136A5" w:rsidR="00565CA7" w:rsidRPr="00131EED" w:rsidRDefault="00565CA7" w:rsidP="00B60DA2">
            <w:pPr>
              <w:jc w:val="right"/>
              <w:rPr>
                <w:color w:val="000000"/>
                <w:sz w:val="20"/>
                <w:szCs w:val="20"/>
                <w:lang w:eastAsia="es-CO"/>
              </w:rPr>
            </w:pPr>
            <w:r w:rsidRPr="00131EED">
              <w:rPr>
                <w:sz w:val="20"/>
                <w:szCs w:val="20"/>
              </w:rPr>
              <w:t>20,87</w:t>
            </w:r>
          </w:p>
        </w:tc>
        <w:tc>
          <w:tcPr>
            <w:tcW w:w="1137" w:type="dxa"/>
            <w:tcBorders>
              <w:top w:val="nil"/>
              <w:left w:val="nil"/>
              <w:bottom w:val="single" w:sz="4" w:space="0" w:color="auto"/>
              <w:right w:val="single" w:sz="4" w:space="0" w:color="auto"/>
            </w:tcBorders>
            <w:noWrap/>
            <w:hideMark/>
          </w:tcPr>
          <w:p w14:paraId="0E3E0AB0" w14:textId="3711A8CE" w:rsidR="00565CA7" w:rsidRPr="00131EED" w:rsidRDefault="00565CA7" w:rsidP="00B60DA2">
            <w:pPr>
              <w:jc w:val="right"/>
              <w:rPr>
                <w:color w:val="000000"/>
                <w:sz w:val="20"/>
                <w:szCs w:val="20"/>
                <w:lang w:eastAsia="es-CO"/>
              </w:rPr>
            </w:pPr>
            <w:r w:rsidRPr="00131EED">
              <w:rPr>
                <w:sz w:val="20"/>
                <w:szCs w:val="20"/>
              </w:rPr>
              <w:t>269,09</w:t>
            </w:r>
          </w:p>
        </w:tc>
        <w:tc>
          <w:tcPr>
            <w:tcW w:w="993" w:type="dxa"/>
            <w:tcBorders>
              <w:top w:val="nil"/>
              <w:left w:val="nil"/>
              <w:bottom w:val="single" w:sz="4" w:space="0" w:color="auto"/>
              <w:right w:val="single" w:sz="4" w:space="0" w:color="auto"/>
            </w:tcBorders>
            <w:noWrap/>
            <w:hideMark/>
          </w:tcPr>
          <w:p w14:paraId="7D2CC166" w14:textId="134F14C4" w:rsidR="00565CA7" w:rsidRPr="00131EED" w:rsidRDefault="00565CA7" w:rsidP="00B60DA2">
            <w:pPr>
              <w:jc w:val="right"/>
              <w:rPr>
                <w:color w:val="000000"/>
                <w:sz w:val="20"/>
                <w:szCs w:val="20"/>
                <w:lang w:eastAsia="es-CO"/>
              </w:rPr>
            </w:pPr>
            <w:r w:rsidRPr="00131EED">
              <w:rPr>
                <w:sz w:val="20"/>
                <w:szCs w:val="20"/>
              </w:rPr>
              <w:t>13,42</w:t>
            </w:r>
          </w:p>
        </w:tc>
        <w:tc>
          <w:tcPr>
            <w:tcW w:w="1137" w:type="dxa"/>
            <w:tcBorders>
              <w:top w:val="nil"/>
              <w:left w:val="nil"/>
              <w:bottom w:val="single" w:sz="4" w:space="0" w:color="auto"/>
              <w:right w:val="single" w:sz="4" w:space="0" w:color="auto"/>
            </w:tcBorders>
            <w:noWrap/>
            <w:hideMark/>
          </w:tcPr>
          <w:p w14:paraId="3904607D" w14:textId="31A2441B" w:rsidR="00565CA7" w:rsidRPr="00131EED" w:rsidRDefault="00565CA7" w:rsidP="00B60DA2">
            <w:pPr>
              <w:jc w:val="right"/>
              <w:rPr>
                <w:color w:val="000000"/>
                <w:sz w:val="20"/>
                <w:szCs w:val="20"/>
                <w:lang w:eastAsia="es-CO"/>
              </w:rPr>
            </w:pPr>
            <w:r w:rsidRPr="00131EED">
              <w:rPr>
                <w:sz w:val="20"/>
                <w:szCs w:val="20"/>
              </w:rPr>
              <w:t>110,50</w:t>
            </w:r>
          </w:p>
        </w:tc>
        <w:tc>
          <w:tcPr>
            <w:tcW w:w="999" w:type="dxa"/>
            <w:tcBorders>
              <w:top w:val="nil"/>
              <w:left w:val="nil"/>
              <w:bottom w:val="single" w:sz="4" w:space="0" w:color="auto"/>
              <w:right w:val="single" w:sz="4" w:space="0" w:color="auto"/>
            </w:tcBorders>
            <w:noWrap/>
            <w:hideMark/>
          </w:tcPr>
          <w:p w14:paraId="77F66DC1" w14:textId="6F8F6D41" w:rsidR="00565CA7" w:rsidRPr="00131EED" w:rsidRDefault="00565CA7" w:rsidP="00B60DA2">
            <w:pPr>
              <w:jc w:val="right"/>
              <w:rPr>
                <w:color w:val="000000"/>
                <w:sz w:val="20"/>
                <w:szCs w:val="20"/>
                <w:lang w:eastAsia="es-CO"/>
              </w:rPr>
            </w:pPr>
            <w:r w:rsidRPr="00131EED">
              <w:rPr>
                <w:sz w:val="20"/>
                <w:szCs w:val="20"/>
              </w:rPr>
              <w:t>20,64</w:t>
            </w:r>
          </w:p>
        </w:tc>
        <w:tc>
          <w:tcPr>
            <w:tcW w:w="931" w:type="dxa"/>
            <w:tcBorders>
              <w:top w:val="nil"/>
              <w:left w:val="nil"/>
              <w:bottom w:val="single" w:sz="4" w:space="0" w:color="auto"/>
              <w:right w:val="single" w:sz="4" w:space="0" w:color="auto"/>
            </w:tcBorders>
            <w:noWrap/>
            <w:hideMark/>
          </w:tcPr>
          <w:p w14:paraId="43DD76DB" w14:textId="1F562FE7" w:rsidR="00565CA7" w:rsidRPr="00131EED" w:rsidRDefault="00D46379" w:rsidP="00B60DA2">
            <w:pPr>
              <w:jc w:val="right"/>
              <w:rPr>
                <w:color w:val="000000"/>
                <w:sz w:val="20"/>
                <w:szCs w:val="20"/>
                <w:lang w:eastAsia="es-CO"/>
              </w:rPr>
            </w:pPr>
            <w:r w:rsidRPr="00131EED">
              <w:rPr>
                <w:sz w:val="20"/>
                <w:szCs w:val="20"/>
              </w:rPr>
              <w:t>1307,12</w:t>
            </w:r>
          </w:p>
        </w:tc>
      </w:tr>
      <w:tr w:rsidR="00565CA7" w:rsidRPr="00131EED" w14:paraId="41245AD3"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138DF151" w14:textId="77777777" w:rsidR="00565CA7" w:rsidRPr="00131EED" w:rsidRDefault="00565CA7" w:rsidP="00B60DA2">
            <w:pPr>
              <w:rPr>
                <w:color w:val="000000"/>
                <w:sz w:val="20"/>
                <w:szCs w:val="20"/>
                <w:lang w:eastAsia="es-CO"/>
              </w:rPr>
            </w:pPr>
            <w:r w:rsidRPr="00131EED">
              <w:rPr>
                <w:color w:val="000000"/>
                <w:sz w:val="20"/>
                <w:szCs w:val="20"/>
                <w:lang w:eastAsia="es-CO"/>
              </w:rPr>
              <w:t>Tenjo</w:t>
            </w:r>
          </w:p>
        </w:tc>
        <w:tc>
          <w:tcPr>
            <w:tcW w:w="1137" w:type="dxa"/>
            <w:tcBorders>
              <w:top w:val="nil"/>
              <w:left w:val="nil"/>
              <w:bottom w:val="single" w:sz="4" w:space="0" w:color="auto"/>
              <w:right w:val="single" w:sz="4" w:space="0" w:color="auto"/>
            </w:tcBorders>
            <w:noWrap/>
            <w:hideMark/>
          </w:tcPr>
          <w:p w14:paraId="476F7AD4" w14:textId="4D9F0924" w:rsidR="00565CA7" w:rsidRPr="00131EED" w:rsidRDefault="00565CA7" w:rsidP="00B60DA2">
            <w:pPr>
              <w:jc w:val="right"/>
              <w:rPr>
                <w:color w:val="000000"/>
                <w:sz w:val="20"/>
                <w:szCs w:val="20"/>
                <w:lang w:eastAsia="es-CO"/>
              </w:rPr>
            </w:pPr>
            <w:r w:rsidRPr="00131EED">
              <w:rPr>
                <w:sz w:val="20"/>
                <w:szCs w:val="20"/>
              </w:rPr>
              <w:t>5875,92</w:t>
            </w:r>
          </w:p>
        </w:tc>
        <w:tc>
          <w:tcPr>
            <w:tcW w:w="1137" w:type="dxa"/>
            <w:tcBorders>
              <w:top w:val="nil"/>
              <w:left w:val="nil"/>
              <w:bottom w:val="single" w:sz="4" w:space="0" w:color="auto"/>
              <w:right w:val="single" w:sz="4" w:space="0" w:color="auto"/>
            </w:tcBorders>
            <w:noWrap/>
            <w:hideMark/>
          </w:tcPr>
          <w:p w14:paraId="1AC7FF05" w14:textId="366B385B" w:rsidR="00565CA7" w:rsidRPr="00131EED" w:rsidRDefault="00565CA7" w:rsidP="00B60DA2">
            <w:pPr>
              <w:jc w:val="right"/>
              <w:rPr>
                <w:color w:val="000000"/>
                <w:sz w:val="20"/>
                <w:szCs w:val="20"/>
                <w:lang w:eastAsia="es-CO"/>
              </w:rPr>
            </w:pPr>
            <w:r w:rsidRPr="00131EED">
              <w:rPr>
                <w:sz w:val="20"/>
                <w:szCs w:val="20"/>
              </w:rPr>
              <w:t>2039,87</w:t>
            </w:r>
          </w:p>
        </w:tc>
        <w:tc>
          <w:tcPr>
            <w:tcW w:w="1137" w:type="dxa"/>
            <w:tcBorders>
              <w:top w:val="nil"/>
              <w:left w:val="nil"/>
              <w:bottom w:val="single" w:sz="4" w:space="0" w:color="auto"/>
              <w:right w:val="single" w:sz="4" w:space="0" w:color="auto"/>
            </w:tcBorders>
            <w:noWrap/>
            <w:hideMark/>
          </w:tcPr>
          <w:p w14:paraId="058F1ACB" w14:textId="0DCB8113" w:rsidR="00565CA7" w:rsidRPr="00131EED" w:rsidRDefault="00565CA7" w:rsidP="00B60DA2">
            <w:pPr>
              <w:jc w:val="right"/>
              <w:rPr>
                <w:color w:val="000000"/>
                <w:sz w:val="20"/>
                <w:szCs w:val="20"/>
                <w:lang w:eastAsia="es-CO"/>
              </w:rPr>
            </w:pPr>
            <w:r w:rsidRPr="00131EED">
              <w:rPr>
                <w:sz w:val="20"/>
                <w:szCs w:val="20"/>
              </w:rPr>
              <w:t>862,60</w:t>
            </w:r>
          </w:p>
        </w:tc>
        <w:tc>
          <w:tcPr>
            <w:tcW w:w="993" w:type="dxa"/>
            <w:tcBorders>
              <w:top w:val="nil"/>
              <w:left w:val="nil"/>
              <w:bottom w:val="single" w:sz="4" w:space="0" w:color="auto"/>
              <w:right w:val="single" w:sz="4" w:space="0" w:color="auto"/>
            </w:tcBorders>
            <w:noWrap/>
            <w:hideMark/>
          </w:tcPr>
          <w:p w14:paraId="5E038528" w14:textId="0FED8728" w:rsidR="00565CA7" w:rsidRPr="00131EED" w:rsidRDefault="00565CA7" w:rsidP="00B60DA2">
            <w:pPr>
              <w:jc w:val="right"/>
              <w:rPr>
                <w:color w:val="000000"/>
                <w:sz w:val="20"/>
                <w:szCs w:val="20"/>
                <w:lang w:eastAsia="es-CO"/>
              </w:rPr>
            </w:pPr>
            <w:r w:rsidRPr="00131EED">
              <w:rPr>
                <w:sz w:val="20"/>
                <w:szCs w:val="20"/>
              </w:rPr>
              <w:t>113,67</w:t>
            </w:r>
          </w:p>
        </w:tc>
        <w:tc>
          <w:tcPr>
            <w:tcW w:w="1137" w:type="dxa"/>
            <w:tcBorders>
              <w:top w:val="nil"/>
              <w:left w:val="nil"/>
              <w:bottom w:val="single" w:sz="4" w:space="0" w:color="auto"/>
              <w:right w:val="single" w:sz="4" w:space="0" w:color="auto"/>
            </w:tcBorders>
            <w:noWrap/>
            <w:hideMark/>
          </w:tcPr>
          <w:p w14:paraId="48183E33" w14:textId="4E738724" w:rsidR="00565CA7" w:rsidRPr="00131EED" w:rsidRDefault="00565CA7" w:rsidP="00B60DA2">
            <w:pPr>
              <w:jc w:val="right"/>
              <w:rPr>
                <w:color w:val="000000"/>
                <w:sz w:val="20"/>
                <w:szCs w:val="20"/>
                <w:lang w:eastAsia="es-CO"/>
              </w:rPr>
            </w:pPr>
            <w:r w:rsidRPr="00131EED">
              <w:rPr>
                <w:sz w:val="20"/>
                <w:szCs w:val="20"/>
              </w:rPr>
              <w:t>154,51</w:t>
            </w:r>
          </w:p>
        </w:tc>
        <w:tc>
          <w:tcPr>
            <w:tcW w:w="999" w:type="dxa"/>
            <w:tcBorders>
              <w:top w:val="nil"/>
              <w:left w:val="nil"/>
              <w:bottom w:val="single" w:sz="4" w:space="0" w:color="auto"/>
              <w:right w:val="single" w:sz="4" w:space="0" w:color="auto"/>
            </w:tcBorders>
            <w:noWrap/>
            <w:hideMark/>
          </w:tcPr>
          <w:p w14:paraId="65170F3B" w14:textId="41171D0C" w:rsidR="00565CA7" w:rsidRPr="00131EED" w:rsidRDefault="00565CA7" w:rsidP="00B60DA2">
            <w:pPr>
              <w:jc w:val="right"/>
              <w:rPr>
                <w:color w:val="000000"/>
                <w:sz w:val="20"/>
                <w:szCs w:val="20"/>
                <w:lang w:eastAsia="es-CO"/>
              </w:rPr>
            </w:pPr>
            <w:r w:rsidRPr="00131EED">
              <w:rPr>
                <w:sz w:val="20"/>
                <w:szCs w:val="20"/>
              </w:rPr>
              <w:t>86,45</w:t>
            </w:r>
          </w:p>
        </w:tc>
        <w:tc>
          <w:tcPr>
            <w:tcW w:w="931" w:type="dxa"/>
            <w:tcBorders>
              <w:top w:val="nil"/>
              <w:left w:val="nil"/>
              <w:bottom w:val="single" w:sz="4" w:space="0" w:color="auto"/>
              <w:right w:val="single" w:sz="4" w:space="0" w:color="auto"/>
            </w:tcBorders>
            <w:noWrap/>
            <w:hideMark/>
          </w:tcPr>
          <w:p w14:paraId="40B02911" w14:textId="676EEDAB" w:rsidR="00565CA7" w:rsidRPr="00131EED" w:rsidRDefault="00D46379" w:rsidP="00B60DA2">
            <w:pPr>
              <w:jc w:val="right"/>
              <w:rPr>
                <w:color w:val="000000"/>
                <w:sz w:val="20"/>
                <w:szCs w:val="20"/>
                <w:lang w:eastAsia="es-CO"/>
              </w:rPr>
            </w:pPr>
            <w:r w:rsidRPr="00131EED">
              <w:rPr>
                <w:sz w:val="20"/>
                <w:szCs w:val="20"/>
              </w:rPr>
              <w:t>9046,57</w:t>
            </w:r>
          </w:p>
        </w:tc>
      </w:tr>
      <w:tr w:rsidR="00565CA7" w:rsidRPr="00131EED" w14:paraId="79C20666"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2ABD2ED7" w14:textId="77777777" w:rsidR="00565CA7" w:rsidRPr="00131EED" w:rsidRDefault="00565CA7" w:rsidP="00B60DA2">
            <w:pPr>
              <w:rPr>
                <w:color w:val="000000"/>
                <w:sz w:val="20"/>
                <w:szCs w:val="20"/>
                <w:lang w:eastAsia="es-CO"/>
              </w:rPr>
            </w:pPr>
            <w:r w:rsidRPr="00131EED">
              <w:rPr>
                <w:color w:val="000000"/>
                <w:sz w:val="20"/>
                <w:szCs w:val="20"/>
                <w:lang w:eastAsia="es-CO"/>
              </w:rPr>
              <w:t>Tocancipá</w:t>
            </w:r>
          </w:p>
        </w:tc>
        <w:tc>
          <w:tcPr>
            <w:tcW w:w="1137" w:type="dxa"/>
            <w:tcBorders>
              <w:top w:val="nil"/>
              <w:left w:val="nil"/>
              <w:bottom w:val="single" w:sz="4" w:space="0" w:color="auto"/>
              <w:right w:val="single" w:sz="4" w:space="0" w:color="auto"/>
            </w:tcBorders>
            <w:noWrap/>
            <w:hideMark/>
          </w:tcPr>
          <w:p w14:paraId="36BAADF2" w14:textId="1DD0A66B" w:rsidR="00565CA7" w:rsidRPr="00131EED" w:rsidRDefault="00565CA7" w:rsidP="00B60DA2">
            <w:pPr>
              <w:jc w:val="right"/>
              <w:rPr>
                <w:color w:val="000000"/>
                <w:sz w:val="20"/>
                <w:szCs w:val="20"/>
                <w:lang w:eastAsia="es-CO"/>
              </w:rPr>
            </w:pPr>
            <w:r w:rsidRPr="00131EED">
              <w:rPr>
                <w:sz w:val="20"/>
                <w:szCs w:val="20"/>
              </w:rPr>
              <w:t>400,49</w:t>
            </w:r>
          </w:p>
        </w:tc>
        <w:tc>
          <w:tcPr>
            <w:tcW w:w="1137" w:type="dxa"/>
            <w:tcBorders>
              <w:top w:val="nil"/>
              <w:left w:val="nil"/>
              <w:bottom w:val="single" w:sz="4" w:space="0" w:color="auto"/>
              <w:right w:val="single" w:sz="4" w:space="0" w:color="auto"/>
            </w:tcBorders>
            <w:noWrap/>
            <w:hideMark/>
          </w:tcPr>
          <w:p w14:paraId="32AFED77" w14:textId="08CF679B" w:rsidR="00565CA7" w:rsidRPr="00131EED" w:rsidRDefault="00565CA7" w:rsidP="00B60DA2">
            <w:pPr>
              <w:jc w:val="right"/>
              <w:rPr>
                <w:color w:val="000000"/>
                <w:sz w:val="20"/>
                <w:szCs w:val="20"/>
                <w:lang w:eastAsia="es-CO"/>
              </w:rPr>
            </w:pPr>
            <w:r w:rsidRPr="00131EED">
              <w:rPr>
                <w:sz w:val="20"/>
                <w:szCs w:val="20"/>
              </w:rPr>
              <w:t>511,72</w:t>
            </w:r>
          </w:p>
        </w:tc>
        <w:tc>
          <w:tcPr>
            <w:tcW w:w="1137" w:type="dxa"/>
            <w:tcBorders>
              <w:top w:val="nil"/>
              <w:left w:val="nil"/>
              <w:bottom w:val="single" w:sz="4" w:space="0" w:color="auto"/>
              <w:right w:val="single" w:sz="4" w:space="0" w:color="auto"/>
            </w:tcBorders>
            <w:noWrap/>
            <w:hideMark/>
          </w:tcPr>
          <w:p w14:paraId="2235ABD3" w14:textId="31AA4D47" w:rsidR="00565CA7" w:rsidRPr="00131EED" w:rsidRDefault="00565CA7" w:rsidP="00B60DA2">
            <w:pPr>
              <w:jc w:val="right"/>
              <w:rPr>
                <w:color w:val="000000"/>
                <w:sz w:val="20"/>
                <w:szCs w:val="20"/>
                <w:lang w:eastAsia="es-CO"/>
              </w:rPr>
            </w:pPr>
            <w:r w:rsidRPr="00131EED">
              <w:rPr>
                <w:sz w:val="20"/>
                <w:szCs w:val="20"/>
              </w:rPr>
              <w:t>2792,78</w:t>
            </w:r>
          </w:p>
        </w:tc>
        <w:tc>
          <w:tcPr>
            <w:tcW w:w="993" w:type="dxa"/>
            <w:tcBorders>
              <w:top w:val="nil"/>
              <w:left w:val="nil"/>
              <w:bottom w:val="single" w:sz="4" w:space="0" w:color="auto"/>
              <w:right w:val="single" w:sz="4" w:space="0" w:color="auto"/>
            </w:tcBorders>
            <w:noWrap/>
            <w:hideMark/>
          </w:tcPr>
          <w:p w14:paraId="000D7CF9" w14:textId="6D635882" w:rsidR="00565CA7" w:rsidRPr="00131EED"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207FFC3B" w14:textId="29CE0406" w:rsidR="00565CA7" w:rsidRPr="00131EED" w:rsidRDefault="00565CA7" w:rsidP="00B60DA2">
            <w:pPr>
              <w:jc w:val="right"/>
              <w:rPr>
                <w:color w:val="000000"/>
                <w:sz w:val="20"/>
                <w:szCs w:val="20"/>
                <w:lang w:eastAsia="es-CO"/>
              </w:rPr>
            </w:pPr>
            <w:r w:rsidRPr="00131EED">
              <w:rPr>
                <w:sz w:val="20"/>
                <w:szCs w:val="20"/>
              </w:rPr>
              <w:t>652,12</w:t>
            </w:r>
          </w:p>
        </w:tc>
        <w:tc>
          <w:tcPr>
            <w:tcW w:w="999" w:type="dxa"/>
            <w:tcBorders>
              <w:top w:val="nil"/>
              <w:left w:val="nil"/>
              <w:bottom w:val="single" w:sz="4" w:space="0" w:color="auto"/>
              <w:right w:val="single" w:sz="4" w:space="0" w:color="auto"/>
            </w:tcBorders>
            <w:noWrap/>
            <w:hideMark/>
          </w:tcPr>
          <w:p w14:paraId="68FC1782" w14:textId="5F7D2B40" w:rsidR="00565CA7" w:rsidRPr="00131EED"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2A1EC6EC" w14:textId="4116B098" w:rsidR="00565CA7" w:rsidRPr="00131EED" w:rsidRDefault="00565CA7" w:rsidP="00B60DA2">
            <w:pPr>
              <w:jc w:val="right"/>
              <w:rPr>
                <w:color w:val="000000"/>
                <w:sz w:val="20"/>
                <w:szCs w:val="20"/>
                <w:lang w:eastAsia="es-CO"/>
              </w:rPr>
            </w:pPr>
            <w:r w:rsidRPr="00131EED">
              <w:rPr>
                <w:sz w:val="20"/>
                <w:szCs w:val="20"/>
              </w:rPr>
              <w:t>4357,12</w:t>
            </w:r>
          </w:p>
        </w:tc>
      </w:tr>
      <w:tr w:rsidR="00565CA7" w:rsidRPr="00131EED" w14:paraId="016D151E" w14:textId="77777777">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237C7FE0" w14:textId="77777777" w:rsidR="00565CA7" w:rsidRPr="00131EED" w:rsidRDefault="00565CA7" w:rsidP="00B60DA2">
            <w:pPr>
              <w:rPr>
                <w:color w:val="000000"/>
                <w:sz w:val="20"/>
                <w:szCs w:val="20"/>
                <w:lang w:eastAsia="es-CO"/>
              </w:rPr>
            </w:pPr>
            <w:r w:rsidRPr="00131EED">
              <w:rPr>
                <w:color w:val="000000"/>
                <w:sz w:val="20"/>
                <w:szCs w:val="20"/>
                <w:lang w:eastAsia="es-CO"/>
              </w:rPr>
              <w:t>Zipaquirá</w:t>
            </w:r>
          </w:p>
        </w:tc>
        <w:tc>
          <w:tcPr>
            <w:tcW w:w="1137" w:type="dxa"/>
            <w:tcBorders>
              <w:top w:val="nil"/>
              <w:left w:val="nil"/>
              <w:bottom w:val="single" w:sz="4" w:space="0" w:color="auto"/>
              <w:right w:val="single" w:sz="4" w:space="0" w:color="auto"/>
            </w:tcBorders>
            <w:noWrap/>
            <w:hideMark/>
          </w:tcPr>
          <w:p w14:paraId="7A4281EC" w14:textId="69175B9B" w:rsidR="00565CA7" w:rsidRPr="00131EED" w:rsidRDefault="00565CA7" w:rsidP="00B60DA2">
            <w:pPr>
              <w:jc w:val="right"/>
              <w:rPr>
                <w:color w:val="000000"/>
                <w:sz w:val="20"/>
                <w:szCs w:val="20"/>
                <w:lang w:eastAsia="es-CO"/>
              </w:rPr>
            </w:pPr>
            <w:r w:rsidRPr="00131EED">
              <w:rPr>
                <w:sz w:val="20"/>
                <w:szCs w:val="20"/>
              </w:rPr>
              <w:t>203,18</w:t>
            </w:r>
          </w:p>
        </w:tc>
        <w:tc>
          <w:tcPr>
            <w:tcW w:w="1137" w:type="dxa"/>
            <w:tcBorders>
              <w:top w:val="nil"/>
              <w:left w:val="nil"/>
              <w:bottom w:val="single" w:sz="4" w:space="0" w:color="auto"/>
              <w:right w:val="single" w:sz="4" w:space="0" w:color="auto"/>
            </w:tcBorders>
            <w:noWrap/>
            <w:hideMark/>
          </w:tcPr>
          <w:p w14:paraId="647F3ADC" w14:textId="7B6E5AA9" w:rsidR="00565CA7" w:rsidRPr="00131EED" w:rsidRDefault="00565CA7" w:rsidP="00B60DA2">
            <w:pPr>
              <w:jc w:val="right"/>
              <w:rPr>
                <w:color w:val="000000"/>
                <w:sz w:val="20"/>
                <w:szCs w:val="20"/>
                <w:lang w:eastAsia="es-CO"/>
              </w:rPr>
            </w:pPr>
            <w:r w:rsidRPr="00131EED">
              <w:rPr>
                <w:sz w:val="20"/>
                <w:szCs w:val="20"/>
              </w:rPr>
              <w:t>343,30</w:t>
            </w:r>
          </w:p>
        </w:tc>
        <w:tc>
          <w:tcPr>
            <w:tcW w:w="1137" w:type="dxa"/>
            <w:tcBorders>
              <w:top w:val="nil"/>
              <w:left w:val="nil"/>
              <w:bottom w:val="single" w:sz="4" w:space="0" w:color="auto"/>
              <w:right w:val="single" w:sz="4" w:space="0" w:color="auto"/>
            </w:tcBorders>
            <w:noWrap/>
            <w:hideMark/>
          </w:tcPr>
          <w:p w14:paraId="0001FB25" w14:textId="2DF4AD4D" w:rsidR="00565CA7" w:rsidRPr="00131EED" w:rsidRDefault="00565CA7" w:rsidP="00B60DA2">
            <w:pPr>
              <w:jc w:val="right"/>
              <w:rPr>
                <w:color w:val="000000"/>
                <w:sz w:val="20"/>
                <w:szCs w:val="20"/>
                <w:lang w:eastAsia="es-CO"/>
              </w:rPr>
            </w:pPr>
            <w:r w:rsidRPr="00131EED">
              <w:rPr>
                <w:sz w:val="20"/>
                <w:szCs w:val="20"/>
              </w:rPr>
              <w:t>364,12</w:t>
            </w:r>
          </w:p>
        </w:tc>
        <w:tc>
          <w:tcPr>
            <w:tcW w:w="993" w:type="dxa"/>
            <w:tcBorders>
              <w:top w:val="nil"/>
              <w:left w:val="nil"/>
              <w:bottom w:val="single" w:sz="4" w:space="0" w:color="auto"/>
              <w:right w:val="single" w:sz="4" w:space="0" w:color="auto"/>
            </w:tcBorders>
            <w:noWrap/>
            <w:hideMark/>
          </w:tcPr>
          <w:p w14:paraId="670C5929" w14:textId="1EA91F5E" w:rsidR="00565CA7" w:rsidRPr="00131EED" w:rsidRDefault="00565CA7" w:rsidP="00B60DA2">
            <w:pPr>
              <w:rPr>
                <w:color w:val="000000"/>
                <w:sz w:val="20"/>
                <w:szCs w:val="20"/>
                <w:lang w:eastAsia="es-CO"/>
              </w:rPr>
            </w:pPr>
          </w:p>
        </w:tc>
        <w:tc>
          <w:tcPr>
            <w:tcW w:w="1137" w:type="dxa"/>
            <w:tcBorders>
              <w:top w:val="nil"/>
              <w:left w:val="nil"/>
              <w:bottom w:val="single" w:sz="4" w:space="0" w:color="auto"/>
              <w:right w:val="single" w:sz="4" w:space="0" w:color="auto"/>
            </w:tcBorders>
            <w:noWrap/>
            <w:hideMark/>
          </w:tcPr>
          <w:p w14:paraId="5FC565DE" w14:textId="7FB24D27" w:rsidR="00565CA7" w:rsidRPr="00131EED" w:rsidRDefault="00565CA7" w:rsidP="00B60DA2">
            <w:pPr>
              <w:jc w:val="right"/>
              <w:rPr>
                <w:color w:val="000000"/>
                <w:sz w:val="20"/>
                <w:szCs w:val="20"/>
                <w:lang w:eastAsia="es-CO"/>
              </w:rPr>
            </w:pPr>
            <w:r w:rsidRPr="00131EED">
              <w:rPr>
                <w:sz w:val="20"/>
                <w:szCs w:val="20"/>
              </w:rPr>
              <w:t>2411,26</w:t>
            </w:r>
          </w:p>
        </w:tc>
        <w:tc>
          <w:tcPr>
            <w:tcW w:w="999" w:type="dxa"/>
            <w:tcBorders>
              <w:top w:val="nil"/>
              <w:left w:val="nil"/>
              <w:bottom w:val="single" w:sz="4" w:space="0" w:color="auto"/>
              <w:right w:val="single" w:sz="4" w:space="0" w:color="auto"/>
            </w:tcBorders>
            <w:noWrap/>
            <w:hideMark/>
          </w:tcPr>
          <w:p w14:paraId="32E1D389" w14:textId="7646CBF9" w:rsidR="00565CA7" w:rsidRPr="00131EED" w:rsidRDefault="00565CA7" w:rsidP="00B60DA2">
            <w:pPr>
              <w:rPr>
                <w:color w:val="000000"/>
                <w:sz w:val="20"/>
                <w:szCs w:val="20"/>
                <w:lang w:eastAsia="es-CO"/>
              </w:rPr>
            </w:pPr>
          </w:p>
        </w:tc>
        <w:tc>
          <w:tcPr>
            <w:tcW w:w="931" w:type="dxa"/>
            <w:tcBorders>
              <w:top w:val="nil"/>
              <w:left w:val="nil"/>
              <w:bottom w:val="single" w:sz="4" w:space="0" w:color="auto"/>
              <w:right w:val="single" w:sz="4" w:space="0" w:color="auto"/>
            </w:tcBorders>
            <w:noWrap/>
            <w:hideMark/>
          </w:tcPr>
          <w:p w14:paraId="1C7CF91A" w14:textId="09182B49" w:rsidR="00565CA7" w:rsidRPr="00131EED" w:rsidRDefault="00565CA7" w:rsidP="00B60DA2">
            <w:pPr>
              <w:jc w:val="right"/>
              <w:rPr>
                <w:color w:val="000000"/>
                <w:sz w:val="20"/>
                <w:szCs w:val="20"/>
                <w:lang w:eastAsia="es-CO"/>
              </w:rPr>
            </w:pPr>
            <w:r w:rsidRPr="00131EED">
              <w:rPr>
                <w:sz w:val="20"/>
                <w:szCs w:val="20"/>
              </w:rPr>
              <w:t>3321,86</w:t>
            </w:r>
          </w:p>
        </w:tc>
      </w:tr>
      <w:tr w:rsidR="00565CA7" w:rsidRPr="00131EED" w14:paraId="3BE61676" w14:textId="77777777" w:rsidTr="000E4F33">
        <w:trPr>
          <w:trHeight w:val="231"/>
          <w:jc w:val="center"/>
        </w:trPr>
        <w:tc>
          <w:tcPr>
            <w:tcW w:w="1482" w:type="dxa"/>
            <w:tcBorders>
              <w:top w:val="nil"/>
              <w:left w:val="single" w:sz="4" w:space="0" w:color="auto"/>
              <w:bottom w:val="single" w:sz="4" w:space="0" w:color="auto"/>
              <w:right w:val="single" w:sz="4" w:space="0" w:color="auto"/>
            </w:tcBorders>
            <w:noWrap/>
            <w:vAlign w:val="bottom"/>
            <w:hideMark/>
          </w:tcPr>
          <w:p w14:paraId="50CFDBFD" w14:textId="77777777" w:rsidR="00565CA7" w:rsidRPr="00131EED" w:rsidRDefault="00565CA7" w:rsidP="000E4F33">
            <w:pPr>
              <w:jc w:val="center"/>
              <w:rPr>
                <w:b/>
                <w:color w:val="000000"/>
                <w:sz w:val="20"/>
                <w:szCs w:val="20"/>
                <w:lang w:eastAsia="es-CO"/>
              </w:rPr>
            </w:pPr>
            <w:r w:rsidRPr="00131EED">
              <w:rPr>
                <w:b/>
                <w:color w:val="000000"/>
                <w:sz w:val="20"/>
                <w:szCs w:val="20"/>
                <w:lang w:eastAsia="es-CO"/>
              </w:rPr>
              <w:t>Total general (Has.)</w:t>
            </w:r>
          </w:p>
        </w:tc>
        <w:tc>
          <w:tcPr>
            <w:tcW w:w="1137" w:type="dxa"/>
            <w:tcBorders>
              <w:top w:val="nil"/>
              <w:left w:val="nil"/>
              <w:bottom w:val="single" w:sz="4" w:space="0" w:color="auto"/>
              <w:right w:val="single" w:sz="4" w:space="0" w:color="auto"/>
            </w:tcBorders>
            <w:noWrap/>
            <w:vAlign w:val="center"/>
            <w:hideMark/>
          </w:tcPr>
          <w:p w14:paraId="51376CAD" w14:textId="06189DC9" w:rsidR="00565CA7" w:rsidRPr="00131EED" w:rsidRDefault="00565CA7" w:rsidP="00B60DA2">
            <w:pPr>
              <w:jc w:val="right"/>
              <w:rPr>
                <w:b/>
                <w:color w:val="000000"/>
                <w:sz w:val="20"/>
                <w:szCs w:val="20"/>
                <w:lang w:eastAsia="es-CO"/>
              </w:rPr>
            </w:pPr>
            <w:r w:rsidRPr="00131EED">
              <w:rPr>
                <w:b/>
                <w:sz w:val="20"/>
                <w:szCs w:val="20"/>
              </w:rPr>
              <w:t>22369,40</w:t>
            </w:r>
          </w:p>
        </w:tc>
        <w:tc>
          <w:tcPr>
            <w:tcW w:w="1137" w:type="dxa"/>
            <w:tcBorders>
              <w:top w:val="nil"/>
              <w:left w:val="nil"/>
              <w:bottom w:val="single" w:sz="4" w:space="0" w:color="auto"/>
              <w:right w:val="single" w:sz="4" w:space="0" w:color="auto"/>
            </w:tcBorders>
            <w:noWrap/>
            <w:vAlign w:val="center"/>
            <w:hideMark/>
          </w:tcPr>
          <w:p w14:paraId="56510023" w14:textId="6E69998C" w:rsidR="00565CA7" w:rsidRPr="00131EED" w:rsidRDefault="00565CA7" w:rsidP="00B60DA2">
            <w:pPr>
              <w:jc w:val="right"/>
              <w:rPr>
                <w:b/>
                <w:color w:val="000000"/>
                <w:sz w:val="20"/>
                <w:szCs w:val="20"/>
                <w:lang w:eastAsia="es-CO"/>
              </w:rPr>
            </w:pPr>
            <w:r w:rsidRPr="00131EED">
              <w:rPr>
                <w:b/>
                <w:sz w:val="20"/>
                <w:szCs w:val="20"/>
              </w:rPr>
              <w:t>22163,87</w:t>
            </w:r>
          </w:p>
        </w:tc>
        <w:tc>
          <w:tcPr>
            <w:tcW w:w="1137" w:type="dxa"/>
            <w:tcBorders>
              <w:top w:val="nil"/>
              <w:left w:val="nil"/>
              <w:bottom w:val="single" w:sz="4" w:space="0" w:color="auto"/>
              <w:right w:val="single" w:sz="4" w:space="0" w:color="auto"/>
            </w:tcBorders>
            <w:noWrap/>
            <w:vAlign w:val="center"/>
            <w:hideMark/>
          </w:tcPr>
          <w:p w14:paraId="7C7F3001" w14:textId="4B93B515" w:rsidR="00565CA7" w:rsidRPr="00131EED" w:rsidRDefault="00565CA7" w:rsidP="00B60DA2">
            <w:pPr>
              <w:jc w:val="right"/>
              <w:rPr>
                <w:b/>
                <w:color w:val="000000"/>
                <w:sz w:val="20"/>
                <w:szCs w:val="20"/>
                <w:lang w:eastAsia="es-CO"/>
              </w:rPr>
            </w:pPr>
            <w:r w:rsidRPr="00131EED">
              <w:rPr>
                <w:b/>
                <w:sz w:val="20"/>
                <w:szCs w:val="20"/>
              </w:rPr>
              <w:t>17078,26</w:t>
            </w:r>
          </w:p>
        </w:tc>
        <w:tc>
          <w:tcPr>
            <w:tcW w:w="993" w:type="dxa"/>
            <w:tcBorders>
              <w:top w:val="nil"/>
              <w:left w:val="nil"/>
              <w:bottom w:val="single" w:sz="4" w:space="0" w:color="auto"/>
              <w:right w:val="single" w:sz="4" w:space="0" w:color="auto"/>
            </w:tcBorders>
            <w:noWrap/>
            <w:vAlign w:val="center"/>
            <w:hideMark/>
          </w:tcPr>
          <w:p w14:paraId="366188C8" w14:textId="3E48AE6E" w:rsidR="00565CA7" w:rsidRPr="00131EED" w:rsidRDefault="00565CA7" w:rsidP="00B60DA2">
            <w:pPr>
              <w:jc w:val="right"/>
              <w:rPr>
                <w:b/>
                <w:color w:val="000000"/>
                <w:sz w:val="20"/>
                <w:szCs w:val="20"/>
                <w:lang w:eastAsia="es-CO"/>
              </w:rPr>
            </w:pPr>
            <w:r w:rsidRPr="00131EED">
              <w:rPr>
                <w:b/>
                <w:sz w:val="20"/>
                <w:szCs w:val="20"/>
              </w:rPr>
              <w:t>1630,65</w:t>
            </w:r>
          </w:p>
        </w:tc>
        <w:tc>
          <w:tcPr>
            <w:tcW w:w="1137" w:type="dxa"/>
            <w:tcBorders>
              <w:top w:val="nil"/>
              <w:left w:val="nil"/>
              <w:bottom w:val="single" w:sz="4" w:space="0" w:color="auto"/>
              <w:right w:val="single" w:sz="4" w:space="0" w:color="auto"/>
            </w:tcBorders>
            <w:noWrap/>
            <w:vAlign w:val="center"/>
            <w:hideMark/>
          </w:tcPr>
          <w:p w14:paraId="56C92238" w14:textId="30B8CBFE" w:rsidR="00565CA7" w:rsidRPr="00131EED" w:rsidRDefault="00565CA7" w:rsidP="00B60DA2">
            <w:pPr>
              <w:jc w:val="right"/>
              <w:rPr>
                <w:b/>
                <w:color w:val="000000"/>
                <w:sz w:val="20"/>
                <w:szCs w:val="20"/>
                <w:lang w:eastAsia="es-CO"/>
              </w:rPr>
            </w:pPr>
            <w:r w:rsidRPr="00131EED">
              <w:rPr>
                <w:b/>
                <w:sz w:val="20"/>
                <w:szCs w:val="20"/>
              </w:rPr>
              <w:t>17602,26</w:t>
            </w:r>
          </w:p>
        </w:tc>
        <w:tc>
          <w:tcPr>
            <w:tcW w:w="999" w:type="dxa"/>
            <w:tcBorders>
              <w:top w:val="nil"/>
              <w:left w:val="nil"/>
              <w:bottom w:val="single" w:sz="4" w:space="0" w:color="auto"/>
              <w:right w:val="single" w:sz="4" w:space="0" w:color="auto"/>
            </w:tcBorders>
            <w:noWrap/>
            <w:vAlign w:val="center"/>
            <w:hideMark/>
          </w:tcPr>
          <w:p w14:paraId="7D3295B5" w14:textId="2B883A25" w:rsidR="00565CA7" w:rsidRPr="00131EED" w:rsidRDefault="00565CA7" w:rsidP="00B60DA2">
            <w:pPr>
              <w:jc w:val="right"/>
              <w:rPr>
                <w:b/>
                <w:color w:val="000000"/>
                <w:sz w:val="20"/>
                <w:szCs w:val="20"/>
                <w:lang w:eastAsia="es-CO"/>
              </w:rPr>
            </w:pPr>
            <w:r w:rsidRPr="00131EED">
              <w:rPr>
                <w:b/>
                <w:sz w:val="20"/>
                <w:szCs w:val="20"/>
              </w:rPr>
              <w:t>1452,93</w:t>
            </w:r>
          </w:p>
        </w:tc>
        <w:tc>
          <w:tcPr>
            <w:tcW w:w="931" w:type="dxa"/>
            <w:tcBorders>
              <w:top w:val="nil"/>
              <w:left w:val="nil"/>
              <w:bottom w:val="single" w:sz="4" w:space="0" w:color="auto"/>
              <w:right w:val="single" w:sz="4" w:space="0" w:color="auto"/>
            </w:tcBorders>
            <w:noWrap/>
            <w:vAlign w:val="center"/>
            <w:hideMark/>
          </w:tcPr>
          <w:p w14:paraId="18A63904" w14:textId="308C2DD9" w:rsidR="00565CA7" w:rsidRPr="00131EED" w:rsidRDefault="00D46379" w:rsidP="00B60DA2">
            <w:pPr>
              <w:jc w:val="right"/>
              <w:rPr>
                <w:b/>
                <w:color w:val="000000"/>
                <w:sz w:val="20"/>
                <w:szCs w:val="20"/>
                <w:lang w:eastAsia="es-CO"/>
              </w:rPr>
            </w:pPr>
            <w:r w:rsidRPr="00131EED">
              <w:rPr>
                <w:b/>
                <w:sz w:val="20"/>
                <w:szCs w:val="20"/>
              </w:rPr>
              <w:t>80844,44</w:t>
            </w:r>
          </w:p>
        </w:tc>
      </w:tr>
    </w:tbl>
    <w:p w14:paraId="04F875B4" w14:textId="77777777" w:rsidR="00565CA7" w:rsidRPr="00131EED" w:rsidRDefault="00565CA7" w:rsidP="00565CA7">
      <w:pPr>
        <w:jc w:val="center"/>
        <w:rPr>
          <w:rFonts w:cs="Arial"/>
          <w:sz w:val="20"/>
          <w:szCs w:val="20"/>
        </w:rPr>
      </w:pPr>
      <w:r w:rsidRPr="00131EED">
        <w:rPr>
          <w:rFonts w:cs="Arial"/>
          <w:sz w:val="20"/>
          <w:szCs w:val="20"/>
        </w:rPr>
        <w:t>Fuente IGAC.</w:t>
      </w:r>
    </w:p>
    <w:p w14:paraId="4AC81CC8" w14:textId="77777777" w:rsidR="00565CA7" w:rsidRPr="00131EED" w:rsidRDefault="00565CA7" w:rsidP="00565CA7">
      <w:pPr>
        <w:rPr>
          <w:rFonts w:ascii="Baskerville" w:hAnsi="Baskerville" w:cs="Arial"/>
        </w:rPr>
      </w:pPr>
    </w:p>
    <w:p w14:paraId="7A050CCE" w14:textId="0BC963F5" w:rsidR="00565CA7" w:rsidRPr="00131EED" w:rsidRDefault="00565CA7" w:rsidP="00565CA7">
      <w:pPr>
        <w:rPr>
          <w:rFonts w:cs="Arial"/>
        </w:rPr>
      </w:pPr>
      <w:r w:rsidRPr="00131EED">
        <w:rPr>
          <w:rFonts w:cs="Arial"/>
        </w:rPr>
        <w:t>A partir de la identificación de las coberturas naturales en planicie, se pudo determinar que en los municipios del ámbito existen más de 8</w:t>
      </w:r>
      <w:r w:rsidR="00833E84" w:rsidRPr="00131EED">
        <w:rPr>
          <w:rFonts w:cs="Arial"/>
        </w:rPr>
        <w:t>0</w:t>
      </w:r>
      <w:r w:rsidRPr="00131EED">
        <w:rPr>
          <w:rFonts w:cs="Arial"/>
        </w:rPr>
        <w:t>mil hectáreas aptas para actividades agrícolas. La destinación prioritaria de estos suelos a la producción de alimentos implica la protección de estos suelos disponibles frente a las presiones derivadas de los modelos de ocupación y desarrollo.</w:t>
      </w:r>
    </w:p>
    <w:p w14:paraId="2EC9271C" w14:textId="77777777" w:rsidR="00565CA7" w:rsidRPr="00131EED" w:rsidRDefault="00565CA7" w:rsidP="00565CA7">
      <w:pPr>
        <w:rPr>
          <w:rFonts w:cs="Arial"/>
        </w:rPr>
      </w:pPr>
    </w:p>
    <w:p w14:paraId="75EE22C7" w14:textId="69D441AF" w:rsidR="00565CA7" w:rsidRPr="00131EED" w:rsidRDefault="00565CA7" w:rsidP="00565CA7">
      <w:pPr>
        <w:rPr>
          <w:rFonts w:cs="Arial"/>
        </w:rPr>
      </w:pPr>
      <w:r w:rsidRPr="00131EED">
        <w:rPr>
          <w:rFonts w:cs="Arial"/>
        </w:rPr>
        <w:t>Tod</w:t>
      </w:r>
      <w:r w:rsidR="2A6E8DE6" w:rsidRPr="00131EED">
        <w:rPr>
          <w:rFonts w:cs="Arial"/>
        </w:rPr>
        <w:t>o</w:t>
      </w:r>
      <w:r w:rsidRPr="00131EED">
        <w:rPr>
          <w:rFonts w:cs="Arial"/>
        </w:rPr>
        <w:t>s los suelos con clases agrológicas II, III, IV, V, VI, VII tienen como uso recomendado las actividades agropecuarias en la sabana de Bogotá. En términos generales y según el IGAC (2013) en el marco del levantamiento detallado de suelos en las áreas planas de los municipios de Sibaté, Soacha, Mosquera, Bojacá, Funza, Cota, Madrid, Facatativá, Tenjo, Chía, El Rosal, Sopó, Cajicá, Tabio, Tocancipá, Gachancipá, Subachoque, Zipaquirá, Nemocón, Cogua y Suesca: la  clase 2 corresponde a tierras mecanizables, con posibilidades de utilización agrícola muy alta y uso potencial para cualquier tipo de cultivo adaptable a las condiciones de piso térmico. En estas tierras deben aplicarse pocas prácticas para el manejo de los suelos, debido a que tienen pocas limitantes.</w:t>
      </w:r>
    </w:p>
    <w:p w14:paraId="4BB922AE" w14:textId="77777777" w:rsidR="00565CA7" w:rsidRPr="00131EED" w:rsidRDefault="00565CA7" w:rsidP="00565CA7">
      <w:pPr>
        <w:rPr>
          <w:rFonts w:ascii="Baskerville" w:hAnsi="Baskerville" w:cs="Arial"/>
        </w:rPr>
      </w:pPr>
    </w:p>
    <w:p w14:paraId="1A1B314A" w14:textId="77777777" w:rsidR="00FC1C75" w:rsidRPr="00131EED" w:rsidRDefault="00FC1C75" w:rsidP="00565CA7">
      <w:pPr>
        <w:jc w:val="center"/>
        <w:rPr>
          <w:rFonts w:ascii="Baskerville" w:hAnsi="Baskerville" w:cs="Arial"/>
        </w:rPr>
      </w:pPr>
    </w:p>
    <w:p w14:paraId="7E4AC09B" w14:textId="464C1132" w:rsidR="00FC1C75" w:rsidRPr="00131EED" w:rsidRDefault="00FC1C75" w:rsidP="00565CA7">
      <w:pPr>
        <w:jc w:val="center"/>
        <w:rPr>
          <w:rFonts w:ascii="Baskerville" w:hAnsi="Baskerville" w:cs="Arial"/>
        </w:rPr>
      </w:pPr>
    </w:p>
    <w:p w14:paraId="6F3C964F" w14:textId="77777777" w:rsidR="00FC1C75" w:rsidRPr="00131EED" w:rsidRDefault="00FC1C75" w:rsidP="0057743E"/>
    <w:p w14:paraId="187446C1" w14:textId="426B0447" w:rsidR="00565CA7" w:rsidRPr="00131EED" w:rsidRDefault="00FC1C75" w:rsidP="00417586">
      <w:pPr>
        <w:pStyle w:val="Caption"/>
        <w:jc w:val="center"/>
      </w:pPr>
      <w:bookmarkStart w:id="342" w:name="_Toc216468862"/>
      <w:r w:rsidRPr="00131EED">
        <w:t xml:space="preserve">Ilustración </w:t>
      </w:r>
      <w:r w:rsidRPr="00131EED">
        <w:fldChar w:fldCharType="begin"/>
      </w:r>
      <w:r w:rsidRPr="00131EED">
        <w:instrText>SEQ Ilustración \* ARABIC</w:instrText>
      </w:r>
      <w:r w:rsidRPr="00131EED">
        <w:fldChar w:fldCharType="separate"/>
      </w:r>
      <w:r w:rsidR="00CE096F">
        <w:rPr>
          <w:noProof/>
        </w:rPr>
        <w:t>97</w:t>
      </w:r>
      <w:r w:rsidRPr="00131EED">
        <w:fldChar w:fldCharType="end"/>
      </w:r>
      <w:r w:rsidR="00042BBD" w:rsidRPr="00131EED">
        <w:t xml:space="preserve"> </w:t>
      </w:r>
      <w:r w:rsidRPr="00131EED">
        <w:t xml:space="preserve"> Registro fotográfico </w:t>
      </w:r>
      <w:r w:rsidR="00565CA7" w:rsidRPr="00131EED">
        <w:t>del uso del suelo clase 2 en la Sabana de Bogotá</w:t>
      </w:r>
      <w:bookmarkEnd w:id="342"/>
    </w:p>
    <w:p w14:paraId="3FCB0FEA" w14:textId="77777777" w:rsidR="00565CA7" w:rsidRPr="00131EED" w:rsidRDefault="00565CA7" w:rsidP="00565CA7">
      <w:pPr>
        <w:jc w:val="center"/>
        <w:rPr>
          <w:rFonts w:ascii="Baskerville" w:hAnsi="Baskerville" w:cs="Arial"/>
        </w:rPr>
      </w:pPr>
      <w:r w:rsidRPr="00131EED">
        <w:rPr>
          <w:rFonts w:ascii="Baskerville" w:hAnsi="Baskerville" w:cs="Arial"/>
          <w:noProof/>
          <w:lang w:eastAsia="en-US"/>
        </w:rPr>
        <w:drawing>
          <wp:inline distT="0" distB="0" distL="0" distR="0" wp14:anchorId="04C773C4" wp14:editId="72B0E07F">
            <wp:extent cx="2615254" cy="1616853"/>
            <wp:effectExtent l="0" t="0" r="1270" b="0"/>
            <wp:docPr id="18112190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219090" name=""/>
                    <pic:cNvPicPr/>
                  </pic:nvPicPr>
                  <pic:blipFill>
                    <a:blip r:embed="rId167" cstate="print">
                      <a:extLst>
                        <a:ext uri="{28A0092B-C50C-407E-A947-70E740481C1C}">
                          <a14:useLocalDpi xmlns:a14="http://schemas.microsoft.com/office/drawing/2010/main"/>
                        </a:ext>
                      </a:extLst>
                    </a:blip>
                    <a:stretch>
                      <a:fillRect/>
                    </a:stretch>
                  </pic:blipFill>
                  <pic:spPr>
                    <a:xfrm>
                      <a:off x="0" y="0"/>
                      <a:ext cx="2640405" cy="1632402"/>
                    </a:xfrm>
                    <a:prstGeom prst="rect">
                      <a:avLst/>
                    </a:prstGeom>
                  </pic:spPr>
                </pic:pic>
              </a:graphicData>
            </a:graphic>
          </wp:inline>
        </w:drawing>
      </w:r>
      <w:r w:rsidRPr="00131EED">
        <w:rPr>
          <w:rFonts w:ascii="Baskerville" w:hAnsi="Baskerville" w:cs="Arial"/>
        </w:rPr>
        <w:t xml:space="preserve"> </w:t>
      </w:r>
      <w:r w:rsidRPr="00131EED">
        <w:rPr>
          <w:rFonts w:ascii="Baskerville" w:hAnsi="Baskerville" w:cs="Arial"/>
          <w:noProof/>
          <w:lang w:eastAsia="en-US"/>
        </w:rPr>
        <w:drawing>
          <wp:inline distT="0" distB="0" distL="0" distR="0" wp14:anchorId="06A14E1E" wp14:editId="753E909D">
            <wp:extent cx="2942875" cy="1595972"/>
            <wp:effectExtent l="0" t="0" r="3810" b="4445"/>
            <wp:docPr id="17270947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094700" name=""/>
                    <pic:cNvPicPr/>
                  </pic:nvPicPr>
                  <pic:blipFill>
                    <a:blip r:embed="rId168"/>
                    <a:stretch>
                      <a:fillRect/>
                    </a:stretch>
                  </pic:blipFill>
                  <pic:spPr>
                    <a:xfrm>
                      <a:off x="0" y="0"/>
                      <a:ext cx="2989599" cy="1621311"/>
                    </a:xfrm>
                    <a:prstGeom prst="rect">
                      <a:avLst/>
                    </a:prstGeom>
                  </pic:spPr>
                </pic:pic>
              </a:graphicData>
            </a:graphic>
          </wp:inline>
        </w:drawing>
      </w:r>
    </w:p>
    <w:p w14:paraId="6C2E4784" w14:textId="77777777" w:rsidR="00565CA7" w:rsidRPr="00131EED" w:rsidRDefault="00565CA7" w:rsidP="00565CA7">
      <w:pPr>
        <w:jc w:val="center"/>
        <w:rPr>
          <w:rFonts w:cs="Arial"/>
          <w:sz w:val="20"/>
          <w:szCs w:val="20"/>
        </w:rPr>
      </w:pPr>
      <w:r w:rsidRPr="00131EED">
        <w:rPr>
          <w:rFonts w:cs="Arial"/>
          <w:sz w:val="20"/>
          <w:szCs w:val="20"/>
        </w:rPr>
        <w:t>Fuente: IGAC</w:t>
      </w:r>
    </w:p>
    <w:p w14:paraId="467A860B" w14:textId="77777777" w:rsidR="00565CA7" w:rsidRPr="00131EED" w:rsidRDefault="00565CA7" w:rsidP="00565CA7">
      <w:pPr>
        <w:rPr>
          <w:rFonts w:cs="Arial"/>
        </w:rPr>
      </w:pPr>
    </w:p>
    <w:p w14:paraId="65752DD5" w14:textId="77777777" w:rsidR="00565CA7" w:rsidRPr="00131EED" w:rsidRDefault="00565CA7" w:rsidP="00565CA7">
      <w:pPr>
        <w:rPr>
          <w:rFonts w:cs="Arial"/>
        </w:rPr>
      </w:pPr>
      <w:r w:rsidRPr="00131EED">
        <w:rPr>
          <w:rFonts w:cs="Arial"/>
        </w:rPr>
        <w:t>Las clases 3 y 4 agrupan tierras con restricciones para la mecanización y el uso potencial en cultivos, adaptables a las condiciones ambientales. Requieren la aplicación de prácticas de conservación de suelos moderadas; se requiere la implementación de prácticas agronómicas para mejorar la productividad de los cultivos.</w:t>
      </w:r>
    </w:p>
    <w:p w14:paraId="5B6C3C6A" w14:textId="77777777" w:rsidR="00565CA7" w:rsidRPr="00131EED" w:rsidRDefault="00565CA7" w:rsidP="00565CA7">
      <w:pPr>
        <w:rPr>
          <w:rFonts w:ascii="Baskerville" w:hAnsi="Baskerville" w:cs="Arial"/>
        </w:rPr>
      </w:pPr>
    </w:p>
    <w:p w14:paraId="625687E5" w14:textId="58E1C95D" w:rsidR="00565CA7" w:rsidRPr="00131EED" w:rsidRDefault="00042BBD" w:rsidP="0003793B">
      <w:pPr>
        <w:pStyle w:val="Caption"/>
        <w:jc w:val="center"/>
      </w:pPr>
      <w:bookmarkStart w:id="343" w:name="_Toc216468863"/>
      <w:r w:rsidRPr="00131EED">
        <w:t xml:space="preserve">Ilustración </w:t>
      </w:r>
      <w:r w:rsidRPr="00131EED">
        <w:fldChar w:fldCharType="begin"/>
      </w:r>
      <w:r w:rsidRPr="00131EED">
        <w:instrText>SEQ Ilustración \* ARABIC</w:instrText>
      </w:r>
      <w:r w:rsidRPr="00131EED">
        <w:fldChar w:fldCharType="separate"/>
      </w:r>
      <w:r w:rsidR="00CE096F">
        <w:rPr>
          <w:noProof/>
        </w:rPr>
        <w:t>98</w:t>
      </w:r>
      <w:r w:rsidRPr="00131EED">
        <w:fldChar w:fldCharType="end"/>
      </w:r>
      <w:r w:rsidR="00565CA7" w:rsidRPr="00131EED">
        <w:t>Aspecto del uso del suelo clase 3 en la Sabana de Bogotá</w:t>
      </w:r>
      <w:bookmarkEnd w:id="343"/>
    </w:p>
    <w:p w14:paraId="2CA850C8" w14:textId="77777777" w:rsidR="00565CA7" w:rsidRPr="00131EED" w:rsidRDefault="00565CA7" w:rsidP="00565CA7">
      <w:pPr>
        <w:jc w:val="center"/>
        <w:rPr>
          <w:rFonts w:ascii="Baskerville" w:hAnsi="Baskerville" w:cs="Arial"/>
        </w:rPr>
      </w:pPr>
      <w:r w:rsidRPr="00131EED">
        <w:rPr>
          <w:rFonts w:ascii="Baskerville" w:hAnsi="Baskerville" w:cs="Arial"/>
          <w:noProof/>
          <w:lang w:eastAsia="en-US"/>
        </w:rPr>
        <w:drawing>
          <wp:inline distT="0" distB="0" distL="0" distR="0" wp14:anchorId="7C3ECE51" wp14:editId="677CC518">
            <wp:extent cx="2754960" cy="1549631"/>
            <wp:effectExtent l="0" t="0" r="1270" b="0"/>
            <wp:docPr id="1168248872" name="Imagen 1" descr="A group of cows grazing in a f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248872" name="Imagen 1" descr="A group of cows grazing in a field&#10;&#10;AI-generated content may be incorrect."/>
                    <pic:cNvPicPr/>
                  </pic:nvPicPr>
                  <pic:blipFill>
                    <a:blip r:embed="rId169"/>
                    <a:stretch>
                      <a:fillRect/>
                    </a:stretch>
                  </pic:blipFill>
                  <pic:spPr>
                    <a:xfrm>
                      <a:off x="0" y="0"/>
                      <a:ext cx="2796548" cy="1573023"/>
                    </a:xfrm>
                    <a:prstGeom prst="rect">
                      <a:avLst/>
                    </a:prstGeom>
                  </pic:spPr>
                </pic:pic>
              </a:graphicData>
            </a:graphic>
          </wp:inline>
        </w:drawing>
      </w:r>
      <w:r w:rsidRPr="00131EED">
        <w:rPr>
          <w:rFonts w:ascii="Baskerville" w:hAnsi="Baskerville" w:cs="Arial"/>
        </w:rPr>
        <w:t xml:space="preserve"> </w:t>
      </w:r>
      <w:r w:rsidRPr="00131EED">
        <w:rPr>
          <w:rFonts w:ascii="Baskerville" w:hAnsi="Baskerville" w:cs="Arial"/>
          <w:noProof/>
          <w:lang w:eastAsia="en-US"/>
        </w:rPr>
        <w:drawing>
          <wp:inline distT="0" distB="0" distL="0" distR="0" wp14:anchorId="4CDB5BDB" wp14:editId="38A206A1">
            <wp:extent cx="2790787" cy="1553934"/>
            <wp:effectExtent l="0" t="0" r="3810" b="0"/>
            <wp:docPr id="1404083361" name="Imagen 1" descr="A green field with a fence and a hill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083361" name="Imagen 1" descr="A green field with a fence and a hill in the background&#10;&#10;AI-generated content may be incorrect."/>
                    <pic:cNvPicPr/>
                  </pic:nvPicPr>
                  <pic:blipFill rotWithShape="1">
                    <a:blip r:embed="rId170"/>
                    <a:srcRect b="8564"/>
                    <a:stretch/>
                  </pic:blipFill>
                  <pic:spPr bwMode="auto">
                    <a:xfrm>
                      <a:off x="0" y="0"/>
                      <a:ext cx="2810070" cy="1564671"/>
                    </a:xfrm>
                    <a:prstGeom prst="rect">
                      <a:avLst/>
                    </a:prstGeom>
                    <a:ln>
                      <a:noFill/>
                    </a:ln>
                    <a:extLst>
                      <a:ext uri="{53640926-AAD7-44D8-BBD7-CCE9431645EC}">
                        <a14:shadowObscured xmlns:a14="http://schemas.microsoft.com/office/drawing/2010/main"/>
                      </a:ext>
                    </a:extLst>
                  </pic:spPr>
                </pic:pic>
              </a:graphicData>
            </a:graphic>
          </wp:inline>
        </w:drawing>
      </w:r>
    </w:p>
    <w:p w14:paraId="502FD468" w14:textId="77777777" w:rsidR="00565CA7" w:rsidRPr="00131EED" w:rsidRDefault="00565CA7" w:rsidP="00565CA7">
      <w:pPr>
        <w:jc w:val="center"/>
        <w:rPr>
          <w:rFonts w:cs="Arial"/>
          <w:sz w:val="20"/>
          <w:szCs w:val="20"/>
        </w:rPr>
      </w:pPr>
      <w:r w:rsidRPr="00131EED">
        <w:rPr>
          <w:rFonts w:cs="Arial"/>
          <w:sz w:val="20"/>
          <w:szCs w:val="20"/>
        </w:rPr>
        <w:t>Fuente: IGAC</w:t>
      </w:r>
    </w:p>
    <w:p w14:paraId="55F48C1F" w14:textId="77777777" w:rsidR="00565CA7" w:rsidRPr="00131EED" w:rsidRDefault="00565CA7" w:rsidP="00565CA7">
      <w:pPr>
        <w:jc w:val="center"/>
        <w:rPr>
          <w:rFonts w:ascii="Baskerville" w:hAnsi="Baskerville" w:cs="Arial"/>
        </w:rPr>
      </w:pPr>
    </w:p>
    <w:p w14:paraId="21B06225" w14:textId="77777777" w:rsidR="00565CA7" w:rsidRPr="00131EED" w:rsidRDefault="00565CA7" w:rsidP="00565CA7">
      <w:pPr>
        <w:jc w:val="center"/>
        <w:rPr>
          <w:rFonts w:ascii="Baskerville" w:hAnsi="Baskerville" w:cs="Arial"/>
        </w:rPr>
      </w:pPr>
    </w:p>
    <w:p w14:paraId="06B1F9F7" w14:textId="77777777" w:rsidR="00565CA7" w:rsidRPr="00131EED" w:rsidRDefault="00565CA7" w:rsidP="00565CA7">
      <w:pPr>
        <w:rPr>
          <w:rFonts w:ascii="Baskerville" w:hAnsi="Baskerville" w:cs="Arial"/>
        </w:rPr>
      </w:pPr>
    </w:p>
    <w:p w14:paraId="0A3A11EB" w14:textId="77777777" w:rsidR="0098490E" w:rsidRPr="00131EED" w:rsidRDefault="0098490E" w:rsidP="00565CA7">
      <w:pPr>
        <w:jc w:val="center"/>
        <w:rPr>
          <w:rFonts w:ascii="Baskerville" w:hAnsi="Baskerville" w:cs="Arial"/>
        </w:rPr>
      </w:pPr>
    </w:p>
    <w:p w14:paraId="5DC01F3A" w14:textId="77777777" w:rsidR="0098490E" w:rsidRPr="00131EED" w:rsidRDefault="0098490E" w:rsidP="00565CA7">
      <w:pPr>
        <w:jc w:val="center"/>
        <w:rPr>
          <w:rFonts w:ascii="Baskerville" w:hAnsi="Baskerville" w:cs="Arial"/>
        </w:rPr>
      </w:pPr>
    </w:p>
    <w:p w14:paraId="453C06FC" w14:textId="77777777" w:rsidR="0098490E" w:rsidRPr="00131EED" w:rsidRDefault="0098490E" w:rsidP="00565CA7">
      <w:pPr>
        <w:jc w:val="center"/>
        <w:rPr>
          <w:rFonts w:ascii="Baskerville" w:hAnsi="Baskerville" w:cs="Arial"/>
        </w:rPr>
      </w:pPr>
    </w:p>
    <w:p w14:paraId="792D6213" w14:textId="77777777" w:rsidR="0098490E" w:rsidRPr="00131EED" w:rsidRDefault="0098490E" w:rsidP="00565CA7">
      <w:pPr>
        <w:jc w:val="center"/>
        <w:rPr>
          <w:rFonts w:ascii="Baskerville" w:hAnsi="Baskerville" w:cs="Arial"/>
        </w:rPr>
      </w:pPr>
    </w:p>
    <w:p w14:paraId="604A9CBF" w14:textId="77777777" w:rsidR="0098490E" w:rsidRPr="00131EED" w:rsidRDefault="0098490E" w:rsidP="00565CA7">
      <w:pPr>
        <w:jc w:val="center"/>
        <w:rPr>
          <w:rFonts w:ascii="Baskerville" w:hAnsi="Baskerville" w:cs="Arial"/>
        </w:rPr>
      </w:pPr>
    </w:p>
    <w:p w14:paraId="189BBE46" w14:textId="77777777" w:rsidR="00286E89" w:rsidRPr="00131EED" w:rsidRDefault="00286E89" w:rsidP="00565CA7">
      <w:pPr>
        <w:jc w:val="center"/>
        <w:rPr>
          <w:rFonts w:ascii="Baskerville" w:hAnsi="Baskerville" w:cs="Arial"/>
        </w:rPr>
      </w:pPr>
    </w:p>
    <w:p w14:paraId="4604904A" w14:textId="77777777" w:rsidR="0098490E" w:rsidRPr="00131EED" w:rsidRDefault="0098490E" w:rsidP="00565CA7">
      <w:pPr>
        <w:jc w:val="center"/>
        <w:rPr>
          <w:rFonts w:ascii="Baskerville" w:hAnsi="Baskerville" w:cs="Arial"/>
        </w:rPr>
      </w:pPr>
    </w:p>
    <w:p w14:paraId="6843FFE3" w14:textId="77777777" w:rsidR="0098490E" w:rsidRPr="00131EED" w:rsidRDefault="0098490E" w:rsidP="00565CA7">
      <w:pPr>
        <w:jc w:val="center"/>
        <w:rPr>
          <w:rFonts w:ascii="Baskerville" w:hAnsi="Baskerville" w:cs="Arial"/>
        </w:rPr>
      </w:pPr>
    </w:p>
    <w:p w14:paraId="0A6D12FE" w14:textId="77777777" w:rsidR="0098490E" w:rsidRPr="00131EED" w:rsidRDefault="0098490E" w:rsidP="00565CA7">
      <w:pPr>
        <w:jc w:val="center"/>
        <w:rPr>
          <w:rFonts w:ascii="Baskerville" w:hAnsi="Baskerville" w:cs="Arial"/>
        </w:rPr>
      </w:pPr>
    </w:p>
    <w:p w14:paraId="74CF2802" w14:textId="24761EE6" w:rsidR="00565CA7" w:rsidRPr="00131EED" w:rsidRDefault="0098490E" w:rsidP="0003793B">
      <w:pPr>
        <w:pStyle w:val="Caption"/>
        <w:jc w:val="center"/>
      </w:pPr>
      <w:bookmarkStart w:id="344" w:name="_Toc216468864"/>
      <w:r w:rsidRPr="00131EED">
        <w:t xml:space="preserve">Ilustración </w:t>
      </w:r>
      <w:r w:rsidRPr="00131EED">
        <w:fldChar w:fldCharType="begin"/>
      </w:r>
      <w:r w:rsidRPr="00131EED">
        <w:instrText>SEQ Ilustración \* ARABIC</w:instrText>
      </w:r>
      <w:r w:rsidRPr="00131EED">
        <w:fldChar w:fldCharType="separate"/>
      </w:r>
      <w:r w:rsidR="00CE096F">
        <w:rPr>
          <w:noProof/>
        </w:rPr>
        <w:t>99</w:t>
      </w:r>
      <w:r w:rsidRPr="00131EED">
        <w:fldChar w:fldCharType="end"/>
      </w:r>
      <w:r w:rsidRPr="00131EED">
        <w:t xml:space="preserve"> Registro fotográfico</w:t>
      </w:r>
      <w:r w:rsidR="0003793B" w:rsidRPr="00131EED">
        <w:t xml:space="preserve"> </w:t>
      </w:r>
      <w:r w:rsidR="00565CA7" w:rsidRPr="00131EED">
        <w:t>del uso del suelo clase 4 en la Sabana de Bogotá</w:t>
      </w:r>
      <w:bookmarkEnd w:id="344"/>
    </w:p>
    <w:p w14:paraId="4A3EC62B" w14:textId="77777777" w:rsidR="00565CA7" w:rsidRPr="00131EED" w:rsidRDefault="00565CA7" w:rsidP="00565CA7">
      <w:pPr>
        <w:jc w:val="center"/>
        <w:rPr>
          <w:rFonts w:ascii="Baskerville" w:hAnsi="Baskerville" w:cs="Arial"/>
        </w:rPr>
      </w:pPr>
      <w:r w:rsidRPr="00131EED">
        <w:rPr>
          <w:rFonts w:ascii="Baskerville" w:hAnsi="Baskerville" w:cs="Arial"/>
          <w:noProof/>
          <w:lang w:eastAsia="en-US"/>
        </w:rPr>
        <w:drawing>
          <wp:inline distT="0" distB="0" distL="0" distR="0" wp14:anchorId="6FDDDF7A" wp14:editId="3AE53152">
            <wp:extent cx="2699103" cy="1676938"/>
            <wp:effectExtent l="0" t="0" r="0" b="0"/>
            <wp:docPr id="1126788785" name="Imagen 1" descr="A field of grass with a building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788785" name="Imagen 1" descr="A field of grass with a building in the background&#10;&#10;AI-generated content may be incorrect."/>
                    <pic:cNvPicPr/>
                  </pic:nvPicPr>
                  <pic:blipFill>
                    <a:blip r:embed="rId171"/>
                    <a:stretch>
                      <a:fillRect/>
                    </a:stretch>
                  </pic:blipFill>
                  <pic:spPr>
                    <a:xfrm>
                      <a:off x="0" y="0"/>
                      <a:ext cx="2734204" cy="1698746"/>
                    </a:xfrm>
                    <a:prstGeom prst="rect">
                      <a:avLst/>
                    </a:prstGeom>
                  </pic:spPr>
                </pic:pic>
              </a:graphicData>
            </a:graphic>
          </wp:inline>
        </w:drawing>
      </w:r>
      <w:r w:rsidRPr="00131EED">
        <w:rPr>
          <w:rFonts w:ascii="Baskerville" w:hAnsi="Baskerville" w:cs="Arial"/>
        </w:rPr>
        <w:t xml:space="preserve"> </w:t>
      </w:r>
      <w:r w:rsidRPr="00131EED">
        <w:rPr>
          <w:rFonts w:ascii="Baskerville" w:hAnsi="Baskerville" w:cs="Arial"/>
          <w:noProof/>
          <w:lang w:eastAsia="en-US"/>
        </w:rPr>
        <w:drawing>
          <wp:inline distT="0" distB="0" distL="0" distR="0" wp14:anchorId="1B842232" wp14:editId="05A1E0AC">
            <wp:extent cx="2611471" cy="1670656"/>
            <wp:effectExtent l="0" t="0" r="5080" b="6350"/>
            <wp:docPr id="1999277722" name="Imagen 1" descr="A field with trees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277722" name="Imagen 1" descr="A field with trees in the background&#10;&#10;AI-generated content may be incorrect."/>
                    <pic:cNvPicPr/>
                  </pic:nvPicPr>
                  <pic:blipFill>
                    <a:blip r:embed="rId172"/>
                    <a:stretch>
                      <a:fillRect/>
                    </a:stretch>
                  </pic:blipFill>
                  <pic:spPr>
                    <a:xfrm>
                      <a:off x="0" y="0"/>
                      <a:ext cx="2634445" cy="1685353"/>
                    </a:xfrm>
                    <a:prstGeom prst="rect">
                      <a:avLst/>
                    </a:prstGeom>
                  </pic:spPr>
                </pic:pic>
              </a:graphicData>
            </a:graphic>
          </wp:inline>
        </w:drawing>
      </w:r>
    </w:p>
    <w:p w14:paraId="654539C2" w14:textId="77777777" w:rsidR="00565CA7" w:rsidRPr="00131EED" w:rsidRDefault="00565CA7" w:rsidP="00565CA7">
      <w:pPr>
        <w:jc w:val="center"/>
        <w:rPr>
          <w:rFonts w:cs="Arial"/>
          <w:sz w:val="20"/>
          <w:szCs w:val="20"/>
        </w:rPr>
      </w:pPr>
      <w:r w:rsidRPr="00131EED">
        <w:rPr>
          <w:rFonts w:cs="Arial"/>
          <w:sz w:val="20"/>
          <w:szCs w:val="20"/>
        </w:rPr>
        <w:t>Fuente: IGAC</w:t>
      </w:r>
    </w:p>
    <w:p w14:paraId="2BC5B506" w14:textId="77777777" w:rsidR="00565CA7" w:rsidRPr="00131EED" w:rsidRDefault="00565CA7" w:rsidP="00565CA7">
      <w:pPr>
        <w:jc w:val="center"/>
        <w:rPr>
          <w:rFonts w:cs="Arial"/>
        </w:rPr>
      </w:pPr>
    </w:p>
    <w:p w14:paraId="5ABE7015" w14:textId="77777777" w:rsidR="00565CA7" w:rsidRPr="00131EED" w:rsidRDefault="00565CA7" w:rsidP="00565CA7">
      <w:pPr>
        <w:rPr>
          <w:rFonts w:cs="Arial"/>
        </w:rPr>
      </w:pPr>
      <w:r w:rsidRPr="00131EED">
        <w:rPr>
          <w:rFonts w:cs="Arial"/>
        </w:rPr>
        <w:t>La clase 5 está conformada por tierras que en condiciones naturales son aptas para ganadería estacional, conservación de la vegetación natural, refugio de la fauna silvestre y conservación de los cauces de agua; pueden ser habilitadas para usos agrícolas comerciales mediante altos costos económicos o ambientales.</w:t>
      </w:r>
    </w:p>
    <w:p w14:paraId="56DECBB7" w14:textId="77777777" w:rsidR="00565CA7" w:rsidRPr="00131EED" w:rsidRDefault="00565CA7" w:rsidP="00565CA7">
      <w:pPr>
        <w:rPr>
          <w:rFonts w:ascii="Baskerville" w:hAnsi="Baskerville" w:cs="Arial"/>
        </w:rPr>
      </w:pPr>
    </w:p>
    <w:p w14:paraId="3C3A0F83" w14:textId="2D503528" w:rsidR="00565CA7" w:rsidRPr="00131EED" w:rsidRDefault="0098490E" w:rsidP="0074469C">
      <w:pPr>
        <w:pStyle w:val="Caption"/>
        <w:jc w:val="center"/>
      </w:pPr>
      <w:bookmarkStart w:id="345" w:name="_Toc216468865"/>
      <w:r w:rsidRPr="00131EED">
        <w:t xml:space="preserve">Ilustración </w:t>
      </w:r>
      <w:r w:rsidRPr="00131EED">
        <w:fldChar w:fldCharType="begin"/>
      </w:r>
      <w:r w:rsidRPr="00131EED">
        <w:instrText>SEQ Ilustración \* ARABIC</w:instrText>
      </w:r>
      <w:r w:rsidRPr="00131EED">
        <w:fldChar w:fldCharType="separate"/>
      </w:r>
      <w:r w:rsidR="00CE096F">
        <w:rPr>
          <w:noProof/>
        </w:rPr>
        <w:t>100</w:t>
      </w:r>
      <w:r w:rsidRPr="00131EED">
        <w:fldChar w:fldCharType="end"/>
      </w:r>
      <w:r w:rsidRPr="00131EED">
        <w:t xml:space="preserve"> Registro fotográfico</w:t>
      </w:r>
      <w:r w:rsidR="00565CA7" w:rsidRPr="00131EED">
        <w:t xml:space="preserve"> del uso del suelo clase 5 en la Sabana de Bogotá</w:t>
      </w:r>
      <w:bookmarkEnd w:id="345"/>
    </w:p>
    <w:p w14:paraId="1A71DAE0" w14:textId="77777777" w:rsidR="00565CA7" w:rsidRPr="00131EED" w:rsidRDefault="00565CA7" w:rsidP="00565CA7">
      <w:pPr>
        <w:rPr>
          <w:rFonts w:ascii="Baskerville" w:hAnsi="Baskerville" w:cs="Arial"/>
        </w:rPr>
      </w:pPr>
      <w:r w:rsidRPr="00131EED">
        <w:rPr>
          <w:rFonts w:ascii="Baskerville" w:hAnsi="Baskerville" w:cs="Arial"/>
          <w:noProof/>
          <w:lang w:eastAsia="en-US"/>
        </w:rPr>
        <w:drawing>
          <wp:inline distT="0" distB="0" distL="0" distR="0" wp14:anchorId="764687FF" wp14:editId="2E34DDB5">
            <wp:extent cx="2435225" cy="1475327"/>
            <wp:effectExtent l="0" t="0" r="3175" b="0"/>
            <wp:docPr id="287554720" name="Imagen 1" descr="A field with plants growing i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554720" name="Imagen 1" descr="A field with plants growing in it&#10;&#10;AI-generated content may be incorrect."/>
                    <pic:cNvPicPr/>
                  </pic:nvPicPr>
                  <pic:blipFill rotWithShape="1">
                    <a:blip r:embed="rId173"/>
                    <a:srcRect b="29105"/>
                    <a:stretch/>
                  </pic:blipFill>
                  <pic:spPr bwMode="auto">
                    <a:xfrm>
                      <a:off x="0" y="0"/>
                      <a:ext cx="2456099" cy="1487973"/>
                    </a:xfrm>
                    <a:prstGeom prst="rect">
                      <a:avLst/>
                    </a:prstGeom>
                    <a:ln>
                      <a:noFill/>
                    </a:ln>
                    <a:extLst>
                      <a:ext uri="{53640926-AAD7-44D8-BBD7-CCE9431645EC}">
                        <a14:shadowObscured xmlns:a14="http://schemas.microsoft.com/office/drawing/2010/main"/>
                      </a:ext>
                    </a:extLst>
                  </pic:spPr>
                </pic:pic>
              </a:graphicData>
            </a:graphic>
          </wp:inline>
        </w:drawing>
      </w:r>
      <w:r w:rsidRPr="00131EED">
        <w:rPr>
          <w:rFonts w:ascii="Baskerville" w:hAnsi="Baskerville" w:cs="Arial"/>
        </w:rPr>
        <w:t xml:space="preserve"> </w:t>
      </w:r>
      <w:r w:rsidRPr="00131EED">
        <w:rPr>
          <w:rFonts w:ascii="Baskerville" w:hAnsi="Baskerville" w:cs="Arial"/>
          <w:noProof/>
          <w:lang w:eastAsia="en-US"/>
        </w:rPr>
        <w:drawing>
          <wp:inline distT="0" distB="0" distL="0" distR="0" wp14:anchorId="3F6EFFEC" wp14:editId="3D2A3D93">
            <wp:extent cx="3117059" cy="1475105"/>
            <wp:effectExtent l="0" t="0" r="0" b="0"/>
            <wp:docPr id="281238513" name="Imagen 1" descr="A field of green pla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238513" name="Imagen 1" descr="A field of green plants&#10;&#10;AI-generated content may be incorrect."/>
                    <pic:cNvPicPr/>
                  </pic:nvPicPr>
                  <pic:blipFill rotWithShape="1">
                    <a:blip r:embed="rId174"/>
                    <a:srcRect l="19138"/>
                    <a:stretch/>
                  </pic:blipFill>
                  <pic:spPr bwMode="auto">
                    <a:xfrm>
                      <a:off x="0" y="0"/>
                      <a:ext cx="3117913" cy="1475509"/>
                    </a:xfrm>
                    <a:prstGeom prst="rect">
                      <a:avLst/>
                    </a:prstGeom>
                    <a:ln>
                      <a:noFill/>
                    </a:ln>
                    <a:extLst>
                      <a:ext uri="{53640926-AAD7-44D8-BBD7-CCE9431645EC}">
                        <a14:shadowObscured xmlns:a14="http://schemas.microsoft.com/office/drawing/2010/main"/>
                      </a:ext>
                    </a:extLst>
                  </pic:spPr>
                </pic:pic>
              </a:graphicData>
            </a:graphic>
          </wp:inline>
        </w:drawing>
      </w:r>
    </w:p>
    <w:p w14:paraId="1CE68564" w14:textId="77777777" w:rsidR="00565CA7" w:rsidRPr="00131EED" w:rsidRDefault="00565CA7" w:rsidP="00565CA7">
      <w:pPr>
        <w:jc w:val="center"/>
        <w:rPr>
          <w:rFonts w:ascii="Baskerville" w:hAnsi="Baskerville" w:cs="Arial"/>
        </w:rPr>
      </w:pPr>
      <w:r w:rsidRPr="00131EED">
        <w:rPr>
          <w:rFonts w:ascii="Baskerville" w:hAnsi="Baskerville" w:cs="Arial"/>
        </w:rPr>
        <w:t>Fuente: IGAC</w:t>
      </w:r>
    </w:p>
    <w:p w14:paraId="529801C7" w14:textId="77777777" w:rsidR="00565CA7" w:rsidRPr="00131EED" w:rsidRDefault="00565CA7" w:rsidP="00565CA7">
      <w:pPr>
        <w:rPr>
          <w:rFonts w:ascii="Baskerville" w:hAnsi="Baskerville" w:cs="Arial"/>
        </w:rPr>
      </w:pPr>
    </w:p>
    <w:p w14:paraId="2C890ED4" w14:textId="77777777" w:rsidR="00565CA7" w:rsidRPr="00131EED" w:rsidRDefault="00565CA7" w:rsidP="00565CA7">
      <w:pPr>
        <w:rPr>
          <w:rFonts w:cs="Arial"/>
        </w:rPr>
      </w:pPr>
      <w:r w:rsidRPr="00131EED">
        <w:rPr>
          <w:rFonts w:cs="Arial"/>
        </w:rPr>
        <w:t>La clase 6 incluye tierras aptas para ganadería con praderas mejoradas, cultivos permanentes que requieren prácticas intensas de conservación de suelos y reforestación; las practicas agronómicas son importantes para la utilización comercial, por ello requieren de especies que se adapten a las condiciones físico-químicas de los suelos.</w:t>
      </w:r>
    </w:p>
    <w:p w14:paraId="210AA532" w14:textId="77777777" w:rsidR="00565CA7" w:rsidRPr="00131EED" w:rsidRDefault="00565CA7" w:rsidP="00565CA7">
      <w:pPr>
        <w:rPr>
          <w:rFonts w:ascii="Baskerville" w:hAnsi="Baskerville" w:cs="Arial"/>
        </w:rPr>
      </w:pPr>
    </w:p>
    <w:p w14:paraId="30704243" w14:textId="77777777" w:rsidR="00565CA7" w:rsidRPr="00131EED" w:rsidRDefault="00565CA7" w:rsidP="00565CA7">
      <w:pPr>
        <w:rPr>
          <w:rFonts w:ascii="Baskerville" w:hAnsi="Baskerville" w:cs="Arial"/>
        </w:rPr>
      </w:pPr>
    </w:p>
    <w:p w14:paraId="64F19AF6" w14:textId="77777777" w:rsidR="0098490E" w:rsidRPr="00131EED" w:rsidRDefault="0098490E" w:rsidP="00565CA7">
      <w:pPr>
        <w:jc w:val="center"/>
        <w:rPr>
          <w:rFonts w:ascii="Baskerville" w:hAnsi="Baskerville" w:cs="Arial"/>
        </w:rPr>
      </w:pPr>
    </w:p>
    <w:p w14:paraId="74F3A0CF" w14:textId="77777777" w:rsidR="00286E89" w:rsidRPr="00131EED" w:rsidRDefault="00286E89" w:rsidP="00565CA7">
      <w:pPr>
        <w:jc w:val="center"/>
        <w:rPr>
          <w:rFonts w:ascii="Baskerville" w:hAnsi="Baskerville" w:cs="Arial"/>
        </w:rPr>
      </w:pPr>
    </w:p>
    <w:p w14:paraId="13C4EC38" w14:textId="77777777" w:rsidR="00286E89" w:rsidRPr="00131EED" w:rsidRDefault="00286E89" w:rsidP="00565CA7">
      <w:pPr>
        <w:jc w:val="center"/>
        <w:rPr>
          <w:rFonts w:ascii="Baskerville" w:hAnsi="Baskerville" w:cs="Arial"/>
        </w:rPr>
      </w:pPr>
    </w:p>
    <w:p w14:paraId="106941D5" w14:textId="77777777" w:rsidR="00286E89" w:rsidRPr="00131EED" w:rsidRDefault="00286E89" w:rsidP="00565CA7">
      <w:pPr>
        <w:jc w:val="center"/>
        <w:rPr>
          <w:rFonts w:ascii="Baskerville" w:hAnsi="Baskerville" w:cs="Arial"/>
        </w:rPr>
      </w:pPr>
    </w:p>
    <w:p w14:paraId="3063A2F7" w14:textId="77777777" w:rsidR="0098490E" w:rsidRPr="00131EED" w:rsidRDefault="0098490E" w:rsidP="00565CA7">
      <w:pPr>
        <w:jc w:val="center"/>
        <w:rPr>
          <w:rFonts w:ascii="Baskerville" w:hAnsi="Baskerville" w:cs="Arial"/>
        </w:rPr>
      </w:pPr>
    </w:p>
    <w:p w14:paraId="65EE2A27" w14:textId="77777777" w:rsidR="0098490E" w:rsidRPr="00131EED" w:rsidRDefault="0098490E" w:rsidP="00565CA7">
      <w:pPr>
        <w:jc w:val="center"/>
        <w:rPr>
          <w:rFonts w:ascii="Baskerville" w:hAnsi="Baskerville" w:cs="Arial"/>
        </w:rPr>
      </w:pPr>
    </w:p>
    <w:p w14:paraId="5DAAC8AC" w14:textId="7D7F18EE" w:rsidR="00565CA7" w:rsidRPr="00131EED" w:rsidRDefault="0098490E" w:rsidP="0003793B">
      <w:pPr>
        <w:pStyle w:val="Caption"/>
        <w:jc w:val="center"/>
      </w:pPr>
      <w:bookmarkStart w:id="346" w:name="_Toc216468866"/>
      <w:r w:rsidRPr="00131EED">
        <w:t xml:space="preserve">Ilustración </w:t>
      </w:r>
      <w:r w:rsidRPr="00131EED">
        <w:fldChar w:fldCharType="begin"/>
      </w:r>
      <w:r w:rsidRPr="00131EED">
        <w:instrText>SEQ Ilustración \* ARABIC</w:instrText>
      </w:r>
      <w:r w:rsidRPr="00131EED">
        <w:fldChar w:fldCharType="separate"/>
      </w:r>
      <w:r w:rsidR="00CE096F">
        <w:rPr>
          <w:noProof/>
        </w:rPr>
        <w:t>101</w:t>
      </w:r>
      <w:r w:rsidRPr="00131EED">
        <w:fldChar w:fldCharType="end"/>
      </w:r>
      <w:r w:rsidRPr="00131EED">
        <w:t xml:space="preserve"> Registro fotográfic</w:t>
      </w:r>
      <w:r w:rsidR="00565CA7" w:rsidRPr="00131EED">
        <w:t>o del uso del suelo clase 6 en la Sabana de Bogotá</w:t>
      </w:r>
      <w:bookmarkEnd w:id="346"/>
    </w:p>
    <w:p w14:paraId="7BE1617F" w14:textId="77777777" w:rsidR="00565CA7" w:rsidRPr="00131EED" w:rsidRDefault="00565CA7" w:rsidP="00565CA7">
      <w:pPr>
        <w:rPr>
          <w:rFonts w:ascii="Baskerville" w:hAnsi="Baskerville" w:cs="Arial"/>
        </w:rPr>
      </w:pPr>
      <w:r w:rsidRPr="00131EED">
        <w:rPr>
          <w:rFonts w:ascii="Baskerville" w:hAnsi="Baskerville" w:cs="Arial"/>
          <w:noProof/>
          <w:lang w:eastAsia="en-US"/>
        </w:rPr>
        <w:drawing>
          <wp:inline distT="0" distB="0" distL="0" distR="0" wp14:anchorId="26EC178C" wp14:editId="1888FB8F">
            <wp:extent cx="2804967" cy="1558175"/>
            <wp:effectExtent l="0" t="0" r="1905" b="4445"/>
            <wp:docPr id="505682110" name="Imagen 1" descr="A landscape with mountains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82110" name="Imagen 1" descr="A landscape with mountains in the background&#10;&#10;AI-generated content may be incorrect."/>
                    <pic:cNvPicPr/>
                  </pic:nvPicPr>
                  <pic:blipFill>
                    <a:blip r:embed="rId175"/>
                    <a:stretch>
                      <a:fillRect/>
                    </a:stretch>
                  </pic:blipFill>
                  <pic:spPr>
                    <a:xfrm>
                      <a:off x="0" y="0"/>
                      <a:ext cx="2832216" cy="1573312"/>
                    </a:xfrm>
                    <a:prstGeom prst="rect">
                      <a:avLst/>
                    </a:prstGeom>
                  </pic:spPr>
                </pic:pic>
              </a:graphicData>
            </a:graphic>
          </wp:inline>
        </w:drawing>
      </w:r>
      <w:r w:rsidRPr="00131EED">
        <w:rPr>
          <w:rFonts w:ascii="Baskerville" w:hAnsi="Baskerville" w:cs="Arial"/>
        </w:rPr>
        <w:t xml:space="preserve"> </w:t>
      </w:r>
      <w:r w:rsidRPr="00131EED">
        <w:rPr>
          <w:rFonts w:ascii="Baskerville" w:hAnsi="Baskerville" w:cs="Arial"/>
          <w:noProof/>
          <w:lang w:eastAsia="en-US"/>
        </w:rPr>
        <w:drawing>
          <wp:inline distT="0" distB="0" distL="0" distR="0" wp14:anchorId="7FECA716" wp14:editId="5A27578B">
            <wp:extent cx="2725420" cy="1566438"/>
            <wp:effectExtent l="0" t="0" r="5080" b="0"/>
            <wp:docPr id="1861968883" name="Imagen 1" descr="A green field with trees and a hill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968883" name="Imagen 1" descr="A green field with trees and a hill in the background&#10;&#10;AI-generated content may be incorrect."/>
                    <pic:cNvPicPr/>
                  </pic:nvPicPr>
                  <pic:blipFill>
                    <a:blip r:embed="rId176"/>
                    <a:stretch>
                      <a:fillRect/>
                    </a:stretch>
                  </pic:blipFill>
                  <pic:spPr>
                    <a:xfrm>
                      <a:off x="0" y="0"/>
                      <a:ext cx="2778297" cy="1596829"/>
                    </a:xfrm>
                    <a:prstGeom prst="rect">
                      <a:avLst/>
                    </a:prstGeom>
                  </pic:spPr>
                </pic:pic>
              </a:graphicData>
            </a:graphic>
          </wp:inline>
        </w:drawing>
      </w:r>
    </w:p>
    <w:p w14:paraId="7C5E01A6" w14:textId="77777777" w:rsidR="0003793B" w:rsidRPr="00131EED" w:rsidRDefault="0003793B" w:rsidP="00565CA7">
      <w:pPr>
        <w:jc w:val="center"/>
        <w:rPr>
          <w:rFonts w:cs="Arial"/>
          <w:sz w:val="20"/>
          <w:szCs w:val="20"/>
        </w:rPr>
      </w:pPr>
    </w:p>
    <w:p w14:paraId="10663E60" w14:textId="77777777" w:rsidR="00565CA7" w:rsidRPr="00131EED" w:rsidRDefault="00565CA7" w:rsidP="00565CA7">
      <w:pPr>
        <w:jc w:val="center"/>
        <w:rPr>
          <w:rFonts w:cs="Arial"/>
          <w:sz w:val="20"/>
          <w:szCs w:val="20"/>
        </w:rPr>
      </w:pPr>
      <w:r w:rsidRPr="00131EED">
        <w:rPr>
          <w:rFonts w:cs="Arial"/>
          <w:sz w:val="20"/>
          <w:szCs w:val="20"/>
        </w:rPr>
        <w:t>Fuente: IGAC</w:t>
      </w:r>
    </w:p>
    <w:p w14:paraId="3D739874" w14:textId="77777777" w:rsidR="00565CA7" w:rsidRPr="00131EED" w:rsidRDefault="00565CA7" w:rsidP="00565CA7">
      <w:pPr>
        <w:rPr>
          <w:rFonts w:ascii="Baskerville" w:hAnsi="Baskerville" w:cs="Arial"/>
        </w:rPr>
      </w:pPr>
    </w:p>
    <w:p w14:paraId="16AC8118" w14:textId="77777777" w:rsidR="00565CA7" w:rsidRPr="00131EED" w:rsidRDefault="00565CA7" w:rsidP="00565CA7">
      <w:pPr>
        <w:rPr>
          <w:rFonts w:cs="Arial"/>
        </w:rPr>
      </w:pPr>
      <w:r w:rsidRPr="00131EED">
        <w:rPr>
          <w:rFonts w:cs="Arial"/>
        </w:rPr>
        <w:t>La clase 7 agrupa tierras que requieren cobertura vegetal permanente y múltiples estratos, con posibilidades de uso sostenible del bosque y requiere prácticas de conservación de suelos muy intensas. Las prácticas agronómicas son muy importantes para aplicar pequeña agricultura.</w:t>
      </w:r>
    </w:p>
    <w:p w14:paraId="72E13F38" w14:textId="77777777" w:rsidR="00565CA7" w:rsidRPr="00131EED" w:rsidRDefault="00565CA7" w:rsidP="00565CA7">
      <w:pPr>
        <w:rPr>
          <w:rFonts w:ascii="Baskerville" w:hAnsi="Baskerville" w:cs="Arial"/>
        </w:rPr>
      </w:pPr>
    </w:p>
    <w:p w14:paraId="46434ED0" w14:textId="37E4AB62" w:rsidR="00565CA7" w:rsidRPr="00131EED" w:rsidRDefault="0098490E" w:rsidP="0003793B">
      <w:pPr>
        <w:pStyle w:val="Caption"/>
        <w:jc w:val="center"/>
      </w:pPr>
      <w:bookmarkStart w:id="347" w:name="_Toc216468867"/>
      <w:r w:rsidRPr="00131EED">
        <w:t xml:space="preserve">Ilustración </w:t>
      </w:r>
      <w:r w:rsidRPr="00131EED">
        <w:fldChar w:fldCharType="begin"/>
      </w:r>
      <w:r w:rsidRPr="00131EED">
        <w:instrText>SEQ Ilustración \* ARABIC</w:instrText>
      </w:r>
      <w:r w:rsidRPr="00131EED">
        <w:fldChar w:fldCharType="separate"/>
      </w:r>
      <w:r w:rsidR="00CE096F">
        <w:rPr>
          <w:noProof/>
        </w:rPr>
        <w:t>102</w:t>
      </w:r>
      <w:r w:rsidRPr="00131EED">
        <w:fldChar w:fldCharType="end"/>
      </w:r>
      <w:r w:rsidRPr="00131EED">
        <w:t xml:space="preserve"> </w:t>
      </w:r>
      <w:r w:rsidR="00565CA7" w:rsidRPr="00131EED">
        <w:t>Aspecto del uso del suelo clase 7 en la Sabana de Bogotá</w:t>
      </w:r>
      <w:bookmarkEnd w:id="347"/>
    </w:p>
    <w:p w14:paraId="1F336AFD" w14:textId="77777777" w:rsidR="00565CA7" w:rsidRPr="00131EED" w:rsidRDefault="00565CA7" w:rsidP="00565CA7">
      <w:pPr>
        <w:rPr>
          <w:rFonts w:ascii="Baskerville" w:hAnsi="Baskerville" w:cs="Arial"/>
        </w:rPr>
      </w:pPr>
      <w:r w:rsidRPr="00131EED">
        <w:rPr>
          <w:rFonts w:ascii="Baskerville" w:hAnsi="Baskerville" w:cs="Arial"/>
          <w:noProof/>
          <w:lang w:eastAsia="en-US"/>
        </w:rPr>
        <w:drawing>
          <wp:inline distT="0" distB="0" distL="0" distR="0" wp14:anchorId="1B11BA1F" wp14:editId="32564AFC">
            <wp:extent cx="2854023" cy="2109355"/>
            <wp:effectExtent l="0" t="0" r="3810" b="0"/>
            <wp:docPr id="1638022899" name="Imagen 1" descr="A group of cows in a f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022899" name="Imagen 1" descr="A group of cows in a field&#10;&#10;AI-generated content may be incorrect."/>
                    <pic:cNvPicPr/>
                  </pic:nvPicPr>
                  <pic:blipFill>
                    <a:blip r:embed="rId177"/>
                    <a:stretch>
                      <a:fillRect/>
                    </a:stretch>
                  </pic:blipFill>
                  <pic:spPr>
                    <a:xfrm>
                      <a:off x="0" y="0"/>
                      <a:ext cx="2862352" cy="2115511"/>
                    </a:xfrm>
                    <a:prstGeom prst="rect">
                      <a:avLst/>
                    </a:prstGeom>
                  </pic:spPr>
                </pic:pic>
              </a:graphicData>
            </a:graphic>
          </wp:inline>
        </w:drawing>
      </w:r>
      <w:r w:rsidRPr="00131EED">
        <w:rPr>
          <w:rFonts w:ascii="Baskerville" w:hAnsi="Baskerville" w:cs="Arial"/>
        </w:rPr>
        <w:t xml:space="preserve"> </w:t>
      </w:r>
      <w:r w:rsidRPr="00131EED">
        <w:rPr>
          <w:rFonts w:ascii="Baskerville" w:hAnsi="Baskerville" w:cs="Arial"/>
          <w:noProof/>
          <w:lang w:eastAsia="en-US"/>
        </w:rPr>
        <w:drawing>
          <wp:inline distT="0" distB="0" distL="0" distR="0" wp14:anchorId="204D4BA3" wp14:editId="33877712">
            <wp:extent cx="2690935" cy="2103120"/>
            <wp:effectExtent l="0" t="0" r="1905" b="5080"/>
            <wp:docPr id="416409460" name="Imagen 1" descr="A field with trees and mountains in th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409460" name="Imagen 1" descr="A field with trees and mountains in the background&#10;&#10;AI-generated content may be incorrect."/>
                    <pic:cNvPicPr/>
                  </pic:nvPicPr>
                  <pic:blipFill>
                    <a:blip r:embed="rId178"/>
                    <a:stretch>
                      <a:fillRect/>
                    </a:stretch>
                  </pic:blipFill>
                  <pic:spPr>
                    <a:xfrm>
                      <a:off x="0" y="0"/>
                      <a:ext cx="2712719" cy="2120145"/>
                    </a:xfrm>
                    <a:prstGeom prst="rect">
                      <a:avLst/>
                    </a:prstGeom>
                  </pic:spPr>
                </pic:pic>
              </a:graphicData>
            </a:graphic>
          </wp:inline>
        </w:drawing>
      </w:r>
    </w:p>
    <w:p w14:paraId="7772B4AC" w14:textId="77777777" w:rsidR="0003793B" w:rsidRPr="00131EED" w:rsidRDefault="0003793B" w:rsidP="00565CA7">
      <w:pPr>
        <w:jc w:val="center"/>
        <w:rPr>
          <w:rFonts w:cs="Arial"/>
          <w:sz w:val="20"/>
          <w:szCs w:val="20"/>
        </w:rPr>
      </w:pPr>
    </w:p>
    <w:p w14:paraId="129C3531" w14:textId="77777777" w:rsidR="00565CA7" w:rsidRPr="00131EED" w:rsidRDefault="00565CA7" w:rsidP="00565CA7">
      <w:pPr>
        <w:jc w:val="center"/>
        <w:rPr>
          <w:rFonts w:cs="Arial"/>
          <w:sz w:val="20"/>
          <w:szCs w:val="20"/>
        </w:rPr>
      </w:pPr>
      <w:r w:rsidRPr="00131EED">
        <w:rPr>
          <w:rFonts w:cs="Arial"/>
          <w:sz w:val="20"/>
          <w:szCs w:val="20"/>
        </w:rPr>
        <w:t>Fuente: IGAC</w:t>
      </w:r>
    </w:p>
    <w:p w14:paraId="5CA12B94" w14:textId="77777777" w:rsidR="0003793B" w:rsidRPr="00131EED" w:rsidRDefault="0003793B" w:rsidP="00565CA7">
      <w:pPr>
        <w:rPr>
          <w:rFonts w:cs="Arial"/>
        </w:rPr>
      </w:pPr>
    </w:p>
    <w:p w14:paraId="697CA6C9" w14:textId="77777777" w:rsidR="00565CA7" w:rsidRPr="00131EED" w:rsidRDefault="00565CA7" w:rsidP="00565CA7">
      <w:pPr>
        <w:rPr>
          <w:rFonts w:cs="Arial"/>
        </w:rPr>
      </w:pPr>
      <w:r w:rsidRPr="00131EED">
        <w:rPr>
          <w:rFonts w:cs="Arial"/>
        </w:rPr>
        <w:t>La clase 8 agrupa tierras destinadas a la recuperación, conservación o preservación de la naturaleza.</w:t>
      </w:r>
    </w:p>
    <w:p w14:paraId="111F93E7" w14:textId="77777777" w:rsidR="00565CA7" w:rsidRPr="00131EED" w:rsidRDefault="00565CA7" w:rsidP="00410194">
      <w:pPr>
        <w:pStyle w:val="Heading3"/>
        <w:numPr>
          <w:ilvl w:val="3"/>
          <w:numId w:val="31"/>
        </w:numPr>
        <w:rPr>
          <w:rFonts w:eastAsia="Century Gothic"/>
          <w:i/>
        </w:rPr>
      </w:pPr>
      <w:bookmarkStart w:id="348" w:name="_Toc216468741"/>
      <w:r w:rsidRPr="00131EED">
        <w:rPr>
          <w:rFonts w:eastAsia="Century Gothic"/>
          <w:i/>
        </w:rPr>
        <w:t>Invernaderos en la Sabana de Bogotá</w:t>
      </w:r>
      <w:bookmarkEnd w:id="348"/>
    </w:p>
    <w:p w14:paraId="0379C596" w14:textId="77777777" w:rsidR="00565CA7" w:rsidRPr="00131EED" w:rsidRDefault="00565CA7" w:rsidP="00565CA7">
      <w:pPr>
        <w:rPr>
          <w:rFonts w:ascii="Baskerville" w:hAnsi="Baskerville"/>
        </w:rPr>
      </w:pPr>
    </w:p>
    <w:p w14:paraId="2F8E3345" w14:textId="3937BE6F" w:rsidR="00565CA7" w:rsidRPr="00131EED" w:rsidRDefault="00565CA7" w:rsidP="00565CA7">
      <w:pPr>
        <w:rPr>
          <w:rFonts w:cs="Arial"/>
        </w:rPr>
      </w:pPr>
      <w:r w:rsidRPr="00131EED">
        <w:rPr>
          <w:rFonts w:cs="Arial"/>
        </w:rPr>
        <w:t>Los invernaderos son “estructuras agrícolas, que tienen por objeto la producción sistemática y fuera de estación de productos hortícolas, frutícolas y ornamentales, convirtiéndose en uno de los instrumentos de trabajo para la producción durante todo el año, que permite controlar de manera eficaz los rendimientos en calidad y cantidad”</w:t>
      </w:r>
      <w:sdt>
        <w:sdtPr>
          <w:rPr>
            <w:rFonts w:cs="Arial"/>
          </w:rPr>
          <w:id w:val="1837099090"/>
          <w:citation/>
        </w:sdtPr>
        <w:sdtEndPr/>
        <w:sdtContent>
          <w:r w:rsidRPr="00131EED">
            <w:rPr>
              <w:rFonts w:cs="Arial"/>
            </w:rPr>
            <w:fldChar w:fldCharType="begin"/>
          </w:r>
          <w:r w:rsidRPr="00131EED">
            <w:rPr>
              <w:rFonts w:cs="Arial"/>
            </w:rPr>
            <w:instrText xml:space="preserve"> CITATION Ins14 \l 9226 </w:instrText>
          </w:r>
          <w:r w:rsidRPr="00131EED">
            <w:rPr>
              <w:rFonts w:cs="Arial"/>
            </w:rPr>
            <w:fldChar w:fldCharType="separate"/>
          </w:r>
          <w:r w:rsidRPr="00131EED">
            <w:rPr>
              <w:rFonts w:cs="Arial"/>
            </w:rPr>
            <w:t xml:space="preserve"> (Instituto Universidario de Formosa, 2014)</w:t>
          </w:r>
          <w:r w:rsidRPr="00131EED">
            <w:rPr>
              <w:rFonts w:cs="Arial"/>
            </w:rPr>
            <w:fldChar w:fldCharType="end"/>
          </w:r>
        </w:sdtContent>
      </w:sdt>
      <w:r w:rsidRPr="00131EED">
        <w:rPr>
          <w:rFonts w:cs="Arial"/>
        </w:rPr>
        <w:t>.</w:t>
      </w:r>
      <w:r w:rsidR="001335F9" w:rsidRPr="00131EED">
        <w:rPr>
          <w:rFonts w:cs="Arial"/>
        </w:rPr>
        <w:t xml:space="preserve"> </w:t>
      </w:r>
      <w:r w:rsidRPr="00131EED">
        <w:rPr>
          <w:rFonts w:cs="Arial"/>
        </w:rPr>
        <w:t xml:space="preserve">Colombia es uno de los principales productores de flor cortada comercializada en mercados internacionales. Su producción, altamente concentrada en la Sabana de Bogotá (75% del área cultivada total en el país” se caracteriza por la presencia de invernaderos </w:t>
      </w:r>
      <w:sdt>
        <w:sdtPr>
          <w:rPr>
            <w:rFonts w:cs="Arial"/>
          </w:rPr>
          <w:id w:val="-1917382011"/>
          <w:citation/>
        </w:sdtPr>
        <w:sdtEndPr/>
        <w:sdtContent>
          <w:r w:rsidRPr="00131EED">
            <w:rPr>
              <w:rFonts w:cs="Arial"/>
            </w:rPr>
            <w:fldChar w:fldCharType="begin"/>
          </w:r>
          <w:r w:rsidRPr="00131EED">
            <w:rPr>
              <w:rFonts w:cs="Arial"/>
            </w:rPr>
            <w:instrText xml:space="preserve"> CITATION Cor23 \l 9226 </w:instrText>
          </w:r>
          <w:r w:rsidRPr="00131EED">
            <w:rPr>
              <w:rFonts w:cs="Arial"/>
            </w:rPr>
            <w:fldChar w:fldCharType="separate"/>
          </w:r>
          <w:r w:rsidRPr="00131EED">
            <w:rPr>
              <w:rFonts w:cs="Arial"/>
            </w:rPr>
            <w:t>(Corporación Colombiana de Investigación Agropecuaria, 2023)</w:t>
          </w:r>
          <w:r w:rsidRPr="00131EED">
            <w:rPr>
              <w:rFonts w:cs="Arial"/>
            </w:rPr>
            <w:fldChar w:fldCharType="end"/>
          </w:r>
        </w:sdtContent>
      </w:sdt>
      <w:r w:rsidRPr="00131EED">
        <w:rPr>
          <w:rFonts w:cs="Arial"/>
        </w:rPr>
        <w:t>.</w:t>
      </w:r>
      <w:r w:rsidR="00A971AD" w:rsidRPr="00131EED">
        <w:rPr>
          <w:rFonts w:cs="Arial"/>
        </w:rPr>
        <w:t xml:space="preserve"> </w:t>
      </w:r>
    </w:p>
    <w:p w14:paraId="0ED07EC9" w14:textId="77777777" w:rsidR="0003793B" w:rsidRPr="00131EED" w:rsidRDefault="0003793B" w:rsidP="00565CA7">
      <w:pPr>
        <w:rPr>
          <w:rFonts w:cs="Arial"/>
        </w:rPr>
      </w:pPr>
    </w:p>
    <w:p w14:paraId="522676BC" w14:textId="6F2C3AEC" w:rsidR="00565CA7" w:rsidRPr="00131EED" w:rsidRDefault="00565CA7" w:rsidP="00565CA7">
      <w:pPr>
        <w:rPr>
          <w:rFonts w:cs="Arial"/>
        </w:rPr>
      </w:pPr>
      <w:r w:rsidRPr="00131EED">
        <w:rPr>
          <w:rFonts w:cs="Arial"/>
        </w:rPr>
        <w:t>Los invernaderos de tipo pasivo, que permiten controlar algunas variables de carácter meteorológico, como lluvia y radiación solar, tienen diferentes tipologías según las características estructurales que poseen. Es importante tener en cuenta que “Colombia no cuenta con una reglamentación o una norma explícita en la que se establezcan los requerimientos mínimos para la construcción de un invernadero. Por lo tanto, el diseño estructural ajustado a alguna normativa queda a criterio del productor o del constructor contratado, quien podrá basarse en normas de construcción europeas o realizar los cálculos estructurales basándose en la Norma Sismo Resistente Colombiana (NSR-10)”</w:t>
      </w:r>
      <w:sdt>
        <w:sdtPr>
          <w:rPr>
            <w:rFonts w:cs="Arial"/>
          </w:rPr>
          <w:id w:val="170762865"/>
          <w:citation/>
        </w:sdtPr>
        <w:sdtEndPr/>
        <w:sdtContent>
          <w:r w:rsidRPr="00131EED">
            <w:rPr>
              <w:rFonts w:cs="Arial"/>
            </w:rPr>
            <w:fldChar w:fldCharType="begin"/>
          </w:r>
          <w:r w:rsidRPr="00131EED">
            <w:rPr>
              <w:rFonts w:cs="Arial"/>
            </w:rPr>
            <w:instrText xml:space="preserve">CITATION Cor23 \p 31 \l 9226 </w:instrText>
          </w:r>
          <w:r w:rsidRPr="00131EED">
            <w:rPr>
              <w:rFonts w:cs="Arial"/>
            </w:rPr>
            <w:fldChar w:fldCharType="separate"/>
          </w:r>
          <w:r w:rsidRPr="00131EED">
            <w:rPr>
              <w:rFonts w:cs="Arial"/>
            </w:rPr>
            <w:t xml:space="preserve"> (Corporación Colombiana de Investigación Agropecuaria, 2023, pág. 31)</w:t>
          </w:r>
          <w:r w:rsidRPr="00131EED">
            <w:rPr>
              <w:rFonts w:cs="Arial"/>
            </w:rPr>
            <w:fldChar w:fldCharType="end"/>
          </w:r>
        </w:sdtContent>
      </w:sdt>
    </w:p>
    <w:p w14:paraId="28A5ECC1" w14:textId="77777777" w:rsidR="00565CA7" w:rsidRPr="00131EED" w:rsidRDefault="00565CA7" w:rsidP="00565CA7">
      <w:pPr>
        <w:rPr>
          <w:rFonts w:cs="Arial"/>
        </w:rPr>
      </w:pPr>
    </w:p>
    <w:p w14:paraId="00787585" w14:textId="77777777" w:rsidR="00565CA7" w:rsidRPr="00131EED" w:rsidRDefault="00565CA7" w:rsidP="00565CA7">
      <w:pPr>
        <w:rPr>
          <w:rFonts w:cs="Arial"/>
        </w:rPr>
      </w:pPr>
      <w:r w:rsidRPr="00131EED">
        <w:rPr>
          <w:rFonts w:cs="Arial"/>
        </w:rPr>
        <w:t>En los casos en que los invernaderos no impliquen un proceso de cimentación y el soporte de cargas gravitacionales en detrimento del terreno, no requerirán licencia de construcción. Estas estructuras livianas, para actividades de zootecnia e invernaderos, deben cumplir con condiciones como:</w:t>
      </w:r>
    </w:p>
    <w:p w14:paraId="284114C8" w14:textId="77777777" w:rsidR="00565CA7" w:rsidRPr="00131EED" w:rsidRDefault="00565CA7" w:rsidP="00565CA7">
      <w:pPr>
        <w:rPr>
          <w:rFonts w:cs="Arial"/>
        </w:rPr>
      </w:pPr>
    </w:p>
    <w:p w14:paraId="63C70F9A" w14:textId="77777777" w:rsidR="00565CA7" w:rsidRPr="00131EED" w:rsidRDefault="00565CA7" w:rsidP="00410194">
      <w:pPr>
        <w:pStyle w:val="ListParagraph"/>
        <w:numPr>
          <w:ilvl w:val="0"/>
          <w:numId w:val="16"/>
        </w:numPr>
        <w:spacing w:after="0"/>
        <w:rPr>
          <w:rFonts w:cs="Arial"/>
          <w:sz w:val="24"/>
          <w:szCs w:val="24"/>
        </w:rPr>
      </w:pPr>
      <w:r w:rsidRPr="00131EED">
        <w:rPr>
          <w:rFonts w:cs="Arial"/>
          <w:sz w:val="24"/>
          <w:szCs w:val="24"/>
        </w:rPr>
        <w:t>Las normas referentes al uso y aprovechamiento del suelo del respectivo municipio o distrito, las normas agrícolas y ambientales para el caso de las actividades de zootecnia e invernaderos, y demás disposiciones vigentes.</w:t>
      </w:r>
    </w:p>
    <w:p w14:paraId="66AE6F35" w14:textId="77777777" w:rsidR="00565CA7" w:rsidRPr="00131EED" w:rsidRDefault="00565CA7" w:rsidP="00565CA7">
      <w:pPr>
        <w:rPr>
          <w:rFonts w:cs="Arial"/>
        </w:rPr>
      </w:pPr>
    </w:p>
    <w:p w14:paraId="4CED27C2" w14:textId="77777777" w:rsidR="00565CA7" w:rsidRPr="00131EED" w:rsidRDefault="00565CA7" w:rsidP="00410194">
      <w:pPr>
        <w:pStyle w:val="ListParagraph"/>
        <w:numPr>
          <w:ilvl w:val="0"/>
          <w:numId w:val="16"/>
        </w:numPr>
        <w:spacing w:after="0"/>
        <w:rPr>
          <w:rFonts w:cs="Arial"/>
          <w:sz w:val="24"/>
          <w:szCs w:val="24"/>
        </w:rPr>
      </w:pPr>
      <w:r w:rsidRPr="00131EED">
        <w:rPr>
          <w:rFonts w:cs="Arial"/>
          <w:sz w:val="24"/>
          <w:szCs w:val="24"/>
        </w:rPr>
        <w:t>La obtención previa de los permisos, licencias o autorizaciones ambientales que sean necesarios para el desarrollo de la actividad de zootecnia o invernaderos, conforme lo determine la normativa ambiental vigente.</w:t>
      </w:r>
    </w:p>
    <w:p w14:paraId="411B1FB5" w14:textId="77777777" w:rsidR="00565CA7" w:rsidRPr="00131EED" w:rsidRDefault="00565CA7" w:rsidP="00410194">
      <w:pPr>
        <w:pStyle w:val="ListParagraph"/>
        <w:numPr>
          <w:ilvl w:val="0"/>
          <w:numId w:val="16"/>
        </w:numPr>
        <w:spacing w:after="0"/>
        <w:rPr>
          <w:rFonts w:cs="Arial"/>
          <w:sz w:val="24"/>
          <w:szCs w:val="24"/>
        </w:rPr>
      </w:pPr>
      <w:r w:rsidRPr="00131EED">
        <w:rPr>
          <w:rFonts w:cs="Arial"/>
          <w:sz w:val="24"/>
          <w:szCs w:val="24"/>
        </w:rPr>
        <w:t>La prevención de daños que se puedan ocasionar a terceros, y en caso de que se presenten, responder de conformidad con las normas civiles que regulan la materia.</w:t>
      </w:r>
    </w:p>
    <w:p w14:paraId="489C419D" w14:textId="77777777" w:rsidR="00565CA7" w:rsidRPr="00131EED" w:rsidRDefault="00565CA7" w:rsidP="00565CA7">
      <w:pPr>
        <w:rPr>
          <w:rFonts w:cs="Arial"/>
        </w:rPr>
      </w:pPr>
    </w:p>
    <w:p w14:paraId="2D8DFC3A" w14:textId="061D479D" w:rsidR="00565CA7" w:rsidRPr="00131EED" w:rsidRDefault="00565CA7" w:rsidP="00410194">
      <w:pPr>
        <w:pStyle w:val="ListParagraph"/>
        <w:numPr>
          <w:ilvl w:val="0"/>
          <w:numId w:val="16"/>
        </w:numPr>
        <w:spacing w:after="0"/>
        <w:rPr>
          <w:rFonts w:cs="Arial"/>
          <w:sz w:val="24"/>
          <w:szCs w:val="24"/>
        </w:rPr>
      </w:pPr>
      <w:r w:rsidRPr="00131EED">
        <w:rPr>
          <w:rFonts w:cs="Arial"/>
          <w:sz w:val="24"/>
          <w:szCs w:val="24"/>
        </w:rPr>
        <w:t xml:space="preserve">La verificación de las condiciones de seguridad ante vientos, lluvias, granizo, sismos e incendios, así como amenazas de inundaciones y movimientos en masa </w:t>
      </w:r>
      <w:sdt>
        <w:sdtPr>
          <w:rPr>
            <w:sz w:val="24"/>
            <w:szCs w:val="24"/>
          </w:rPr>
          <w:id w:val="-2072031159"/>
          <w:citation/>
        </w:sdtPr>
        <w:sdtEndPr/>
        <w:sdtContent>
          <w:r w:rsidRPr="00131EED">
            <w:rPr>
              <w:rFonts w:cs="Arial"/>
              <w:sz w:val="24"/>
              <w:szCs w:val="24"/>
            </w:rPr>
            <w:fldChar w:fldCharType="begin"/>
          </w:r>
          <w:r w:rsidRPr="00131EED">
            <w:rPr>
              <w:rFonts w:cs="Arial"/>
              <w:sz w:val="24"/>
              <w:szCs w:val="24"/>
            </w:rPr>
            <w:instrText xml:space="preserve"> CITATION Min21 \l 9226 </w:instrText>
          </w:r>
          <w:r w:rsidRPr="00131EED">
            <w:rPr>
              <w:rFonts w:cs="Arial"/>
              <w:sz w:val="24"/>
              <w:szCs w:val="24"/>
            </w:rPr>
            <w:fldChar w:fldCharType="separate"/>
          </w:r>
          <w:r w:rsidRPr="00131EED">
            <w:rPr>
              <w:rFonts w:cs="Arial"/>
              <w:sz w:val="24"/>
              <w:szCs w:val="24"/>
            </w:rPr>
            <w:t>(Minvivienda, 2021)</w:t>
          </w:r>
          <w:r w:rsidRPr="00131EED">
            <w:rPr>
              <w:rFonts w:cs="Arial"/>
              <w:sz w:val="24"/>
              <w:szCs w:val="24"/>
            </w:rPr>
            <w:fldChar w:fldCharType="end"/>
          </w:r>
        </w:sdtContent>
      </w:sdt>
    </w:p>
    <w:p w14:paraId="3B120EE5" w14:textId="77777777" w:rsidR="00565CA7" w:rsidRPr="00131EED" w:rsidRDefault="00565CA7" w:rsidP="00565CA7">
      <w:pPr>
        <w:rPr>
          <w:rFonts w:cs="Arial"/>
        </w:rPr>
      </w:pPr>
    </w:p>
    <w:p w14:paraId="3ED22828" w14:textId="77777777" w:rsidR="00565CA7" w:rsidRPr="00131EED" w:rsidRDefault="00565CA7" w:rsidP="00565CA7">
      <w:pPr>
        <w:rPr>
          <w:rFonts w:cs="Arial"/>
        </w:rPr>
      </w:pPr>
      <w:r w:rsidRPr="00131EED">
        <w:rPr>
          <w:rFonts w:cs="Arial"/>
        </w:rPr>
        <w:t>Teniendo en cuenta la relevancia de las estructuras de invernaderos en el cultivo de flores y especies ornamentales, en el año 2024 el Ministerio de Ambiente y Desarrollo Sostenible, en conjunto con la Asociación Colombiana de Exportadores de Flores y la organización Florverde, publicó la “Guía ambiental para cultivos de flores y especies ornamentales”.</w:t>
      </w:r>
    </w:p>
    <w:p w14:paraId="1F5B4C84" w14:textId="77777777" w:rsidR="00565CA7" w:rsidRPr="00131EED" w:rsidRDefault="00565CA7" w:rsidP="00565CA7">
      <w:pPr>
        <w:rPr>
          <w:rFonts w:cs="Arial"/>
        </w:rPr>
      </w:pPr>
    </w:p>
    <w:p w14:paraId="0C933075" w14:textId="5D2D249D" w:rsidR="00565CA7" w:rsidRPr="00131EED" w:rsidRDefault="00565CA7" w:rsidP="00565CA7">
      <w:pPr>
        <w:rPr>
          <w:rFonts w:cs="Arial"/>
        </w:rPr>
      </w:pPr>
      <w:r w:rsidRPr="00131EED">
        <w:rPr>
          <w:rFonts w:cs="Arial"/>
        </w:rPr>
        <w:t>La guía desarrolla algunas propuestas para incorporar criterios de cierre de ciclos de materiales y recursos, innovaciones tecnológicas y modelos de negocios con enfoque de economía circular, así como algunas medidas para manejar, prevenir, mitigar y corregís los impactos ambientales generados por la actividad</w:t>
      </w:r>
      <w:r w:rsidR="003C65F1" w:rsidRPr="00131EED">
        <w:rPr>
          <w:rFonts w:cs="Arial"/>
        </w:rPr>
        <w:t>, que pueden ser generados por las estructuras, así como algunas colindancias relevantes con ecosistemas estratégicos y conectores de biodiversidad que exigen medidas de manejo especial.</w:t>
      </w:r>
      <w:sdt>
        <w:sdtPr>
          <w:rPr>
            <w:rFonts w:cs="Arial"/>
          </w:rPr>
          <w:id w:val="38559499"/>
          <w:citation/>
        </w:sdtPr>
        <w:sdtEndPr/>
        <w:sdtContent>
          <w:r w:rsidRPr="00131EED">
            <w:rPr>
              <w:rFonts w:cs="Arial"/>
            </w:rPr>
            <w:fldChar w:fldCharType="begin"/>
          </w:r>
          <w:r w:rsidRPr="00131EED">
            <w:rPr>
              <w:rFonts w:cs="Arial"/>
            </w:rPr>
            <w:instrText xml:space="preserve"> CITATION Min24 \l 9226 </w:instrText>
          </w:r>
          <w:r w:rsidRPr="00131EED">
            <w:rPr>
              <w:rFonts w:cs="Arial"/>
            </w:rPr>
            <w:fldChar w:fldCharType="separate"/>
          </w:r>
          <w:r w:rsidRPr="00131EED">
            <w:rPr>
              <w:rFonts w:cs="Arial"/>
            </w:rPr>
            <w:t xml:space="preserve"> (Minambiente, Asocolflores, 2024)</w:t>
          </w:r>
          <w:r w:rsidRPr="00131EED">
            <w:rPr>
              <w:rFonts w:cs="Arial"/>
            </w:rPr>
            <w:fldChar w:fldCharType="end"/>
          </w:r>
        </w:sdtContent>
      </w:sdt>
      <w:r w:rsidRPr="00131EED">
        <w:rPr>
          <w:rFonts w:cs="Arial"/>
        </w:rPr>
        <w:t>.</w:t>
      </w:r>
    </w:p>
    <w:p w14:paraId="05B6BD71" w14:textId="77777777" w:rsidR="00565CA7" w:rsidRPr="00131EED" w:rsidRDefault="00565CA7" w:rsidP="00565CA7">
      <w:pPr>
        <w:rPr>
          <w:rFonts w:cs="Arial"/>
        </w:rPr>
      </w:pPr>
    </w:p>
    <w:p w14:paraId="2D70AEC0" w14:textId="4DE415F7" w:rsidR="00565CA7" w:rsidRPr="00131EED" w:rsidRDefault="00565CA7" w:rsidP="00565CA7">
      <w:pPr>
        <w:rPr>
          <w:rFonts w:cs="Arial"/>
        </w:rPr>
      </w:pPr>
      <w:r w:rsidRPr="00131EED">
        <w:rPr>
          <w:rFonts w:cs="Arial"/>
        </w:rPr>
        <w:t xml:space="preserve">Algunos inventarios municipales en la Sabana de Bogotá evidencian la importancia de las estructuras de invernaderos en el ordenamiento municipal. En el caso del municipio de Tenjo, </w:t>
      </w:r>
      <w:sdt>
        <w:sdtPr>
          <w:rPr>
            <w:rFonts w:cs="Arial"/>
          </w:rPr>
          <w:id w:val="97078156"/>
          <w:citation/>
        </w:sdtPr>
        <w:sdtEndPr/>
        <w:sdtContent>
          <w:r w:rsidRPr="00131EED">
            <w:rPr>
              <w:rFonts w:cs="Arial"/>
            </w:rPr>
            <w:fldChar w:fldCharType="begin"/>
          </w:r>
          <w:r w:rsidRPr="00131EED">
            <w:rPr>
              <w:rFonts w:cs="Arial"/>
            </w:rPr>
            <w:instrText xml:space="preserve"> CITATION MAR23 \l 9226 </w:instrText>
          </w:r>
          <w:r w:rsidRPr="00131EED">
            <w:rPr>
              <w:rFonts w:cs="Arial"/>
            </w:rPr>
            <w:fldChar w:fldCharType="separate"/>
          </w:r>
          <w:r w:rsidRPr="00131EED">
            <w:rPr>
              <w:rFonts w:cs="Arial"/>
            </w:rPr>
            <w:t>(MARIN-BENITEZ, 2023)</w:t>
          </w:r>
          <w:r w:rsidRPr="00131EED">
            <w:rPr>
              <w:rFonts w:cs="Arial"/>
            </w:rPr>
            <w:fldChar w:fldCharType="end"/>
          </w:r>
        </w:sdtContent>
      </w:sdt>
      <w:r w:rsidRPr="00131EED">
        <w:rPr>
          <w:rFonts w:cs="Arial"/>
        </w:rPr>
        <w:t xml:space="preserve"> identificó 341 hectáreas de invernaderos, que corresponden al 3% del área total del municipio.</w:t>
      </w:r>
    </w:p>
    <w:p w14:paraId="05C4F9DE" w14:textId="77777777" w:rsidR="00561753" w:rsidRPr="00131EED" w:rsidRDefault="00561753" w:rsidP="0074469C">
      <w:pPr>
        <w:pStyle w:val="Caption"/>
        <w:jc w:val="center"/>
      </w:pPr>
    </w:p>
    <w:p w14:paraId="560FD509" w14:textId="388AFA03" w:rsidR="00FB4E18" w:rsidRPr="00131EED" w:rsidRDefault="00FB4E18" w:rsidP="0074469C">
      <w:pPr>
        <w:pStyle w:val="Caption"/>
        <w:jc w:val="center"/>
      </w:pPr>
      <w:bookmarkStart w:id="349" w:name="_Toc216468868"/>
      <w:r w:rsidRPr="00131EED">
        <w:t xml:space="preserve">Ilustración </w:t>
      </w:r>
      <w:fldSimple w:instr=" SEQ Ilustración \* ARABIC ">
        <w:r w:rsidR="00CE096F">
          <w:rPr>
            <w:noProof/>
          </w:rPr>
          <w:t>103</w:t>
        </w:r>
      </w:fldSimple>
      <w:r w:rsidRPr="00131EED">
        <w:t>. Cultivos Confinados Corine Land Cover 2018 (IGAC, 2018)</w:t>
      </w:r>
      <w:bookmarkEnd w:id="349"/>
    </w:p>
    <w:p w14:paraId="48F7E220" w14:textId="47D1E7CE" w:rsidR="00FB4E18" w:rsidRPr="00131EED" w:rsidRDefault="00836FF0" w:rsidP="00FB4E18">
      <w:pPr>
        <w:keepNext/>
        <w:jc w:val="center"/>
      </w:pPr>
      <w:r w:rsidRPr="00131EED">
        <w:rPr>
          <w:rFonts w:cs="Arial"/>
          <w:noProof/>
          <w:lang w:eastAsia="en-US"/>
        </w:rPr>
        <w:drawing>
          <wp:inline distT="0" distB="0" distL="0" distR="0" wp14:anchorId="46E7E2E2" wp14:editId="1B686DD2">
            <wp:extent cx="3014330" cy="3901440"/>
            <wp:effectExtent l="0" t="0" r="0" b="3810"/>
            <wp:docPr id="837131219" name="Picture 44" descr="A map with 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31219" name="Picture 44" descr="A map with red dots&#10;&#10;AI-generated content may be incorrect."/>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017595" cy="3905665"/>
                    </a:xfrm>
                    <a:prstGeom prst="rect">
                      <a:avLst/>
                    </a:prstGeom>
                    <a:noFill/>
                    <a:ln>
                      <a:noFill/>
                    </a:ln>
                  </pic:spPr>
                </pic:pic>
              </a:graphicData>
            </a:graphic>
          </wp:inline>
        </w:drawing>
      </w:r>
    </w:p>
    <w:p w14:paraId="11D60483" w14:textId="0C18E38D" w:rsidR="00FB4E18" w:rsidRPr="00131EED" w:rsidRDefault="00FB4E18" w:rsidP="00FB4E18">
      <w:pPr>
        <w:keepNext/>
        <w:jc w:val="center"/>
        <w:rPr>
          <w:sz w:val="20"/>
          <w:szCs w:val="20"/>
        </w:rPr>
      </w:pPr>
      <w:r w:rsidRPr="00131EED">
        <w:rPr>
          <w:sz w:val="20"/>
          <w:szCs w:val="20"/>
        </w:rPr>
        <w:t>Fuente: Elaboración propia con datos del IGAC (2018)</w:t>
      </w:r>
    </w:p>
    <w:p w14:paraId="551C7DAD" w14:textId="77777777" w:rsidR="00836FF0" w:rsidRPr="00131EED" w:rsidRDefault="00836FF0" w:rsidP="00565CA7">
      <w:pPr>
        <w:rPr>
          <w:rFonts w:cs="Arial"/>
        </w:rPr>
      </w:pPr>
    </w:p>
    <w:p w14:paraId="52726593" w14:textId="63E9E48B" w:rsidR="00565CA7" w:rsidRPr="00131EED" w:rsidRDefault="00FB4E18" w:rsidP="00565CA7">
      <w:pPr>
        <w:rPr>
          <w:rFonts w:cs="Arial"/>
        </w:rPr>
      </w:pPr>
      <w:r w:rsidRPr="00131EED">
        <w:rPr>
          <w:rFonts w:cs="Arial"/>
        </w:rPr>
        <w:t>Según datos Corine Land Cover (IGAC, 2018)</w:t>
      </w:r>
      <w:r w:rsidR="002D0288" w:rsidRPr="00131EED">
        <w:rPr>
          <w:rFonts w:cs="Arial"/>
        </w:rPr>
        <w:t xml:space="preserve">, para el año 2018, al interior del ámbito de la Sabana se encontraba un total de </w:t>
      </w:r>
      <w:r w:rsidR="002F49A8" w:rsidRPr="00131EED">
        <w:rPr>
          <w:rFonts w:cs="Arial"/>
        </w:rPr>
        <w:t>6404 ha + 5.290 m</w:t>
      </w:r>
      <w:r w:rsidR="002F49A8" w:rsidRPr="00131EED">
        <w:rPr>
          <w:rFonts w:cs="Arial"/>
          <w:vertAlign w:val="superscript"/>
        </w:rPr>
        <w:t>2</w:t>
      </w:r>
      <w:r w:rsidR="002F49A8" w:rsidRPr="00131EED">
        <w:rPr>
          <w:rFonts w:cs="Arial"/>
        </w:rPr>
        <w:t xml:space="preserve"> de</w:t>
      </w:r>
      <w:r w:rsidR="00E44885" w:rsidRPr="00131EED">
        <w:rPr>
          <w:rFonts w:cs="Arial"/>
        </w:rPr>
        <w:t xml:space="preserve"> invernaderos,</w:t>
      </w:r>
      <w:r w:rsidR="004E730F" w:rsidRPr="00131EED">
        <w:rPr>
          <w:rFonts w:cs="Arial"/>
        </w:rPr>
        <w:t xml:space="preserve"> 2.108 ha + 5.727 m2 adicionales en comparación con el año 2022</w:t>
      </w:r>
      <w:r w:rsidR="00E44885" w:rsidRPr="00131EED">
        <w:rPr>
          <w:rFonts w:cs="Arial"/>
        </w:rPr>
        <w:t xml:space="preserve"> </w:t>
      </w:r>
      <w:r w:rsidR="004E730F" w:rsidRPr="00131EED">
        <w:rPr>
          <w:rFonts w:cs="Arial"/>
        </w:rPr>
        <w:t>(4.295 ha + 9.563 m2). Por lo que, e</w:t>
      </w:r>
      <w:r w:rsidR="00565CA7" w:rsidRPr="00131EED">
        <w:rPr>
          <w:rFonts w:cs="Arial"/>
        </w:rPr>
        <w:t>l crecimiento de la huella de ocupación por invernaderos, su relevancia para la producción agrícola y la búsqueda de mejores prácticas de circularidad y sostenibilidad a partir de la innovación de los sectores económicos involucrados, evidencian la necesidad de orientar su ordenamiento y contribuir con ello a la productividad agrícola y la conservación de áreas de interés ambiental en la Sabana de Bogotá. Por tanto, es preciso que los predios con invernaderos aumenten las áreas para el establecimiento de corredores ecológicos e hídricos, así como la reducción del uso de plástico y la recuperación del suelo y los drenajes cuando finalice la actividad productiva.</w:t>
      </w:r>
    </w:p>
    <w:p w14:paraId="02D8DC2E" w14:textId="77777777" w:rsidR="00565CA7" w:rsidRPr="00131EED" w:rsidRDefault="00565CA7" w:rsidP="00410194">
      <w:pPr>
        <w:pStyle w:val="Heading3"/>
        <w:numPr>
          <w:ilvl w:val="3"/>
          <w:numId w:val="31"/>
        </w:numPr>
        <w:rPr>
          <w:rFonts w:cs="Arial"/>
        </w:rPr>
      </w:pPr>
      <w:bookmarkStart w:id="350" w:name="_Toc216468742"/>
      <w:r w:rsidRPr="00131EED">
        <w:rPr>
          <w:rFonts w:eastAsia="Century Gothic"/>
          <w:i/>
        </w:rPr>
        <w:t>El sellamiento del suelo y la reducción de áreas para producción de alimentos</w:t>
      </w:r>
      <w:bookmarkEnd w:id="350"/>
      <w:r w:rsidRPr="00131EED">
        <w:rPr>
          <w:rFonts w:eastAsia="Century Gothic" w:cs="Arial"/>
        </w:rPr>
        <w:t xml:space="preserve">  </w:t>
      </w:r>
    </w:p>
    <w:p w14:paraId="54837101" w14:textId="77777777" w:rsidR="00565CA7" w:rsidRPr="00131EED" w:rsidRDefault="00565CA7" w:rsidP="00565CA7">
      <w:pPr>
        <w:rPr>
          <w:rFonts w:ascii="Baskerville" w:hAnsi="Baskerville" w:cs="Arial"/>
        </w:rPr>
      </w:pPr>
    </w:p>
    <w:p w14:paraId="5A550F7A" w14:textId="4FAF753A" w:rsidR="00DA643B" w:rsidRPr="00131EED" w:rsidRDefault="00DA643B" w:rsidP="00565CA7">
      <w:pPr>
        <w:pStyle w:val="Caption"/>
        <w:spacing w:after="0"/>
        <w:rPr>
          <w:rFonts w:ascii="Baskerville Old Face" w:hAnsi="Baskerville Old Face"/>
          <w:i w:val="0"/>
          <w:iCs w:val="0"/>
          <w:color w:val="auto"/>
          <w:sz w:val="24"/>
          <w:szCs w:val="24"/>
        </w:rPr>
      </w:pPr>
      <w:r w:rsidRPr="00131EED">
        <w:rPr>
          <w:rFonts w:ascii="Baskerville Old Face" w:hAnsi="Baskerville Old Face"/>
          <w:i w:val="0"/>
          <w:color w:val="auto"/>
          <w:sz w:val="24"/>
          <w:szCs w:val="24"/>
        </w:rPr>
        <w:t>Según datos del IGAC(2001)</w:t>
      </w:r>
      <w:r w:rsidR="00CB5AA9" w:rsidRPr="00131EED">
        <w:rPr>
          <w:rFonts w:ascii="Baskerville Old Face" w:hAnsi="Baskerville Old Face"/>
          <w:i w:val="0"/>
          <w:color w:val="auto"/>
          <w:sz w:val="24"/>
          <w:szCs w:val="24"/>
        </w:rPr>
        <w:t xml:space="preserve"> y retomando el </w:t>
      </w:r>
      <w:r w:rsidR="00DD0B92" w:rsidRPr="00131EED">
        <w:rPr>
          <w:rFonts w:ascii="Baskerville Old Face" w:hAnsi="Baskerville Old Face"/>
          <w:color w:val="auto"/>
          <w:sz w:val="24"/>
          <w:szCs w:val="24"/>
        </w:rPr>
        <w:t>Mapa Digital de Suelos del Departamento de Cundinamarca</w:t>
      </w:r>
      <w:r w:rsidR="00DD0B92" w:rsidRPr="00131EED">
        <w:rPr>
          <w:rFonts w:ascii="Baskerville Old Face" w:hAnsi="Baskerville Old Face"/>
          <w:i w:val="0"/>
          <w:iCs w:val="0"/>
          <w:color w:val="auto"/>
          <w:sz w:val="24"/>
          <w:szCs w:val="24"/>
        </w:rPr>
        <w:t>, la Sabana de Bogotá cuenta con las siguientes clases de suelo</w:t>
      </w:r>
      <w:r w:rsidR="00C76F2C" w:rsidRPr="00131EED">
        <w:rPr>
          <w:rFonts w:ascii="Baskerville Old Face" w:hAnsi="Baskerville Old Face"/>
          <w:i w:val="0"/>
          <w:iCs w:val="0"/>
          <w:color w:val="auto"/>
          <w:sz w:val="24"/>
          <w:szCs w:val="24"/>
        </w:rPr>
        <w:t>:</w:t>
      </w:r>
    </w:p>
    <w:p w14:paraId="0696A8D5" w14:textId="77777777" w:rsidR="00F83B80" w:rsidRPr="00131EED" w:rsidRDefault="00F83B80" w:rsidP="00F83B80">
      <w:pPr>
        <w:rPr>
          <w:lang w:eastAsia="en-US"/>
        </w:rPr>
      </w:pPr>
    </w:p>
    <w:p w14:paraId="4B060F33" w14:textId="6B5E29EF" w:rsidR="0025317C" w:rsidRPr="00131EED" w:rsidRDefault="00F83B80" w:rsidP="00F83B80">
      <w:pPr>
        <w:pStyle w:val="Caption"/>
        <w:jc w:val="center"/>
      </w:pPr>
      <w:bookmarkStart w:id="351" w:name="_Toc216468869"/>
      <w:r w:rsidRPr="00131EED">
        <w:t xml:space="preserve">Ilustración </w:t>
      </w:r>
      <w:fldSimple w:instr=" SEQ Ilustración \* ARABIC ">
        <w:r w:rsidR="00CE096F">
          <w:rPr>
            <w:noProof/>
          </w:rPr>
          <w:t>104</w:t>
        </w:r>
      </w:fldSimple>
      <w:r w:rsidRPr="00131EED">
        <w:t>. Mapa Digital de suelos para el ámbito de aplicación.</w:t>
      </w:r>
      <w:bookmarkEnd w:id="35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032"/>
      </w:tblGrid>
      <w:tr w:rsidR="0025317C" w:rsidRPr="00131EED" w14:paraId="31C4C6C1" w14:textId="77777777" w:rsidTr="0025317C">
        <w:tc>
          <w:tcPr>
            <w:tcW w:w="4414" w:type="dxa"/>
            <w:vAlign w:val="center"/>
          </w:tcPr>
          <w:p w14:paraId="74B3D8A8" w14:textId="72476F99" w:rsidR="0025317C" w:rsidRPr="00131EED" w:rsidRDefault="0025317C" w:rsidP="0025317C">
            <w:pPr>
              <w:jc w:val="center"/>
              <w:rPr>
                <w:lang w:eastAsia="en-US"/>
              </w:rPr>
            </w:pPr>
            <w:r w:rsidRPr="00131EED">
              <w:rPr>
                <w:noProof/>
                <w:lang w:eastAsia="en-US"/>
              </w:rPr>
              <w:drawing>
                <wp:inline distT="0" distB="0" distL="0" distR="0" wp14:anchorId="3F030AD8" wp14:editId="76840EDF">
                  <wp:extent cx="2914650" cy="3772424"/>
                  <wp:effectExtent l="0" t="0" r="0" b="0"/>
                  <wp:docPr id="1023480616" name="Picture 46" descr="A map of a reg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480616" name="Picture 46" descr="A map of a region&#10;&#10;AI-generated content may be incorrect."/>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918596" cy="3777532"/>
                          </a:xfrm>
                          <a:prstGeom prst="rect">
                            <a:avLst/>
                          </a:prstGeom>
                          <a:noFill/>
                          <a:ln>
                            <a:noFill/>
                          </a:ln>
                        </pic:spPr>
                      </pic:pic>
                    </a:graphicData>
                  </a:graphic>
                </wp:inline>
              </w:drawing>
            </w:r>
          </w:p>
        </w:tc>
        <w:tc>
          <w:tcPr>
            <w:tcW w:w="4414" w:type="dxa"/>
            <w:vAlign w:val="center"/>
          </w:tcPr>
          <w:tbl>
            <w:tblPr>
              <w:tblW w:w="3100" w:type="dxa"/>
              <w:tblLook w:val="04A0" w:firstRow="1" w:lastRow="0" w:firstColumn="1" w:lastColumn="0" w:noHBand="0" w:noVBand="1"/>
            </w:tblPr>
            <w:tblGrid>
              <w:gridCol w:w="646"/>
              <w:gridCol w:w="1052"/>
              <w:gridCol w:w="1440"/>
            </w:tblGrid>
            <w:tr w:rsidR="0025317C" w:rsidRPr="00131EED" w14:paraId="04705F5D" w14:textId="77777777" w:rsidTr="0025317C">
              <w:trPr>
                <w:trHeight w:val="288"/>
              </w:trPr>
              <w:tc>
                <w:tcPr>
                  <w:tcW w:w="620" w:type="dxa"/>
                  <w:tcBorders>
                    <w:top w:val="single" w:sz="4" w:space="0" w:color="auto"/>
                    <w:left w:val="single" w:sz="4" w:space="0" w:color="auto"/>
                    <w:bottom w:val="single" w:sz="4" w:space="0" w:color="auto"/>
                    <w:right w:val="single" w:sz="4" w:space="0" w:color="auto"/>
                  </w:tcBorders>
                  <w:noWrap/>
                  <w:vAlign w:val="center"/>
                  <w:hideMark/>
                </w:tcPr>
                <w:p w14:paraId="0BA76077" w14:textId="77777777" w:rsidR="0025317C" w:rsidRPr="00131EED" w:rsidRDefault="0025317C" w:rsidP="0025317C">
                  <w:pPr>
                    <w:jc w:val="center"/>
                    <w:rPr>
                      <w:b/>
                      <w:color w:val="000000"/>
                      <w:sz w:val="20"/>
                      <w:szCs w:val="20"/>
                      <w:lang w:eastAsia="en-US"/>
                    </w:rPr>
                  </w:pPr>
                  <w:r w:rsidRPr="00131EED">
                    <w:rPr>
                      <w:b/>
                      <w:color w:val="000000"/>
                      <w:sz w:val="20"/>
                      <w:szCs w:val="20"/>
                      <w:lang w:eastAsia="en-US"/>
                    </w:rPr>
                    <w:t>Clase</w:t>
                  </w:r>
                </w:p>
              </w:tc>
              <w:tc>
                <w:tcPr>
                  <w:tcW w:w="1040" w:type="dxa"/>
                  <w:tcBorders>
                    <w:top w:val="single" w:sz="4" w:space="0" w:color="auto"/>
                    <w:left w:val="nil"/>
                    <w:bottom w:val="single" w:sz="4" w:space="0" w:color="auto"/>
                    <w:right w:val="single" w:sz="4" w:space="0" w:color="auto"/>
                  </w:tcBorders>
                  <w:noWrap/>
                  <w:vAlign w:val="center"/>
                  <w:hideMark/>
                </w:tcPr>
                <w:p w14:paraId="2F2C60EA" w14:textId="77777777" w:rsidR="0025317C" w:rsidRPr="00131EED" w:rsidRDefault="0025317C" w:rsidP="0025317C">
                  <w:pPr>
                    <w:jc w:val="center"/>
                    <w:rPr>
                      <w:b/>
                      <w:color w:val="000000"/>
                      <w:sz w:val="20"/>
                      <w:szCs w:val="20"/>
                      <w:lang w:eastAsia="en-US"/>
                    </w:rPr>
                  </w:pPr>
                  <w:r w:rsidRPr="00131EED">
                    <w:rPr>
                      <w:b/>
                      <w:color w:val="000000"/>
                      <w:sz w:val="20"/>
                      <w:szCs w:val="20"/>
                      <w:lang w:eastAsia="en-US"/>
                    </w:rPr>
                    <w:t>Área (ha)</w:t>
                  </w:r>
                </w:p>
              </w:tc>
              <w:tc>
                <w:tcPr>
                  <w:tcW w:w="1440" w:type="dxa"/>
                  <w:tcBorders>
                    <w:top w:val="single" w:sz="4" w:space="0" w:color="auto"/>
                    <w:left w:val="nil"/>
                    <w:bottom w:val="single" w:sz="4" w:space="0" w:color="auto"/>
                    <w:right w:val="single" w:sz="4" w:space="0" w:color="auto"/>
                  </w:tcBorders>
                  <w:noWrap/>
                  <w:vAlign w:val="center"/>
                  <w:hideMark/>
                </w:tcPr>
                <w:p w14:paraId="548EC6E0" w14:textId="77777777" w:rsidR="0025317C" w:rsidRPr="00131EED" w:rsidRDefault="0025317C" w:rsidP="0025317C">
                  <w:pPr>
                    <w:jc w:val="center"/>
                    <w:rPr>
                      <w:b/>
                      <w:color w:val="000000"/>
                      <w:sz w:val="20"/>
                      <w:szCs w:val="20"/>
                      <w:lang w:eastAsia="en-US"/>
                    </w:rPr>
                  </w:pPr>
                  <w:r w:rsidRPr="00131EED">
                    <w:rPr>
                      <w:b/>
                      <w:color w:val="000000"/>
                      <w:sz w:val="20"/>
                      <w:szCs w:val="20"/>
                      <w:lang w:eastAsia="en-US"/>
                    </w:rPr>
                    <w:t>Porcentaje (%)</w:t>
                  </w:r>
                </w:p>
              </w:tc>
            </w:tr>
            <w:tr w:rsidR="0025317C" w:rsidRPr="00131EED" w14:paraId="7DD741DB" w14:textId="77777777" w:rsidTr="0025317C">
              <w:trPr>
                <w:trHeight w:val="288"/>
              </w:trPr>
              <w:tc>
                <w:tcPr>
                  <w:tcW w:w="620" w:type="dxa"/>
                  <w:tcBorders>
                    <w:top w:val="nil"/>
                    <w:left w:val="single" w:sz="4" w:space="0" w:color="auto"/>
                    <w:bottom w:val="single" w:sz="4" w:space="0" w:color="auto"/>
                    <w:right w:val="single" w:sz="4" w:space="0" w:color="auto"/>
                  </w:tcBorders>
                  <w:noWrap/>
                  <w:vAlign w:val="center"/>
                  <w:hideMark/>
                </w:tcPr>
                <w:p w14:paraId="66071A0C" w14:textId="77777777" w:rsidR="0025317C" w:rsidRPr="00131EED" w:rsidRDefault="0025317C" w:rsidP="0025317C">
                  <w:pPr>
                    <w:jc w:val="center"/>
                    <w:rPr>
                      <w:color w:val="000000"/>
                      <w:sz w:val="20"/>
                      <w:szCs w:val="20"/>
                      <w:lang w:eastAsia="en-US"/>
                    </w:rPr>
                  </w:pPr>
                  <w:r w:rsidRPr="00131EED">
                    <w:rPr>
                      <w:color w:val="000000"/>
                      <w:sz w:val="20"/>
                      <w:szCs w:val="20"/>
                      <w:lang w:eastAsia="en-US"/>
                    </w:rPr>
                    <w:t>CA</w:t>
                  </w:r>
                </w:p>
              </w:tc>
              <w:tc>
                <w:tcPr>
                  <w:tcW w:w="1040" w:type="dxa"/>
                  <w:tcBorders>
                    <w:top w:val="nil"/>
                    <w:left w:val="nil"/>
                    <w:bottom w:val="single" w:sz="4" w:space="0" w:color="auto"/>
                    <w:right w:val="single" w:sz="4" w:space="0" w:color="auto"/>
                  </w:tcBorders>
                  <w:noWrap/>
                  <w:vAlign w:val="center"/>
                  <w:hideMark/>
                </w:tcPr>
                <w:p w14:paraId="397F1F18" w14:textId="77777777" w:rsidR="0025317C" w:rsidRPr="00131EED" w:rsidRDefault="0025317C" w:rsidP="0025317C">
                  <w:pPr>
                    <w:jc w:val="center"/>
                    <w:rPr>
                      <w:color w:val="000000"/>
                      <w:sz w:val="20"/>
                      <w:szCs w:val="20"/>
                      <w:lang w:eastAsia="en-US"/>
                    </w:rPr>
                  </w:pPr>
                  <w:r w:rsidRPr="00131EED">
                    <w:rPr>
                      <w:color w:val="000000"/>
                      <w:sz w:val="20"/>
                      <w:szCs w:val="20"/>
                      <w:lang w:eastAsia="en-US"/>
                    </w:rPr>
                    <w:t>4978.77</w:t>
                  </w:r>
                </w:p>
              </w:tc>
              <w:tc>
                <w:tcPr>
                  <w:tcW w:w="1440" w:type="dxa"/>
                  <w:tcBorders>
                    <w:top w:val="nil"/>
                    <w:left w:val="nil"/>
                    <w:bottom w:val="single" w:sz="4" w:space="0" w:color="auto"/>
                    <w:right w:val="single" w:sz="4" w:space="0" w:color="auto"/>
                  </w:tcBorders>
                  <w:noWrap/>
                  <w:vAlign w:val="center"/>
                  <w:hideMark/>
                </w:tcPr>
                <w:p w14:paraId="5CD8A24D" w14:textId="77777777" w:rsidR="0025317C" w:rsidRPr="00131EED" w:rsidRDefault="0025317C" w:rsidP="0025317C">
                  <w:pPr>
                    <w:jc w:val="center"/>
                    <w:rPr>
                      <w:color w:val="000000"/>
                      <w:sz w:val="20"/>
                      <w:szCs w:val="20"/>
                      <w:lang w:eastAsia="en-US"/>
                    </w:rPr>
                  </w:pPr>
                  <w:r w:rsidRPr="00131EED">
                    <w:rPr>
                      <w:color w:val="000000"/>
                      <w:sz w:val="20"/>
                      <w:szCs w:val="20"/>
                      <w:lang w:eastAsia="en-US"/>
                    </w:rPr>
                    <w:t>1.16%</w:t>
                  </w:r>
                </w:p>
              </w:tc>
            </w:tr>
            <w:tr w:rsidR="0025317C" w:rsidRPr="00131EED" w14:paraId="7ED9E395" w14:textId="77777777" w:rsidTr="0025317C">
              <w:trPr>
                <w:trHeight w:val="288"/>
              </w:trPr>
              <w:tc>
                <w:tcPr>
                  <w:tcW w:w="620" w:type="dxa"/>
                  <w:tcBorders>
                    <w:top w:val="nil"/>
                    <w:left w:val="single" w:sz="4" w:space="0" w:color="auto"/>
                    <w:bottom w:val="single" w:sz="4" w:space="0" w:color="auto"/>
                    <w:right w:val="single" w:sz="4" w:space="0" w:color="auto"/>
                  </w:tcBorders>
                  <w:noWrap/>
                  <w:vAlign w:val="center"/>
                  <w:hideMark/>
                </w:tcPr>
                <w:p w14:paraId="46065F40" w14:textId="77777777" w:rsidR="0025317C" w:rsidRPr="00131EED" w:rsidRDefault="0025317C" w:rsidP="0025317C">
                  <w:pPr>
                    <w:jc w:val="center"/>
                    <w:rPr>
                      <w:color w:val="000000"/>
                      <w:sz w:val="20"/>
                      <w:szCs w:val="20"/>
                      <w:lang w:eastAsia="en-US"/>
                    </w:rPr>
                  </w:pPr>
                  <w:r w:rsidRPr="00131EED">
                    <w:rPr>
                      <w:color w:val="000000"/>
                      <w:sz w:val="20"/>
                      <w:szCs w:val="20"/>
                      <w:lang w:eastAsia="en-US"/>
                    </w:rPr>
                    <w:t>II</w:t>
                  </w:r>
                </w:p>
              </w:tc>
              <w:tc>
                <w:tcPr>
                  <w:tcW w:w="1040" w:type="dxa"/>
                  <w:tcBorders>
                    <w:top w:val="nil"/>
                    <w:left w:val="nil"/>
                    <w:bottom w:val="single" w:sz="4" w:space="0" w:color="auto"/>
                    <w:right w:val="single" w:sz="4" w:space="0" w:color="auto"/>
                  </w:tcBorders>
                  <w:noWrap/>
                  <w:vAlign w:val="center"/>
                  <w:hideMark/>
                </w:tcPr>
                <w:p w14:paraId="7D80FB47" w14:textId="77777777" w:rsidR="0025317C" w:rsidRPr="00131EED" w:rsidRDefault="0025317C" w:rsidP="0025317C">
                  <w:pPr>
                    <w:jc w:val="center"/>
                    <w:rPr>
                      <w:color w:val="000000"/>
                      <w:sz w:val="20"/>
                      <w:szCs w:val="20"/>
                      <w:lang w:eastAsia="en-US"/>
                    </w:rPr>
                  </w:pPr>
                  <w:r w:rsidRPr="00131EED">
                    <w:rPr>
                      <w:color w:val="000000"/>
                      <w:sz w:val="20"/>
                      <w:szCs w:val="20"/>
                      <w:lang w:eastAsia="en-US"/>
                    </w:rPr>
                    <w:t>84215.44</w:t>
                  </w:r>
                </w:p>
              </w:tc>
              <w:tc>
                <w:tcPr>
                  <w:tcW w:w="1440" w:type="dxa"/>
                  <w:tcBorders>
                    <w:top w:val="nil"/>
                    <w:left w:val="nil"/>
                    <w:bottom w:val="single" w:sz="4" w:space="0" w:color="auto"/>
                    <w:right w:val="single" w:sz="4" w:space="0" w:color="auto"/>
                  </w:tcBorders>
                  <w:noWrap/>
                  <w:vAlign w:val="center"/>
                  <w:hideMark/>
                </w:tcPr>
                <w:p w14:paraId="5834DB9C" w14:textId="77777777" w:rsidR="0025317C" w:rsidRPr="00131EED" w:rsidRDefault="0025317C" w:rsidP="0025317C">
                  <w:pPr>
                    <w:jc w:val="center"/>
                    <w:rPr>
                      <w:color w:val="000000"/>
                      <w:sz w:val="20"/>
                      <w:szCs w:val="20"/>
                      <w:lang w:eastAsia="en-US"/>
                    </w:rPr>
                  </w:pPr>
                  <w:r w:rsidRPr="00131EED">
                    <w:rPr>
                      <w:color w:val="000000"/>
                      <w:sz w:val="20"/>
                      <w:szCs w:val="20"/>
                      <w:lang w:eastAsia="en-US"/>
                    </w:rPr>
                    <w:t>19.70%</w:t>
                  </w:r>
                </w:p>
              </w:tc>
            </w:tr>
            <w:tr w:rsidR="0025317C" w:rsidRPr="00131EED" w14:paraId="69471FD6" w14:textId="77777777" w:rsidTr="0025317C">
              <w:trPr>
                <w:trHeight w:val="288"/>
              </w:trPr>
              <w:tc>
                <w:tcPr>
                  <w:tcW w:w="620" w:type="dxa"/>
                  <w:tcBorders>
                    <w:top w:val="nil"/>
                    <w:left w:val="single" w:sz="4" w:space="0" w:color="auto"/>
                    <w:bottom w:val="single" w:sz="4" w:space="0" w:color="auto"/>
                    <w:right w:val="single" w:sz="4" w:space="0" w:color="auto"/>
                  </w:tcBorders>
                  <w:noWrap/>
                  <w:vAlign w:val="center"/>
                  <w:hideMark/>
                </w:tcPr>
                <w:p w14:paraId="07FCCB43" w14:textId="77777777" w:rsidR="0025317C" w:rsidRPr="00131EED" w:rsidRDefault="0025317C" w:rsidP="0025317C">
                  <w:pPr>
                    <w:jc w:val="center"/>
                    <w:rPr>
                      <w:color w:val="000000"/>
                      <w:sz w:val="20"/>
                      <w:szCs w:val="20"/>
                      <w:lang w:eastAsia="en-US"/>
                    </w:rPr>
                  </w:pPr>
                  <w:r w:rsidRPr="00131EED">
                    <w:rPr>
                      <w:color w:val="000000"/>
                      <w:sz w:val="20"/>
                      <w:szCs w:val="20"/>
                      <w:lang w:eastAsia="en-US"/>
                    </w:rPr>
                    <w:t>III</w:t>
                  </w:r>
                </w:p>
              </w:tc>
              <w:tc>
                <w:tcPr>
                  <w:tcW w:w="1040" w:type="dxa"/>
                  <w:tcBorders>
                    <w:top w:val="nil"/>
                    <w:left w:val="nil"/>
                    <w:bottom w:val="single" w:sz="4" w:space="0" w:color="auto"/>
                    <w:right w:val="single" w:sz="4" w:space="0" w:color="auto"/>
                  </w:tcBorders>
                  <w:noWrap/>
                  <w:vAlign w:val="center"/>
                  <w:hideMark/>
                </w:tcPr>
                <w:p w14:paraId="080E6DD5" w14:textId="77777777" w:rsidR="0025317C" w:rsidRPr="00131EED" w:rsidRDefault="0025317C" w:rsidP="0025317C">
                  <w:pPr>
                    <w:jc w:val="center"/>
                    <w:rPr>
                      <w:color w:val="000000"/>
                      <w:sz w:val="20"/>
                      <w:szCs w:val="20"/>
                      <w:lang w:eastAsia="en-US"/>
                    </w:rPr>
                  </w:pPr>
                  <w:r w:rsidRPr="00131EED">
                    <w:rPr>
                      <w:color w:val="000000"/>
                      <w:sz w:val="20"/>
                      <w:szCs w:val="20"/>
                      <w:lang w:eastAsia="en-US"/>
                    </w:rPr>
                    <w:t>11193.62</w:t>
                  </w:r>
                </w:p>
              </w:tc>
              <w:tc>
                <w:tcPr>
                  <w:tcW w:w="1440" w:type="dxa"/>
                  <w:tcBorders>
                    <w:top w:val="nil"/>
                    <w:left w:val="nil"/>
                    <w:bottom w:val="single" w:sz="4" w:space="0" w:color="auto"/>
                    <w:right w:val="single" w:sz="4" w:space="0" w:color="auto"/>
                  </w:tcBorders>
                  <w:noWrap/>
                  <w:vAlign w:val="center"/>
                  <w:hideMark/>
                </w:tcPr>
                <w:p w14:paraId="2C984977" w14:textId="77777777" w:rsidR="0025317C" w:rsidRPr="00131EED" w:rsidRDefault="0025317C" w:rsidP="0025317C">
                  <w:pPr>
                    <w:jc w:val="center"/>
                    <w:rPr>
                      <w:color w:val="000000"/>
                      <w:sz w:val="20"/>
                      <w:szCs w:val="20"/>
                      <w:lang w:eastAsia="en-US"/>
                    </w:rPr>
                  </w:pPr>
                  <w:r w:rsidRPr="00131EED">
                    <w:rPr>
                      <w:color w:val="000000"/>
                      <w:sz w:val="20"/>
                      <w:szCs w:val="20"/>
                      <w:lang w:eastAsia="en-US"/>
                    </w:rPr>
                    <w:t>2.62%</w:t>
                  </w:r>
                </w:p>
              </w:tc>
            </w:tr>
            <w:tr w:rsidR="0025317C" w:rsidRPr="00131EED" w14:paraId="7705E9E9" w14:textId="77777777" w:rsidTr="0025317C">
              <w:trPr>
                <w:trHeight w:val="288"/>
              </w:trPr>
              <w:tc>
                <w:tcPr>
                  <w:tcW w:w="620" w:type="dxa"/>
                  <w:tcBorders>
                    <w:top w:val="nil"/>
                    <w:left w:val="single" w:sz="4" w:space="0" w:color="auto"/>
                    <w:bottom w:val="single" w:sz="4" w:space="0" w:color="auto"/>
                    <w:right w:val="single" w:sz="4" w:space="0" w:color="auto"/>
                  </w:tcBorders>
                  <w:noWrap/>
                  <w:vAlign w:val="center"/>
                  <w:hideMark/>
                </w:tcPr>
                <w:p w14:paraId="689D4B20" w14:textId="77777777" w:rsidR="0025317C" w:rsidRPr="00131EED" w:rsidRDefault="0025317C" w:rsidP="0025317C">
                  <w:pPr>
                    <w:jc w:val="center"/>
                    <w:rPr>
                      <w:color w:val="000000"/>
                      <w:sz w:val="20"/>
                      <w:szCs w:val="20"/>
                      <w:lang w:eastAsia="en-US"/>
                    </w:rPr>
                  </w:pPr>
                  <w:r w:rsidRPr="00131EED">
                    <w:rPr>
                      <w:color w:val="000000"/>
                      <w:sz w:val="20"/>
                      <w:szCs w:val="20"/>
                      <w:lang w:eastAsia="en-US"/>
                    </w:rPr>
                    <w:t>IV</w:t>
                  </w:r>
                </w:p>
              </w:tc>
              <w:tc>
                <w:tcPr>
                  <w:tcW w:w="1040" w:type="dxa"/>
                  <w:tcBorders>
                    <w:top w:val="nil"/>
                    <w:left w:val="nil"/>
                    <w:bottom w:val="single" w:sz="4" w:space="0" w:color="auto"/>
                    <w:right w:val="single" w:sz="4" w:space="0" w:color="auto"/>
                  </w:tcBorders>
                  <w:noWrap/>
                  <w:vAlign w:val="center"/>
                  <w:hideMark/>
                </w:tcPr>
                <w:p w14:paraId="75580A86" w14:textId="77777777" w:rsidR="0025317C" w:rsidRPr="00131EED" w:rsidRDefault="0025317C" w:rsidP="0025317C">
                  <w:pPr>
                    <w:jc w:val="center"/>
                    <w:rPr>
                      <w:color w:val="000000"/>
                      <w:sz w:val="20"/>
                      <w:szCs w:val="20"/>
                      <w:lang w:eastAsia="en-US"/>
                    </w:rPr>
                  </w:pPr>
                  <w:r w:rsidRPr="00131EED">
                    <w:rPr>
                      <w:color w:val="000000"/>
                      <w:sz w:val="20"/>
                      <w:szCs w:val="20"/>
                      <w:lang w:eastAsia="en-US"/>
                    </w:rPr>
                    <w:t>109242.87</w:t>
                  </w:r>
                </w:p>
              </w:tc>
              <w:tc>
                <w:tcPr>
                  <w:tcW w:w="1440" w:type="dxa"/>
                  <w:tcBorders>
                    <w:top w:val="nil"/>
                    <w:left w:val="nil"/>
                    <w:bottom w:val="single" w:sz="4" w:space="0" w:color="auto"/>
                    <w:right w:val="single" w:sz="4" w:space="0" w:color="auto"/>
                  </w:tcBorders>
                  <w:noWrap/>
                  <w:vAlign w:val="center"/>
                  <w:hideMark/>
                </w:tcPr>
                <w:p w14:paraId="4D98B934" w14:textId="77777777" w:rsidR="0025317C" w:rsidRPr="00131EED" w:rsidRDefault="0025317C" w:rsidP="0025317C">
                  <w:pPr>
                    <w:jc w:val="center"/>
                    <w:rPr>
                      <w:color w:val="000000"/>
                      <w:sz w:val="20"/>
                      <w:szCs w:val="20"/>
                      <w:lang w:eastAsia="en-US"/>
                    </w:rPr>
                  </w:pPr>
                  <w:r w:rsidRPr="00131EED">
                    <w:rPr>
                      <w:color w:val="000000"/>
                      <w:sz w:val="20"/>
                      <w:szCs w:val="20"/>
                      <w:lang w:eastAsia="en-US"/>
                    </w:rPr>
                    <w:t>25.55%</w:t>
                  </w:r>
                </w:p>
              </w:tc>
            </w:tr>
            <w:tr w:rsidR="0025317C" w:rsidRPr="00131EED" w14:paraId="37D7D8DA" w14:textId="77777777" w:rsidTr="0025317C">
              <w:trPr>
                <w:trHeight w:val="288"/>
              </w:trPr>
              <w:tc>
                <w:tcPr>
                  <w:tcW w:w="620" w:type="dxa"/>
                  <w:tcBorders>
                    <w:top w:val="nil"/>
                    <w:left w:val="single" w:sz="4" w:space="0" w:color="auto"/>
                    <w:bottom w:val="single" w:sz="4" w:space="0" w:color="auto"/>
                    <w:right w:val="single" w:sz="4" w:space="0" w:color="auto"/>
                  </w:tcBorders>
                  <w:noWrap/>
                  <w:vAlign w:val="center"/>
                  <w:hideMark/>
                </w:tcPr>
                <w:p w14:paraId="38EB90AC" w14:textId="77777777" w:rsidR="0025317C" w:rsidRPr="00131EED" w:rsidRDefault="0025317C" w:rsidP="0025317C">
                  <w:pPr>
                    <w:jc w:val="center"/>
                    <w:rPr>
                      <w:color w:val="000000"/>
                      <w:sz w:val="20"/>
                      <w:szCs w:val="20"/>
                      <w:lang w:eastAsia="en-US"/>
                    </w:rPr>
                  </w:pPr>
                  <w:r w:rsidRPr="00131EED">
                    <w:rPr>
                      <w:color w:val="000000"/>
                      <w:sz w:val="20"/>
                      <w:szCs w:val="20"/>
                      <w:lang w:eastAsia="en-US"/>
                    </w:rPr>
                    <w:t>PN</w:t>
                  </w:r>
                </w:p>
              </w:tc>
              <w:tc>
                <w:tcPr>
                  <w:tcW w:w="1040" w:type="dxa"/>
                  <w:tcBorders>
                    <w:top w:val="nil"/>
                    <w:left w:val="nil"/>
                    <w:bottom w:val="single" w:sz="4" w:space="0" w:color="auto"/>
                    <w:right w:val="single" w:sz="4" w:space="0" w:color="auto"/>
                  </w:tcBorders>
                  <w:noWrap/>
                  <w:vAlign w:val="center"/>
                  <w:hideMark/>
                </w:tcPr>
                <w:p w14:paraId="4019E83B" w14:textId="77777777" w:rsidR="0025317C" w:rsidRPr="00131EED" w:rsidRDefault="0025317C" w:rsidP="0025317C">
                  <w:pPr>
                    <w:jc w:val="center"/>
                    <w:rPr>
                      <w:color w:val="000000"/>
                      <w:sz w:val="20"/>
                      <w:szCs w:val="20"/>
                      <w:lang w:eastAsia="en-US"/>
                    </w:rPr>
                  </w:pPr>
                  <w:r w:rsidRPr="00131EED">
                    <w:rPr>
                      <w:color w:val="000000"/>
                      <w:sz w:val="20"/>
                      <w:szCs w:val="20"/>
                      <w:lang w:eastAsia="en-US"/>
                    </w:rPr>
                    <w:t>172.27</w:t>
                  </w:r>
                </w:p>
              </w:tc>
              <w:tc>
                <w:tcPr>
                  <w:tcW w:w="1440" w:type="dxa"/>
                  <w:tcBorders>
                    <w:top w:val="nil"/>
                    <w:left w:val="nil"/>
                    <w:bottom w:val="single" w:sz="4" w:space="0" w:color="auto"/>
                    <w:right w:val="single" w:sz="4" w:space="0" w:color="auto"/>
                  </w:tcBorders>
                  <w:noWrap/>
                  <w:vAlign w:val="center"/>
                  <w:hideMark/>
                </w:tcPr>
                <w:p w14:paraId="3CEEFFCB" w14:textId="77777777" w:rsidR="0025317C" w:rsidRPr="00131EED" w:rsidRDefault="0025317C" w:rsidP="0025317C">
                  <w:pPr>
                    <w:jc w:val="center"/>
                    <w:rPr>
                      <w:color w:val="000000"/>
                      <w:sz w:val="20"/>
                      <w:szCs w:val="20"/>
                      <w:lang w:eastAsia="en-US"/>
                    </w:rPr>
                  </w:pPr>
                  <w:r w:rsidRPr="00131EED">
                    <w:rPr>
                      <w:color w:val="000000"/>
                      <w:sz w:val="20"/>
                      <w:szCs w:val="20"/>
                      <w:lang w:eastAsia="en-US"/>
                    </w:rPr>
                    <w:t>0.04%</w:t>
                  </w:r>
                </w:p>
              </w:tc>
            </w:tr>
            <w:tr w:rsidR="0025317C" w:rsidRPr="00131EED" w14:paraId="13FFBF8B" w14:textId="77777777" w:rsidTr="0025317C">
              <w:trPr>
                <w:trHeight w:val="288"/>
              </w:trPr>
              <w:tc>
                <w:tcPr>
                  <w:tcW w:w="620" w:type="dxa"/>
                  <w:tcBorders>
                    <w:top w:val="nil"/>
                    <w:left w:val="single" w:sz="4" w:space="0" w:color="auto"/>
                    <w:bottom w:val="single" w:sz="4" w:space="0" w:color="auto"/>
                    <w:right w:val="single" w:sz="4" w:space="0" w:color="auto"/>
                  </w:tcBorders>
                  <w:noWrap/>
                  <w:vAlign w:val="center"/>
                  <w:hideMark/>
                </w:tcPr>
                <w:p w14:paraId="6EA6EF52" w14:textId="77777777" w:rsidR="0025317C" w:rsidRPr="00131EED" w:rsidRDefault="0025317C" w:rsidP="0025317C">
                  <w:pPr>
                    <w:jc w:val="center"/>
                    <w:rPr>
                      <w:color w:val="000000"/>
                      <w:sz w:val="20"/>
                      <w:szCs w:val="20"/>
                      <w:lang w:eastAsia="en-US"/>
                    </w:rPr>
                  </w:pPr>
                  <w:r w:rsidRPr="00131EED">
                    <w:rPr>
                      <w:color w:val="000000"/>
                      <w:sz w:val="20"/>
                      <w:szCs w:val="20"/>
                      <w:lang w:eastAsia="en-US"/>
                    </w:rPr>
                    <w:t>VI</w:t>
                  </w:r>
                </w:p>
              </w:tc>
              <w:tc>
                <w:tcPr>
                  <w:tcW w:w="1040" w:type="dxa"/>
                  <w:tcBorders>
                    <w:top w:val="nil"/>
                    <w:left w:val="nil"/>
                    <w:bottom w:val="single" w:sz="4" w:space="0" w:color="auto"/>
                    <w:right w:val="single" w:sz="4" w:space="0" w:color="auto"/>
                  </w:tcBorders>
                  <w:noWrap/>
                  <w:vAlign w:val="center"/>
                  <w:hideMark/>
                </w:tcPr>
                <w:p w14:paraId="15380B9C" w14:textId="77777777" w:rsidR="0025317C" w:rsidRPr="00131EED" w:rsidRDefault="0025317C" w:rsidP="0025317C">
                  <w:pPr>
                    <w:jc w:val="center"/>
                    <w:rPr>
                      <w:color w:val="000000"/>
                      <w:sz w:val="20"/>
                      <w:szCs w:val="20"/>
                      <w:lang w:eastAsia="en-US"/>
                    </w:rPr>
                  </w:pPr>
                  <w:r w:rsidRPr="00131EED">
                    <w:rPr>
                      <w:color w:val="000000"/>
                      <w:sz w:val="20"/>
                      <w:szCs w:val="20"/>
                      <w:lang w:eastAsia="en-US"/>
                    </w:rPr>
                    <w:t>74342.74</w:t>
                  </w:r>
                </w:p>
              </w:tc>
              <w:tc>
                <w:tcPr>
                  <w:tcW w:w="1440" w:type="dxa"/>
                  <w:tcBorders>
                    <w:top w:val="nil"/>
                    <w:left w:val="nil"/>
                    <w:bottom w:val="single" w:sz="4" w:space="0" w:color="auto"/>
                    <w:right w:val="single" w:sz="4" w:space="0" w:color="auto"/>
                  </w:tcBorders>
                  <w:noWrap/>
                  <w:vAlign w:val="center"/>
                  <w:hideMark/>
                </w:tcPr>
                <w:p w14:paraId="22222C07" w14:textId="77777777" w:rsidR="0025317C" w:rsidRPr="00131EED" w:rsidRDefault="0025317C" w:rsidP="0025317C">
                  <w:pPr>
                    <w:jc w:val="center"/>
                    <w:rPr>
                      <w:color w:val="000000"/>
                      <w:sz w:val="20"/>
                      <w:szCs w:val="20"/>
                      <w:lang w:eastAsia="en-US"/>
                    </w:rPr>
                  </w:pPr>
                  <w:r w:rsidRPr="00131EED">
                    <w:rPr>
                      <w:color w:val="000000"/>
                      <w:sz w:val="20"/>
                      <w:szCs w:val="20"/>
                      <w:lang w:eastAsia="en-US"/>
                    </w:rPr>
                    <w:t>17.39%</w:t>
                  </w:r>
                </w:p>
              </w:tc>
            </w:tr>
            <w:tr w:rsidR="0025317C" w:rsidRPr="00131EED" w14:paraId="0B6A5C33" w14:textId="77777777" w:rsidTr="0025317C">
              <w:trPr>
                <w:trHeight w:val="288"/>
              </w:trPr>
              <w:tc>
                <w:tcPr>
                  <w:tcW w:w="620" w:type="dxa"/>
                  <w:tcBorders>
                    <w:top w:val="nil"/>
                    <w:left w:val="single" w:sz="4" w:space="0" w:color="auto"/>
                    <w:bottom w:val="single" w:sz="4" w:space="0" w:color="auto"/>
                    <w:right w:val="single" w:sz="4" w:space="0" w:color="auto"/>
                  </w:tcBorders>
                  <w:noWrap/>
                  <w:vAlign w:val="center"/>
                  <w:hideMark/>
                </w:tcPr>
                <w:p w14:paraId="5563F769" w14:textId="77777777" w:rsidR="0025317C" w:rsidRPr="00131EED" w:rsidRDefault="0025317C" w:rsidP="0025317C">
                  <w:pPr>
                    <w:jc w:val="center"/>
                    <w:rPr>
                      <w:color w:val="000000"/>
                      <w:sz w:val="20"/>
                      <w:szCs w:val="20"/>
                      <w:lang w:eastAsia="en-US"/>
                    </w:rPr>
                  </w:pPr>
                  <w:r w:rsidRPr="00131EED">
                    <w:rPr>
                      <w:color w:val="000000"/>
                      <w:sz w:val="20"/>
                      <w:szCs w:val="20"/>
                      <w:lang w:eastAsia="en-US"/>
                    </w:rPr>
                    <w:t>VII</w:t>
                  </w:r>
                </w:p>
              </w:tc>
              <w:tc>
                <w:tcPr>
                  <w:tcW w:w="1040" w:type="dxa"/>
                  <w:tcBorders>
                    <w:top w:val="nil"/>
                    <w:left w:val="nil"/>
                    <w:bottom w:val="single" w:sz="4" w:space="0" w:color="auto"/>
                    <w:right w:val="single" w:sz="4" w:space="0" w:color="auto"/>
                  </w:tcBorders>
                  <w:noWrap/>
                  <w:vAlign w:val="center"/>
                  <w:hideMark/>
                </w:tcPr>
                <w:p w14:paraId="77174EA8" w14:textId="77777777" w:rsidR="0025317C" w:rsidRPr="00131EED" w:rsidRDefault="0025317C" w:rsidP="0025317C">
                  <w:pPr>
                    <w:jc w:val="center"/>
                    <w:rPr>
                      <w:color w:val="000000"/>
                      <w:sz w:val="20"/>
                      <w:szCs w:val="20"/>
                      <w:lang w:eastAsia="en-US"/>
                    </w:rPr>
                  </w:pPr>
                  <w:r w:rsidRPr="00131EED">
                    <w:rPr>
                      <w:color w:val="000000"/>
                      <w:sz w:val="20"/>
                      <w:szCs w:val="20"/>
                      <w:lang w:eastAsia="en-US"/>
                    </w:rPr>
                    <w:t>84285.74</w:t>
                  </w:r>
                </w:p>
              </w:tc>
              <w:tc>
                <w:tcPr>
                  <w:tcW w:w="1440" w:type="dxa"/>
                  <w:tcBorders>
                    <w:top w:val="nil"/>
                    <w:left w:val="nil"/>
                    <w:bottom w:val="single" w:sz="4" w:space="0" w:color="auto"/>
                    <w:right w:val="single" w:sz="4" w:space="0" w:color="auto"/>
                  </w:tcBorders>
                  <w:noWrap/>
                  <w:vAlign w:val="center"/>
                  <w:hideMark/>
                </w:tcPr>
                <w:p w14:paraId="5431893A" w14:textId="77777777" w:rsidR="0025317C" w:rsidRPr="00131EED" w:rsidRDefault="0025317C" w:rsidP="0025317C">
                  <w:pPr>
                    <w:jc w:val="center"/>
                    <w:rPr>
                      <w:color w:val="000000"/>
                      <w:sz w:val="20"/>
                      <w:szCs w:val="20"/>
                      <w:lang w:eastAsia="en-US"/>
                    </w:rPr>
                  </w:pPr>
                  <w:r w:rsidRPr="00131EED">
                    <w:rPr>
                      <w:color w:val="000000"/>
                      <w:sz w:val="20"/>
                      <w:szCs w:val="20"/>
                      <w:lang w:eastAsia="en-US"/>
                    </w:rPr>
                    <w:t>19.71%</w:t>
                  </w:r>
                </w:p>
              </w:tc>
            </w:tr>
            <w:tr w:rsidR="0025317C" w:rsidRPr="00131EED" w14:paraId="40F04370" w14:textId="77777777" w:rsidTr="0025317C">
              <w:trPr>
                <w:trHeight w:val="288"/>
              </w:trPr>
              <w:tc>
                <w:tcPr>
                  <w:tcW w:w="620" w:type="dxa"/>
                  <w:tcBorders>
                    <w:top w:val="nil"/>
                    <w:left w:val="single" w:sz="4" w:space="0" w:color="auto"/>
                    <w:bottom w:val="single" w:sz="4" w:space="0" w:color="auto"/>
                    <w:right w:val="single" w:sz="4" w:space="0" w:color="auto"/>
                  </w:tcBorders>
                  <w:noWrap/>
                  <w:vAlign w:val="center"/>
                  <w:hideMark/>
                </w:tcPr>
                <w:p w14:paraId="0A5FDA1C" w14:textId="77777777" w:rsidR="0025317C" w:rsidRPr="00131EED" w:rsidRDefault="0025317C" w:rsidP="0025317C">
                  <w:pPr>
                    <w:jc w:val="center"/>
                    <w:rPr>
                      <w:color w:val="000000"/>
                      <w:sz w:val="20"/>
                      <w:szCs w:val="20"/>
                      <w:lang w:eastAsia="en-US"/>
                    </w:rPr>
                  </w:pPr>
                  <w:r w:rsidRPr="00131EED">
                    <w:rPr>
                      <w:color w:val="000000"/>
                      <w:sz w:val="20"/>
                      <w:szCs w:val="20"/>
                      <w:lang w:eastAsia="en-US"/>
                    </w:rPr>
                    <w:t>VIII</w:t>
                  </w:r>
                </w:p>
              </w:tc>
              <w:tc>
                <w:tcPr>
                  <w:tcW w:w="1040" w:type="dxa"/>
                  <w:tcBorders>
                    <w:top w:val="nil"/>
                    <w:left w:val="nil"/>
                    <w:bottom w:val="single" w:sz="4" w:space="0" w:color="auto"/>
                    <w:right w:val="single" w:sz="4" w:space="0" w:color="auto"/>
                  </w:tcBorders>
                  <w:noWrap/>
                  <w:vAlign w:val="center"/>
                  <w:hideMark/>
                </w:tcPr>
                <w:p w14:paraId="1A3F25E3" w14:textId="77777777" w:rsidR="0025317C" w:rsidRPr="00131EED" w:rsidRDefault="0025317C" w:rsidP="0025317C">
                  <w:pPr>
                    <w:jc w:val="center"/>
                    <w:rPr>
                      <w:color w:val="000000"/>
                      <w:sz w:val="20"/>
                      <w:szCs w:val="20"/>
                      <w:lang w:eastAsia="en-US"/>
                    </w:rPr>
                  </w:pPr>
                  <w:r w:rsidRPr="00131EED">
                    <w:rPr>
                      <w:color w:val="000000"/>
                      <w:sz w:val="20"/>
                      <w:szCs w:val="20"/>
                      <w:lang w:eastAsia="en-US"/>
                    </w:rPr>
                    <w:t>22839.46</w:t>
                  </w:r>
                </w:p>
              </w:tc>
              <w:tc>
                <w:tcPr>
                  <w:tcW w:w="1440" w:type="dxa"/>
                  <w:tcBorders>
                    <w:top w:val="nil"/>
                    <w:left w:val="nil"/>
                    <w:bottom w:val="single" w:sz="4" w:space="0" w:color="auto"/>
                    <w:right w:val="single" w:sz="4" w:space="0" w:color="auto"/>
                  </w:tcBorders>
                  <w:noWrap/>
                  <w:vAlign w:val="center"/>
                  <w:hideMark/>
                </w:tcPr>
                <w:p w14:paraId="039D3469" w14:textId="77777777" w:rsidR="0025317C" w:rsidRPr="00131EED" w:rsidRDefault="0025317C" w:rsidP="0025317C">
                  <w:pPr>
                    <w:jc w:val="center"/>
                    <w:rPr>
                      <w:color w:val="000000"/>
                      <w:sz w:val="20"/>
                      <w:szCs w:val="20"/>
                      <w:lang w:eastAsia="en-US"/>
                    </w:rPr>
                  </w:pPr>
                  <w:r w:rsidRPr="00131EED">
                    <w:rPr>
                      <w:color w:val="000000"/>
                      <w:sz w:val="20"/>
                      <w:szCs w:val="20"/>
                      <w:lang w:eastAsia="en-US"/>
                    </w:rPr>
                    <w:t>5.34%</w:t>
                  </w:r>
                </w:p>
              </w:tc>
            </w:tr>
            <w:tr w:rsidR="0025317C" w:rsidRPr="00131EED" w14:paraId="69D7D4CD" w14:textId="77777777" w:rsidTr="0025317C">
              <w:trPr>
                <w:trHeight w:val="288"/>
              </w:trPr>
              <w:tc>
                <w:tcPr>
                  <w:tcW w:w="620" w:type="dxa"/>
                  <w:tcBorders>
                    <w:top w:val="nil"/>
                    <w:left w:val="single" w:sz="4" w:space="0" w:color="auto"/>
                    <w:bottom w:val="single" w:sz="4" w:space="0" w:color="auto"/>
                    <w:right w:val="single" w:sz="4" w:space="0" w:color="auto"/>
                  </w:tcBorders>
                  <w:noWrap/>
                  <w:vAlign w:val="center"/>
                  <w:hideMark/>
                </w:tcPr>
                <w:p w14:paraId="5C57E85E" w14:textId="77777777" w:rsidR="0025317C" w:rsidRPr="00131EED" w:rsidRDefault="0025317C" w:rsidP="0025317C">
                  <w:pPr>
                    <w:jc w:val="center"/>
                    <w:rPr>
                      <w:color w:val="000000"/>
                      <w:sz w:val="20"/>
                      <w:szCs w:val="20"/>
                      <w:lang w:eastAsia="en-US"/>
                    </w:rPr>
                  </w:pPr>
                  <w:r w:rsidRPr="00131EED">
                    <w:rPr>
                      <w:color w:val="000000"/>
                      <w:sz w:val="20"/>
                      <w:szCs w:val="20"/>
                      <w:lang w:eastAsia="en-US"/>
                    </w:rPr>
                    <w:t>ZU</w:t>
                  </w:r>
                </w:p>
              </w:tc>
              <w:tc>
                <w:tcPr>
                  <w:tcW w:w="1040" w:type="dxa"/>
                  <w:tcBorders>
                    <w:top w:val="nil"/>
                    <w:left w:val="nil"/>
                    <w:bottom w:val="single" w:sz="4" w:space="0" w:color="auto"/>
                    <w:right w:val="single" w:sz="4" w:space="0" w:color="auto"/>
                  </w:tcBorders>
                  <w:noWrap/>
                  <w:vAlign w:val="center"/>
                  <w:hideMark/>
                </w:tcPr>
                <w:p w14:paraId="337A3F55" w14:textId="77777777" w:rsidR="0025317C" w:rsidRPr="00131EED" w:rsidRDefault="0025317C" w:rsidP="0025317C">
                  <w:pPr>
                    <w:jc w:val="center"/>
                    <w:rPr>
                      <w:color w:val="000000"/>
                      <w:sz w:val="20"/>
                      <w:szCs w:val="20"/>
                      <w:lang w:eastAsia="en-US"/>
                    </w:rPr>
                  </w:pPr>
                  <w:r w:rsidRPr="00131EED">
                    <w:rPr>
                      <w:color w:val="000000"/>
                      <w:sz w:val="20"/>
                      <w:szCs w:val="20"/>
                      <w:lang w:eastAsia="en-US"/>
                    </w:rPr>
                    <w:t>36265.69</w:t>
                  </w:r>
                </w:p>
              </w:tc>
              <w:tc>
                <w:tcPr>
                  <w:tcW w:w="1440" w:type="dxa"/>
                  <w:tcBorders>
                    <w:top w:val="nil"/>
                    <w:left w:val="nil"/>
                    <w:bottom w:val="single" w:sz="4" w:space="0" w:color="auto"/>
                    <w:right w:val="single" w:sz="4" w:space="0" w:color="auto"/>
                  </w:tcBorders>
                  <w:noWrap/>
                  <w:vAlign w:val="center"/>
                  <w:hideMark/>
                </w:tcPr>
                <w:p w14:paraId="73DC69E8" w14:textId="77777777" w:rsidR="0025317C" w:rsidRPr="00131EED" w:rsidRDefault="0025317C" w:rsidP="0025317C">
                  <w:pPr>
                    <w:jc w:val="center"/>
                    <w:rPr>
                      <w:color w:val="000000"/>
                      <w:sz w:val="20"/>
                      <w:szCs w:val="20"/>
                      <w:lang w:eastAsia="en-US"/>
                    </w:rPr>
                  </w:pPr>
                  <w:r w:rsidRPr="00131EED">
                    <w:rPr>
                      <w:color w:val="000000"/>
                      <w:sz w:val="20"/>
                      <w:szCs w:val="20"/>
                      <w:lang w:eastAsia="en-US"/>
                    </w:rPr>
                    <w:t>8.48%</w:t>
                  </w:r>
                </w:p>
              </w:tc>
            </w:tr>
            <w:tr w:rsidR="0025317C" w:rsidRPr="00131EED" w14:paraId="53EEEF4B" w14:textId="77777777" w:rsidTr="0025317C">
              <w:trPr>
                <w:trHeight w:val="288"/>
              </w:trPr>
              <w:tc>
                <w:tcPr>
                  <w:tcW w:w="620" w:type="dxa"/>
                  <w:tcBorders>
                    <w:top w:val="nil"/>
                    <w:left w:val="single" w:sz="4" w:space="0" w:color="auto"/>
                    <w:bottom w:val="single" w:sz="4" w:space="0" w:color="auto"/>
                    <w:right w:val="single" w:sz="4" w:space="0" w:color="auto"/>
                  </w:tcBorders>
                  <w:noWrap/>
                  <w:vAlign w:val="center"/>
                  <w:hideMark/>
                </w:tcPr>
                <w:p w14:paraId="180BAF7E" w14:textId="77777777" w:rsidR="0025317C" w:rsidRPr="00131EED" w:rsidRDefault="0025317C" w:rsidP="0025317C">
                  <w:pPr>
                    <w:jc w:val="center"/>
                    <w:rPr>
                      <w:color w:val="000000"/>
                      <w:sz w:val="20"/>
                      <w:szCs w:val="20"/>
                      <w:lang w:eastAsia="en-US"/>
                    </w:rPr>
                  </w:pPr>
                  <w:r w:rsidRPr="00131EED">
                    <w:rPr>
                      <w:color w:val="000000"/>
                      <w:sz w:val="20"/>
                      <w:szCs w:val="20"/>
                      <w:lang w:eastAsia="en-US"/>
                    </w:rPr>
                    <w:t>Total</w:t>
                  </w:r>
                </w:p>
              </w:tc>
              <w:tc>
                <w:tcPr>
                  <w:tcW w:w="1040" w:type="dxa"/>
                  <w:tcBorders>
                    <w:top w:val="nil"/>
                    <w:left w:val="nil"/>
                    <w:bottom w:val="single" w:sz="4" w:space="0" w:color="auto"/>
                    <w:right w:val="single" w:sz="4" w:space="0" w:color="auto"/>
                  </w:tcBorders>
                  <w:noWrap/>
                  <w:vAlign w:val="center"/>
                  <w:hideMark/>
                </w:tcPr>
                <w:p w14:paraId="13582149" w14:textId="77777777" w:rsidR="0025317C" w:rsidRPr="00131EED" w:rsidRDefault="0025317C" w:rsidP="0025317C">
                  <w:pPr>
                    <w:jc w:val="center"/>
                    <w:rPr>
                      <w:color w:val="000000"/>
                      <w:sz w:val="20"/>
                      <w:szCs w:val="20"/>
                      <w:lang w:eastAsia="en-US"/>
                    </w:rPr>
                  </w:pPr>
                  <w:r w:rsidRPr="00131EED">
                    <w:rPr>
                      <w:color w:val="000000"/>
                      <w:sz w:val="20"/>
                      <w:szCs w:val="20"/>
                      <w:lang w:eastAsia="en-US"/>
                    </w:rPr>
                    <w:t>427536.59</w:t>
                  </w:r>
                </w:p>
              </w:tc>
              <w:tc>
                <w:tcPr>
                  <w:tcW w:w="1440" w:type="dxa"/>
                  <w:tcBorders>
                    <w:top w:val="nil"/>
                    <w:left w:val="nil"/>
                    <w:bottom w:val="single" w:sz="4" w:space="0" w:color="auto"/>
                    <w:right w:val="single" w:sz="4" w:space="0" w:color="auto"/>
                  </w:tcBorders>
                  <w:noWrap/>
                  <w:vAlign w:val="center"/>
                  <w:hideMark/>
                </w:tcPr>
                <w:p w14:paraId="37019CF3" w14:textId="77777777" w:rsidR="0025317C" w:rsidRPr="00131EED" w:rsidRDefault="0025317C" w:rsidP="0025317C">
                  <w:pPr>
                    <w:jc w:val="center"/>
                    <w:rPr>
                      <w:color w:val="000000"/>
                      <w:sz w:val="20"/>
                      <w:szCs w:val="20"/>
                      <w:lang w:eastAsia="en-US"/>
                    </w:rPr>
                  </w:pPr>
                  <w:r w:rsidRPr="00131EED">
                    <w:rPr>
                      <w:color w:val="000000"/>
                      <w:sz w:val="20"/>
                      <w:szCs w:val="20"/>
                      <w:lang w:eastAsia="en-US"/>
                    </w:rPr>
                    <w:t>100.00%</w:t>
                  </w:r>
                </w:p>
              </w:tc>
            </w:tr>
          </w:tbl>
          <w:p w14:paraId="328BA1A3" w14:textId="77777777" w:rsidR="0025317C" w:rsidRPr="00131EED" w:rsidRDefault="0025317C" w:rsidP="00F83B80">
            <w:pPr>
              <w:keepNext/>
              <w:jc w:val="center"/>
              <w:rPr>
                <w:lang w:eastAsia="en-US"/>
              </w:rPr>
            </w:pPr>
          </w:p>
        </w:tc>
      </w:tr>
    </w:tbl>
    <w:p w14:paraId="67F58AC7" w14:textId="5C81D327" w:rsidR="00F83B80" w:rsidRPr="00131EED" w:rsidRDefault="00F83B80" w:rsidP="00F83B80">
      <w:pPr>
        <w:pStyle w:val="Caption"/>
        <w:spacing w:after="0"/>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Fuente: IGAC (2001)</w:t>
      </w:r>
    </w:p>
    <w:p w14:paraId="2C4CD9F2" w14:textId="77777777" w:rsidR="00F83B80" w:rsidRPr="00131EED" w:rsidRDefault="00F83B80" w:rsidP="00565CA7">
      <w:pPr>
        <w:pStyle w:val="Caption"/>
        <w:spacing w:after="0"/>
        <w:rPr>
          <w:rFonts w:ascii="Baskerville Old Face" w:hAnsi="Baskerville Old Face"/>
          <w:i w:val="0"/>
          <w:color w:val="auto"/>
          <w:sz w:val="24"/>
          <w:szCs w:val="24"/>
        </w:rPr>
      </w:pPr>
    </w:p>
    <w:p w14:paraId="51931838" w14:textId="3202F69F" w:rsidR="00565CA7" w:rsidRPr="00131EED" w:rsidRDefault="00565CA7" w:rsidP="00565CA7">
      <w:pPr>
        <w:pStyle w:val="Caption"/>
        <w:spacing w:after="0"/>
        <w:rPr>
          <w:rFonts w:ascii="Baskerville Old Face" w:hAnsi="Baskerville Old Face"/>
          <w:i w:val="0"/>
          <w:color w:val="auto"/>
          <w:sz w:val="24"/>
          <w:szCs w:val="24"/>
        </w:rPr>
      </w:pPr>
      <w:r w:rsidRPr="00131EED">
        <w:rPr>
          <w:rFonts w:ascii="Baskerville Old Face" w:hAnsi="Baskerville Old Face"/>
          <w:i w:val="0"/>
          <w:color w:val="auto"/>
          <w:sz w:val="24"/>
          <w:szCs w:val="24"/>
        </w:rPr>
        <w:t xml:space="preserve">El proceso de artificialización de las coberturas naturales, principalmente por sellamiento, ha provocado la pérdida de suelos, especialmente aquellos con capacidad agrológica clase II, III, IV y V. Comparando la información agrológica del Instituto Geográfico Agustín Codazzi con la huella de ocupación 2005-2018, se determinó que la expansión urbana intercensal ha implicado la pérdida de </w:t>
      </w:r>
      <w:r w:rsidR="0060316A" w:rsidRPr="00131EED">
        <w:rPr>
          <w:rFonts w:ascii="Baskerville Old Face" w:hAnsi="Baskerville Old Face"/>
          <w:i w:val="0"/>
          <w:color w:val="auto"/>
          <w:sz w:val="24"/>
          <w:szCs w:val="24"/>
        </w:rPr>
        <w:t>12.037,47</w:t>
      </w:r>
      <w:r w:rsidRPr="00131EED">
        <w:rPr>
          <w:rFonts w:ascii="Baskerville Old Face" w:hAnsi="Baskerville Old Face"/>
          <w:i w:val="0"/>
          <w:color w:val="auto"/>
          <w:sz w:val="24"/>
          <w:szCs w:val="24"/>
        </w:rPr>
        <w:t xml:space="preserve"> hectáreas de suelos aptos para la producción de alimentos</w:t>
      </w:r>
      <w:r w:rsidR="0060316A" w:rsidRPr="00131EED">
        <w:rPr>
          <w:rFonts w:ascii="Baskerville Old Face" w:hAnsi="Baskerville Old Face"/>
          <w:i w:val="0"/>
          <w:color w:val="auto"/>
          <w:sz w:val="24"/>
          <w:szCs w:val="24"/>
        </w:rPr>
        <w:t>, como se evidencia a continuación:</w:t>
      </w:r>
    </w:p>
    <w:p w14:paraId="58FCE549" w14:textId="77777777" w:rsidR="002C1A91" w:rsidRPr="00131EED" w:rsidRDefault="002C1A91" w:rsidP="002C1A91">
      <w:pPr>
        <w:rPr>
          <w:lang w:eastAsia="en-US"/>
        </w:rPr>
      </w:pPr>
    </w:p>
    <w:p w14:paraId="0A20416D" w14:textId="1EA46CAC" w:rsidR="002C1A91" w:rsidRPr="00131EED" w:rsidRDefault="002C1A91" w:rsidP="002C1A91">
      <w:pPr>
        <w:pStyle w:val="Caption"/>
        <w:keepNext/>
        <w:jc w:val="center"/>
      </w:pPr>
      <w:bookmarkStart w:id="352" w:name="_Toc216468970"/>
      <w:r w:rsidRPr="00131EED">
        <w:t xml:space="preserve">Tabla </w:t>
      </w:r>
      <w:fldSimple w:instr=" SEQ Tabla \* ARABIC ">
        <w:r w:rsidR="00CE096F">
          <w:rPr>
            <w:noProof/>
          </w:rPr>
          <w:t>60</w:t>
        </w:r>
      </w:fldSimple>
      <w:r w:rsidRPr="00131EED">
        <w:t>. Área de territorios artificializados sobre suelos de clase II, III, IV y V año 2002.</w:t>
      </w:r>
      <w:bookmarkEnd w:id="352"/>
    </w:p>
    <w:tbl>
      <w:tblPr>
        <w:tblW w:w="4815" w:type="dxa"/>
        <w:jc w:val="center"/>
        <w:tblLook w:val="04A0" w:firstRow="1" w:lastRow="0" w:firstColumn="1" w:lastColumn="0" w:noHBand="0" w:noVBand="1"/>
      </w:tblPr>
      <w:tblGrid>
        <w:gridCol w:w="721"/>
        <w:gridCol w:w="1542"/>
        <w:gridCol w:w="1052"/>
        <w:gridCol w:w="1500"/>
      </w:tblGrid>
      <w:tr w:rsidR="002C1A91" w:rsidRPr="00131EED" w14:paraId="085E6044" w14:textId="77777777" w:rsidTr="00090843">
        <w:trPr>
          <w:trHeight w:val="288"/>
          <w:jc w:val="center"/>
        </w:trPr>
        <w:tc>
          <w:tcPr>
            <w:tcW w:w="4815" w:type="dxa"/>
            <w:gridSpan w:val="4"/>
            <w:tcBorders>
              <w:top w:val="single" w:sz="4" w:space="0" w:color="auto"/>
              <w:left w:val="single" w:sz="4" w:space="0" w:color="auto"/>
              <w:bottom w:val="single" w:sz="4" w:space="0" w:color="auto"/>
              <w:right w:val="single" w:sz="4" w:space="0" w:color="auto"/>
            </w:tcBorders>
            <w:noWrap/>
            <w:vAlign w:val="bottom"/>
            <w:hideMark/>
          </w:tcPr>
          <w:p w14:paraId="127AB42A" w14:textId="77777777" w:rsidR="002C1A91" w:rsidRPr="00131EED" w:rsidRDefault="002C1A91" w:rsidP="00CB5315">
            <w:pPr>
              <w:jc w:val="center"/>
              <w:rPr>
                <w:b/>
                <w:color w:val="000000"/>
                <w:sz w:val="20"/>
                <w:szCs w:val="20"/>
                <w:lang w:eastAsia="en-US"/>
              </w:rPr>
            </w:pPr>
            <w:r w:rsidRPr="00131EED">
              <w:rPr>
                <w:b/>
                <w:color w:val="000000"/>
                <w:sz w:val="20"/>
                <w:szCs w:val="20"/>
                <w:lang w:eastAsia="en-US"/>
              </w:rPr>
              <w:t>Año 2002</w:t>
            </w:r>
          </w:p>
        </w:tc>
      </w:tr>
      <w:tr w:rsidR="002C1A91" w:rsidRPr="00131EED" w14:paraId="6FD8CD23" w14:textId="77777777" w:rsidTr="00090843">
        <w:trPr>
          <w:trHeight w:val="288"/>
          <w:jc w:val="center"/>
        </w:trPr>
        <w:tc>
          <w:tcPr>
            <w:tcW w:w="721" w:type="dxa"/>
            <w:tcBorders>
              <w:top w:val="nil"/>
              <w:left w:val="single" w:sz="4" w:space="0" w:color="auto"/>
              <w:bottom w:val="single" w:sz="4" w:space="0" w:color="auto"/>
              <w:right w:val="single" w:sz="4" w:space="0" w:color="auto"/>
            </w:tcBorders>
            <w:noWrap/>
            <w:vAlign w:val="center"/>
            <w:hideMark/>
          </w:tcPr>
          <w:p w14:paraId="279FBC3D" w14:textId="77777777" w:rsidR="002C1A91" w:rsidRPr="00131EED" w:rsidRDefault="002C1A91" w:rsidP="00CB5315">
            <w:pPr>
              <w:jc w:val="center"/>
              <w:rPr>
                <w:b/>
                <w:color w:val="000000"/>
                <w:sz w:val="20"/>
                <w:szCs w:val="20"/>
                <w:lang w:eastAsia="en-US"/>
              </w:rPr>
            </w:pPr>
            <w:r w:rsidRPr="00131EED">
              <w:rPr>
                <w:b/>
                <w:color w:val="000000"/>
                <w:sz w:val="20"/>
                <w:szCs w:val="20"/>
                <w:lang w:eastAsia="en-US"/>
              </w:rPr>
              <w:t>Clase</w:t>
            </w:r>
          </w:p>
        </w:tc>
        <w:tc>
          <w:tcPr>
            <w:tcW w:w="1542" w:type="dxa"/>
            <w:tcBorders>
              <w:top w:val="nil"/>
              <w:left w:val="nil"/>
              <w:bottom w:val="single" w:sz="4" w:space="0" w:color="auto"/>
              <w:right w:val="single" w:sz="4" w:space="0" w:color="auto"/>
            </w:tcBorders>
            <w:noWrap/>
            <w:vAlign w:val="center"/>
            <w:hideMark/>
          </w:tcPr>
          <w:p w14:paraId="36053818" w14:textId="77777777" w:rsidR="002C1A91" w:rsidRPr="00131EED" w:rsidRDefault="002C1A91" w:rsidP="00CB5315">
            <w:pPr>
              <w:jc w:val="center"/>
              <w:rPr>
                <w:b/>
                <w:color w:val="000000"/>
                <w:sz w:val="20"/>
                <w:szCs w:val="20"/>
                <w:lang w:eastAsia="en-US"/>
              </w:rPr>
            </w:pPr>
            <w:r w:rsidRPr="00131EED">
              <w:rPr>
                <w:b/>
                <w:color w:val="000000"/>
                <w:sz w:val="20"/>
                <w:szCs w:val="20"/>
                <w:lang w:eastAsia="en-US"/>
              </w:rPr>
              <w:t>Área de Territorio Artificializado (ha)</w:t>
            </w:r>
          </w:p>
        </w:tc>
        <w:tc>
          <w:tcPr>
            <w:tcW w:w="1052" w:type="dxa"/>
            <w:tcBorders>
              <w:top w:val="nil"/>
              <w:left w:val="nil"/>
              <w:bottom w:val="single" w:sz="4" w:space="0" w:color="auto"/>
              <w:right w:val="single" w:sz="4" w:space="0" w:color="auto"/>
            </w:tcBorders>
            <w:noWrap/>
            <w:vAlign w:val="center"/>
            <w:hideMark/>
          </w:tcPr>
          <w:p w14:paraId="0145B296" w14:textId="77777777" w:rsidR="002C1A91" w:rsidRPr="00131EED" w:rsidRDefault="002C1A91" w:rsidP="00CB5315">
            <w:pPr>
              <w:jc w:val="center"/>
              <w:rPr>
                <w:b/>
                <w:color w:val="000000"/>
                <w:sz w:val="20"/>
                <w:szCs w:val="20"/>
                <w:lang w:eastAsia="en-US"/>
              </w:rPr>
            </w:pPr>
            <w:r w:rsidRPr="00131EED">
              <w:rPr>
                <w:b/>
                <w:color w:val="000000"/>
                <w:sz w:val="20"/>
                <w:szCs w:val="20"/>
                <w:lang w:eastAsia="en-US"/>
              </w:rPr>
              <w:t>Área total de la clase (ha)</w:t>
            </w:r>
          </w:p>
        </w:tc>
        <w:tc>
          <w:tcPr>
            <w:tcW w:w="1500" w:type="dxa"/>
            <w:tcBorders>
              <w:top w:val="nil"/>
              <w:left w:val="nil"/>
              <w:bottom w:val="single" w:sz="4" w:space="0" w:color="auto"/>
              <w:right w:val="single" w:sz="4" w:space="0" w:color="auto"/>
            </w:tcBorders>
            <w:noWrap/>
            <w:vAlign w:val="center"/>
            <w:hideMark/>
          </w:tcPr>
          <w:p w14:paraId="69E0CB01" w14:textId="77777777" w:rsidR="002C1A91" w:rsidRPr="00131EED" w:rsidRDefault="002C1A91" w:rsidP="00CB5315">
            <w:pPr>
              <w:jc w:val="center"/>
              <w:rPr>
                <w:b/>
                <w:color w:val="000000"/>
                <w:sz w:val="20"/>
                <w:szCs w:val="20"/>
                <w:lang w:eastAsia="en-US"/>
              </w:rPr>
            </w:pPr>
            <w:r w:rsidRPr="00131EED">
              <w:rPr>
                <w:b/>
                <w:color w:val="000000"/>
                <w:sz w:val="20"/>
                <w:szCs w:val="20"/>
                <w:lang w:eastAsia="en-US"/>
              </w:rPr>
              <w:t>Porcentaje Suelo Endurecido (%)</w:t>
            </w:r>
          </w:p>
        </w:tc>
      </w:tr>
      <w:tr w:rsidR="002C1A91" w:rsidRPr="00131EED" w14:paraId="40CA162A" w14:textId="77777777" w:rsidTr="00090843">
        <w:trPr>
          <w:trHeight w:val="288"/>
          <w:jc w:val="center"/>
        </w:trPr>
        <w:tc>
          <w:tcPr>
            <w:tcW w:w="721" w:type="dxa"/>
            <w:tcBorders>
              <w:top w:val="nil"/>
              <w:left w:val="single" w:sz="4" w:space="0" w:color="auto"/>
              <w:bottom w:val="single" w:sz="4" w:space="0" w:color="auto"/>
              <w:right w:val="single" w:sz="4" w:space="0" w:color="auto"/>
            </w:tcBorders>
            <w:noWrap/>
            <w:vAlign w:val="center"/>
            <w:hideMark/>
          </w:tcPr>
          <w:p w14:paraId="6B42B2F8" w14:textId="77777777" w:rsidR="002C1A91" w:rsidRPr="00131EED" w:rsidRDefault="002C1A91" w:rsidP="00CB5315">
            <w:pPr>
              <w:jc w:val="center"/>
              <w:rPr>
                <w:b/>
                <w:color w:val="000000"/>
                <w:sz w:val="20"/>
                <w:szCs w:val="20"/>
                <w:lang w:eastAsia="en-US"/>
              </w:rPr>
            </w:pPr>
            <w:r w:rsidRPr="00131EED">
              <w:rPr>
                <w:b/>
                <w:color w:val="000000"/>
                <w:sz w:val="20"/>
                <w:szCs w:val="20"/>
                <w:lang w:eastAsia="en-US"/>
              </w:rPr>
              <w:t>II</w:t>
            </w:r>
          </w:p>
        </w:tc>
        <w:tc>
          <w:tcPr>
            <w:tcW w:w="1542" w:type="dxa"/>
            <w:tcBorders>
              <w:top w:val="nil"/>
              <w:left w:val="nil"/>
              <w:bottom w:val="single" w:sz="4" w:space="0" w:color="auto"/>
              <w:right w:val="single" w:sz="4" w:space="0" w:color="auto"/>
            </w:tcBorders>
            <w:noWrap/>
            <w:vAlign w:val="center"/>
            <w:hideMark/>
          </w:tcPr>
          <w:p w14:paraId="78D8CCA6" w14:textId="77777777" w:rsidR="002C1A91" w:rsidRPr="00131EED" w:rsidRDefault="002C1A91" w:rsidP="00CB5315">
            <w:pPr>
              <w:jc w:val="center"/>
              <w:rPr>
                <w:color w:val="000000"/>
                <w:sz w:val="20"/>
                <w:szCs w:val="20"/>
                <w:lang w:eastAsia="en-US"/>
              </w:rPr>
            </w:pPr>
            <w:r w:rsidRPr="00131EED">
              <w:rPr>
                <w:color w:val="000000"/>
                <w:sz w:val="20"/>
                <w:szCs w:val="20"/>
                <w:lang w:eastAsia="en-US"/>
              </w:rPr>
              <w:t>2551.71</w:t>
            </w:r>
          </w:p>
        </w:tc>
        <w:tc>
          <w:tcPr>
            <w:tcW w:w="1052" w:type="dxa"/>
            <w:tcBorders>
              <w:top w:val="nil"/>
              <w:left w:val="nil"/>
              <w:bottom w:val="single" w:sz="4" w:space="0" w:color="auto"/>
              <w:right w:val="single" w:sz="4" w:space="0" w:color="auto"/>
            </w:tcBorders>
            <w:noWrap/>
            <w:vAlign w:val="center"/>
            <w:hideMark/>
          </w:tcPr>
          <w:p w14:paraId="3030068C" w14:textId="77777777" w:rsidR="002C1A91" w:rsidRPr="00131EED" w:rsidRDefault="002C1A91" w:rsidP="00CB5315">
            <w:pPr>
              <w:jc w:val="center"/>
              <w:rPr>
                <w:color w:val="000000"/>
                <w:sz w:val="20"/>
                <w:szCs w:val="20"/>
                <w:lang w:eastAsia="en-US"/>
              </w:rPr>
            </w:pPr>
            <w:r w:rsidRPr="00131EED">
              <w:rPr>
                <w:color w:val="000000"/>
                <w:sz w:val="20"/>
                <w:szCs w:val="20"/>
                <w:lang w:eastAsia="en-US"/>
              </w:rPr>
              <w:t>84215.44</w:t>
            </w:r>
          </w:p>
        </w:tc>
        <w:tc>
          <w:tcPr>
            <w:tcW w:w="1500" w:type="dxa"/>
            <w:tcBorders>
              <w:top w:val="nil"/>
              <w:left w:val="nil"/>
              <w:bottom w:val="single" w:sz="4" w:space="0" w:color="auto"/>
              <w:right w:val="single" w:sz="4" w:space="0" w:color="auto"/>
            </w:tcBorders>
            <w:noWrap/>
            <w:vAlign w:val="center"/>
            <w:hideMark/>
          </w:tcPr>
          <w:p w14:paraId="3D7807A5" w14:textId="77777777" w:rsidR="002C1A91" w:rsidRPr="00131EED" w:rsidRDefault="002C1A91" w:rsidP="00CB5315">
            <w:pPr>
              <w:jc w:val="center"/>
              <w:rPr>
                <w:color w:val="000000"/>
                <w:sz w:val="20"/>
                <w:szCs w:val="20"/>
                <w:lang w:eastAsia="en-US"/>
              </w:rPr>
            </w:pPr>
            <w:r w:rsidRPr="00131EED">
              <w:rPr>
                <w:color w:val="000000"/>
                <w:sz w:val="20"/>
                <w:szCs w:val="20"/>
                <w:lang w:eastAsia="en-US"/>
              </w:rPr>
              <w:t>3.03%</w:t>
            </w:r>
          </w:p>
        </w:tc>
      </w:tr>
      <w:tr w:rsidR="002C1A91" w:rsidRPr="00131EED" w14:paraId="751545EB" w14:textId="77777777" w:rsidTr="00090843">
        <w:trPr>
          <w:trHeight w:val="288"/>
          <w:jc w:val="center"/>
        </w:trPr>
        <w:tc>
          <w:tcPr>
            <w:tcW w:w="721" w:type="dxa"/>
            <w:tcBorders>
              <w:top w:val="nil"/>
              <w:left w:val="single" w:sz="4" w:space="0" w:color="auto"/>
              <w:bottom w:val="single" w:sz="4" w:space="0" w:color="auto"/>
              <w:right w:val="single" w:sz="4" w:space="0" w:color="auto"/>
            </w:tcBorders>
            <w:noWrap/>
            <w:vAlign w:val="center"/>
            <w:hideMark/>
          </w:tcPr>
          <w:p w14:paraId="23C11F34" w14:textId="77777777" w:rsidR="002C1A91" w:rsidRPr="00131EED" w:rsidRDefault="002C1A91" w:rsidP="00CB5315">
            <w:pPr>
              <w:jc w:val="center"/>
              <w:rPr>
                <w:b/>
                <w:color w:val="000000"/>
                <w:sz w:val="20"/>
                <w:szCs w:val="20"/>
                <w:lang w:eastAsia="en-US"/>
              </w:rPr>
            </w:pPr>
            <w:r w:rsidRPr="00131EED">
              <w:rPr>
                <w:b/>
                <w:color w:val="000000"/>
                <w:sz w:val="20"/>
                <w:szCs w:val="20"/>
                <w:lang w:eastAsia="en-US"/>
              </w:rPr>
              <w:t>III</w:t>
            </w:r>
          </w:p>
        </w:tc>
        <w:tc>
          <w:tcPr>
            <w:tcW w:w="1542" w:type="dxa"/>
            <w:tcBorders>
              <w:top w:val="nil"/>
              <w:left w:val="nil"/>
              <w:bottom w:val="single" w:sz="4" w:space="0" w:color="auto"/>
              <w:right w:val="single" w:sz="4" w:space="0" w:color="auto"/>
            </w:tcBorders>
            <w:noWrap/>
            <w:vAlign w:val="center"/>
            <w:hideMark/>
          </w:tcPr>
          <w:p w14:paraId="42D6CE7B" w14:textId="77777777" w:rsidR="002C1A91" w:rsidRPr="00131EED" w:rsidRDefault="002C1A91" w:rsidP="00CB5315">
            <w:pPr>
              <w:jc w:val="center"/>
              <w:rPr>
                <w:color w:val="000000"/>
                <w:sz w:val="20"/>
                <w:szCs w:val="20"/>
                <w:lang w:eastAsia="en-US"/>
              </w:rPr>
            </w:pPr>
            <w:r w:rsidRPr="00131EED">
              <w:rPr>
                <w:color w:val="000000"/>
                <w:sz w:val="20"/>
                <w:szCs w:val="20"/>
                <w:lang w:eastAsia="en-US"/>
              </w:rPr>
              <w:t>21.29</w:t>
            </w:r>
          </w:p>
        </w:tc>
        <w:tc>
          <w:tcPr>
            <w:tcW w:w="1052" w:type="dxa"/>
            <w:tcBorders>
              <w:top w:val="nil"/>
              <w:left w:val="nil"/>
              <w:bottom w:val="single" w:sz="4" w:space="0" w:color="auto"/>
              <w:right w:val="single" w:sz="4" w:space="0" w:color="auto"/>
            </w:tcBorders>
            <w:noWrap/>
            <w:vAlign w:val="center"/>
            <w:hideMark/>
          </w:tcPr>
          <w:p w14:paraId="45BC0E30" w14:textId="77777777" w:rsidR="002C1A91" w:rsidRPr="00131EED" w:rsidRDefault="002C1A91" w:rsidP="00CB5315">
            <w:pPr>
              <w:jc w:val="center"/>
              <w:rPr>
                <w:color w:val="000000"/>
                <w:sz w:val="20"/>
                <w:szCs w:val="20"/>
                <w:lang w:eastAsia="en-US"/>
              </w:rPr>
            </w:pPr>
            <w:r w:rsidRPr="00131EED">
              <w:rPr>
                <w:color w:val="000000"/>
                <w:sz w:val="20"/>
                <w:szCs w:val="20"/>
                <w:lang w:eastAsia="en-US"/>
              </w:rPr>
              <w:t>11193.62</w:t>
            </w:r>
          </w:p>
        </w:tc>
        <w:tc>
          <w:tcPr>
            <w:tcW w:w="1500" w:type="dxa"/>
            <w:tcBorders>
              <w:top w:val="nil"/>
              <w:left w:val="nil"/>
              <w:bottom w:val="single" w:sz="4" w:space="0" w:color="auto"/>
              <w:right w:val="single" w:sz="4" w:space="0" w:color="auto"/>
            </w:tcBorders>
            <w:noWrap/>
            <w:vAlign w:val="center"/>
            <w:hideMark/>
          </w:tcPr>
          <w:p w14:paraId="5A79288B" w14:textId="77777777" w:rsidR="002C1A91" w:rsidRPr="00131EED" w:rsidRDefault="002C1A91" w:rsidP="00CB5315">
            <w:pPr>
              <w:jc w:val="center"/>
              <w:rPr>
                <w:color w:val="000000"/>
                <w:sz w:val="20"/>
                <w:szCs w:val="20"/>
                <w:lang w:eastAsia="en-US"/>
              </w:rPr>
            </w:pPr>
            <w:r w:rsidRPr="00131EED">
              <w:rPr>
                <w:color w:val="000000"/>
                <w:sz w:val="20"/>
                <w:szCs w:val="20"/>
                <w:lang w:eastAsia="en-US"/>
              </w:rPr>
              <w:t>0.19%</w:t>
            </w:r>
          </w:p>
        </w:tc>
      </w:tr>
      <w:tr w:rsidR="002C1A91" w:rsidRPr="00131EED" w14:paraId="74096790" w14:textId="77777777" w:rsidTr="00090843">
        <w:trPr>
          <w:trHeight w:val="288"/>
          <w:jc w:val="center"/>
        </w:trPr>
        <w:tc>
          <w:tcPr>
            <w:tcW w:w="721" w:type="dxa"/>
            <w:tcBorders>
              <w:top w:val="nil"/>
              <w:left w:val="single" w:sz="4" w:space="0" w:color="auto"/>
              <w:bottom w:val="single" w:sz="4" w:space="0" w:color="auto"/>
              <w:right w:val="single" w:sz="4" w:space="0" w:color="auto"/>
            </w:tcBorders>
            <w:noWrap/>
            <w:vAlign w:val="center"/>
            <w:hideMark/>
          </w:tcPr>
          <w:p w14:paraId="4C283804" w14:textId="77777777" w:rsidR="002C1A91" w:rsidRPr="00131EED" w:rsidRDefault="002C1A91" w:rsidP="00CB5315">
            <w:pPr>
              <w:jc w:val="center"/>
              <w:rPr>
                <w:b/>
                <w:color w:val="000000"/>
                <w:sz w:val="20"/>
                <w:szCs w:val="20"/>
                <w:lang w:eastAsia="en-US"/>
              </w:rPr>
            </w:pPr>
            <w:r w:rsidRPr="00131EED">
              <w:rPr>
                <w:b/>
                <w:color w:val="000000"/>
                <w:sz w:val="20"/>
                <w:szCs w:val="20"/>
                <w:lang w:eastAsia="en-US"/>
              </w:rPr>
              <w:t>IV</w:t>
            </w:r>
          </w:p>
        </w:tc>
        <w:tc>
          <w:tcPr>
            <w:tcW w:w="1542" w:type="dxa"/>
            <w:tcBorders>
              <w:top w:val="nil"/>
              <w:left w:val="nil"/>
              <w:bottom w:val="single" w:sz="4" w:space="0" w:color="auto"/>
              <w:right w:val="single" w:sz="4" w:space="0" w:color="auto"/>
            </w:tcBorders>
            <w:noWrap/>
            <w:vAlign w:val="center"/>
            <w:hideMark/>
          </w:tcPr>
          <w:p w14:paraId="3DF9BDCE" w14:textId="77777777" w:rsidR="002C1A91" w:rsidRPr="00131EED" w:rsidRDefault="002C1A91" w:rsidP="00CB5315">
            <w:pPr>
              <w:jc w:val="center"/>
              <w:rPr>
                <w:color w:val="000000"/>
                <w:sz w:val="20"/>
                <w:szCs w:val="20"/>
                <w:lang w:eastAsia="en-US"/>
              </w:rPr>
            </w:pPr>
            <w:r w:rsidRPr="00131EED">
              <w:rPr>
                <w:color w:val="000000"/>
                <w:sz w:val="20"/>
                <w:szCs w:val="20"/>
                <w:lang w:eastAsia="en-US"/>
              </w:rPr>
              <w:t>2109.13</w:t>
            </w:r>
          </w:p>
        </w:tc>
        <w:tc>
          <w:tcPr>
            <w:tcW w:w="1052" w:type="dxa"/>
            <w:tcBorders>
              <w:top w:val="nil"/>
              <w:left w:val="nil"/>
              <w:bottom w:val="single" w:sz="4" w:space="0" w:color="auto"/>
              <w:right w:val="single" w:sz="4" w:space="0" w:color="auto"/>
            </w:tcBorders>
            <w:noWrap/>
            <w:vAlign w:val="center"/>
            <w:hideMark/>
          </w:tcPr>
          <w:p w14:paraId="30F36533" w14:textId="77777777" w:rsidR="002C1A91" w:rsidRPr="00131EED" w:rsidRDefault="002C1A91" w:rsidP="00CB5315">
            <w:pPr>
              <w:jc w:val="center"/>
              <w:rPr>
                <w:color w:val="000000"/>
                <w:sz w:val="20"/>
                <w:szCs w:val="20"/>
                <w:lang w:eastAsia="en-US"/>
              </w:rPr>
            </w:pPr>
            <w:r w:rsidRPr="00131EED">
              <w:rPr>
                <w:color w:val="000000"/>
                <w:sz w:val="20"/>
                <w:szCs w:val="20"/>
                <w:lang w:eastAsia="en-US"/>
              </w:rPr>
              <w:t>109242.87</w:t>
            </w:r>
          </w:p>
        </w:tc>
        <w:tc>
          <w:tcPr>
            <w:tcW w:w="1500" w:type="dxa"/>
            <w:tcBorders>
              <w:top w:val="nil"/>
              <w:left w:val="nil"/>
              <w:bottom w:val="single" w:sz="4" w:space="0" w:color="auto"/>
              <w:right w:val="single" w:sz="4" w:space="0" w:color="auto"/>
            </w:tcBorders>
            <w:noWrap/>
            <w:vAlign w:val="center"/>
            <w:hideMark/>
          </w:tcPr>
          <w:p w14:paraId="047E1572" w14:textId="77777777" w:rsidR="002C1A91" w:rsidRPr="00131EED" w:rsidRDefault="002C1A91" w:rsidP="00CB5315">
            <w:pPr>
              <w:jc w:val="center"/>
              <w:rPr>
                <w:color w:val="000000"/>
                <w:sz w:val="20"/>
                <w:szCs w:val="20"/>
                <w:lang w:eastAsia="en-US"/>
              </w:rPr>
            </w:pPr>
            <w:r w:rsidRPr="00131EED">
              <w:rPr>
                <w:color w:val="000000"/>
                <w:sz w:val="20"/>
                <w:szCs w:val="20"/>
                <w:lang w:eastAsia="en-US"/>
              </w:rPr>
              <w:t>1.93%</w:t>
            </w:r>
          </w:p>
        </w:tc>
      </w:tr>
      <w:tr w:rsidR="002C1A91" w:rsidRPr="00131EED" w14:paraId="4FBE62ED" w14:textId="77777777" w:rsidTr="00090843">
        <w:trPr>
          <w:trHeight w:val="288"/>
          <w:jc w:val="center"/>
        </w:trPr>
        <w:tc>
          <w:tcPr>
            <w:tcW w:w="721" w:type="dxa"/>
            <w:tcBorders>
              <w:top w:val="nil"/>
              <w:left w:val="single" w:sz="4" w:space="0" w:color="auto"/>
              <w:bottom w:val="single" w:sz="4" w:space="0" w:color="auto"/>
              <w:right w:val="single" w:sz="4" w:space="0" w:color="auto"/>
            </w:tcBorders>
            <w:noWrap/>
            <w:vAlign w:val="center"/>
            <w:hideMark/>
          </w:tcPr>
          <w:p w14:paraId="27D70583" w14:textId="77777777" w:rsidR="002C1A91" w:rsidRPr="00131EED" w:rsidRDefault="002C1A91" w:rsidP="00CB5315">
            <w:pPr>
              <w:jc w:val="center"/>
              <w:rPr>
                <w:b/>
                <w:color w:val="000000"/>
                <w:sz w:val="20"/>
                <w:szCs w:val="20"/>
                <w:lang w:eastAsia="en-US"/>
              </w:rPr>
            </w:pPr>
            <w:r w:rsidRPr="00131EED">
              <w:rPr>
                <w:b/>
                <w:color w:val="000000"/>
                <w:sz w:val="20"/>
                <w:szCs w:val="20"/>
                <w:lang w:eastAsia="en-US"/>
              </w:rPr>
              <w:t>Total</w:t>
            </w:r>
          </w:p>
        </w:tc>
        <w:tc>
          <w:tcPr>
            <w:tcW w:w="1542" w:type="dxa"/>
            <w:tcBorders>
              <w:top w:val="nil"/>
              <w:left w:val="nil"/>
              <w:bottom w:val="single" w:sz="4" w:space="0" w:color="auto"/>
              <w:right w:val="single" w:sz="4" w:space="0" w:color="auto"/>
            </w:tcBorders>
            <w:noWrap/>
            <w:vAlign w:val="center"/>
            <w:hideMark/>
          </w:tcPr>
          <w:p w14:paraId="7EFB325A" w14:textId="77777777" w:rsidR="002C1A91" w:rsidRPr="00131EED" w:rsidRDefault="002C1A91" w:rsidP="00CB5315">
            <w:pPr>
              <w:jc w:val="center"/>
              <w:rPr>
                <w:color w:val="000000"/>
                <w:sz w:val="20"/>
                <w:szCs w:val="20"/>
                <w:lang w:eastAsia="en-US"/>
              </w:rPr>
            </w:pPr>
            <w:r w:rsidRPr="00131EED">
              <w:rPr>
                <w:color w:val="000000"/>
                <w:sz w:val="20"/>
                <w:szCs w:val="20"/>
                <w:lang w:eastAsia="en-US"/>
              </w:rPr>
              <w:t>4682.13</w:t>
            </w:r>
          </w:p>
        </w:tc>
        <w:tc>
          <w:tcPr>
            <w:tcW w:w="1052" w:type="dxa"/>
            <w:tcBorders>
              <w:top w:val="nil"/>
              <w:left w:val="nil"/>
              <w:bottom w:val="single" w:sz="4" w:space="0" w:color="auto"/>
              <w:right w:val="single" w:sz="4" w:space="0" w:color="auto"/>
            </w:tcBorders>
            <w:noWrap/>
            <w:vAlign w:val="center"/>
            <w:hideMark/>
          </w:tcPr>
          <w:p w14:paraId="05C796A4" w14:textId="77777777" w:rsidR="002C1A91" w:rsidRPr="00131EED" w:rsidRDefault="002C1A91" w:rsidP="00CB5315">
            <w:pPr>
              <w:jc w:val="center"/>
              <w:rPr>
                <w:color w:val="000000"/>
                <w:sz w:val="20"/>
                <w:szCs w:val="20"/>
                <w:lang w:eastAsia="en-US"/>
              </w:rPr>
            </w:pPr>
            <w:r w:rsidRPr="00131EED">
              <w:rPr>
                <w:color w:val="000000"/>
                <w:sz w:val="20"/>
                <w:szCs w:val="20"/>
                <w:lang w:eastAsia="en-US"/>
              </w:rPr>
              <w:t>204651.93</w:t>
            </w:r>
          </w:p>
        </w:tc>
        <w:tc>
          <w:tcPr>
            <w:tcW w:w="1500" w:type="dxa"/>
            <w:tcBorders>
              <w:top w:val="nil"/>
              <w:left w:val="nil"/>
              <w:bottom w:val="single" w:sz="4" w:space="0" w:color="auto"/>
              <w:right w:val="single" w:sz="4" w:space="0" w:color="auto"/>
            </w:tcBorders>
            <w:noWrap/>
            <w:vAlign w:val="center"/>
            <w:hideMark/>
          </w:tcPr>
          <w:p w14:paraId="54EAD370" w14:textId="77777777" w:rsidR="002C1A91" w:rsidRPr="00131EED" w:rsidRDefault="002C1A91" w:rsidP="00CB5315">
            <w:pPr>
              <w:jc w:val="center"/>
              <w:rPr>
                <w:color w:val="000000"/>
                <w:sz w:val="20"/>
                <w:szCs w:val="20"/>
                <w:lang w:eastAsia="en-US"/>
              </w:rPr>
            </w:pPr>
            <w:r w:rsidRPr="00131EED">
              <w:rPr>
                <w:color w:val="000000"/>
                <w:sz w:val="20"/>
                <w:szCs w:val="20"/>
                <w:lang w:eastAsia="en-US"/>
              </w:rPr>
              <w:t>5.15%</w:t>
            </w:r>
          </w:p>
        </w:tc>
      </w:tr>
    </w:tbl>
    <w:p w14:paraId="55E605DF" w14:textId="77777777" w:rsidR="002C1A91" w:rsidRPr="00131EED" w:rsidRDefault="002C1A91" w:rsidP="002C1A91">
      <w:pPr>
        <w:jc w:val="center"/>
        <w:rPr>
          <w:rFonts w:cs="Arial"/>
          <w:sz w:val="20"/>
          <w:szCs w:val="20"/>
        </w:rPr>
      </w:pPr>
      <w:r w:rsidRPr="00131EED">
        <w:rPr>
          <w:rFonts w:cs="Arial"/>
          <w:sz w:val="20"/>
          <w:szCs w:val="20"/>
        </w:rPr>
        <w:t>Fuente: Elaboración propia con datos del IGAC (2001) e IGAC (2002)</w:t>
      </w:r>
    </w:p>
    <w:p w14:paraId="13E309FD" w14:textId="77777777" w:rsidR="00711BA2" w:rsidRPr="00131EED" w:rsidRDefault="00711BA2" w:rsidP="002C1A91">
      <w:pPr>
        <w:jc w:val="center"/>
        <w:rPr>
          <w:rFonts w:cs="Arial"/>
        </w:rPr>
      </w:pPr>
    </w:p>
    <w:p w14:paraId="71B0E1C3" w14:textId="52587FFD" w:rsidR="00711BA2" w:rsidRPr="00131EED" w:rsidRDefault="00711BA2" w:rsidP="002C1A91">
      <w:pPr>
        <w:jc w:val="center"/>
        <w:rPr>
          <w:rFonts w:ascii="Arial" w:hAnsi="Arial" w:cs="Arial"/>
          <w:i/>
          <w:sz w:val="18"/>
          <w:szCs w:val="18"/>
        </w:rPr>
      </w:pPr>
      <w:bookmarkStart w:id="353" w:name="_Toc216468870"/>
      <w:r w:rsidRPr="00131EED">
        <w:rPr>
          <w:rFonts w:ascii="Arial" w:hAnsi="Arial" w:cs="Arial"/>
          <w:i/>
          <w:sz w:val="18"/>
          <w:szCs w:val="18"/>
        </w:rPr>
        <w:t xml:space="preserve">Ilustración </w:t>
      </w:r>
      <w:r w:rsidR="00DD7A96" w:rsidRPr="00131EED">
        <w:rPr>
          <w:rFonts w:ascii="Arial" w:hAnsi="Arial" w:cs="Arial"/>
          <w:i/>
          <w:sz w:val="18"/>
          <w:szCs w:val="18"/>
        </w:rPr>
        <w:fldChar w:fldCharType="begin"/>
      </w:r>
      <w:r w:rsidR="00DD7A96" w:rsidRPr="00131EED">
        <w:rPr>
          <w:rFonts w:ascii="Arial" w:hAnsi="Arial" w:cs="Arial"/>
          <w:i/>
          <w:sz w:val="18"/>
          <w:szCs w:val="18"/>
        </w:rPr>
        <w:instrText xml:space="preserve"> SEQ Ilustración \* ARABIC </w:instrText>
      </w:r>
      <w:r w:rsidR="00DD7A96" w:rsidRPr="00131EED">
        <w:rPr>
          <w:rFonts w:ascii="Arial" w:hAnsi="Arial" w:cs="Arial"/>
          <w:i/>
          <w:sz w:val="18"/>
          <w:szCs w:val="18"/>
        </w:rPr>
        <w:fldChar w:fldCharType="separate"/>
      </w:r>
      <w:r w:rsidR="00CE096F">
        <w:rPr>
          <w:rFonts w:ascii="Arial" w:hAnsi="Arial" w:cs="Arial"/>
          <w:i/>
          <w:noProof/>
          <w:sz w:val="18"/>
          <w:szCs w:val="18"/>
        </w:rPr>
        <w:t>105</w:t>
      </w:r>
      <w:r w:rsidR="00DD7A96" w:rsidRPr="00131EED">
        <w:rPr>
          <w:rFonts w:ascii="Arial" w:hAnsi="Arial" w:cs="Arial"/>
          <w:i/>
          <w:sz w:val="18"/>
          <w:szCs w:val="18"/>
        </w:rPr>
        <w:fldChar w:fldCharType="end"/>
      </w:r>
      <w:r w:rsidRPr="00131EED">
        <w:rPr>
          <w:rFonts w:ascii="Arial" w:hAnsi="Arial" w:cs="Arial"/>
          <w:i/>
          <w:sz w:val="18"/>
          <w:szCs w:val="18"/>
        </w:rPr>
        <w:t>. Territorios artificializados sobre suelos de clase I, II, IV y V año 2002.</w:t>
      </w:r>
      <w:bookmarkEnd w:id="353"/>
    </w:p>
    <w:p w14:paraId="2F431567" w14:textId="77777777" w:rsidR="00711BA2" w:rsidRPr="00131EED" w:rsidRDefault="00711BA2" w:rsidP="00711BA2">
      <w:pPr>
        <w:keepNext/>
        <w:jc w:val="center"/>
      </w:pPr>
      <w:r w:rsidRPr="00131EED">
        <w:rPr>
          <w:noProof/>
          <w:lang w:eastAsia="en-US"/>
        </w:rPr>
        <w:drawing>
          <wp:inline distT="0" distB="0" distL="0" distR="0" wp14:anchorId="3AB54FE2" wp14:editId="11F41303">
            <wp:extent cx="3337719" cy="4320000"/>
            <wp:effectExtent l="0" t="0" r="0" b="4445"/>
            <wp:docPr id="1251668176" name="Picture 50" descr="A map of the wor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668176" name="Picture 50" descr="A map of the world&#10;&#10;AI-generated content may be incorrect."/>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337719" cy="4320000"/>
                    </a:xfrm>
                    <a:prstGeom prst="rect">
                      <a:avLst/>
                    </a:prstGeom>
                    <a:noFill/>
                    <a:ln>
                      <a:noFill/>
                    </a:ln>
                  </pic:spPr>
                </pic:pic>
              </a:graphicData>
            </a:graphic>
          </wp:inline>
        </w:drawing>
      </w:r>
    </w:p>
    <w:p w14:paraId="0B566CD4" w14:textId="77777777" w:rsidR="00711BA2" w:rsidRPr="00131EED" w:rsidRDefault="00711BA2" w:rsidP="00711BA2">
      <w:pPr>
        <w:jc w:val="center"/>
        <w:rPr>
          <w:rFonts w:cs="Arial"/>
          <w:sz w:val="20"/>
          <w:szCs w:val="20"/>
        </w:rPr>
      </w:pPr>
      <w:r w:rsidRPr="00131EED">
        <w:rPr>
          <w:rFonts w:cs="Arial"/>
          <w:sz w:val="20"/>
          <w:szCs w:val="20"/>
        </w:rPr>
        <w:t>Fuente: Elaboración propia con datos del IGAC (2001) e IGAC (2002)</w:t>
      </w:r>
    </w:p>
    <w:p w14:paraId="1314F98F" w14:textId="77777777" w:rsidR="00565CA7" w:rsidRPr="00131EED" w:rsidRDefault="00565CA7" w:rsidP="00565CA7">
      <w:pPr>
        <w:rPr>
          <w:rFonts w:cs="Arial"/>
        </w:rPr>
      </w:pPr>
    </w:p>
    <w:p w14:paraId="507BC5F4" w14:textId="0E5FFAAD" w:rsidR="00D21206" w:rsidRPr="00131EED" w:rsidRDefault="00D21206" w:rsidP="0060316A">
      <w:pPr>
        <w:pStyle w:val="Caption"/>
        <w:keepNext/>
        <w:jc w:val="center"/>
      </w:pPr>
      <w:bookmarkStart w:id="354" w:name="_Toc216468971"/>
      <w:r w:rsidRPr="00131EED">
        <w:t xml:space="preserve">Tabla </w:t>
      </w:r>
      <w:fldSimple w:instr=" SEQ Tabla \* ARABIC ">
        <w:r w:rsidR="00CE096F">
          <w:rPr>
            <w:noProof/>
          </w:rPr>
          <w:t>61</w:t>
        </w:r>
      </w:fldSimple>
      <w:r w:rsidRPr="00131EED">
        <w:t>. Área de territorios artificializados sobre suelos de clase II, III</w:t>
      </w:r>
      <w:r w:rsidR="00BB749A" w:rsidRPr="00131EED">
        <w:t xml:space="preserve"> y</w:t>
      </w:r>
      <w:r w:rsidRPr="00131EED">
        <w:t xml:space="preserve"> IV año 2018.</w:t>
      </w:r>
      <w:bookmarkEnd w:id="354"/>
    </w:p>
    <w:tbl>
      <w:tblPr>
        <w:tblW w:w="5244" w:type="dxa"/>
        <w:jc w:val="center"/>
        <w:tblLook w:val="04A0" w:firstRow="1" w:lastRow="0" w:firstColumn="1" w:lastColumn="0" w:noHBand="0" w:noVBand="1"/>
      </w:tblPr>
      <w:tblGrid>
        <w:gridCol w:w="708"/>
        <w:gridCol w:w="1560"/>
        <w:gridCol w:w="1477"/>
        <w:gridCol w:w="1499"/>
      </w:tblGrid>
      <w:tr w:rsidR="00BF3DCF" w:rsidRPr="00131EED" w14:paraId="0A9E9234" w14:textId="77777777" w:rsidTr="00090843">
        <w:trPr>
          <w:trHeight w:val="288"/>
          <w:jc w:val="center"/>
        </w:trPr>
        <w:tc>
          <w:tcPr>
            <w:tcW w:w="5244" w:type="dxa"/>
            <w:gridSpan w:val="4"/>
            <w:tcBorders>
              <w:top w:val="single" w:sz="4" w:space="0" w:color="auto"/>
              <w:left w:val="single" w:sz="4" w:space="0" w:color="auto"/>
              <w:bottom w:val="single" w:sz="4" w:space="0" w:color="auto"/>
              <w:right w:val="single" w:sz="4" w:space="0" w:color="auto"/>
            </w:tcBorders>
            <w:noWrap/>
            <w:vAlign w:val="bottom"/>
            <w:hideMark/>
          </w:tcPr>
          <w:p w14:paraId="042B4263" w14:textId="77777777" w:rsidR="00BF3DCF" w:rsidRPr="00131EED" w:rsidRDefault="00BF3DCF" w:rsidP="00BF3DCF">
            <w:pPr>
              <w:jc w:val="center"/>
              <w:rPr>
                <w:b/>
                <w:color w:val="000000"/>
                <w:sz w:val="20"/>
                <w:szCs w:val="20"/>
                <w:lang w:eastAsia="en-US"/>
              </w:rPr>
            </w:pPr>
            <w:r w:rsidRPr="00131EED">
              <w:rPr>
                <w:b/>
                <w:color w:val="000000"/>
                <w:sz w:val="20"/>
                <w:szCs w:val="20"/>
                <w:lang w:eastAsia="en-US"/>
              </w:rPr>
              <w:t>Año 2018</w:t>
            </w:r>
          </w:p>
        </w:tc>
      </w:tr>
      <w:tr w:rsidR="00BF3DCF" w:rsidRPr="00131EED" w14:paraId="5B4A045B" w14:textId="77777777" w:rsidTr="00090843">
        <w:trPr>
          <w:trHeight w:val="288"/>
          <w:jc w:val="center"/>
        </w:trPr>
        <w:tc>
          <w:tcPr>
            <w:tcW w:w="708" w:type="dxa"/>
            <w:tcBorders>
              <w:top w:val="nil"/>
              <w:left w:val="single" w:sz="4" w:space="0" w:color="auto"/>
              <w:bottom w:val="single" w:sz="4" w:space="0" w:color="auto"/>
              <w:right w:val="single" w:sz="4" w:space="0" w:color="auto"/>
            </w:tcBorders>
            <w:noWrap/>
            <w:vAlign w:val="center"/>
            <w:hideMark/>
          </w:tcPr>
          <w:p w14:paraId="005B9E40" w14:textId="77777777" w:rsidR="00BF3DCF" w:rsidRPr="00131EED" w:rsidRDefault="00BF3DCF" w:rsidP="00BF3DCF">
            <w:pPr>
              <w:jc w:val="center"/>
              <w:rPr>
                <w:b/>
                <w:color w:val="000000"/>
                <w:sz w:val="20"/>
                <w:szCs w:val="20"/>
                <w:lang w:eastAsia="en-US"/>
              </w:rPr>
            </w:pPr>
            <w:r w:rsidRPr="00131EED">
              <w:rPr>
                <w:b/>
                <w:color w:val="000000"/>
                <w:sz w:val="20"/>
                <w:szCs w:val="20"/>
                <w:lang w:eastAsia="en-US"/>
              </w:rPr>
              <w:t>Clase</w:t>
            </w:r>
          </w:p>
        </w:tc>
        <w:tc>
          <w:tcPr>
            <w:tcW w:w="1560" w:type="dxa"/>
            <w:tcBorders>
              <w:top w:val="nil"/>
              <w:left w:val="nil"/>
              <w:bottom w:val="single" w:sz="4" w:space="0" w:color="auto"/>
              <w:right w:val="single" w:sz="4" w:space="0" w:color="auto"/>
            </w:tcBorders>
            <w:noWrap/>
            <w:vAlign w:val="center"/>
            <w:hideMark/>
          </w:tcPr>
          <w:p w14:paraId="55D2AA0E" w14:textId="77777777" w:rsidR="00BF3DCF" w:rsidRPr="00131EED" w:rsidRDefault="00BF3DCF" w:rsidP="00BF3DCF">
            <w:pPr>
              <w:jc w:val="center"/>
              <w:rPr>
                <w:b/>
                <w:color w:val="000000"/>
                <w:sz w:val="20"/>
                <w:szCs w:val="20"/>
                <w:lang w:eastAsia="en-US"/>
              </w:rPr>
            </w:pPr>
            <w:r w:rsidRPr="00131EED">
              <w:rPr>
                <w:b/>
                <w:color w:val="000000"/>
                <w:sz w:val="20"/>
                <w:szCs w:val="20"/>
                <w:lang w:eastAsia="en-US"/>
              </w:rPr>
              <w:t>Área de Territorio Artificializado (ha)</w:t>
            </w:r>
          </w:p>
        </w:tc>
        <w:tc>
          <w:tcPr>
            <w:tcW w:w="1477" w:type="dxa"/>
            <w:tcBorders>
              <w:top w:val="nil"/>
              <w:left w:val="nil"/>
              <w:bottom w:val="single" w:sz="4" w:space="0" w:color="auto"/>
              <w:right w:val="single" w:sz="4" w:space="0" w:color="auto"/>
            </w:tcBorders>
            <w:noWrap/>
            <w:vAlign w:val="center"/>
            <w:hideMark/>
          </w:tcPr>
          <w:p w14:paraId="0DD2CCC2" w14:textId="77777777" w:rsidR="00BF3DCF" w:rsidRPr="00131EED" w:rsidRDefault="00BF3DCF" w:rsidP="00BF3DCF">
            <w:pPr>
              <w:jc w:val="center"/>
              <w:rPr>
                <w:b/>
                <w:color w:val="000000"/>
                <w:sz w:val="20"/>
                <w:szCs w:val="20"/>
                <w:lang w:eastAsia="en-US"/>
              </w:rPr>
            </w:pPr>
            <w:r w:rsidRPr="00131EED">
              <w:rPr>
                <w:b/>
                <w:color w:val="000000"/>
                <w:sz w:val="20"/>
                <w:szCs w:val="20"/>
                <w:lang w:eastAsia="en-US"/>
              </w:rPr>
              <w:t>Área total de la clase (ha)</w:t>
            </w:r>
          </w:p>
        </w:tc>
        <w:tc>
          <w:tcPr>
            <w:tcW w:w="1499" w:type="dxa"/>
            <w:tcBorders>
              <w:top w:val="nil"/>
              <w:left w:val="nil"/>
              <w:bottom w:val="single" w:sz="4" w:space="0" w:color="auto"/>
              <w:right w:val="single" w:sz="4" w:space="0" w:color="auto"/>
            </w:tcBorders>
            <w:noWrap/>
            <w:vAlign w:val="center"/>
            <w:hideMark/>
          </w:tcPr>
          <w:p w14:paraId="6B05DF07" w14:textId="77777777" w:rsidR="00BF3DCF" w:rsidRPr="00131EED" w:rsidRDefault="00BF3DCF" w:rsidP="00BF3DCF">
            <w:pPr>
              <w:jc w:val="center"/>
              <w:rPr>
                <w:b/>
                <w:color w:val="000000"/>
                <w:sz w:val="20"/>
                <w:szCs w:val="20"/>
                <w:lang w:eastAsia="en-US"/>
              </w:rPr>
            </w:pPr>
            <w:r w:rsidRPr="00131EED">
              <w:rPr>
                <w:b/>
                <w:color w:val="000000"/>
                <w:sz w:val="20"/>
                <w:szCs w:val="20"/>
                <w:lang w:eastAsia="en-US"/>
              </w:rPr>
              <w:t>Porcentaje Suelo Endurecido (%)</w:t>
            </w:r>
          </w:p>
        </w:tc>
      </w:tr>
      <w:tr w:rsidR="00BF3DCF" w:rsidRPr="00131EED" w14:paraId="0137EA6C" w14:textId="77777777" w:rsidTr="00090843">
        <w:trPr>
          <w:trHeight w:val="288"/>
          <w:jc w:val="center"/>
        </w:trPr>
        <w:tc>
          <w:tcPr>
            <w:tcW w:w="708" w:type="dxa"/>
            <w:tcBorders>
              <w:top w:val="nil"/>
              <w:left w:val="single" w:sz="4" w:space="0" w:color="auto"/>
              <w:bottom w:val="single" w:sz="4" w:space="0" w:color="auto"/>
              <w:right w:val="single" w:sz="4" w:space="0" w:color="auto"/>
            </w:tcBorders>
            <w:noWrap/>
            <w:vAlign w:val="center"/>
            <w:hideMark/>
          </w:tcPr>
          <w:p w14:paraId="4195F7CB" w14:textId="77777777" w:rsidR="00BF3DCF" w:rsidRPr="00131EED" w:rsidRDefault="00BF3DCF" w:rsidP="00BF3DCF">
            <w:pPr>
              <w:jc w:val="center"/>
              <w:rPr>
                <w:color w:val="000000"/>
                <w:sz w:val="20"/>
                <w:szCs w:val="20"/>
                <w:lang w:eastAsia="en-US"/>
              </w:rPr>
            </w:pPr>
            <w:r w:rsidRPr="00131EED">
              <w:rPr>
                <w:color w:val="000000"/>
                <w:sz w:val="20"/>
                <w:szCs w:val="20"/>
                <w:lang w:eastAsia="en-US"/>
              </w:rPr>
              <w:t>II</w:t>
            </w:r>
          </w:p>
        </w:tc>
        <w:tc>
          <w:tcPr>
            <w:tcW w:w="1560" w:type="dxa"/>
            <w:tcBorders>
              <w:top w:val="nil"/>
              <w:left w:val="nil"/>
              <w:bottom w:val="single" w:sz="4" w:space="0" w:color="auto"/>
              <w:right w:val="single" w:sz="4" w:space="0" w:color="auto"/>
            </w:tcBorders>
            <w:noWrap/>
            <w:vAlign w:val="center"/>
            <w:hideMark/>
          </w:tcPr>
          <w:p w14:paraId="314FED54" w14:textId="77777777" w:rsidR="00BF3DCF" w:rsidRPr="00131EED" w:rsidRDefault="00BF3DCF" w:rsidP="00BF3DCF">
            <w:pPr>
              <w:jc w:val="center"/>
              <w:rPr>
                <w:color w:val="000000"/>
                <w:sz w:val="20"/>
                <w:szCs w:val="20"/>
                <w:lang w:eastAsia="en-US"/>
              </w:rPr>
            </w:pPr>
            <w:r w:rsidRPr="00131EED">
              <w:rPr>
                <w:color w:val="000000"/>
                <w:sz w:val="20"/>
                <w:szCs w:val="20"/>
                <w:lang w:eastAsia="en-US"/>
              </w:rPr>
              <w:t>9959.51</w:t>
            </w:r>
          </w:p>
        </w:tc>
        <w:tc>
          <w:tcPr>
            <w:tcW w:w="1477" w:type="dxa"/>
            <w:tcBorders>
              <w:top w:val="nil"/>
              <w:left w:val="nil"/>
              <w:bottom w:val="single" w:sz="4" w:space="0" w:color="auto"/>
              <w:right w:val="single" w:sz="4" w:space="0" w:color="auto"/>
            </w:tcBorders>
            <w:noWrap/>
            <w:vAlign w:val="center"/>
            <w:hideMark/>
          </w:tcPr>
          <w:p w14:paraId="62508D66" w14:textId="77777777" w:rsidR="00BF3DCF" w:rsidRPr="00131EED" w:rsidRDefault="00BF3DCF" w:rsidP="00BF3DCF">
            <w:pPr>
              <w:jc w:val="center"/>
              <w:rPr>
                <w:color w:val="000000"/>
                <w:sz w:val="20"/>
                <w:szCs w:val="20"/>
                <w:lang w:eastAsia="en-US"/>
              </w:rPr>
            </w:pPr>
            <w:r w:rsidRPr="00131EED">
              <w:rPr>
                <w:color w:val="000000"/>
                <w:sz w:val="20"/>
                <w:szCs w:val="20"/>
                <w:lang w:eastAsia="en-US"/>
              </w:rPr>
              <w:t>84215.44</w:t>
            </w:r>
          </w:p>
        </w:tc>
        <w:tc>
          <w:tcPr>
            <w:tcW w:w="1499" w:type="dxa"/>
            <w:tcBorders>
              <w:top w:val="nil"/>
              <w:left w:val="nil"/>
              <w:bottom w:val="single" w:sz="4" w:space="0" w:color="auto"/>
              <w:right w:val="single" w:sz="4" w:space="0" w:color="auto"/>
            </w:tcBorders>
            <w:noWrap/>
            <w:vAlign w:val="center"/>
            <w:hideMark/>
          </w:tcPr>
          <w:p w14:paraId="474D72BF" w14:textId="77777777" w:rsidR="00BF3DCF" w:rsidRPr="00131EED" w:rsidRDefault="00BF3DCF" w:rsidP="00BF3DCF">
            <w:pPr>
              <w:jc w:val="center"/>
              <w:rPr>
                <w:color w:val="000000"/>
                <w:sz w:val="20"/>
                <w:szCs w:val="20"/>
                <w:lang w:eastAsia="en-US"/>
              </w:rPr>
            </w:pPr>
            <w:r w:rsidRPr="00131EED">
              <w:rPr>
                <w:color w:val="000000"/>
                <w:sz w:val="20"/>
                <w:szCs w:val="20"/>
                <w:lang w:eastAsia="en-US"/>
              </w:rPr>
              <w:t>11.83%</w:t>
            </w:r>
          </w:p>
        </w:tc>
      </w:tr>
      <w:tr w:rsidR="00BF3DCF" w:rsidRPr="00131EED" w14:paraId="42D249FD" w14:textId="77777777" w:rsidTr="00090843">
        <w:trPr>
          <w:trHeight w:val="288"/>
          <w:jc w:val="center"/>
        </w:trPr>
        <w:tc>
          <w:tcPr>
            <w:tcW w:w="708" w:type="dxa"/>
            <w:tcBorders>
              <w:top w:val="nil"/>
              <w:left w:val="single" w:sz="4" w:space="0" w:color="auto"/>
              <w:bottom w:val="single" w:sz="4" w:space="0" w:color="auto"/>
              <w:right w:val="single" w:sz="4" w:space="0" w:color="auto"/>
            </w:tcBorders>
            <w:noWrap/>
            <w:vAlign w:val="center"/>
            <w:hideMark/>
          </w:tcPr>
          <w:p w14:paraId="5928ED53" w14:textId="77777777" w:rsidR="00BF3DCF" w:rsidRPr="00131EED" w:rsidRDefault="00BF3DCF" w:rsidP="00BF3DCF">
            <w:pPr>
              <w:jc w:val="center"/>
              <w:rPr>
                <w:color w:val="000000"/>
                <w:sz w:val="20"/>
                <w:szCs w:val="20"/>
                <w:lang w:eastAsia="en-US"/>
              </w:rPr>
            </w:pPr>
            <w:r w:rsidRPr="00131EED">
              <w:rPr>
                <w:color w:val="000000"/>
                <w:sz w:val="20"/>
                <w:szCs w:val="20"/>
                <w:lang w:eastAsia="en-US"/>
              </w:rPr>
              <w:t>III</w:t>
            </w:r>
          </w:p>
        </w:tc>
        <w:tc>
          <w:tcPr>
            <w:tcW w:w="1560" w:type="dxa"/>
            <w:tcBorders>
              <w:top w:val="nil"/>
              <w:left w:val="nil"/>
              <w:bottom w:val="single" w:sz="4" w:space="0" w:color="auto"/>
              <w:right w:val="single" w:sz="4" w:space="0" w:color="auto"/>
            </w:tcBorders>
            <w:noWrap/>
            <w:vAlign w:val="center"/>
            <w:hideMark/>
          </w:tcPr>
          <w:p w14:paraId="12257CEC" w14:textId="77777777" w:rsidR="00BF3DCF" w:rsidRPr="00131EED" w:rsidRDefault="00BF3DCF" w:rsidP="00BF3DCF">
            <w:pPr>
              <w:jc w:val="center"/>
              <w:rPr>
                <w:color w:val="000000"/>
                <w:sz w:val="20"/>
                <w:szCs w:val="20"/>
                <w:lang w:eastAsia="en-US"/>
              </w:rPr>
            </w:pPr>
            <w:r w:rsidRPr="00131EED">
              <w:rPr>
                <w:color w:val="000000"/>
                <w:sz w:val="20"/>
                <w:szCs w:val="20"/>
                <w:lang w:eastAsia="en-US"/>
              </w:rPr>
              <w:t>134.49</w:t>
            </w:r>
          </w:p>
        </w:tc>
        <w:tc>
          <w:tcPr>
            <w:tcW w:w="1477" w:type="dxa"/>
            <w:tcBorders>
              <w:top w:val="nil"/>
              <w:left w:val="nil"/>
              <w:bottom w:val="single" w:sz="4" w:space="0" w:color="auto"/>
              <w:right w:val="single" w:sz="4" w:space="0" w:color="auto"/>
            </w:tcBorders>
            <w:noWrap/>
            <w:vAlign w:val="center"/>
            <w:hideMark/>
          </w:tcPr>
          <w:p w14:paraId="43361AAA" w14:textId="77777777" w:rsidR="00BF3DCF" w:rsidRPr="00131EED" w:rsidRDefault="00BF3DCF" w:rsidP="00BF3DCF">
            <w:pPr>
              <w:jc w:val="center"/>
              <w:rPr>
                <w:color w:val="000000"/>
                <w:sz w:val="20"/>
                <w:szCs w:val="20"/>
                <w:lang w:eastAsia="en-US"/>
              </w:rPr>
            </w:pPr>
            <w:r w:rsidRPr="00131EED">
              <w:rPr>
                <w:color w:val="000000"/>
                <w:sz w:val="20"/>
                <w:szCs w:val="20"/>
                <w:lang w:eastAsia="en-US"/>
              </w:rPr>
              <w:t>11193.62</w:t>
            </w:r>
          </w:p>
        </w:tc>
        <w:tc>
          <w:tcPr>
            <w:tcW w:w="1499" w:type="dxa"/>
            <w:tcBorders>
              <w:top w:val="nil"/>
              <w:left w:val="nil"/>
              <w:bottom w:val="single" w:sz="4" w:space="0" w:color="auto"/>
              <w:right w:val="single" w:sz="4" w:space="0" w:color="auto"/>
            </w:tcBorders>
            <w:noWrap/>
            <w:vAlign w:val="center"/>
            <w:hideMark/>
          </w:tcPr>
          <w:p w14:paraId="0DA9B6B1" w14:textId="77777777" w:rsidR="00BF3DCF" w:rsidRPr="00131EED" w:rsidRDefault="00BF3DCF" w:rsidP="00BF3DCF">
            <w:pPr>
              <w:jc w:val="center"/>
              <w:rPr>
                <w:color w:val="000000"/>
                <w:sz w:val="20"/>
                <w:szCs w:val="20"/>
                <w:lang w:eastAsia="en-US"/>
              </w:rPr>
            </w:pPr>
            <w:r w:rsidRPr="00131EED">
              <w:rPr>
                <w:color w:val="000000"/>
                <w:sz w:val="20"/>
                <w:szCs w:val="20"/>
                <w:lang w:eastAsia="en-US"/>
              </w:rPr>
              <w:t>1.20%</w:t>
            </w:r>
          </w:p>
        </w:tc>
      </w:tr>
      <w:tr w:rsidR="00BF3DCF" w:rsidRPr="00131EED" w14:paraId="594F4573" w14:textId="77777777" w:rsidTr="00090843">
        <w:trPr>
          <w:trHeight w:val="288"/>
          <w:jc w:val="center"/>
        </w:trPr>
        <w:tc>
          <w:tcPr>
            <w:tcW w:w="708" w:type="dxa"/>
            <w:tcBorders>
              <w:top w:val="nil"/>
              <w:left w:val="single" w:sz="4" w:space="0" w:color="auto"/>
              <w:bottom w:val="single" w:sz="4" w:space="0" w:color="auto"/>
              <w:right w:val="single" w:sz="4" w:space="0" w:color="auto"/>
            </w:tcBorders>
            <w:noWrap/>
            <w:vAlign w:val="center"/>
            <w:hideMark/>
          </w:tcPr>
          <w:p w14:paraId="186D56C3" w14:textId="77777777" w:rsidR="00BF3DCF" w:rsidRPr="00131EED" w:rsidRDefault="00BF3DCF" w:rsidP="00BF3DCF">
            <w:pPr>
              <w:jc w:val="center"/>
              <w:rPr>
                <w:color w:val="000000"/>
                <w:sz w:val="20"/>
                <w:szCs w:val="20"/>
                <w:lang w:eastAsia="en-US"/>
              </w:rPr>
            </w:pPr>
            <w:r w:rsidRPr="00131EED">
              <w:rPr>
                <w:color w:val="000000"/>
                <w:sz w:val="20"/>
                <w:szCs w:val="20"/>
                <w:lang w:eastAsia="en-US"/>
              </w:rPr>
              <w:t>IV</w:t>
            </w:r>
          </w:p>
        </w:tc>
        <w:tc>
          <w:tcPr>
            <w:tcW w:w="1560" w:type="dxa"/>
            <w:tcBorders>
              <w:top w:val="nil"/>
              <w:left w:val="nil"/>
              <w:bottom w:val="single" w:sz="4" w:space="0" w:color="auto"/>
              <w:right w:val="single" w:sz="4" w:space="0" w:color="auto"/>
            </w:tcBorders>
            <w:noWrap/>
            <w:vAlign w:val="center"/>
            <w:hideMark/>
          </w:tcPr>
          <w:p w14:paraId="35A6473D" w14:textId="77777777" w:rsidR="00BF3DCF" w:rsidRPr="00131EED" w:rsidRDefault="00BF3DCF" w:rsidP="00BF3DCF">
            <w:pPr>
              <w:jc w:val="center"/>
              <w:rPr>
                <w:color w:val="000000"/>
                <w:sz w:val="20"/>
                <w:szCs w:val="20"/>
                <w:lang w:eastAsia="en-US"/>
              </w:rPr>
            </w:pPr>
            <w:r w:rsidRPr="00131EED">
              <w:rPr>
                <w:color w:val="000000"/>
                <w:sz w:val="20"/>
                <w:szCs w:val="20"/>
                <w:lang w:eastAsia="en-US"/>
              </w:rPr>
              <w:t>6625.60</w:t>
            </w:r>
          </w:p>
        </w:tc>
        <w:tc>
          <w:tcPr>
            <w:tcW w:w="1477" w:type="dxa"/>
            <w:tcBorders>
              <w:top w:val="nil"/>
              <w:left w:val="nil"/>
              <w:bottom w:val="single" w:sz="4" w:space="0" w:color="auto"/>
              <w:right w:val="single" w:sz="4" w:space="0" w:color="auto"/>
            </w:tcBorders>
            <w:noWrap/>
            <w:vAlign w:val="center"/>
            <w:hideMark/>
          </w:tcPr>
          <w:p w14:paraId="4707C52D" w14:textId="77777777" w:rsidR="00BF3DCF" w:rsidRPr="00131EED" w:rsidRDefault="00BF3DCF" w:rsidP="00BF3DCF">
            <w:pPr>
              <w:jc w:val="center"/>
              <w:rPr>
                <w:color w:val="000000"/>
                <w:sz w:val="20"/>
                <w:szCs w:val="20"/>
                <w:lang w:eastAsia="en-US"/>
              </w:rPr>
            </w:pPr>
            <w:r w:rsidRPr="00131EED">
              <w:rPr>
                <w:color w:val="000000"/>
                <w:sz w:val="20"/>
                <w:szCs w:val="20"/>
                <w:lang w:eastAsia="en-US"/>
              </w:rPr>
              <w:t>109242.87</w:t>
            </w:r>
          </w:p>
        </w:tc>
        <w:tc>
          <w:tcPr>
            <w:tcW w:w="1499" w:type="dxa"/>
            <w:tcBorders>
              <w:top w:val="nil"/>
              <w:left w:val="nil"/>
              <w:bottom w:val="single" w:sz="4" w:space="0" w:color="auto"/>
              <w:right w:val="single" w:sz="4" w:space="0" w:color="auto"/>
            </w:tcBorders>
            <w:noWrap/>
            <w:vAlign w:val="center"/>
            <w:hideMark/>
          </w:tcPr>
          <w:p w14:paraId="10243D45" w14:textId="77777777" w:rsidR="00BF3DCF" w:rsidRPr="00131EED" w:rsidRDefault="00BF3DCF" w:rsidP="00BF3DCF">
            <w:pPr>
              <w:jc w:val="center"/>
              <w:rPr>
                <w:color w:val="000000"/>
                <w:sz w:val="20"/>
                <w:szCs w:val="20"/>
                <w:lang w:eastAsia="en-US"/>
              </w:rPr>
            </w:pPr>
            <w:r w:rsidRPr="00131EED">
              <w:rPr>
                <w:color w:val="000000"/>
                <w:sz w:val="20"/>
                <w:szCs w:val="20"/>
                <w:lang w:eastAsia="en-US"/>
              </w:rPr>
              <w:t>6.07%</w:t>
            </w:r>
          </w:p>
        </w:tc>
      </w:tr>
      <w:tr w:rsidR="00BF3DCF" w:rsidRPr="00131EED" w14:paraId="207B3754" w14:textId="77777777" w:rsidTr="00090843">
        <w:trPr>
          <w:trHeight w:val="288"/>
          <w:jc w:val="center"/>
        </w:trPr>
        <w:tc>
          <w:tcPr>
            <w:tcW w:w="708" w:type="dxa"/>
            <w:tcBorders>
              <w:top w:val="nil"/>
              <w:left w:val="single" w:sz="4" w:space="0" w:color="auto"/>
              <w:bottom w:val="single" w:sz="4" w:space="0" w:color="auto"/>
              <w:right w:val="single" w:sz="4" w:space="0" w:color="auto"/>
            </w:tcBorders>
            <w:noWrap/>
            <w:vAlign w:val="center"/>
            <w:hideMark/>
          </w:tcPr>
          <w:p w14:paraId="51282E42" w14:textId="77777777" w:rsidR="00BF3DCF" w:rsidRPr="00131EED" w:rsidRDefault="00BF3DCF" w:rsidP="00BF3DCF">
            <w:pPr>
              <w:jc w:val="center"/>
              <w:rPr>
                <w:color w:val="000000"/>
                <w:sz w:val="20"/>
                <w:szCs w:val="20"/>
                <w:lang w:eastAsia="en-US"/>
              </w:rPr>
            </w:pPr>
            <w:r w:rsidRPr="00131EED">
              <w:rPr>
                <w:color w:val="000000"/>
                <w:sz w:val="20"/>
                <w:szCs w:val="20"/>
                <w:lang w:eastAsia="en-US"/>
              </w:rPr>
              <w:t>Total</w:t>
            </w:r>
          </w:p>
        </w:tc>
        <w:tc>
          <w:tcPr>
            <w:tcW w:w="1560" w:type="dxa"/>
            <w:tcBorders>
              <w:top w:val="nil"/>
              <w:left w:val="nil"/>
              <w:bottom w:val="single" w:sz="4" w:space="0" w:color="auto"/>
              <w:right w:val="single" w:sz="4" w:space="0" w:color="auto"/>
            </w:tcBorders>
            <w:noWrap/>
            <w:vAlign w:val="center"/>
            <w:hideMark/>
          </w:tcPr>
          <w:p w14:paraId="0D837FE2" w14:textId="77777777" w:rsidR="00BF3DCF" w:rsidRPr="00131EED" w:rsidRDefault="00BF3DCF" w:rsidP="00BF3DCF">
            <w:pPr>
              <w:jc w:val="center"/>
              <w:rPr>
                <w:color w:val="000000"/>
                <w:sz w:val="20"/>
                <w:szCs w:val="20"/>
                <w:lang w:eastAsia="en-US"/>
              </w:rPr>
            </w:pPr>
            <w:r w:rsidRPr="00131EED">
              <w:rPr>
                <w:color w:val="000000"/>
                <w:sz w:val="20"/>
                <w:szCs w:val="20"/>
                <w:lang w:eastAsia="en-US"/>
              </w:rPr>
              <w:t>16719.60</w:t>
            </w:r>
          </w:p>
        </w:tc>
        <w:tc>
          <w:tcPr>
            <w:tcW w:w="1477" w:type="dxa"/>
            <w:tcBorders>
              <w:top w:val="nil"/>
              <w:left w:val="nil"/>
              <w:bottom w:val="single" w:sz="4" w:space="0" w:color="auto"/>
              <w:right w:val="single" w:sz="4" w:space="0" w:color="auto"/>
            </w:tcBorders>
            <w:noWrap/>
            <w:vAlign w:val="center"/>
            <w:hideMark/>
          </w:tcPr>
          <w:p w14:paraId="08CDB5C8" w14:textId="77777777" w:rsidR="00BF3DCF" w:rsidRPr="00131EED" w:rsidRDefault="00BF3DCF" w:rsidP="00BF3DCF">
            <w:pPr>
              <w:jc w:val="center"/>
              <w:rPr>
                <w:color w:val="000000"/>
                <w:sz w:val="20"/>
                <w:szCs w:val="20"/>
                <w:lang w:eastAsia="en-US"/>
              </w:rPr>
            </w:pPr>
            <w:r w:rsidRPr="00131EED">
              <w:rPr>
                <w:color w:val="000000"/>
                <w:sz w:val="20"/>
                <w:szCs w:val="20"/>
                <w:lang w:eastAsia="en-US"/>
              </w:rPr>
              <w:t>204651.93</w:t>
            </w:r>
          </w:p>
        </w:tc>
        <w:tc>
          <w:tcPr>
            <w:tcW w:w="1499" w:type="dxa"/>
            <w:tcBorders>
              <w:top w:val="nil"/>
              <w:left w:val="nil"/>
              <w:bottom w:val="single" w:sz="4" w:space="0" w:color="auto"/>
              <w:right w:val="single" w:sz="4" w:space="0" w:color="auto"/>
            </w:tcBorders>
            <w:noWrap/>
            <w:vAlign w:val="center"/>
            <w:hideMark/>
          </w:tcPr>
          <w:p w14:paraId="56C3615E" w14:textId="77777777" w:rsidR="00BF3DCF" w:rsidRPr="00131EED" w:rsidRDefault="00BF3DCF" w:rsidP="00BF3DCF">
            <w:pPr>
              <w:jc w:val="center"/>
              <w:rPr>
                <w:color w:val="000000"/>
                <w:sz w:val="20"/>
                <w:szCs w:val="20"/>
                <w:lang w:eastAsia="en-US"/>
              </w:rPr>
            </w:pPr>
            <w:r w:rsidRPr="00131EED">
              <w:rPr>
                <w:color w:val="000000"/>
                <w:sz w:val="20"/>
                <w:szCs w:val="20"/>
                <w:lang w:eastAsia="en-US"/>
              </w:rPr>
              <w:t>19.09%</w:t>
            </w:r>
          </w:p>
        </w:tc>
      </w:tr>
    </w:tbl>
    <w:p w14:paraId="2115C91F" w14:textId="785A6FF9" w:rsidR="00BF3DCF" w:rsidRPr="00131EED" w:rsidRDefault="00D21206" w:rsidP="00D21206">
      <w:pPr>
        <w:jc w:val="center"/>
        <w:rPr>
          <w:rFonts w:cs="Arial"/>
          <w:sz w:val="20"/>
          <w:szCs w:val="20"/>
        </w:rPr>
      </w:pPr>
      <w:r w:rsidRPr="00131EED">
        <w:rPr>
          <w:rFonts w:cs="Arial"/>
          <w:sz w:val="20"/>
          <w:szCs w:val="20"/>
        </w:rPr>
        <w:t>Fuente: Elaboración propia con datos del IGAC (2001) e IGAC (2018)</w:t>
      </w:r>
    </w:p>
    <w:p w14:paraId="5C4F1DEB" w14:textId="77777777" w:rsidR="002C1A91" w:rsidRPr="00131EED" w:rsidRDefault="002C1A91" w:rsidP="002C1A91">
      <w:pPr>
        <w:pStyle w:val="Caption"/>
        <w:jc w:val="center"/>
      </w:pPr>
    </w:p>
    <w:p w14:paraId="0C89D05E" w14:textId="12122981" w:rsidR="00BF3DCF" w:rsidRPr="00131EED" w:rsidRDefault="002C1A91" w:rsidP="002C1A91">
      <w:pPr>
        <w:pStyle w:val="Caption"/>
        <w:jc w:val="center"/>
      </w:pPr>
      <w:bookmarkStart w:id="355" w:name="_Toc216468871"/>
      <w:r w:rsidRPr="00131EED">
        <w:t xml:space="preserve">Ilustración </w:t>
      </w:r>
      <w:fldSimple w:instr=" SEQ Ilustración \* ARABIC ">
        <w:r w:rsidR="00CE096F">
          <w:rPr>
            <w:noProof/>
          </w:rPr>
          <w:t>106</w:t>
        </w:r>
      </w:fldSimple>
      <w:r w:rsidRPr="00131EED">
        <w:t>. Territorios artificializados sobre suelos de clase I, II</w:t>
      </w:r>
      <w:r w:rsidR="007856D9" w:rsidRPr="00131EED">
        <w:t xml:space="preserve"> y </w:t>
      </w:r>
      <w:r w:rsidRPr="00131EED">
        <w:t>IV año 2018.</w:t>
      </w:r>
      <w:bookmarkEnd w:id="355"/>
    </w:p>
    <w:p w14:paraId="35E0A4B0" w14:textId="77777777" w:rsidR="002C1A91" w:rsidRPr="00131EED" w:rsidRDefault="002C1A91" w:rsidP="002C1A91">
      <w:pPr>
        <w:keepNext/>
        <w:jc w:val="center"/>
      </w:pPr>
      <w:r w:rsidRPr="00131EED">
        <w:rPr>
          <w:rFonts w:cs="Arial"/>
          <w:noProof/>
          <w:lang w:eastAsia="en-US"/>
        </w:rPr>
        <w:drawing>
          <wp:inline distT="0" distB="0" distL="0" distR="0" wp14:anchorId="4983C8EF" wp14:editId="77ADC0B1">
            <wp:extent cx="3337720" cy="4320000"/>
            <wp:effectExtent l="0" t="0" r="0" b="4445"/>
            <wp:docPr id="182063652" name="Picture 48" descr="A map of the united sta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63652" name="Picture 48" descr="A map of the united states&#10;&#10;AI-generated content may be incorrect."/>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337720" cy="4320000"/>
                    </a:xfrm>
                    <a:prstGeom prst="rect">
                      <a:avLst/>
                    </a:prstGeom>
                    <a:noFill/>
                    <a:ln>
                      <a:noFill/>
                    </a:ln>
                  </pic:spPr>
                </pic:pic>
              </a:graphicData>
            </a:graphic>
          </wp:inline>
        </w:drawing>
      </w:r>
    </w:p>
    <w:p w14:paraId="7D747AFE" w14:textId="77777777" w:rsidR="002C1A91" w:rsidRPr="00131EED" w:rsidRDefault="002C1A91" w:rsidP="002C1A91">
      <w:pPr>
        <w:jc w:val="center"/>
        <w:rPr>
          <w:rFonts w:cs="Arial"/>
          <w:sz w:val="20"/>
          <w:szCs w:val="20"/>
        </w:rPr>
      </w:pPr>
      <w:r w:rsidRPr="00131EED">
        <w:rPr>
          <w:rFonts w:cs="Arial"/>
          <w:sz w:val="20"/>
          <w:szCs w:val="20"/>
        </w:rPr>
        <w:t>Fuente: Elaboración propia con datos del IGAC (2001) e IGAC (2018)</w:t>
      </w:r>
    </w:p>
    <w:p w14:paraId="416EEA6E" w14:textId="77777777" w:rsidR="00086FD8" w:rsidRPr="00131EED" w:rsidRDefault="00086FD8" w:rsidP="00565CA7">
      <w:pPr>
        <w:rPr>
          <w:rFonts w:cs="Arial"/>
        </w:rPr>
      </w:pPr>
    </w:p>
    <w:p w14:paraId="131DDFD7" w14:textId="77777777" w:rsidR="00086FD8" w:rsidRPr="00131EED" w:rsidRDefault="00086FD8" w:rsidP="00565CA7">
      <w:pPr>
        <w:rPr>
          <w:rFonts w:cs="Arial"/>
        </w:rPr>
      </w:pPr>
    </w:p>
    <w:p w14:paraId="26B694EE" w14:textId="4D8205D8" w:rsidR="00565CA7" w:rsidRPr="00131EED" w:rsidRDefault="006C4004" w:rsidP="00565CA7">
      <w:pPr>
        <w:rPr>
          <w:rFonts w:cs="Arial"/>
        </w:rPr>
      </w:pPr>
      <w:r w:rsidRPr="00131EED">
        <w:rPr>
          <w:rFonts w:cs="Arial"/>
        </w:rPr>
        <w:t>Para el año 2002</w:t>
      </w:r>
      <w:r w:rsidR="003234A3" w:rsidRPr="00131EED">
        <w:rPr>
          <w:rFonts w:cs="Arial"/>
        </w:rPr>
        <w:t xml:space="preserve"> </w:t>
      </w:r>
      <w:r w:rsidR="005C653F" w:rsidRPr="00131EED">
        <w:rPr>
          <w:rFonts w:cs="Arial"/>
        </w:rPr>
        <w:t xml:space="preserve">el </w:t>
      </w:r>
      <w:r w:rsidR="00545AE1" w:rsidRPr="00131EED">
        <w:rPr>
          <w:rFonts w:cs="Arial"/>
        </w:rPr>
        <w:t xml:space="preserve">2551 ha + 7113 m2 </w:t>
      </w:r>
      <w:r w:rsidR="005C653F" w:rsidRPr="00131EED">
        <w:rPr>
          <w:rFonts w:cs="Arial"/>
        </w:rPr>
        <w:t>de áreas</w:t>
      </w:r>
      <w:r w:rsidR="003234A3" w:rsidRPr="00131EED">
        <w:rPr>
          <w:rFonts w:cs="Arial"/>
        </w:rPr>
        <w:t xml:space="preserve"> artificializadas se concentraron en suelos de Clase II, así mismo </w:t>
      </w:r>
      <w:r w:rsidR="005C653F" w:rsidRPr="00131EED">
        <w:rPr>
          <w:rFonts w:cs="Arial"/>
        </w:rPr>
        <w:t>los entes territoriales con mayor área artificializada sobre suelo de clase II son Chía, Bogotá D.C. y Facatativá.</w:t>
      </w:r>
    </w:p>
    <w:p w14:paraId="3A50FF18" w14:textId="77777777" w:rsidR="00090843" w:rsidRPr="00131EED" w:rsidRDefault="00090843" w:rsidP="00565CA7">
      <w:pPr>
        <w:rPr>
          <w:rFonts w:cs="Arial"/>
        </w:rPr>
      </w:pPr>
    </w:p>
    <w:p w14:paraId="69A4EA0B" w14:textId="29DBA47F" w:rsidR="00561753" w:rsidRPr="00131EED" w:rsidRDefault="00561753" w:rsidP="00561753">
      <w:pPr>
        <w:pStyle w:val="Caption"/>
        <w:keepNext/>
        <w:jc w:val="center"/>
      </w:pPr>
      <w:bookmarkStart w:id="356" w:name="_Toc216468972"/>
      <w:r w:rsidRPr="00131EED">
        <w:t xml:space="preserve">Tabla </w:t>
      </w:r>
      <w:fldSimple w:instr=" SEQ Tabla \* ARABIC ">
        <w:r w:rsidR="00CE096F">
          <w:rPr>
            <w:noProof/>
          </w:rPr>
          <w:t>62</w:t>
        </w:r>
      </w:fldSimple>
      <w:r w:rsidRPr="00131EED">
        <w:t xml:space="preserve">. Áreas artificializadas en suelos de </w:t>
      </w:r>
      <w:r w:rsidR="0099233A" w:rsidRPr="00131EED">
        <w:t>clases II, III</w:t>
      </w:r>
      <w:r w:rsidR="007856D9" w:rsidRPr="00131EED">
        <w:t xml:space="preserve"> y</w:t>
      </w:r>
      <w:r w:rsidR="0099233A" w:rsidRPr="00131EED">
        <w:t xml:space="preserve"> IV</w:t>
      </w:r>
      <w:r w:rsidR="007856D9" w:rsidRPr="00131EED">
        <w:t xml:space="preserve"> </w:t>
      </w:r>
      <w:r w:rsidR="0099233A" w:rsidRPr="00131EED">
        <w:t>en 2002</w:t>
      </w:r>
      <w:r w:rsidRPr="00131EED">
        <w:t>.</w:t>
      </w:r>
      <w:bookmarkEnd w:id="356"/>
    </w:p>
    <w:tbl>
      <w:tblPr>
        <w:tblW w:w="5103" w:type="dxa"/>
        <w:jc w:val="center"/>
        <w:tblLook w:val="04A0" w:firstRow="1" w:lastRow="0" w:firstColumn="1" w:lastColumn="0" w:noHBand="0" w:noVBand="1"/>
      </w:tblPr>
      <w:tblGrid>
        <w:gridCol w:w="1701"/>
        <w:gridCol w:w="1441"/>
        <w:gridCol w:w="1961"/>
      </w:tblGrid>
      <w:tr w:rsidR="000F6BF9" w:rsidRPr="00131EED" w14:paraId="01969927" w14:textId="77777777" w:rsidTr="00090843">
        <w:trPr>
          <w:trHeight w:val="288"/>
          <w:jc w:val="center"/>
        </w:trPr>
        <w:tc>
          <w:tcPr>
            <w:tcW w:w="5103" w:type="dxa"/>
            <w:gridSpan w:val="3"/>
            <w:tcBorders>
              <w:top w:val="single" w:sz="4" w:space="0" w:color="auto"/>
              <w:left w:val="single" w:sz="4" w:space="0" w:color="auto"/>
              <w:bottom w:val="single" w:sz="4" w:space="0" w:color="auto"/>
              <w:right w:val="single" w:sz="4" w:space="0" w:color="auto"/>
            </w:tcBorders>
            <w:noWrap/>
            <w:vAlign w:val="bottom"/>
            <w:hideMark/>
          </w:tcPr>
          <w:p w14:paraId="0CF72D6E" w14:textId="097E10EA" w:rsidR="000F6BF9" w:rsidRPr="00131EED" w:rsidRDefault="00EF09D2" w:rsidP="000F6BF9">
            <w:pPr>
              <w:jc w:val="center"/>
              <w:rPr>
                <w:b/>
                <w:color w:val="000000"/>
                <w:sz w:val="20"/>
                <w:szCs w:val="20"/>
                <w:lang w:eastAsia="en-US"/>
              </w:rPr>
            </w:pPr>
            <w:r w:rsidRPr="00131EED">
              <w:rPr>
                <w:b/>
                <w:color w:val="000000"/>
                <w:sz w:val="20"/>
                <w:szCs w:val="20"/>
                <w:lang w:eastAsia="en-US"/>
              </w:rPr>
              <w:t>Áreas artificializadas sobre suelos clase II, III</w:t>
            </w:r>
            <w:r w:rsidR="007856D9" w:rsidRPr="00131EED">
              <w:rPr>
                <w:b/>
                <w:color w:val="000000"/>
                <w:sz w:val="20"/>
                <w:szCs w:val="20"/>
                <w:lang w:eastAsia="en-US"/>
              </w:rPr>
              <w:t xml:space="preserve"> y</w:t>
            </w:r>
            <w:r w:rsidRPr="00131EED">
              <w:rPr>
                <w:b/>
                <w:color w:val="000000"/>
                <w:sz w:val="20"/>
                <w:szCs w:val="20"/>
                <w:lang w:eastAsia="en-US"/>
              </w:rPr>
              <w:t xml:space="preserve"> IV </w:t>
            </w:r>
            <w:r w:rsidR="000F6BF9" w:rsidRPr="00131EED">
              <w:rPr>
                <w:b/>
                <w:color w:val="000000"/>
                <w:sz w:val="20"/>
                <w:szCs w:val="20"/>
                <w:lang w:eastAsia="en-US"/>
              </w:rPr>
              <w:t xml:space="preserve"> - 2002</w:t>
            </w:r>
          </w:p>
        </w:tc>
      </w:tr>
      <w:tr w:rsidR="000F6BF9" w:rsidRPr="00131EED" w14:paraId="2F0E3DCE"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center"/>
            <w:hideMark/>
          </w:tcPr>
          <w:p w14:paraId="097E1C84" w14:textId="77777777" w:rsidR="000F6BF9" w:rsidRPr="00131EED" w:rsidRDefault="000F6BF9" w:rsidP="000F6BF9">
            <w:pPr>
              <w:jc w:val="center"/>
              <w:rPr>
                <w:b/>
                <w:color w:val="000000"/>
                <w:sz w:val="20"/>
                <w:szCs w:val="20"/>
                <w:lang w:eastAsia="en-US"/>
              </w:rPr>
            </w:pPr>
            <w:r w:rsidRPr="00131EED">
              <w:rPr>
                <w:b/>
                <w:color w:val="000000"/>
                <w:sz w:val="20"/>
                <w:szCs w:val="20"/>
                <w:lang w:eastAsia="en-US"/>
              </w:rPr>
              <w:t>Municipio</w:t>
            </w:r>
          </w:p>
        </w:tc>
        <w:tc>
          <w:tcPr>
            <w:tcW w:w="1441" w:type="dxa"/>
            <w:tcBorders>
              <w:top w:val="nil"/>
              <w:left w:val="nil"/>
              <w:bottom w:val="single" w:sz="4" w:space="0" w:color="auto"/>
              <w:right w:val="single" w:sz="4" w:space="0" w:color="auto"/>
            </w:tcBorders>
            <w:noWrap/>
            <w:vAlign w:val="center"/>
            <w:hideMark/>
          </w:tcPr>
          <w:p w14:paraId="4618B6BE" w14:textId="32750B82" w:rsidR="000F6BF9" w:rsidRPr="00131EED" w:rsidRDefault="000F6BF9" w:rsidP="000F6BF9">
            <w:pPr>
              <w:jc w:val="center"/>
              <w:rPr>
                <w:b/>
                <w:color w:val="000000"/>
                <w:sz w:val="20"/>
                <w:szCs w:val="20"/>
                <w:lang w:eastAsia="en-US"/>
              </w:rPr>
            </w:pPr>
            <w:r w:rsidRPr="00131EED">
              <w:rPr>
                <w:b/>
                <w:color w:val="000000"/>
                <w:sz w:val="20"/>
                <w:szCs w:val="20"/>
                <w:lang w:eastAsia="en-US"/>
              </w:rPr>
              <w:t>Área Artificializada (ha)</w:t>
            </w:r>
          </w:p>
        </w:tc>
        <w:tc>
          <w:tcPr>
            <w:tcW w:w="1961" w:type="dxa"/>
            <w:tcBorders>
              <w:top w:val="nil"/>
              <w:left w:val="nil"/>
              <w:bottom w:val="single" w:sz="4" w:space="0" w:color="auto"/>
              <w:right w:val="single" w:sz="4" w:space="0" w:color="auto"/>
            </w:tcBorders>
            <w:noWrap/>
            <w:vAlign w:val="center"/>
            <w:hideMark/>
          </w:tcPr>
          <w:p w14:paraId="3D277DB4" w14:textId="77777777" w:rsidR="000F6BF9" w:rsidRPr="00131EED" w:rsidRDefault="000F6BF9" w:rsidP="000F6BF9">
            <w:pPr>
              <w:jc w:val="center"/>
              <w:rPr>
                <w:b/>
                <w:color w:val="000000"/>
                <w:sz w:val="20"/>
                <w:szCs w:val="20"/>
                <w:lang w:eastAsia="en-US"/>
              </w:rPr>
            </w:pPr>
            <w:r w:rsidRPr="00131EED">
              <w:rPr>
                <w:b/>
                <w:color w:val="000000"/>
                <w:sz w:val="20"/>
                <w:szCs w:val="20"/>
                <w:lang w:eastAsia="en-US"/>
              </w:rPr>
              <w:t>Porcentaje artificializado del municipio dentro del ámbito</w:t>
            </w:r>
          </w:p>
        </w:tc>
      </w:tr>
      <w:tr w:rsidR="005C653F" w:rsidRPr="00131EED" w14:paraId="7D40E2B0"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5065D264" w14:textId="363085B5" w:rsidR="005C653F" w:rsidRPr="00131EED" w:rsidRDefault="005C653F" w:rsidP="005C653F">
            <w:pPr>
              <w:jc w:val="left"/>
              <w:rPr>
                <w:b/>
                <w:color w:val="000000"/>
                <w:sz w:val="20"/>
                <w:szCs w:val="20"/>
                <w:lang w:eastAsia="en-US"/>
              </w:rPr>
            </w:pPr>
            <w:r w:rsidRPr="00131EED">
              <w:rPr>
                <w:b/>
                <w:color w:val="000000"/>
                <w:sz w:val="20"/>
                <w:szCs w:val="20"/>
              </w:rPr>
              <w:t>Chía</w:t>
            </w:r>
          </w:p>
        </w:tc>
        <w:tc>
          <w:tcPr>
            <w:tcW w:w="1441" w:type="dxa"/>
            <w:tcBorders>
              <w:top w:val="nil"/>
              <w:left w:val="nil"/>
              <w:bottom w:val="single" w:sz="4" w:space="0" w:color="auto"/>
              <w:right w:val="single" w:sz="4" w:space="0" w:color="auto"/>
            </w:tcBorders>
            <w:noWrap/>
            <w:vAlign w:val="bottom"/>
            <w:hideMark/>
          </w:tcPr>
          <w:p w14:paraId="6D4515E6" w14:textId="7E84366F" w:rsidR="005C653F" w:rsidRPr="00131EED" w:rsidRDefault="005C653F" w:rsidP="005C653F">
            <w:pPr>
              <w:jc w:val="right"/>
              <w:rPr>
                <w:color w:val="000000"/>
                <w:sz w:val="20"/>
                <w:szCs w:val="20"/>
                <w:lang w:eastAsia="en-US"/>
              </w:rPr>
            </w:pPr>
            <w:r w:rsidRPr="00131EED">
              <w:rPr>
                <w:color w:val="000000"/>
                <w:sz w:val="20"/>
                <w:szCs w:val="20"/>
              </w:rPr>
              <w:t>476.104230</w:t>
            </w:r>
          </w:p>
        </w:tc>
        <w:tc>
          <w:tcPr>
            <w:tcW w:w="1961" w:type="dxa"/>
            <w:tcBorders>
              <w:top w:val="nil"/>
              <w:left w:val="nil"/>
              <w:bottom w:val="single" w:sz="4" w:space="0" w:color="auto"/>
              <w:right w:val="single" w:sz="4" w:space="0" w:color="auto"/>
            </w:tcBorders>
            <w:noWrap/>
            <w:vAlign w:val="bottom"/>
            <w:hideMark/>
          </w:tcPr>
          <w:p w14:paraId="0E661504" w14:textId="15DF9554" w:rsidR="005C653F" w:rsidRPr="00131EED" w:rsidRDefault="005C653F" w:rsidP="005C653F">
            <w:pPr>
              <w:jc w:val="right"/>
              <w:rPr>
                <w:color w:val="000000"/>
                <w:sz w:val="20"/>
                <w:szCs w:val="20"/>
                <w:lang w:eastAsia="en-US"/>
              </w:rPr>
            </w:pPr>
            <w:r w:rsidRPr="00131EED">
              <w:rPr>
                <w:color w:val="000000"/>
                <w:sz w:val="20"/>
                <w:szCs w:val="20"/>
              </w:rPr>
              <w:t>5.97%</w:t>
            </w:r>
          </w:p>
        </w:tc>
      </w:tr>
      <w:tr w:rsidR="005C653F" w:rsidRPr="00131EED" w14:paraId="24931EA8"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3D456888" w14:textId="1E43B2BF" w:rsidR="005C653F" w:rsidRPr="00131EED" w:rsidRDefault="005C653F" w:rsidP="005C653F">
            <w:pPr>
              <w:jc w:val="left"/>
              <w:rPr>
                <w:b/>
                <w:color w:val="000000"/>
                <w:sz w:val="20"/>
                <w:szCs w:val="20"/>
                <w:lang w:eastAsia="en-US"/>
              </w:rPr>
            </w:pPr>
            <w:r w:rsidRPr="00131EED">
              <w:rPr>
                <w:b/>
                <w:color w:val="000000"/>
                <w:sz w:val="20"/>
                <w:szCs w:val="20"/>
              </w:rPr>
              <w:t>Bogotá D.C.</w:t>
            </w:r>
          </w:p>
        </w:tc>
        <w:tc>
          <w:tcPr>
            <w:tcW w:w="1441" w:type="dxa"/>
            <w:tcBorders>
              <w:top w:val="nil"/>
              <w:left w:val="nil"/>
              <w:bottom w:val="single" w:sz="4" w:space="0" w:color="auto"/>
              <w:right w:val="single" w:sz="4" w:space="0" w:color="auto"/>
            </w:tcBorders>
            <w:noWrap/>
            <w:vAlign w:val="bottom"/>
            <w:hideMark/>
          </w:tcPr>
          <w:p w14:paraId="2AC80725" w14:textId="2AF56D88" w:rsidR="005C653F" w:rsidRPr="00131EED" w:rsidRDefault="005C653F" w:rsidP="005C653F">
            <w:pPr>
              <w:jc w:val="right"/>
              <w:rPr>
                <w:color w:val="000000"/>
                <w:sz w:val="20"/>
                <w:szCs w:val="20"/>
                <w:lang w:eastAsia="en-US"/>
              </w:rPr>
            </w:pPr>
            <w:r w:rsidRPr="00131EED">
              <w:rPr>
                <w:color w:val="000000"/>
                <w:sz w:val="20"/>
                <w:szCs w:val="20"/>
              </w:rPr>
              <w:t>447.425995</w:t>
            </w:r>
          </w:p>
        </w:tc>
        <w:tc>
          <w:tcPr>
            <w:tcW w:w="1961" w:type="dxa"/>
            <w:tcBorders>
              <w:top w:val="nil"/>
              <w:left w:val="nil"/>
              <w:bottom w:val="single" w:sz="4" w:space="0" w:color="auto"/>
              <w:right w:val="single" w:sz="4" w:space="0" w:color="auto"/>
            </w:tcBorders>
            <w:noWrap/>
            <w:vAlign w:val="bottom"/>
            <w:hideMark/>
          </w:tcPr>
          <w:p w14:paraId="56C6D2D5" w14:textId="20C64CB6" w:rsidR="005C653F" w:rsidRPr="00131EED" w:rsidRDefault="005C653F" w:rsidP="005C653F">
            <w:pPr>
              <w:jc w:val="right"/>
              <w:rPr>
                <w:color w:val="000000"/>
                <w:sz w:val="20"/>
                <w:szCs w:val="20"/>
                <w:lang w:eastAsia="en-US"/>
              </w:rPr>
            </w:pPr>
            <w:r w:rsidRPr="00131EED">
              <w:rPr>
                <w:color w:val="000000"/>
                <w:sz w:val="20"/>
                <w:szCs w:val="20"/>
              </w:rPr>
              <w:t>0.53%</w:t>
            </w:r>
          </w:p>
        </w:tc>
      </w:tr>
      <w:tr w:rsidR="005C653F" w:rsidRPr="00131EED" w14:paraId="3FF0916E"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3B0BCE60" w14:textId="41522D04" w:rsidR="005C653F" w:rsidRPr="00131EED" w:rsidRDefault="005C653F" w:rsidP="005C653F">
            <w:pPr>
              <w:jc w:val="left"/>
              <w:rPr>
                <w:b/>
                <w:color w:val="000000"/>
                <w:sz w:val="20"/>
                <w:szCs w:val="20"/>
                <w:lang w:eastAsia="en-US"/>
              </w:rPr>
            </w:pPr>
            <w:r w:rsidRPr="00131EED">
              <w:rPr>
                <w:b/>
                <w:color w:val="000000"/>
                <w:sz w:val="20"/>
                <w:szCs w:val="20"/>
              </w:rPr>
              <w:t>Facatativá</w:t>
            </w:r>
          </w:p>
        </w:tc>
        <w:tc>
          <w:tcPr>
            <w:tcW w:w="1441" w:type="dxa"/>
            <w:tcBorders>
              <w:top w:val="nil"/>
              <w:left w:val="nil"/>
              <w:bottom w:val="single" w:sz="4" w:space="0" w:color="auto"/>
              <w:right w:val="single" w:sz="4" w:space="0" w:color="auto"/>
            </w:tcBorders>
            <w:noWrap/>
            <w:vAlign w:val="bottom"/>
            <w:hideMark/>
          </w:tcPr>
          <w:p w14:paraId="4EF90D52" w14:textId="74277DCC" w:rsidR="005C653F" w:rsidRPr="00131EED" w:rsidRDefault="005C653F" w:rsidP="005C653F">
            <w:pPr>
              <w:jc w:val="right"/>
              <w:rPr>
                <w:color w:val="000000"/>
                <w:sz w:val="20"/>
                <w:szCs w:val="20"/>
                <w:lang w:eastAsia="en-US"/>
              </w:rPr>
            </w:pPr>
            <w:r w:rsidRPr="00131EED">
              <w:rPr>
                <w:color w:val="000000"/>
                <w:sz w:val="20"/>
                <w:szCs w:val="20"/>
              </w:rPr>
              <w:t>354.993329</w:t>
            </w:r>
          </w:p>
        </w:tc>
        <w:tc>
          <w:tcPr>
            <w:tcW w:w="1961" w:type="dxa"/>
            <w:tcBorders>
              <w:top w:val="nil"/>
              <w:left w:val="nil"/>
              <w:bottom w:val="single" w:sz="4" w:space="0" w:color="auto"/>
              <w:right w:val="single" w:sz="4" w:space="0" w:color="auto"/>
            </w:tcBorders>
            <w:noWrap/>
            <w:vAlign w:val="bottom"/>
            <w:hideMark/>
          </w:tcPr>
          <w:p w14:paraId="4380D177" w14:textId="0D00138A" w:rsidR="005C653F" w:rsidRPr="00131EED" w:rsidRDefault="005C653F" w:rsidP="005C653F">
            <w:pPr>
              <w:jc w:val="right"/>
              <w:rPr>
                <w:color w:val="000000"/>
                <w:sz w:val="20"/>
                <w:szCs w:val="20"/>
                <w:lang w:eastAsia="en-US"/>
              </w:rPr>
            </w:pPr>
            <w:r w:rsidRPr="00131EED">
              <w:rPr>
                <w:color w:val="000000"/>
                <w:sz w:val="20"/>
                <w:szCs w:val="20"/>
              </w:rPr>
              <w:t>2.28%</w:t>
            </w:r>
          </w:p>
        </w:tc>
      </w:tr>
      <w:tr w:rsidR="005C653F" w:rsidRPr="00131EED" w14:paraId="309780FF"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0B080294" w14:textId="5BFF6BFD" w:rsidR="005C653F" w:rsidRPr="00131EED" w:rsidRDefault="005C653F" w:rsidP="005C653F">
            <w:pPr>
              <w:jc w:val="left"/>
              <w:rPr>
                <w:b/>
                <w:color w:val="000000"/>
                <w:sz w:val="20"/>
                <w:szCs w:val="20"/>
                <w:lang w:eastAsia="en-US"/>
              </w:rPr>
            </w:pPr>
            <w:r w:rsidRPr="00131EED">
              <w:rPr>
                <w:b/>
                <w:color w:val="000000"/>
                <w:sz w:val="20"/>
                <w:szCs w:val="20"/>
              </w:rPr>
              <w:t>Cajicá</w:t>
            </w:r>
          </w:p>
        </w:tc>
        <w:tc>
          <w:tcPr>
            <w:tcW w:w="1441" w:type="dxa"/>
            <w:tcBorders>
              <w:top w:val="nil"/>
              <w:left w:val="nil"/>
              <w:bottom w:val="single" w:sz="4" w:space="0" w:color="auto"/>
              <w:right w:val="single" w:sz="4" w:space="0" w:color="auto"/>
            </w:tcBorders>
            <w:noWrap/>
            <w:vAlign w:val="bottom"/>
            <w:hideMark/>
          </w:tcPr>
          <w:p w14:paraId="4D57A488" w14:textId="28754D28" w:rsidR="005C653F" w:rsidRPr="00131EED" w:rsidRDefault="005C653F" w:rsidP="005C653F">
            <w:pPr>
              <w:jc w:val="right"/>
              <w:rPr>
                <w:color w:val="000000"/>
                <w:sz w:val="20"/>
                <w:szCs w:val="20"/>
                <w:lang w:eastAsia="en-US"/>
              </w:rPr>
            </w:pPr>
            <w:r w:rsidRPr="00131EED">
              <w:rPr>
                <w:color w:val="000000"/>
                <w:sz w:val="20"/>
                <w:szCs w:val="20"/>
              </w:rPr>
              <w:t>270.029020</w:t>
            </w:r>
          </w:p>
        </w:tc>
        <w:tc>
          <w:tcPr>
            <w:tcW w:w="1961" w:type="dxa"/>
            <w:tcBorders>
              <w:top w:val="nil"/>
              <w:left w:val="nil"/>
              <w:bottom w:val="single" w:sz="4" w:space="0" w:color="auto"/>
              <w:right w:val="single" w:sz="4" w:space="0" w:color="auto"/>
            </w:tcBorders>
            <w:noWrap/>
            <w:vAlign w:val="bottom"/>
            <w:hideMark/>
          </w:tcPr>
          <w:p w14:paraId="364FDB29" w14:textId="0AC59FEA" w:rsidR="005C653F" w:rsidRPr="00131EED" w:rsidRDefault="005C653F" w:rsidP="005C653F">
            <w:pPr>
              <w:jc w:val="right"/>
              <w:rPr>
                <w:color w:val="000000"/>
                <w:sz w:val="20"/>
                <w:szCs w:val="20"/>
                <w:lang w:eastAsia="en-US"/>
              </w:rPr>
            </w:pPr>
            <w:r w:rsidRPr="00131EED">
              <w:rPr>
                <w:color w:val="000000"/>
                <w:sz w:val="20"/>
                <w:szCs w:val="20"/>
              </w:rPr>
              <w:t>5.27%</w:t>
            </w:r>
          </w:p>
        </w:tc>
      </w:tr>
      <w:tr w:rsidR="005C653F" w:rsidRPr="00131EED" w14:paraId="14C6A475"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3F3C8CF4" w14:textId="11F890E0" w:rsidR="005C653F" w:rsidRPr="00131EED" w:rsidRDefault="005C653F" w:rsidP="005C653F">
            <w:pPr>
              <w:jc w:val="left"/>
              <w:rPr>
                <w:b/>
                <w:color w:val="000000"/>
                <w:sz w:val="20"/>
                <w:szCs w:val="20"/>
                <w:lang w:eastAsia="en-US"/>
              </w:rPr>
            </w:pPr>
            <w:r w:rsidRPr="00131EED">
              <w:rPr>
                <w:b/>
                <w:color w:val="000000"/>
                <w:sz w:val="20"/>
                <w:szCs w:val="20"/>
              </w:rPr>
              <w:t>Tocancipá</w:t>
            </w:r>
          </w:p>
        </w:tc>
        <w:tc>
          <w:tcPr>
            <w:tcW w:w="1441" w:type="dxa"/>
            <w:tcBorders>
              <w:top w:val="nil"/>
              <w:left w:val="nil"/>
              <w:bottom w:val="single" w:sz="4" w:space="0" w:color="auto"/>
              <w:right w:val="single" w:sz="4" w:space="0" w:color="auto"/>
            </w:tcBorders>
            <w:noWrap/>
            <w:vAlign w:val="bottom"/>
            <w:hideMark/>
          </w:tcPr>
          <w:p w14:paraId="10F85013" w14:textId="65D85486" w:rsidR="005C653F" w:rsidRPr="00131EED" w:rsidRDefault="005C653F" w:rsidP="005C653F">
            <w:pPr>
              <w:jc w:val="right"/>
              <w:rPr>
                <w:color w:val="000000"/>
                <w:sz w:val="20"/>
                <w:szCs w:val="20"/>
                <w:lang w:eastAsia="en-US"/>
              </w:rPr>
            </w:pPr>
            <w:r w:rsidRPr="00131EED">
              <w:rPr>
                <w:color w:val="000000"/>
                <w:sz w:val="20"/>
                <w:szCs w:val="20"/>
              </w:rPr>
              <w:t>146.792871</w:t>
            </w:r>
          </w:p>
        </w:tc>
        <w:tc>
          <w:tcPr>
            <w:tcW w:w="1961" w:type="dxa"/>
            <w:tcBorders>
              <w:top w:val="nil"/>
              <w:left w:val="nil"/>
              <w:bottom w:val="single" w:sz="4" w:space="0" w:color="auto"/>
              <w:right w:val="single" w:sz="4" w:space="0" w:color="auto"/>
            </w:tcBorders>
            <w:noWrap/>
            <w:vAlign w:val="bottom"/>
            <w:hideMark/>
          </w:tcPr>
          <w:p w14:paraId="21249DCE" w14:textId="341AD50A" w:rsidR="005C653F" w:rsidRPr="00131EED" w:rsidRDefault="005C653F" w:rsidP="005C653F">
            <w:pPr>
              <w:jc w:val="right"/>
              <w:rPr>
                <w:color w:val="000000"/>
                <w:sz w:val="20"/>
                <w:szCs w:val="20"/>
                <w:lang w:eastAsia="en-US"/>
              </w:rPr>
            </w:pPr>
            <w:r w:rsidRPr="00131EED">
              <w:rPr>
                <w:color w:val="000000"/>
                <w:sz w:val="20"/>
                <w:szCs w:val="20"/>
              </w:rPr>
              <w:t>2.01%</w:t>
            </w:r>
          </w:p>
        </w:tc>
      </w:tr>
      <w:tr w:rsidR="005C653F" w:rsidRPr="00131EED" w14:paraId="399CEE07"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239FCDF5" w14:textId="317C210C" w:rsidR="005C653F" w:rsidRPr="00131EED" w:rsidRDefault="005C653F" w:rsidP="005C653F">
            <w:pPr>
              <w:jc w:val="left"/>
              <w:rPr>
                <w:b/>
                <w:color w:val="000000"/>
                <w:sz w:val="20"/>
                <w:szCs w:val="20"/>
                <w:lang w:eastAsia="en-US"/>
              </w:rPr>
            </w:pPr>
            <w:r w:rsidRPr="00131EED">
              <w:rPr>
                <w:b/>
                <w:color w:val="000000"/>
                <w:sz w:val="20"/>
                <w:szCs w:val="20"/>
              </w:rPr>
              <w:t>Funza</w:t>
            </w:r>
          </w:p>
        </w:tc>
        <w:tc>
          <w:tcPr>
            <w:tcW w:w="1441" w:type="dxa"/>
            <w:tcBorders>
              <w:top w:val="nil"/>
              <w:left w:val="nil"/>
              <w:bottom w:val="single" w:sz="4" w:space="0" w:color="auto"/>
              <w:right w:val="single" w:sz="4" w:space="0" w:color="auto"/>
            </w:tcBorders>
            <w:noWrap/>
            <w:vAlign w:val="bottom"/>
            <w:hideMark/>
          </w:tcPr>
          <w:p w14:paraId="44AD0559" w14:textId="387EFCFA" w:rsidR="005C653F" w:rsidRPr="00131EED" w:rsidRDefault="005C653F" w:rsidP="005C653F">
            <w:pPr>
              <w:jc w:val="right"/>
              <w:rPr>
                <w:color w:val="000000"/>
                <w:sz w:val="20"/>
                <w:szCs w:val="20"/>
                <w:lang w:eastAsia="en-US"/>
              </w:rPr>
            </w:pPr>
            <w:r w:rsidRPr="00131EED">
              <w:rPr>
                <w:color w:val="000000"/>
                <w:sz w:val="20"/>
                <w:szCs w:val="20"/>
              </w:rPr>
              <w:t>130.186502</w:t>
            </w:r>
          </w:p>
        </w:tc>
        <w:tc>
          <w:tcPr>
            <w:tcW w:w="1961" w:type="dxa"/>
            <w:tcBorders>
              <w:top w:val="nil"/>
              <w:left w:val="nil"/>
              <w:bottom w:val="single" w:sz="4" w:space="0" w:color="auto"/>
              <w:right w:val="single" w:sz="4" w:space="0" w:color="auto"/>
            </w:tcBorders>
            <w:noWrap/>
            <w:vAlign w:val="bottom"/>
            <w:hideMark/>
          </w:tcPr>
          <w:p w14:paraId="3CB2FCE7" w14:textId="149721DD" w:rsidR="005C653F" w:rsidRPr="00131EED" w:rsidRDefault="005C653F" w:rsidP="005C653F">
            <w:pPr>
              <w:jc w:val="right"/>
              <w:rPr>
                <w:color w:val="000000"/>
                <w:sz w:val="20"/>
                <w:szCs w:val="20"/>
                <w:lang w:eastAsia="en-US"/>
              </w:rPr>
            </w:pPr>
            <w:r w:rsidRPr="00131EED">
              <w:rPr>
                <w:color w:val="000000"/>
                <w:sz w:val="20"/>
                <w:szCs w:val="20"/>
              </w:rPr>
              <w:t>1.86%</w:t>
            </w:r>
          </w:p>
        </w:tc>
      </w:tr>
      <w:tr w:rsidR="005C653F" w:rsidRPr="00131EED" w14:paraId="5D137512"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546460A7" w14:textId="284A78F1" w:rsidR="005C653F" w:rsidRPr="00131EED" w:rsidRDefault="005C653F" w:rsidP="005C653F">
            <w:pPr>
              <w:jc w:val="left"/>
              <w:rPr>
                <w:b/>
                <w:color w:val="000000"/>
                <w:sz w:val="20"/>
                <w:szCs w:val="20"/>
                <w:lang w:eastAsia="en-US"/>
              </w:rPr>
            </w:pPr>
            <w:r w:rsidRPr="00131EED">
              <w:rPr>
                <w:b/>
                <w:color w:val="000000"/>
                <w:sz w:val="20"/>
                <w:szCs w:val="20"/>
              </w:rPr>
              <w:t>Cota</w:t>
            </w:r>
          </w:p>
        </w:tc>
        <w:tc>
          <w:tcPr>
            <w:tcW w:w="1441" w:type="dxa"/>
            <w:tcBorders>
              <w:top w:val="nil"/>
              <w:left w:val="nil"/>
              <w:bottom w:val="single" w:sz="4" w:space="0" w:color="auto"/>
              <w:right w:val="single" w:sz="4" w:space="0" w:color="auto"/>
            </w:tcBorders>
            <w:noWrap/>
            <w:vAlign w:val="bottom"/>
            <w:hideMark/>
          </w:tcPr>
          <w:p w14:paraId="29DCC5E7" w14:textId="608C7B74" w:rsidR="005C653F" w:rsidRPr="00131EED" w:rsidRDefault="005C653F" w:rsidP="005C653F">
            <w:pPr>
              <w:jc w:val="right"/>
              <w:rPr>
                <w:color w:val="000000"/>
                <w:sz w:val="20"/>
                <w:szCs w:val="20"/>
                <w:lang w:eastAsia="en-US"/>
              </w:rPr>
            </w:pPr>
            <w:r w:rsidRPr="00131EED">
              <w:rPr>
                <w:color w:val="000000"/>
                <w:sz w:val="20"/>
                <w:szCs w:val="20"/>
              </w:rPr>
              <w:t>121.288916</w:t>
            </w:r>
          </w:p>
        </w:tc>
        <w:tc>
          <w:tcPr>
            <w:tcW w:w="1961" w:type="dxa"/>
            <w:tcBorders>
              <w:top w:val="nil"/>
              <w:left w:val="nil"/>
              <w:bottom w:val="single" w:sz="4" w:space="0" w:color="auto"/>
              <w:right w:val="single" w:sz="4" w:space="0" w:color="auto"/>
            </w:tcBorders>
            <w:noWrap/>
            <w:vAlign w:val="bottom"/>
            <w:hideMark/>
          </w:tcPr>
          <w:p w14:paraId="15A10397" w14:textId="3F2A8CE7" w:rsidR="005C653F" w:rsidRPr="00131EED" w:rsidRDefault="005C653F" w:rsidP="005C653F">
            <w:pPr>
              <w:jc w:val="right"/>
              <w:rPr>
                <w:color w:val="000000"/>
                <w:sz w:val="20"/>
                <w:szCs w:val="20"/>
                <w:lang w:eastAsia="en-US"/>
              </w:rPr>
            </w:pPr>
            <w:r w:rsidRPr="00131EED">
              <w:rPr>
                <w:color w:val="000000"/>
                <w:sz w:val="20"/>
                <w:szCs w:val="20"/>
              </w:rPr>
              <w:t>2.26%</w:t>
            </w:r>
          </w:p>
        </w:tc>
      </w:tr>
      <w:tr w:rsidR="005C653F" w:rsidRPr="00131EED" w14:paraId="582B8036"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4E7F1CBD" w14:textId="7D8E02DE" w:rsidR="005C653F" w:rsidRPr="00131EED" w:rsidRDefault="005C653F" w:rsidP="005C653F">
            <w:pPr>
              <w:jc w:val="left"/>
              <w:rPr>
                <w:b/>
                <w:color w:val="000000"/>
                <w:sz w:val="20"/>
                <w:szCs w:val="20"/>
                <w:lang w:eastAsia="en-US"/>
              </w:rPr>
            </w:pPr>
            <w:r w:rsidRPr="00131EED">
              <w:rPr>
                <w:b/>
                <w:color w:val="000000"/>
                <w:sz w:val="20"/>
                <w:szCs w:val="20"/>
              </w:rPr>
              <w:t>Sopó</w:t>
            </w:r>
          </w:p>
        </w:tc>
        <w:tc>
          <w:tcPr>
            <w:tcW w:w="1441" w:type="dxa"/>
            <w:tcBorders>
              <w:top w:val="nil"/>
              <w:left w:val="nil"/>
              <w:bottom w:val="single" w:sz="4" w:space="0" w:color="auto"/>
              <w:right w:val="single" w:sz="4" w:space="0" w:color="auto"/>
            </w:tcBorders>
            <w:noWrap/>
            <w:vAlign w:val="bottom"/>
            <w:hideMark/>
          </w:tcPr>
          <w:p w14:paraId="7D7E5965" w14:textId="43B47B71" w:rsidR="005C653F" w:rsidRPr="00131EED" w:rsidRDefault="005C653F" w:rsidP="005C653F">
            <w:pPr>
              <w:jc w:val="right"/>
              <w:rPr>
                <w:color w:val="000000"/>
                <w:sz w:val="20"/>
                <w:szCs w:val="20"/>
                <w:lang w:eastAsia="en-US"/>
              </w:rPr>
            </w:pPr>
            <w:r w:rsidRPr="00131EED">
              <w:rPr>
                <w:color w:val="000000"/>
                <w:sz w:val="20"/>
                <w:szCs w:val="20"/>
              </w:rPr>
              <w:t>106.570926</w:t>
            </w:r>
          </w:p>
        </w:tc>
        <w:tc>
          <w:tcPr>
            <w:tcW w:w="1961" w:type="dxa"/>
            <w:tcBorders>
              <w:top w:val="nil"/>
              <w:left w:val="nil"/>
              <w:bottom w:val="single" w:sz="4" w:space="0" w:color="auto"/>
              <w:right w:val="single" w:sz="4" w:space="0" w:color="auto"/>
            </w:tcBorders>
            <w:noWrap/>
            <w:vAlign w:val="bottom"/>
            <w:hideMark/>
          </w:tcPr>
          <w:p w14:paraId="7338769E" w14:textId="0CDB1B83" w:rsidR="005C653F" w:rsidRPr="00131EED" w:rsidRDefault="005C653F" w:rsidP="005C653F">
            <w:pPr>
              <w:jc w:val="right"/>
              <w:rPr>
                <w:color w:val="000000"/>
                <w:sz w:val="20"/>
                <w:szCs w:val="20"/>
                <w:lang w:eastAsia="en-US"/>
              </w:rPr>
            </w:pPr>
            <w:r w:rsidRPr="00131EED">
              <w:rPr>
                <w:color w:val="000000"/>
                <w:sz w:val="20"/>
                <w:szCs w:val="20"/>
              </w:rPr>
              <w:t>0.96%</w:t>
            </w:r>
          </w:p>
        </w:tc>
      </w:tr>
      <w:tr w:rsidR="005C653F" w:rsidRPr="00131EED" w14:paraId="6518AD8A"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17E2785A" w14:textId="443ADCA3" w:rsidR="005C653F" w:rsidRPr="00131EED" w:rsidRDefault="005C653F" w:rsidP="005C653F">
            <w:pPr>
              <w:jc w:val="left"/>
              <w:rPr>
                <w:b/>
                <w:color w:val="000000"/>
                <w:sz w:val="20"/>
                <w:szCs w:val="20"/>
                <w:lang w:eastAsia="en-US"/>
              </w:rPr>
            </w:pPr>
            <w:r w:rsidRPr="00131EED">
              <w:rPr>
                <w:b/>
                <w:color w:val="000000"/>
                <w:sz w:val="20"/>
                <w:szCs w:val="20"/>
              </w:rPr>
              <w:t>Tabio</w:t>
            </w:r>
          </w:p>
        </w:tc>
        <w:tc>
          <w:tcPr>
            <w:tcW w:w="1441" w:type="dxa"/>
            <w:tcBorders>
              <w:top w:val="nil"/>
              <w:left w:val="nil"/>
              <w:bottom w:val="single" w:sz="4" w:space="0" w:color="auto"/>
              <w:right w:val="single" w:sz="4" w:space="0" w:color="auto"/>
            </w:tcBorders>
            <w:noWrap/>
            <w:vAlign w:val="bottom"/>
            <w:hideMark/>
          </w:tcPr>
          <w:p w14:paraId="662FDB47" w14:textId="2CE89930" w:rsidR="005C653F" w:rsidRPr="00131EED" w:rsidRDefault="005C653F" w:rsidP="005C653F">
            <w:pPr>
              <w:jc w:val="right"/>
              <w:rPr>
                <w:color w:val="000000"/>
                <w:sz w:val="20"/>
                <w:szCs w:val="20"/>
                <w:lang w:eastAsia="en-US"/>
              </w:rPr>
            </w:pPr>
            <w:r w:rsidRPr="00131EED">
              <w:rPr>
                <w:color w:val="000000"/>
                <w:sz w:val="20"/>
                <w:szCs w:val="20"/>
              </w:rPr>
              <w:t>95.947295</w:t>
            </w:r>
          </w:p>
        </w:tc>
        <w:tc>
          <w:tcPr>
            <w:tcW w:w="1961" w:type="dxa"/>
            <w:tcBorders>
              <w:top w:val="nil"/>
              <w:left w:val="nil"/>
              <w:bottom w:val="single" w:sz="4" w:space="0" w:color="auto"/>
              <w:right w:val="single" w:sz="4" w:space="0" w:color="auto"/>
            </w:tcBorders>
            <w:noWrap/>
            <w:vAlign w:val="bottom"/>
            <w:hideMark/>
          </w:tcPr>
          <w:p w14:paraId="54FC10AD" w14:textId="0B29B167" w:rsidR="005C653F" w:rsidRPr="00131EED" w:rsidRDefault="005C653F" w:rsidP="005C653F">
            <w:pPr>
              <w:jc w:val="right"/>
              <w:rPr>
                <w:color w:val="000000"/>
                <w:sz w:val="20"/>
                <w:szCs w:val="20"/>
                <w:lang w:eastAsia="en-US"/>
              </w:rPr>
            </w:pPr>
            <w:r w:rsidRPr="00131EED">
              <w:rPr>
                <w:color w:val="000000"/>
                <w:sz w:val="20"/>
                <w:szCs w:val="20"/>
              </w:rPr>
              <w:t>1.28%</w:t>
            </w:r>
          </w:p>
        </w:tc>
      </w:tr>
      <w:tr w:rsidR="005C653F" w:rsidRPr="00131EED" w14:paraId="21AE7BAC"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7EC66829" w14:textId="3CFBE8EE" w:rsidR="005C653F" w:rsidRPr="00131EED" w:rsidRDefault="005C653F" w:rsidP="005C653F">
            <w:pPr>
              <w:jc w:val="left"/>
              <w:rPr>
                <w:b/>
                <w:color w:val="000000"/>
                <w:sz w:val="20"/>
                <w:szCs w:val="20"/>
                <w:lang w:eastAsia="en-US"/>
              </w:rPr>
            </w:pPr>
            <w:r w:rsidRPr="00131EED">
              <w:rPr>
                <w:b/>
                <w:color w:val="000000"/>
                <w:sz w:val="20"/>
                <w:szCs w:val="20"/>
              </w:rPr>
              <w:t>Zipaquirá</w:t>
            </w:r>
          </w:p>
        </w:tc>
        <w:tc>
          <w:tcPr>
            <w:tcW w:w="1441" w:type="dxa"/>
            <w:tcBorders>
              <w:top w:val="nil"/>
              <w:left w:val="nil"/>
              <w:bottom w:val="single" w:sz="4" w:space="0" w:color="auto"/>
              <w:right w:val="single" w:sz="4" w:space="0" w:color="auto"/>
            </w:tcBorders>
            <w:noWrap/>
            <w:vAlign w:val="bottom"/>
            <w:hideMark/>
          </w:tcPr>
          <w:p w14:paraId="1C96F5B7" w14:textId="24CBA75A" w:rsidR="005C653F" w:rsidRPr="00131EED" w:rsidRDefault="005C653F" w:rsidP="005C653F">
            <w:pPr>
              <w:jc w:val="right"/>
              <w:rPr>
                <w:color w:val="000000"/>
                <w:sz w:val="20"/>
                <w:szCs w:val="20"/>
                <w:lang w:eastAsia="en-US"/>
              </w:rPr>
            </w:pPr>
            <w:r w:rsidRPr="00131EED">
              <w:rPr>
                <w:color w:val="000000"/>
                <w:sz w:val="20"/>
                <w:szCs w:val="20"/>
              </w:rPr>
              <w:t>73.660499</w:t>
            </w:r>
          </w:p>
        </w:tc>
        <w:tc>
          <w:tcPr>
            <w:tcW w:w="1961" w:type="dxa"/>
            <w:tcBorders>
              <w:top w:val="nil"/>
              <w:left w:val="nil"/>
              <w:bottom w:val="single" w:sz="4" w:space="0" w:color="auto"/>
              <w:right w:val="single" w:sz="4" w:space="0" w:color="auto"/>
            </w:tcBorders>
            <w:noWrap/>
            <w:vAlign w:val="bottom"/>
            <w:hideMark/>
          </w:tcPr>
          <w:p w14:paraId="665D3B07" w14:textId="3082DAA7" w:rsidR="005C653F" w:rsidRPr="00131EED" w:rsidRDefault="005C653F" w:rsidP="005C653F">
            <w:pPr>
              <w:jc w:val="right"/>
              <w:rPr>
                <w:color w:val="000000"/>
                <w:sz w:val="20"/>
                <w:szCs w:val="20"/>
                <w:lang w:eastAsia="en-US"/>
              </w:rPr>
            </w:pPr>
            <w:r w:rsidRPr="00131EED">
              <w:rPr>
                <w:color w:val="000000"/>
                <w:sz w:val="20"/>
                <w:szCs w:val="20"/>
              </w:rPr>
              <w:t>0.41%</w:t>
            </w:r>
          </w:p>
        </w:tc>
      </w:tr>
      <w:tr w:rsidR="005C653F" w:rsidRPr="00131EED" w14:paraId="0C505744"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3DCB4030" w14:textId="6F339280" w:rsidR="005C653F" w:rsidRPr="00131EED" w:rsidRDefault="005C653F" w:rsidP="005C653F">
            <w:pPr>
              <w:jc w:val="left"/>
              <w:rPr>
                <w:b/>
                <w:color w:val="000000"/>
                <w:sz w:val="20"/>
                <w:szCs w:val="20"/>
                <w:lang w:eastAsia="en-US"/>
              </w:rPr>
            </w:pPr>
            <w:r w:rsidRPr="00131EED">
              <w:rPr>
                <w:b/>
                <w:color w:val="000000"/>
                <w:sz w:val="20"/>
                <w:szCs w:val="20"/>
              </w:rPr>
              <w:t>Sibaté</w:t>
            </w:r>
          </w:p>
        </w:tc>
        <w:tc>
          <w:tcPr>
            <w:tcW w:w="1441" w:type="dxa"/>
            <w:tcBorders>
              <w:top w:val="nil"/>
              <w:left w:val="nil"/>
              <w:bottom w:val="single" w:sz="4" w:space="0" w:color="auto"/>
              <w:right w:val="single" w:sz="4" w:space="0" w:color="auto"/>
            </w:tcBorders>
            <w:noWrap/>
            <w:vAlign w:val="bottom"/>
            <w:hideMark/>
          </w:tcPr>
          <w:p w14:paraId="396A4EF3" w14:textId="0922CF1D" w:rsidR="005C653F" w:rsidRPr="00131EED" w:rsidRDefault="005C653F" w:rsidP="005C653F">
            <w:pPr>
              <w:jc w:val="right"/>
              <w:rPr>
                <w:color w:val="000000"/>
                <w:sz w:val="20"/>
                <w:szCs w:val="20"/>
                <w:lang w:eastAsia="en-US"/>
              </w:rPr>
            </w:pPr>
            <w:r w:rsidRPr="00131EED">
              <w:rPr>
                <w:color w:val="000000"/>
                <w:sz w:val="20"/>
                <w:szCs w:val="20"/>
              </w:rPr>
              <w:t>68.735738</w:t>
            </w:r>
          </w:p>
        </w:tc>
        <w:tc>
          <w:tcPr>
            <w:tcW w:w="1961" w:type="dxa"/>
            <w:tcBorders>
              <w:top w:val="nil"/>
              <w:left w:val="nil"/>
              <w:bottom w:val="single" w:sz="4" w:space="0" w:color="auto"/>
              <w:right w:val="single" w:sz="4" w:space="0" w:color="auto"/>
            </w:tcBorders>
            <w:noWrap/>
            <w:vAlign w:val="bottom"/>
            <w:hideMark/>
          </w:tcPr>
          <w:p w14:paraId="3E638E21" w14:textId="466ADC11" w:rsidR="005C653F" w:rsidRPr="00131EED" w:rsidRDefault="005C653F" w:rsidP="005C653F">
            <w:pPr>
              <w:jc w:val="right"/>
              <w:rPr>
                <w:color w:val="000000"/>
                <w:sz w:val="20"/>
                <w:szCs w:val="20"/>
                <w:lang w:eastAsia="en-US"/>
              </w:rPr>
            </w:pPr>
            <w:r w:rsidRPr="00131EED">
              <w:rPr>
                <w:color w:val="000000"/>
                <w:sz w:val="20"/>
                <w:szCs w:val="20"/>
              </w:rPr>
              <w:t>0.73%</w:t>
            </w:r>
          </w:p>
        </w:tc>
      </w:tr>
      <w:tr w:rsidR="005C653F" w:rsidRPr="00131EED" w14:paraId="6339E536"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013085ED" w14:textId="0A449ED4" w:rsidR="005C653F" w:rsidRPr="00131EED" w:rsidRDefault="005C653F" w:rsidP="005C653F">
            <w:pPr>
              <w:jc w:val="left"/>
              <w:rPr>
                <w:b/>
                <w:color w:val="000000"/>
                <w:sz w:val="20"/>
                <w:szCs w:val="20"/>
                <w:lang w:eastAsia="en-US"/>
              </w:rPr>
            </w:pPr>
            <w:r w:rsidRPr="00131EED">
              <w:rPr>
                <w:b/>
                <w:color w:val="000000"/>
                <w:sz w:val="20"/>
                <w:szCs w:val="20"/>
              </w:rPr>
              <w:t>Soacha</w:t>
            </w:r>
          </w:p>
        </w:tc>
        <w:tc>
          <w:tcPr>
            <w:tcW w:w="1441" w:type="dxa"/>
            <w:tcBorders>
              <w:top w:val="nil"/>
              <w:left w:val="nil"/>
              <w:bottom w:val="single" w:sz="4" w:space="0" w:color="auto"/>
              <w:right w:val="single" w:sz="4" w:space="0" w:color="auto"/>
            </w:tcBorders>
            <w:noWrap/>
            <w:vAlign w:val="bottom"/>
            <w:hideMark/>
          </w:tcPr>
          <w:p w14:paraId="3D8E8DBE" w14:textId="2EDF7679" w:rsidR="005C653F" w:rsidRPr="00131EED" w:rsidRDefault="005C653F" w:rsidP="005C653F">
            <w:pPr>
              <w:jc w:val="right"/>
              <w:rPr>
                <w:color w:val="000000"/>
                <w:sz w:val="20"/>
                <w:szCs w:val="20"/>
                <w:lang w:eastAsia="en-US"/>
              </w:rPr>
            </w:pPr>
            <w:r w:rsidRPr="00131EED">
              <w:rPr>
                <w:color w:val="000000"/>
                <w:sz w:val="20"/>
                <w:szCs w:val="20"/>
              </w:rPr>
              <w:t>57.225543</w:t>
            </w:r>
          </w:p>
        </w:tc>
        <w:tc>
          <w:tcPr>
            <w:tcW w:w="1961" w:type="dxa"/>
            <w:tcBorders>
              <w:top w:val="nil"/>
              <w:left w:val="nil"/>
              <w:bottom w:val="single" w:sz="4" w:space="0" w:color="auto"/>
              <w:right w:val="single" w:sz="4" w:space="0" w:color="auto"/>
            </w:tcBorders>
            <w:noWrap/>
            <w:vAlign w:val="bottom"/>
            <w:hideMark/>
          </w:tcPr>
          <w:p w14:paraId="20E09827" w14:textId="5D7A38B9" w:rsidR="005C653F" w:rsidRPr="00131EED" w:rsidRDefault="005C653F" w:rsidP="005C653F">
            <w:pPr>
              <w:jc w:val="right"/>
              <w:rPr>
                <w:color w:val="000000"/>
                <w:sz w:val="20"/>
                <w:szCs w:val="20"/>
                <w:lang w:eastAsia="en-US"/>
              </w:rPr>
            </w:pPr>
            <w:r w:rsidRPr="00131EED">
              <w:rPr>
                <w:color w:val="000000"/>
                <w:sz w:val="20"/>
                <w:szCs w:val="20"/>
              </w:rPr>
              <w:t>0.32%</w:t>
            </w:r>
          </w:p>
        </w:tc>
      </w:tr>
      <w:tr w:rsidR="005C653F" w:rsidRPr="00131EED" w14:paraId="38CD50B7"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3F1B28AD" w14:textId="69EB7A80" w:rsidR="005C653F" w:rsidRPr="00131EED" w:rsidRDefault="005C653F" w:rsidP="005C653F">
            <w:pPr>
              <w:jc w:val="left"/>
              <w:rPr>
                <w:b/>
                <w:color w:val="000000"/>
                <w:sz w:val="20"/>
                <w:szCs w:val="20"/>
                <w:lang w:eastAsia="en-US"/>
              </w:rPr>
            </w:pPr>
            <w:r w:rsidRPr="00131EED">
              <w:rPr>
                <w:b/>
                <w:color w:val="000000"/>
                <w:sz w:val="20"/>
                <w:szCs w:val="20"/>
              </w:rPr>
              <w:t>Madrid</w:t>
            </w:r>
          </w:p>
        </w:tc>
        <w:tc>
          <w:tcPr>
            <w:tcW w:w="1441" w:type="dxa"/>
            <w:tcBorders>
              <w:top w:val="nil"/>
              <w:left w:val="nil"/>
              <w:bottom w:val="single" w:sz="4" w:space="0" w:color="auto"/>
              <w:right w:val="single" w:sz="4" w:space="0" w:color="auto"/>
            </w:tcBorders>
            <w:noWrap/>
            <w:vAlign w:val="bottom"/>
            <w:hideMark/>
          </w:tcPr>
          <w:p w14:paraId="0FF44972" w14:textId="41A4D8F9" w:rsidR="005C653F" w:rsidRPr="00131EED" w:rsidRDefault="005C653F" w:rsidP="005C653F">
            <w:pPr>
              <w:jc w:val="right"/>
              <w:rPr>
                <w:color w:val="000000"/>
                <w:sz w:val="20"/>
                <w:szCs w:val="20"/>
                <w:lang w:eastAsia="en-US"/>
              </w:rPr>
            </w:pPr>
            <w:r w:rsidRPr="00131EED">
              <w:rPr>
                <w:color w:val="000000"/>
                <w:sz w:val="20"/>
                <w:szCs w:val="20"/>
              </w:rPr>
              <w:t>49.726488</w:t>
            </w:r>
          </w:p>
        </w:tc>
        <w:tc>
          <w:tcPr>
            <w:tcW w:w="1961" w:type="dxa"/>
            <w:tcBorders>
              <w:top w:val="nil"/>
              <w:left w:val="nil"/>
              <w:bottom w:val="single" w:sz="4" w:space="0" w:color="auto"/>
              <w:right w:val="single" w:sz="4" w:space="0" w:color="auto"/>
            </w:tcBorders>
            <w:noWrap/>
            <w:vAlign w:val="bottom"/>
            <w:hideMark/>
          </w:tcPr>
          <w:p w14:paraId="29B250AA" w14:textId="55282722" w:rsidR="005C653F" w:rsidRPr="00131EED" w:rsidRDefault="005C653F" w:rsidP="005C653F">
            <w:pPr>
              <w:jc w:val="right"/>
              <w:rPr>
                <w:color w:val="000000"/>
                <w:sz w:val="20"/>
                <w:szCs w:val="20"/>
                <w:lang w:eastAsia="en-US"/>
              </w:rPr>
            </w:pPr>
            <w:r w:rsidRPr="00131EED">
              <w:rPr>
                <w:color w:val="000000"/>
                <w:sz w:val="20"/>
                <w:szCs w:val="20"/>
              </w:rPr>
              <w:t>0.42%</w:t>
            </w:r>
          </w:p>
        </w:tc>
      </w:tr>
      <w:tr w:rsidR="005C653F" w:rsidRPr="00131EED" w14:paraId="34612C9F"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379E56D8" w14:textId="361E63BB" w:rsidR="005C653F" w:rsidRPr="00131EED" w:rsidRDefault="005C653F" w:rsidP="005C653F">
            <w:pPr>
              <w:jc w:val="left"/>
              <w:rPr>
                <w:b/>
                <w:color w:val="000000"/>
                <w:sz w:val="20"/>
                <w:szCs w:val="20"/>
                <w:lang w:eastAsia="en-US"/>
              </w:rPr>
            </w:pPr>
            <w:r w:rsidRPr="00131EED">
              <w:rPr>
                <w:b/>
                <w:color w:val="000000"/>
                <w:sz w:val="20"/>
                <w:szCs w:val="20"/>
              </w:rPr>
              <w:t>El Rosal</w:t>
            </w:r>
          </w:p>
        </w:tc>
        <w:tc>
          <w:tcPr>
            <w:tcW w:w="1441" w:type="dxa"/>
            <w:tcBorders>
              <w:top w:val="nil"/>
              <w:left w:val="nil"/>
              <w:bottom w:val="single" w:sz="4" w:space="0" w:color="auto"/>
              <w:right w:val="single" w:sz="4" w:space="0" w:color="auto"/>
            </w:tcBorders>
            <w:noWrap/>
            <w:vAlign w:val="bottom"/>
            <w:hideMark/>
          </w:tcPr>
          <w:p w14:paraId="5076788E" w14:textId="5294D823" w:rsidR="005C653F" w:rsidRPr="00131EED" w:rsidRDefault="005C653F" w:rsidP="005C653F">
            <w:pPr>
              <w:jc w:val="right"/>
              <w:rPr>
                <w:color w:val="000000"/>
                <w:sz w:val="20"/>
                <w:szCs w:val="20"/>
                <w:lang w:eastAsia="en-US"/>
              </w:rPr>
            </w:pPr>
            <w:r w:rsidRPr="00131EED">
              <w:rPr>
                <w:color w:val="000000"/>
                <w:sz w:val="20"/>
                <w:szCs w:val="20"/>
              </w:rPr>
              <w:t>34.943181</w:t>
            </w:r>
          </w:p>
        </w:tc>
        <w:tc>
          <w:tcPr>
            <w:tcW w:w="1961" w:type="dxa"/>
            <w:tcBorders>
              <w:top w:val="nil"/>
              <w:left w:val="nil"/>
              <w:bottom w:val="single" w:sz="4" w:space="0" w:color="auto"/>
              <w:right w:val="single" w:sz="4" w:space="0" w:color="auto"/>
            </w:tcBorders>
            <w:noWrap/>
            <w:vAlign w:val="bottom"/>
            <w:hideMark/>
          </w:tcPr>
          <w:p w14:paraId="6BFBC27D" w14:textId="025E0BFA" w:rsidR="005C653F" w:rsidRPr="00131EED" w:rsidRDefault="005C653F" w:rsidP="005C653F">
            <w:pPr>
              <w:jc w:val="right"/>
              <w:rPr>
                <w:color w:val="000000"/>
                <w:sz w:val="20"/>
                <w:szCs w:val="20"/>
                <w:lang w:eastAsia="en-US"/>
              </w:rPr>
            </w:pPr>
            <w:r w:rsidRPr="00131EED">
              <w:rPr>
                <w:color w:val="000000"/>
                <w:sz w:val="20"/>
                <w:szCs w:val="20"/>
              </w:rPr>
              <w:t>0.51%</w:t>
            </w:r>
          </w:p>
        </w:tc>
      </w:tr>
      <w:tr w:rsidR="005C653F" w:rsidRPr="00131EED" w14:paraId="224A9ACD"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0EF9A94E" w14:textId="6EEA6A1E" w:rsidR="005C653F" w:rsidRPr="00131EED" w:rsidRDefault="005C653F" w:rsidP="005C653F">
            <w:pPr>
              <w:jc w:val="left"/>
              <w:rPr>
                <w:b/>
                <w:color w:val="000000"/>
                <w:sz w:val="20"/>
                <w:szCs w:val="20"/>
                <w:lang w:eastAsia="en-US"/>
              </w:rPr>
            </w:pPr>
            <w:r w:rsidRPr="00131EED">
              <w:rPr>
                <w:b/>
                <w:color w:val="000000"/>
                <w:sz w:val="20"/>
                <w:szCs w:val="20"/>
              </w:rPr>
              <w:t>Villapinzon</w:t>
            </w:r>
          </w:p>
        </w:tc>
        <w:tc>
          <w:tcPr>
            <w:tcW w:w="1441" w:type="dxa"/>
            <w:tcBorders>
              <w:top w:val="nil"/>
              <w:left w:val="nil"/>
              <w:bottom w:val="single" w:sz="4" w:space="0" w:color="auto"/>
              <w:right w:val="single" w:sz="4" w:space="0" w:color="auto"/>
            </w:tcBorders>
            <w:noWrap/>
            <w:vAlign w:val="bottom"/>
            <w:hideMark/>
          </w:tcPr>
          <w:p w14:paraId="1AE0CB23" w14:textId="40C10BCD" w:rsidR="005C653F" w:rsidRPr="00131EED" w:rsidRDefault="005C653F" w:rsidP="005C653F">
            <w:pPr>
              <w:jc w:val="right"/>
              <w:rPr>
                <w:color w:val="000000"/>
                <w:sz w:val="20"/>
                <w:szCs w:val="20"/>
                <w:lang w:eastAsia="en-US"/>
              </w:rPr>
            </w:pPr>
            <w:r w:rsidRPr="00131EED">
              <w:rPr>
                <w:color w:val="000000"/>
                <w:sz w:val="20"/>
                <w:szCs w:val="20"/>
              </w:rPr>
              <w:t>26.847937</w:t>
            </w:r>
          </w:p>
        </w:tc>
        <w:tc>
          <w:tcPr>
            <w:tcW w:w="1961" w:type="dxa"/>
            <w:tcBorders>
              <w:top w:val="nil"/>
              <w:left w:val="nil"/>
              <w:bottom w:val="single" w:sz="4" w:space="0" w:color="auto"/>
              <w:right w:val="single" w:sz="4" w:space="0" w:color="auto"/>
            </w:tcBorders>
            <w:noWrap/>
            <w:vAlign w:val="bottom"/>
            <w:hideMark/>
          </w:tcPr>
          <w:p w14:paraId="3CDDC13A" w14:textId="055D43D0" w:rsidR="005C653F" w:rsidRPr="00131EED" w:rsidRDefault="005C653F" w:rsidP="005C653F">
            <w:pPr>
              <w:jc w:val="right"/>
              <w:rPr>
                <w:color w:val="000000"/>
                <w:sz w:val="20"/>
                <w:szCs w:val="20"/>
                <w:lang w:eastAsia="en-US"/>
              </w:rPr>
            </w:pPr>
            <w:r w:rsidRPr="00131EED">
              <w:rPr>
                <w:color w:val="000000"/>
                <w:sz w:val="20"/>
                <w:szCs w:val="20"/>
              </w:rPr>
              <w:t>0.21%</w:t>
            </w:r>
          </w:p>
        </w:tc>
      </w:tr>
      <w:tr w:rsidR="005C653F" w:rsidRPr="00131EED" w14:paraId="6A82E958"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23215DF3" w14:textId="0B7287AE" w:rsidR="005C653F" w:rsidRPr="00131EED" w:rsidRDefault="005C653F" w:rsidP="005C653F">
            <w:pPr>
              <w:jc w:val="left"/>
              <w:rPr>
                <w:b/>
                <w:color w:val="000000"/>
                <w:sz w:val="20"/>
                <w:szCs w:val="20"/>
                <w:lang w:eastAsia="en-US"/>
              </w:rPr>
            </w:pPr>
            <w:r w:rsidRPr="00131EED">
              <w:rPr>
                <w:b/>
                <w:color w:val="000000"/>
                <w:sz w:val="20"/>
                <w:szCs w:val="20"/>
              </w:rPr>
              <w:t>Mosquera</w:t>
            </w:r>
          </w:p>
        </w:tc>
        <w:tc>
          <w:tcPr>
            <w:tcW w:w="1441" w:type="dxa"/>
            <w:tcBorders>
              <w:top w:val="nil"/>
              <w:left w:val="nil"/>
              <w:bottom w:val="single" w:sz="4" w:space="0" w:color="auto"/>
              <w:right w:val="single" w:sz="4" w:space="0" w:color="auto"/>
            </w:tcBorders>
            <w:noWrap/>
            <w:vAlign w:val="bottom"/>
            <w:hideMark/>
          </w:tcPr>
          <w:p w14:paraId="521E04F3" w14:textId="7B3595C1" w:rsidR="005C653F" w:rsidRPr="00131EED" w:rsidRDefault="005C653F" w:rsidP="005C653F">
            <w:pPr>
              <w:jc w:val="right"/>
              <w:rPr>
                <w:color w:val="000000"/>
                <w:sz w:val="20"/>
                <w:szCs w:val="20"/>
                <w:lang w:eastAsia="en-US"/>
              </w:rPr>
            </w:pPr>
            <w:r w:rsidRPr="00131EED">
              <w:rPr>
                <w:color w:val="000000"/>
                <w:sz w:val="20"/>
                <w:szCs w:val="20"/>
              </w:rPr>
              <w:t>22.585395</w:t>
            </w:r>
          </w:p>
        </w:tc>
        <w:tc>
          <w:tcPr>
            <w:tcW w:w="1961" w:type="dxa"/>
            <w:tcBorders>
              <w:top w:val="nil"/>
              <w:left w:val="nil"/>
              <w:bottom w:val="single" w:sz="4" w:space="0" w:color="auto"/>
              <w:right w:val="single" w:sz="4" w:space="0" w:color="auto"/>
            </w:tcBorders>
            <w:noWrap/>
            <w:vAlign w:val="bottom"/>
            <w:hideMark/>
          </w:tcPr>
          <w:p w14:paraId="64B0B7AA" w14:textId="2AADBFE5" w:rsidR="005C653F" w:rsidRPr="00131EED" w:rsidRDefault="005C653F" w:rsidP="005C653F">
            <w:pPr>
              <w:jc w:val="right"/>
              <w:rPr>
                <w:color w:val="000000"/>
                <w:sz w:val="20"/>
                <w:szCs w:val="20"/>
                <w:lang w:eastAsia="en-US"/>
              </w:rPr>
            </w:pPr>
            <w:r w:rsidRPr="00131EED">
              <w:rPr>
                <w:color w:val="000000"/>
                <w:sz w:val="20"/>
                <w:szCs w:val="20"/>
              </w:rPr>
              <w:t>0.21%</w:t>
            </w:r>
          </w:p>
        </w:tc>
      </w:tr>
      <w:tr w:rsidR="005C653F" w:rsidRPr="00131EED" w14:paraId="6C2ADF69"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3B3EC716" w14:textId="41B66079" w:rsidR="005C653F" w:rsidRPr="00131EED" w:rsidRDefault="005C653F" w:rsidP="005C653F">
            <w:pPr>
              <w:jc w:val="left"/>
              <w:rPr>
                <w:b/>
                <w:color w:val="000000"/>
                <w:sz w:val="20"/>
                <w:szCs w:val="20"/>
                <w:lang w:eastAsia="en-US"/>
              </w:rPr>
            </w:pPr>
            <w:r w:rsidRPr="00131EED">
              <w:rPr>
                <w:b/>
                <w:color w:val="000000"/>
                <w:sz w:val="20"/>
                <w:szCs w:val="20"/>
              </w:rPr>
              <w:t>Sesquilé</w:t>
            </w:r>
          </w:p>
        </w:tc>
        <w:tc>
          <w:tcPr>
            <w:tcW w:w="1441" w:type="dxa"/>
            <w:tcBorders>
              <w:top w:val="nil"/>
              <w:left w:val="nil"/>
              <w:bottom w:val="single" w:sz="4" w:space="0" w:color="auto"/>
              <w:right w:val="single" w:sz="4" w:space="0" w:color="auto"/>
            </w:tcBorders>
            <w:noWrap/>
            <w:vAlign w:val="bottom"/>
            <w:hideMark/>
          </w:tcPr>
          <w:p w14:paraId="726862F7" w14:textId="68A97658" w:rsidR="005C653F" w:rsidRPr="00131EED" w:rsidRDefault="005C653F" w:rsidP="005C653F">
            <w:pPr>
              <w:jc w:val="right"/>
              <w:rPr>
                <w:color w:val="000000"/>
                <w:sz w:val="20"/>
                <w:szCs w:val="20"/>
                <w:lang w:eastAsia="en-US"/>
              </w:rPr>
            </w:pPr>
            <w:r w:rsidRPr="00131EED">
              <w:rPr>
                <w:color w:val="000000"/>
                <w:sz w:val="20"/>
                <w:szCs w:val="20"/>
              </w:rPr>
              <w:t>17.962917</w:t>
            </w:r>
          </w:p>
        </w:tc>
        <w:tc>
          <w:tcPr>
            <w:tcW w:w="1961" w:type="dxa"/>
            <w:tcBorders>
              <w:top w:val="nil"/>
              <w:left w:val="nil"/>
              <w:bottom w:val="single" w:sz="4" w:space="0" w:color="auto"/>
              <w:right w:val="single" w:sz="4" w:space="0" w:color="auto"/>
            </w:tcBorders>
            <w:noWrap/>
            <w:vAlign w:val="bottom"/>
            <w:hideMark/>
          </w:tcPr>
          <w:p w14:paraId="29A9A4FA" w14:textId="272DBED3" w:rsidR="005C653F" w:rsidRPr="00131EED" w:rsidRDefault="005C653F" w:rsidP="005C653F">
            <w:pPr>
              <w:jc w:val="right"/>
              <w:rPr>
                <w:color w:val="000000"/>
                <w:sz w:val="20"/>
                <w:szCs w:val="20"/>
                <w:lang w:eastAsia="en-US"/>
              </w:rPr>
            </w:pPr>
            <w:r w:rsidRPr="00131EED">
              <w:rPr>
                <w:color w:val="000000"/>
                <w:sz w:val="20"/>
                <w:szCs w:val="20"/>
              </w:rPr>
              <w:t>0.13%</w:t>
            </w:r>
          </w:p>
        </w:tc>
      </w:tr>
      <w:tr w:rsidR="005C653F" w:rsidRPr="00131EED" w14:paraId="22FE17D8"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43C9C21F" w14:textId="5D926197" w:rsidR="005C653F" w:rsidRPr="00131EED" w:rsidRDefault="005C653F" w:rsidP="005C653F">
            <w:pPr>
              <w:jc w:val="left"/>
              <w:rPr>
                <w:b/>
                <w:color w:val="000000"/>
                <w:sz w:val="20"/>
                <w:szCs w:val="20"/>
                <w:lang w:eastAsia="en-US"/>
              </w:rPr>
            </w:pPr>
            <w:r w:rsidRPr="00131EED">
              <w:rPr>
                <w:b/>
                <w:color w:val="000000"/>
                <w:sz w:val="20"/>
                <w:szCs w:val="20"/>
              </w:rPr>
              <w:t>Suesca</w:t>
            </w:r>
          </w:p>
        </w:tc>
        <w:tc>
          <w:tcPr>
            <w:tcW w:w="1441" w:type="dxa"/>
            <w:tcBorders>
              <w:top w:val="nil"/>
              <w:left w:val="nil"/>
              <w:bottom w:val="single" w:sz="4" w:space="0" w:color="auto"/>
              <w:right w:val="single" w:sz="4" w:space="0" w:color="auto"/>
            </w:tcBorders>
            <w:noWrap/>
            <w:vAlign w:val="bottom"/>
            <w:hideMark/>
          </w:tcPr>
          <w:p w14:paraId="2E28E638" w14:textId="280A674A" w:rsidR="005C653F" w:rsidRPr="00131EED" w:rsidRDefault="005C653F" w:rsidP="005C653F">
            <w:pPr>
              <w:jc w:val="right"/>
              <w:rPr>
                <w:color w:val="000000"/>
                <w:sz w:val="20"/>
                <w:szCs w:val="20"/>
                <w:lang w:eastAsia="en-US"/>
              </w:rPr>
            </w:pPr>
            <w:r w:rsidRPr="00131EED">
              <w:rPr>
                <w:color w:val="000000"/>
                <w:sz w:val="20"/>
                <w:szCs w:val="20"/>
              </w:rPr>
              <w:t>13.572468</w:t>
            </w:r>
          </w:p>
        </w:tc>
        <w:tc>
          <w:tcPr>
            <w:tcW w:w="1961" w:type="dxa"/>
            <w:tcBorders>
              <w:top w:val="nil"/>
              <w:left w:val="nil"/>
              <w:bottom w:val="single" w:sz="4" w:space="0" w:color="auto"/>
              <w:right w:val="single" w:sz="4" w:space="0" w:color="auto"/>
            </w:tcBorders>
            <w:noWrap/>
            <w:vAlign w:val="bottom"/>
            <w:hideMark/>
          </w:tcPr>
          <w:p w14:paraId="7214CCB4" w14:textId="7455208B" w:rsidR="005C653F" w:rsidRPr="00131EED" w:rsidRDefault="005C653F" w:rsidP="005C653F">
            <w:pPr>
              <w:jc w:val="right"/>
              <w:rPr>
                <w:color w:val="000000"/>
                <w:sz w:val="20"/>
                <w:szCs w:val="20"/>
                <w:lang w:eastAsia="en-US"/>
              </w:rPr>
            </w:pPr>
            <w:r w:rsidRPr="00131EED">
              <w:rPr>
                <w:color w:val="000000"/>
                <w:sz w:val="20"/>
                <w:szCs w:val="20"/>
              </w:rPr>
              <w:t>0.12%</w:t>
            </w:r>
          </w:p>
        </w:tc>
      </w:tr>
      <w:tr w:rsidR="005C653F" w:rsidRPr="00131EED" w14:paraId="7599A510"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08E57617" w14:textId="0BFDE1BD" w:rsidR="005C653F" w:rsidRPr="00131EED" w:rsidRDefault="005C653F" w:rsidP="005C653F">
            <w:pPr>
              <w:jc w:val="left"/>
              <w:rPr>
                <w:b/>
                <w:color w:val="000000"/>
                <w:sz w:val="20"/>
                <w:szCs w:val="20"/>
                <w:lang w:eastAsia="en-US"/>
              </w:rPr>
            </w:pPr>
            <w:r w:rsidRPr="00131EED">
              <w:rPr>
                <w:b/>
                <w:color w:val="000000"/>
                <w:sz w:val="20"/>
                <w:szCs w:val="20"/>
              </w:rPr>
              <w:t>Bojacá</w:t>
            </w:r>
          </w:p>
        </w:tc>
        <w:tc>
          <w:tcPr>
            <w:tcW w:w="1441" w:type="dxa"/>
            <w:tcBorders>
              <w:top w:val="nil"/>
              <w:left w:val="nil"/>
              <w:bottom w:val="single" w:sz="4" w:space="0" w:color="auto"/>
              <w:right w:val="single" w:sz="4" w:space="0" w:color="auto"/>
            </w:tcBorders>
            <w:noWrap/>
            <w:vAlign w:val="bottom"/>
            <w:hideMark/>
          </w:tcPr>
          <w:p w14:paraId="65F001CE" w14:textId="4ADC7588" w:rsidR="005C653F" w:rsidRPr="00131EED" w:rsidRDefault="005C653F" w:rsidP="005C653F">
            <w:pPr>
              <w:jc w:val="right"/>
              <w:rPr>
                <w:color w:val="000000"/>
                <w:sz w:val="20"/>
                <w:szCs w:val="20"/>
                <w:lang w:eastAsia="en-US"/>
              </w:rPr>
            </w:pPr>
            <w:r w:rsidRPr="00131EED">
              <w:rPr>
                <w:color w:val="000000"/>
                <w:sz w:val="20"/>
                <w:szCs w:val="20"/>
              </w:rPr>
              <w:t>10.014326</w:t>
            </w:r>
          </w:p>
        </w:tc>
        <w:tc>
          <w:tcPr>
            <w:tcW w:w="1961" w:type="dxa"/>
            <w:tcBorders>
              <w:top w:val="nil"/>
              <w:left w:val="nil"/>
              <w:bottom w:val="single" w:sz="4" w:space="0" w:color="auto"/>
              <w:right w:val="single" w:sz="4" w:space="0" w:color="auto"/>
            </w:tcBorders>
            <w:noWrap/>
            <w:vAlign w:val="bottom"/>
            <w:hideMark/>
          </w:tcPr>
          <w:p w14:paraId="4382378B" w14:textId="394DFF7E" w:rsidR="005C653F" w:rsidRPr="00131EED" w:rsidRDefault="005C653F" w:rsidP="005C653F">
            <w:pPr>
              <w:jc w:val="right"/>
              <w:rPr>
                <w:color w:val="000000"/>
                <w:sz w:val="20"/>
                <w:szCs w:val="20"/>
                <w:lang w:eastAsia="en-US"/>
              </w:rPr>
            </w:pPr>
            <w:r w:rsidRPr="00131EED">
              <w:rPr>
                <w:color w:val="000000"/>
                <w:sz w:val="20"/>
                <w:szCs w:val="20"/>
              </w:rPr>
              <w:t>0.10%</w:t>
            </w:r>
          </w:p>
        </w:tc>
      </w:tr>
      <w:tr w:rsidR="005C653F" w:rsidRPr="00131EED" w14:paraId="501F9DC4"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225E414A" w14:textId="7E38925C" w:rsidR="005C653F" w:rsidRPr="00131EED" w:rsidRDefault="005C653F" w:rsidP="005C653F">
            <w:pPr>
              <w:jc w:val="left"/>
              <w:rPr>
                <w:b/>
                <w:color w:val="000000"/>
                <w:sz w:val="20"/>
                <w:szCs w:val="20"/>
                <w:lang w:eastAsia="en-US"/>
              </w:rPr>
            </w:pPr>
            <w:r w:rsidRPr="00131EED">
              <w:rPr>
                <w:b/>
                <w:color w:val="000000"/>
                <w:sz w:val="20"/>
                <w:szCs w:val="20"/>
              </w:rPr>
              <w:t>Chocontá</w:t>
            </w:r>
          </w:p>
        </w:tc>
        <w:tc>
          <w:tcPr>
            <w:tcW w:w="1441" w:type="dxa"/>
            <w:tcBorders>
              <w:top w:val="nil"/>
              <w:left w:val="nil"/>
              <w:bottom w:val="single" w:sz="4" w:space="0" w:color="auto"/>
              <w:right w:val="single" w:sz="4" w:space="0" w:color="auto"/>
            </w:tcBorders>
            <w:noWrap/>
            <w:vAlign w:val="bottom"/>
            <w:hideMark/>
          </w:tcPr>
          <w:p w14:paraId="14FB6BB5" w14:textId="3BBC2C4F" w:rsidR="005C653F" w:rsidRPr="00131EED" w:rsidRDefault="005C653F" w:rsidP="005C653F">
            <w:pPr>
              <w:jc w:val="right"/>
              <w:rPr>
                <w:color w:val="000000"/>
                <w:sz w:val="20"/>
                <w:szCs w:val="20"/>
                <w:lang w:eastAsia="en-US"/>
              </w:rPr>
            </w:pPr>
            <w:r w:rsidRPr="00131EED">
              <w:rPr>
                <w:color w:val="000000"/>
                <w:sz w:val="20"/>
                <w:szCs w:val="20"/>
              </w:rPr>
              <w:t>7.570713</w:t>
            </w:r>
          </w:p>
        </w:tc>
        <w:tc>
          <w:tcPr>
            <w:tcW w:w="1961" w:type="dxa"/>
            <w:tcBorders>
              <w:top w:val="nil"/>
              <w:left w:val="nil"/>
              <w:bottom w:val="single" w:sz="4" w:space="0" w:color="auto"/>
              <w:right w:val="single" w:sz="4" w:space="0" w:color="auto"/>
            </w:tcBorders>
            <w:noWrap/>
            <w:vAlign w:val="bottom"/>
            <w:hideMark/>
          </w:tcPr>
          <w:p w14:paraId="0C5FBE99" w14:textId="4265F379" w:rsidR="005C653F" w:rsidRPr="00131EED" w:rsidRDefault="005C653F" w:rsidP="005C653F">
            <w:pPr>
              <w:jc w:val="right"/>
              <w:rPr>
                <w:color w:val="000000"/>
                <w:sz w:val="20"/>
                <w:szCs w:val="20"/>
                <w:lang w:eastAsia="en-US"/>
              </w:rPr>
            </w:pPr>
            <w:r w:rsidRPr="00131EED">
              <w:rPr>
                <w:color w:val="000000"/>
                <w:sz w:val="20"/>
                <w:szCs w:val="20"/>
              </w:rPr>
              <w:t>0.03%</w:t>
            </w:r>
          </w:p>
        </w:tc>
      </w:tr>
      <w:tr w:rsidR="005C653F" w:rsidRPr="00131EED" w14:paraId="61DA6930"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67F44C28" w14:textId="40191531" w:rsidR="005C653F" w:rsidRPr="00131EED" w:rsidRDefault="005C653F" w:rsidP="005C653F">
            <w:pPr>
              <w:jc w:val="left"/>
              <w:rPr>
                <w:b/>
                <w:color w:val="000000"/>
                <w:sz w:val="20"/>
                <w:szCs w:val="20"/>
                <w:lang w:eastAsia="en-US"/>
              </w:rPr>
            </w:pPr>
            <w:r w:rsidRPr="00131EED">
              <w:rPr>
                <w:b/>
                <w:color w:val="000000"/>
                <w:sz w:val="20"/>
                <w:szCs w:val="20"/>
              </w:rPr>
              <w:t>Tenjo</w:t>
            </w:r>
          </w:p>
        </w:tc>
        <w:tc>
          <w:tcPr>
            <w:tcW w:w="1441" w:type="dxa"/>
            <w:tcBorders>
              <w:top w:val="nil"/>
              <w:left w:val="nil"/>
              <w:bottom w:val="single" w:sz="4" w:space="0" w:color="auto"/>
              <w:right w:val="single" w:sz="4" w:space="0" w:color="auto"/>
            </w:tcBorders>
            <w:noWrap/>
            <w:vAlign w:val="bottom"/>
            <w:hideMark/>
          </w:tcPr>
          <w:p w14:paraId="221A8036" w14:textId="70AF34E2" w:rsidR="005C653F" w:rsidRPr="00131EED" w:rsidRDefault="005C653F" w:rsidP="005C653F">
            <w:pPr>
              <w:jc w:val="right"/>
              <w:rPr>
                <w:color w:val="000000"/>
                <w:sz w:val="20"/>
                <w:szCs w:val="20"/>
                <w:lang w:eastAsia="en-US"/>
              </w:rPr>
            </w:pPr>
            <w:r w:rsidRPr="00131EED">
              <w:rPr>
                <w:color w:val="000000"/>
                <w:sz w:val="20"/>
                <w:szCs w:val="20"/>
              </w:rPr>
              <w:t>7.484656</w:t>
            </w:r>
          </w:p>
        </w:tc>
        <w:tc>
          <w:tcPr>
            <w:tcW w:w="1961" w:type="dxa"/>
            <w:tcBorders>
              <w:top w:val="nil"/>
              <w:left w:val="nil"/>
              <w:bottom w:val="single" w:sz="4" w:space="0" w:color="auto"/>
              <w:right w:val="single" w:sz="4" w:space="0" w:color="auto"/>
            </w:tcBorders>
            <w:noWrap/>
            <w:vAlign w:val="bottom"/>
            <w:hideMark/>
          </w:tcPr>
          <w:p w14:paraId="6DB55DBF" w14:textId="0AB44DF4" w:rsidR="005C653F" w:rsidRPr="00131EED" w:rsidRDefault="005C653F" w:rsidP="005C653F">
            <w:pPr>
              <w:jc w:val="right"/>
              <w:rPr>
                <w:color w:val="000000"/>
                <w:sz w:val="20"/>
                <w:szCs w:val="20"/>
                <w:lang w:eastAsia="en-US"/>
              </w:rPr>
            </w:pPr>
            <w:r w:rsidRPr="00131EED">
              <w:rPr>
                <w:color w:val="000000"/>
                <w:sz w:val="20"/>
                <w:szCs w:val="20"/>
              </w:rPr>
              <w:t>0.07%</w:t>
            </w:r>
          </w:p>
        </w:tc>
      </w:tr>
      <w:tr w:rsidR="005C653F" w:rsidRPr="00131EED" w14:paraId="226B7E22"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13023992" w14:textId="41CC2CD7" w:rsidR="005C653F" w:rsidRPr="00131EED" w:rsidRDefault="005C653F" w:rsidP="005C653F">
            <w:pPr>
              <w:jc w:val="left"/>
              <w:rPr>
                <w:b/>
                <w:color w:val="000000"/>
                <w:sz w:val="20"/>
                <w:szCs w:val="20"/>
                <w:lang w:eastAsia="en-US"/>
              </w:rPr>
            </w:pPr>
            <w:r w:rsidRPr="00131EED">
              <w:rPr>
                <w:b/>
                <w:color w:val="000000"/>
                <w:sz w:val="20"/>
                <w:szCs w:val="20"/>
              </w:rPr>
              <w:t>Gachancipá</w:t>
            </w:r>
          </w:p>
        </w:tc>
        <w:tc>
          <w:tcPr>
            <w:tcW w:w="1441" w:type="dxa"/>
            <w:tcBorders>
              <w:top w:val="nil"/>
              <w:left w:val="nil"/>
              <w:bottom w:val="single" w:sz="4" w:space="0" w:color="auto"/>
              <w:right w:val="single" w:sz="4" w:space="0" w:color="auto"/>
            </w:tcBorders>
            <w:noWrap/>
            <w:vAlign w:val="bottom"/>
            <w:hideMark/>
          </w:tcPr>
          <w:p w14:paraId="5767556D" w14:textId="64D82EF9" w:rsidR="005C653F" w:rsidRPr="00131EED" w:rsidRDefault="005C653F" w:rsidP="005C653F">
            <w:pPr>
              <w:jc w:val="right"/>
              <w:rPr>
                <w:color w:val="000000"/>
                <w:sz w:val="20"/>
                <w:szCs w:val="20"/>
                <w:lang w:eastAsia="en-US"/>
              </w:rPr>
            </w:pPr>
            <w:r w:rsidRPr="00131EED">
              <w:rPr>
                <w:color w:val="000000"/>
                <w:sz w:val="20"/>
                <w:szCs w:val="20"/>
              </w:rPr>
              <w:t>5.763494</w:t>
            </w:r>
          </w:p>
        </w:tc>
        <w:tc>
          <w:tcPr>
            <w:tcW w:w="1961" w:type="dxa"/>
            <w:tcBorders>
              <w:top w:val="nil"/>
              <w:left w:val="nil"/>
              <w:bottom w:val="single" w:sz="4" w:space="0" w:color="auto"/>
              <w:right w:val="single" w:sz="4" w:space="0" w:color="auto"/>
            </w:tcBorders>
            <w:noWrap/>
            <w:vAlign w:val="bottom"/>
            <w:hideMark/>
          </w:tcPr>
          <w:p w14:paraId="32452A10" w14:textId="0A08A0B9" w:rsidR="005C653F" w:rsidRPr="00131EED" w:rsidRDefault="005C653F" w:rsidP="005C653F">
            <w:pPr>
              <w:jc w:val="right"/>
              <w:rPr>
                <w:color w:val="000000"/>
                <w:sz w:val="20"/>
                <w:szCs w:val="20"/>
                <w:lang w:eastAsia="en-US"/>
              </w:rPr>
            </w:pPr>
            <w:r w:rsidRPr="00131EED">
              <w:rPr>
                <w:color w:val="000000"/>
                <w:sz w:val="20"/>
                <w:szCs w:val="20"/>
              </w:rPr>
              <w:t>0.13%</w:t>
            </w:r>
          </w:p>
        </w:tc>
      </w:tr>
      <w:tr w:rsidR="005C653F" w:rsidRPr="00131EED" w14:paraId="741BCEC4"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10D29B6C" w14:textId="173CCD54" w:rsidR="005C653F" w:rsidRPr="00131EED" w:rsidRDefault="005C653F" w:rsidP="005C653F">
            <w:pPr>
              <w:jc w:val="left"/>
              <w:rPr>
                <w:b/>
                <w:color w:val="000000"/>
                <w:sz w:val="20"/>
                <w:szCs w:val="20"/>
                <w:lang w:eastAsia="en-US"/>
              </w:rPr>
            </w:pPr>
            <w:r w:rsidRPr="00131EED">
              <w:rPr>
                <w:b/>
                <w:color w:val="000000"/>
                <w:sz w:val="20"/>
                <w:szCs w:val="20"/>
              </w:rPr>
              <w:t>Nemocón</w:t>
            </w:r>
          </w:p>
        </w:tc>
        <w:tc>
          <w:tcPr>
            <w:tcW w:w="1441" w:type="dxa"/>
            <w:tcBorders>
              <w:top w:val="nil"/>
              <w:left w:val="nil"/>
              <w:bottom w:val="single" w:sz="4" w:space="0" w:color="auto"/>
              <w:right w:val="single" w:sz="4" w:space="0" w:color="auto"/>
            </w:tcBorders>
            <w:noWrap/>
            <w:vAlign w:val="bottom"/>
            <w:hideMark/>
          </w:tcPr>
          <w:p w14:paraId="7AA13321" w14:textId="4984F97D" w:rsidR="005C653F" w:rsidRPr="00131EED" w:rsidRDefault="005C653F" w:rsidP="005C653F">
            <w:pPr>
              <w:jc w:val="right"/>
              <w:rPr>
                <w:color w:val="000000"/>
                <w:sz w:val="20"/>
                <w:szCs w:val="20"/>
                <w:lang w:eastAsia="en-US"/>
              </w:rPr>
            </w:pPr>
            <w:r w:rsidRPr="00131EED">
              <w:rPr>
                <w:color w:val="000000"/>
                <w:sz w:val="20"/>
                <w:szCs w:val="20"/>
              </w:rPr>
              <w:t>4.086499</w:t>
            </w:r>
          </w:p>
        </w:tc>
        <w:tc>
          <w:tcPr>
            <w:tcW w:w="1961" w:type="dxa"/>
            <w:tcBorders>
              <w:top w:val="nil"/>
              <w:left w:val="nil"/>
              <w:bottom w:val="single" w:sz="4" w:space="0" w:color="auto"/>
              <w:right w:val="single" w:sz="4" w:space="0" w:color="auto"/>
            </w:tcBorders>
            <w:noWrap/>
            <w:vAlign w:val="bottom"/>
            <w:hideMark/>
          </w:tcPr>
          <w:p w14:paraId="15338256" w14:textId="519C6E6A" w:rsidR="005C653F" w:rsidRPr="00131EED" w:rsidRDefault="005C653F" w:rsidP="005C653F">
            <w:pPr>
              <w:jc w:val="right"/>
              <w:rPr>
                <w:color w:val="000000"/>
                <w:sz w:val="20"/>
                <w:szCs w:val="20"/>
                <w:lang w:eastAsia="en-US"/>
              </w:rPr>
            </w:pPr>
            <w:r w:rsidRPr="00131EED">
              <w:rPr>
                <w:color w:val="000000"/>
                <w:sz w:val="20"/>
                <w:szCs w:val="20"/>
              </w:rPr>
              <w:t>0.04%</w:t>
            </w:r>
          </w:p>
        </w:tc>
      </w:tr>
      <w:tr w:rsidR="005C653F" w:rsidRPr="00131EED" w14:paraId="22ADDD53"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69D837E0" w14:textId="5AD6F960" w:rsidR="005C653F" w:rsidRPr="00131EED" w:rsidRDefault="005C653F" w:rsidP="005C653F">
            <w:pPr>
              <w:jc w:val="left"/>
              <w:rPr>
                <w:b/>
                <w:color w:val="000000"/>
                <w:sz w:val="20"/>
                <w:szCs w:val="20"/>
                <w:lang w:eastAsia="en-US"/>
              </w:rPr>
            </w:pPr>
            <w:r w:rsidRPr="00131EED">
              <w:rPr>
                <w:b/>
                <w:color w:val="000000"/>
                <w:sz w:val="20"/>
                <w:szCs w:val="20"/>
              </w:rPr>
              <w:t>Subachoque</w:t>
            </w:r>
          </w:p>
        </w:tc>
        <w:tc>
          <w:tcPr>
            <w:tcW w:w="1441" w:type="dxa"/>
            <w:tcBorders>
              <w:top w:val="nil"/>
              <w:left w:val="nil"/>
              <w:bottom w:val="single" w:sz="4" w:space="0" w:color="auto"/>
              <w:right w:val="single" w:sz="4" w:space="0" w:color="auto"/>
            </w:tcBorders>
            <w:noWrap/>
            <w:vAlign w:val="bottom"/>
            <w:hideMark/>
          </w:tcPr>
          <w:p w14:paraId="26E48430" w14:textId="4F3A43A7" w:rsidR="005C653F" w:rsidRPr="00131EED" w:rsidRDefault="005C653F" w:rsidP="005C653F">
            <w:pPr>
              <w:jc w:val="right"/>
              <w:rPr>
                <w:color w:val="000000"/>
                <w:sz w:val="20"/>
                <w:szCs w:val="20"/>
                <w:lang w:eastAsia="en-US"/>
              </w:rPr>
            </w:pPr>
            <w:r w:rsidRPr="00131EED">
              <w:rPr>
                <w:color w:val="000000"/>
                <w:sz w:val="20"/>
                <w:szCs w:val="20"/>
              </w:rPr>
              <w:t>2.192389</w:t>
            </w:r>
          </w:p>
        </w:tc>
        <w:tc>
          <w:tcPr>
            <w:tcW w:w="1961" w:type="dxa"/>
            <w:tcBorders>
              <w:top w:val="nil"/>
              <w:left w:val="nil"/>
              <w:bottom w:val="single" w:sz="4" w:space="0" w:color="auto"/>
              <w:right w:val="single" w:sz="4" w:space="0" w:color="auto"/>
            </w:tcBorders>
            <w:noWrap/>
            <w:vAlign w:val="bottom"/>
            <w:hideMark/>
          </w:tcPr>
          <w:p w14:paraId="27AFE9EC" w14:textId="4AF3D7EF" w:rsidR="005C653F" w:rsidRPr="00131EED" w:rsidRDefault="005C653F" w:rsidP="005C653F">
            <w:pPr>
              <w:jc w:val="right"/>
              <w:rPr>
                <w:color w:val="000000"/>
                <w:sz w:val="20"/>
                <w:szCs w:val="20"/>
                <w:lang w:eastAsia="en-US"/>
              </w:rPr>
            </w:pPr>
            <w:r w:rsidRPr="00131EED">
              <w:rPr>
                <w:color w:val="000000"/>
                <w:sz w:val="20"/>
                <w:szCs w:val="20"/>
              </w:rPr>
              <w:t>0.01%</w:t>
            </w:r>
          </w:p>
        </w:tc>
      </w:tr>
      <w:tr w:rsidR="00545AE1" w:rsidRPr="00131EED" w14:paraId="4A2D0867" w14:textId="77777777" w:rsidTr="00090843">
        <w:trPr>
          <w:trHeight w:val="288"/>
          <w:jc w:val="center"/>
        </w:trPr>
        <w:tc>
          <w:tcPr>
            <w:tcW w:w="1701" w:type="dxa"/>
            <w:tcBorders>
              <w:top w:val="nil"/>
              <w:left w:val="single" w:sz="4" w:space="0" w:color="auto"/>
              <w:bottom w:val="single" w:sz="4" w:space="0" w:color="auto"/>
              <w:right w:val="single" w:sz="4" w:space="0" w:color="auto"/>
            </w:tcBorders>
            <w:noWrap/>
            <w:vAlign w:val="bottom"/>
            <w:hideMark/>
          </w:tcPr>
          <w:p w14:paraId="031083C9" w14:textId="77777777" w:rsidR="00545AE1" w:rsidRPr="00131EED" w:rsidRDefault="00545AE1" w:rsidP="00D65CF0">
            <w:pPr>
              <w:jc w:val="right"/>
              <w:rPr>
                <w:b/>
                <w:color w:val="000000"/>
                <w:sz w:val="20"/>
                <w:szCs w:val="20"/>
                <w:lang w:eastAsia="en-US"/>
              </w:rPr>
            </w:pPr>
            <w:r w:rsidRPr="00131EED">
              <w:rPr>
                <w:b/>
                <w:color w:val="000000"/>
                <w:sz w:val="20"/>
                <w:szCs w:val="20"/>
                <w:lang w:eastAsia="en-US"/>
              </w:rPr>
              <w:t>Total</w:t>
            </w:r>
          </w:p>
        </w:tc>
        <w:tc>
          <w:tcPr>
            <w:tcW w:w="3402" w:type="dxa"/>
            <w:gridSpan w:val="2"/>
            <w:tcBorders>
              <w:top w:val="nil"/>
              <w:left w:val="nil"/>
              <w:bottom w:val="single" w:sz="4" w:space="0" w:color="auto"/>
              <w:right w:val="single" w:sz="4" w:space="0" w:color="auto"/>
            </w:tcBorders>
            <w:noWrap/>
            <w:vAlign w:val="bottom"/>
            <w:hideMark/>
          </w:tcPr>
          <w:p w14:paraId="2A098481" w14:textId="024CB2AF" w:rsidR="00545AE1" w:rsidRPr="00131EED" w:rsidRDefault="00545AE1" w:rsidP="000F6BF9">
            <w:pPr>
              <w:jc w:val="right"/>
              <w:rPr>
                <w:b/>
                <w:color w:val="000000"/>
                <w:sz w:val="20"/>
                <w:szCs w:val="20"/>
                <w:lang w:eastAsia="en-US"/>
              </w:rPr>
            </w:pPr>
            <w:r w:rsidRPr="00131EED">
              <w:rPr>
                <w:b/>
                <w:color w:val="000000"/>
                <w:sz w:val="20"/>
                <w:szCs w:val="20"/>
                <w:lang w:eastAsia="en-US"/>
              </w:rPr>
              <w:t>2551.711327</w:t>
            </w:r>
          </w:p>
        </w:tc>
      </w:tr>
    </w:tbl>
    <w:p w14:paraId="2103F4D5" w14:textId="2F7A352E" w:rsidR="000F6BF9" w:rsidRPr="00131EED" w:rsidRDefault="00286E89" w:rsidP="00286E89">
      <w:pPr>
        <w:jc w:val="center"/>
        <w:rPr>
          <w:sz w:val="20"/>
          <w:szCs w:val="20"/>
        </w:rPr>
      </w:pPr>
      <w:r w:rsidRPr="00131EED">
        <w:rPr>
          <w:sz w:val="20"/>
          <w:szCs w:val="20"/>
        </w:rPr>
        <w:t>Fuente: MinAmbiente (2025)</w:t>
      </w:r>
    </w:p>
    <w:p w14:paraId="391952A8" w14:textId="77777777" w:rsidR="00090843" w:rsidRPr="00131EED" w:rsidRDefault="00090843" w:rsidP="00565CA7">
      <w:pPr>
        <w:rPr>
          <w:rFonts w:cs="Arial"/>
        </w:rPr>
      </w:pPr>
    </w:p>
    <w:p w14:paraId="3EC7CCA3" w14:textId="0F5D5C40" w:rsidR="00B763D4" w:rsidRPr="00131EED" w:rsidRDefault="00B763D4" w:rsidP="003234A3">
      <w:pPr>
        <w:rPr>
          <w:rFonts w:cs="Arial"/>
        </w:rPr>
      </w:pPr>
      <w:r w:rsidRPr="00131EED">
        <w:rPr>
          <w:rFonts w:cs="Arial"/>
        </w:rPr>
        <w:t xml:space="preserve">Las áreas artificializadas en suelo de clase II, alcanzaron </w:t>
      </w:r>
      <w:r w:rsidR="00CB146C" w:rsidRPr="00131EED">
        <w:rPr>
          <w:color w:val="000000"/>
          <w:lang w:eastAsia="en-US"/>
        </w:rPr>
        <w:t>4682 ha + 1308 m</w:t>
      </w:r>
      <w:r w:rsidR="00CB146C" w:rsidRPr="00131EED">
        <w:rPr>
          <w:color w:val="000000"/>
          <w:vertAlign w:val="superscript"/>
          <w:lang w:eastAsia="en-US"/>
        </w:rPr>
        <w:t>2</w:t>
      </w:r>
      <w:r w:rsidR="00CB146C" w:rsidRPr="00131EED">
        <w:rPr>
          <w:color w:val="000000"/>
          <w:lang w:eastAsia="en-US"/>
        </w:rPr>
        <w:t xml:space="preserve"> </w:t>
      </w:r>
      <w:r w:rsidR="007C3AB0" w:rsidRPr="00131EED">
        <w:rPr>
          <w:rFonts w:cs="Arial"/>
        </w:rPr>
        <w:t>en el año 2002. Entre los entes territoriales que mayor área artificializada presentan en esta fecha son, Bogotá D.C., Chía y Facatativá.</w:t>
      </w:r>
    </w:p>
    <w:p w14:paraId="00D29F6F" w14:textId="77777777" w:rsidR="00B763D4" w:rsidRPr="00131EED" w:rsidRDefault="00B763D4" w:rsidP="003234A3">
      <w:pPr>
        <w:rPr>
          <w:rFonts w:cs="Arial"/>
        </w:rPr>
      </w:pPr>
    </w:p>
    <w:p w14:paraId="700FB969" w14:textId="77777777" w:rsidR="000767E2" w:rsidRPr="00131EED" w:rsidRDefault="000767E2" w:rsidP="003234A3">
      <w:pPr>
        <w:rPr>
          <w:rFonts w:cs="Arial"/>
        </w:rPr>
      </w:pPr>
    </w:p>
    <w:p w14:paraId="33F8F587" w14:textId="191B212F" w:rsidR="003A3BE0" w:rsidRPr="00131EED" w:rsidRDefault="003A3BE0" w:rsidP="003A3BE0">
      <w:pPr>
        <w:pStyle w:val="Caption"/>
        <w:keepNext/>
        <w:jc w:val="center"/>
      </w:pPr>
      <w:bookmarkStart w:id="357" w:name="_Toc216468973"/>
      <w:r w:rsidRPr="00131EED">
        <w:t xml:space="preserve">Tabla </w:t>
      </w:r>
      <w:fldSimple w:instr=" SEQ Tabla \* ARABIC ">
        <w:r w:rsidR="00CE096F">
          <w:rPr>
            <w:noProof/>
          </w:rPr>
          <w:t>63</w:t>
        </w:r>
      </w:fldSimple>
      <w:r w:rsidRPr="00131EED">
        <w:t>. Áreas artificializadas en suelos de clase II durante el año 2002.</w:t>
      </w:r>
      <w:bookmarkEnd w:id="357"/>
    </w:p>
    <w:tbl>
      <w:tblPr>
        <w:tblW w:w="5245" w:type="dxa"/>
        <w:jc w:val="center"/>
        <w:tblLook w:val="04A0" w:firstRow="1" w:lastRow="0" w:firstColumn="1" w:lastColumn="0" w:noHBand="0" w:noVBand="1"/>
      </w:tblPr>
      <w:tblGrid>
        <w:gridCol w:w="1838"/>
        <w:gridCol w:w="1418"/>
        <w:gridCol w:w="1989"/>
      </w:tblGrid>
      <w:tr w:rsidR="007C3AB0" w:rsidRPr="00131EED" w14:paraId="58F378EA" w14:textId="77777777" w:rsidTr="000767E2">
        <w:trPr>
          <w:trHeight w:val="288"/>
          <w:jc w:val="center"/>
        </w:trPr>
        <w:tc>
          <w:tcPr>
            <w:tcW w:w="5245" w:type="dxa"/>
            <w:gridSpan w:val="3"/>
            <w:tcBorders>
              <w:top w:val="single" w:sz="4" w:space="0" w:color="auto"/>
              <w:left w:val="single" w:sz="4" w:space="0" w:color="auto"/>
              <w:bottom w:val="single" w:sz="4" w:space="0" w:color="auto"/>
              <w:right w:val="single" w:sz="4" w:space="0" w:color="auto"/>
            </w:tcBorders>
            <w:noWrap/>
            <w:vAlign w:val="center"/>
            <w:hideMark/>
          </w:tcPr>
          <w:p w14:paraId="480A9498" w14:textId="77777777" w:rsidR="007C3AB0" w:rsidRPr="00131EED" w:rsidRDefault="007C3AB0" w:rsidP="007C3AB0">
            <w:pPr>
              <w:jc w:val="center"/>
              <w:rPr>
                <w:b/>
                <w:color w:val="000000"/>
                <w:sz w:val="20"/>
                <w:szCs w:val="20"/>
                <w:lang w:eastAsia="en-US"/>
              </w:rPr>
            </w:pPr>
            <w:r w:rsidRPr="00131EED">
              <w:rPr>
                <w:b/>
                <w:color w:val="000000"/>
                <w:sz w:val="20"/>
                <w:szCs w:val="20"/>
                <w:lang w:eastAsia="en-US"/>
              </w:rPr>
              <w:t>Total Área Artificializada por Municipio - Año 2002</w:t>
            </w:r>
          </w:p>
        </w:tc>
      </w:tr>
      <w:tr w:rsidR="007C3AB0" w:rsidRPr="00131EED" w14:paraId="1A91C9BB"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center"/>
            <w:hideMark/>
          </w:tcPr>
          <w:p w14:paraId="0F727FDA" w14:textId="77777777" w:rsidR="007C3AB0" w:rsidRPr="00131EED" w:rsidRDefault="007C3AB0" w:rsidP="007C3AB0">
            <w:pPr>
              <w:jc w:val="center"/>
              <w:rPr>
                <w:b/>
                <w:color w:val="000000"/>
                <w:sz w:val="20"/>
                <w:szCs w:val="20"/>
                <w:lang w:eastAsia="en-US"/>
              </w:rPr>
            </w:pPr>
            <w:r w:rsidRPr="00131EED">
              <w:rPr>
                <w:b/>
                <w:color w:val="000000"/>
                <w:sz w:val="20"/>
                <w:szCs w:val="20"/>
                <w:lang w:eastAsia="en-US"/>
              </w:rPr>
              <w:t>Municipio</w:t>
            </w:r>
          </w:p>
        </w:tc>
        <w:tc>
          <w:tcPr>
            <w:tcW w:w="1418" w:type="dxa"/>
            <w:tcBorders>
              <w:top w:val="nil"/>
              <w:left w:val="nil"/>
              <w:bottom w:val="single" w:sz="4" w:space="0" w:color="auto"/>
              <w:right w:val="single" w:sz="4" w:space="0" w:color="auto"/>
            </w:tcBorders>
            <w:noWrap/>
            <w:vAlign w:val="center"/>
            <w:hideMark/>
          </w:tcPr>
          <w:p w14:paraId="369F95AE" w14:textId="77777777" w:rsidR="007C3AB0" w:rsidRPr="00131EED" w:rsidRDefault="007C3AB0" w:rsidP="007C3AB0">
            <w:pPr>
              <w:jc w:val="center"/>
              <w:rPr>
                <w:b/>
                <w:color w:val="000000"/>
                <w:sz w:val="20"/>
                <w:szCs w:val="20"/>
                <w:lang w:eastAsia="en-US"/>
              </w:rPr>
            </w:pPr>
            <w:r w:rsidRPr="00131EED">
              <w:rPr>
                <w:b/>
                <w:color w:val="000000"/>
                <w:sz w:val="20"/>
                <w:szCs w:val="20"/>
                <w:lang w:eastAsia="en-US"/>
              </w:rPr>
              <w:t>Área Artificializada (ha) Clase II</w:t>
            </w:r>
          </w:p>
        </w:tc>
        <w:tc>
          <w:tcPr>
            <w:tcW w:w="1989" w:type="dxa"/>
            <w:tcBorders>
              <w:top w:val="nil"/>
              <w:left w:val="nil"/>
              <w:bottom w:val="single" w:sz="4" w:space="0" w:color="auto"/>
              <w:right w:val="single" w:sz="4" w:space="0" w:color="auto"/>
            </w:tcBorders>
            <w:noWrap/>
            <w:vAlign w:val="center"/>
            <w:hideMark/>
          </w:tcPr>
          <w:p w14:paraId="233DF2A1" w14:textId="77777777" w:rsidR="007C3AB0" w:rsidRPr="00131EED" w:rsidRDefault="007C3AB0" w:rsidP="007C3AB0">
            <w:pPr>
              <w:jc w:val="center"/>
              <w:rPr>
                <w:b/>
                <w:color w:val="000000"/>
                <w:sz w:val="20"/>
                <w:szCs w:val="20"/>
                <w:lang w:eastAsia="en-US"/>
              </w:rPr>
            </w:pPr>
            <w:r w:rsidRPr="00131EED">
              <w:rPr>
                <w:b/>
                <w:color w:val="000000"/>
                <w:sz w:val="20"/>
                <w:szCs w:val="20"/>
                <w:lang w:eastAsia="en-US"/>
              </w:rPr>
              <w:t>Porcentaje artificializado del municipio dentro del ámbito</w:t>
            </w:r>
          </w:p>
        </w:tc>
      </w:tr>
      <w:tr w:rsidR="007C3AB0" w:rsidRPr="00131EED" w14:paraId="67C2DB5B"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65F4CA19"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Bogotá D.C.</w:t>
            </w:r>
          </w:p>
        </w:tc>
        <w:tc>
          <w:tcPr>
            <w:tcW w:w="1418" w:type="dxa"/>
            <w:tcBorders>
              <w:top w:val="nil"/>
              <w:left w:val="nil"/>
              <w:bottom w:val="single" w:sz="4" w:space="0" w:color="auto"/>
              <w:right w:val="single" w:sz="4" w:space="0" w:color="auto"/>
            </w:tcBorders>
            <w:noWrap/>
            <w:vAlign w:val="bottom"/>
            <w:hideMark/>
          </w:tcPr>
          <w:p w14:paraId="7AF9FFA3" w14:textId="77777777" w:rsidR="007C3AB0" w:rsidRPr="00131EED" w:rsidRDefault="007C3AB0" w:rsidP="007C3AB0">
            <w:pPr>
              <w:jc w:val="right"/>
              <w:rPr>
                <w:color w:val="000000"/>
                <w:sz w:val="20"/>
                <w:szCs w:val="20"/>
                <w:lang w:eastAsia="en-US"/>
              </w:rPr>
            </w:pPr>
            <w:r w:rsidRPr="00131EED">
              <w:rPr>
                <w:color w:val="000000"/>
                <w:sz w:val="20"/>
                <w:szCs w:val="20"/>
                <w:lang w:eastAsia="en-US"/>
              </w:rPr>
              <w:t>1655.7028</w:t>
            </w:r>
          </w:p>
        </w:tc>
        <w:tc>
          <w:tcPr>
            <w:tcW w:w="1989" w:type="dxa"/>
            <w:tcBorders>
              <w:top w:val="nil"/>
              <w:left w:val="nil"/>
              <w:bottom w:val="single" w:sz="4" w:space="0" w:color="auto"/>
              <w:right w:val="single" w:sz="4" w:space="0" w:color="auto"/>
            </w:tcBorders>
            <w:noWrap/>
            <w:vAlign w:val="bottom"/>
            <w:hideMark/>
          </w:tcPr>
          <w:p w14:paraId="63D11942" w14:textId="77777777" w:rsidR="007C3AB0" w:rsidRPr="00131EED" w:rsidRDefault="007C3AB0" w:rsidP="007C3AB0">
            <w:pPr>
              <w:jc w:val="right"/>
              <w:rPr>
                <w:color w:val="000000"/>
                <w:sz w:val="20"/>
                <w:szCs w:val="20"/>
                <w:lang w:eastAsia="en-US"/>
              </w:rPr>
            </w:pPr>
            <w:r w:rsidRPr="00131EED">
              <w:rPr>
                <w:color w:val="000000"/>
                <w:sz w:val="20"/>
                <w:szCs w:val="20"/>
                <w:lang w:eastAsia="en-US"/>
              </w:rPr>
              <w:t>1.96%</w:t>
            </w:r>
          </w:p>
        </w:tc>
      </w:tr>
      <w:tr w:rsidR="007C3AB0" w:rsidRPr="00131EED" w14:paraId="07746A65"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39661EDB"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Chía</w:t>
            </w:r>
          </w:p>
        </w:tc>
        <w:tc>
          <w:tcPr>
            <w:tcW w:w="1418" w:type="dxa"/>
            <w:tcBorders>
              <w:top w:val="nil"/>
              <w:left w:val="nil"/>
              <w:bottom w:val="single" w:sz="4" w:space="0" w:color="auto"/>
              <w:right w:val="single" w:sz="4" w:space="0" w:color="auto"/>
            </w:tcBorders>
            <w:noWrap/>
            <w:vAlign w:val="bottom"/>
            <w:hideMark/>
          </w:tcPr>
          <w:p w14:paraId="1DBA8782" w14:textId="77777777" w:rsidR="007C3AB0" w:rsidRPr="00131EED" w:rsidRDefault="007C3AB0" w:rsidP="007C3AB0">
            <w:pPr>
              <w:jc w:val="right"/>
              <w:rPr>
                <w:color w:val="000000"/>
                <w:sz w:val="20"/>
                <w:szCs w:val="20"/>
                <w:lang w:eastAsia="en-US"/>
              </w:rPr>
            </w:pPr>
            <w:r w:rsidRPr="00131EED">
              <w:rPr>
                <w:color w:val="000000"/>
                <w:sz w:val="20"/>
                <w:szCs w:val="20"/>
                <w:lang w:eastAsia="en-US"/>
              </w:rPr>
              <w:t>626.368893</w:t>
            </w:r>
          </w:p>
        </w:tc>
        <w:tc>
          <w:tcPr>
            <w:tcW w:w="1989" w:type="dxa"/>
            <w:tcBorders>
              <w:top w:val="nil"/>
              <w:left w:val="nil"/>
              <w:bottom w:val="single" w:sz="4" w:space="0" w:color="auto"/>
              <w:right w:val="single" w:sz="4" w:space="0" w:color="auto"/>
            </w:tcBorders>
            <w:noWrap/>
            <w:vAlign w:val="bottom"/>
            <w:hideMark/>
          </w:tcPr>
          <w:p w14:paraId="17ED58CD" w14:textId="77777777" w:rsidR="007C3AB0" w:rsidRPr="00131EED" w:rsidRDefault="007C3AB0" w:rsidP="007C3AB0">
            <w:pPr>
              <w:jc w:val="right"/>
              <w:rPr>
                <w:color w:val="000000"/>
                <w:sz w:val="20"/>
                <w:szCs w:val="20"/>
                <w:lang w:eastAsia="en-US"/>
              </w:rPr>
            </w:pPr>
            <w:r w:rsidRPr="00131EED">
              <w:rPr>
                <w:color w:val="000000"/>
                <w:sz w:val="20"/>
                <w:szCs w:val="20"/>
                <w:lang w:eastAsia="en-US"/>
              </w:rPr>
              <w:t>7.85%</w:t>
            </w:r>
          </w:p>
        </w:tc>
      </w:tr>
      <w:tr w:rsidR="007C3AB0" w:rsidRPr="00131EED" w14:paraId="047906F9"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182267D4"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Facatativá</w:t>
            </w:r>
          </w:p>
        </w:tc>
        <w:tc>
          <w:tcPr>
            <w:tcW w:w="1418" w:type="dxa"/>
            <w:tcBorders>
              <w:top w:val="nil"/>
              <w:left w:val="nil"/>
              <w:bottom w:val="single" w:sz="4" w:space="0" w:color="auto"/>
              <w:right w:val="single" w:sz="4" w:space="0" w:color="auto"/>
            </w:tcBorders>
            <w:noWrap/>
            <w:vAlign w:val="bottom"/>
            <w:hideMark/>
          </w:tcPr>
          <w:p w14:paraId="7AF60043" w14:textId="77777777" w:rsidR="007C3AB0" w:rsidRPr="00131EED" w:rsidRDefault="007C3AB0" w:rsidP="007C3AB0">
            <w:pPr>
              <w:jc w:val="right"/>
              <w:rPr>
                <w:color w:val="000000"/>
                <w:sz w:val="20"/>
                <w:szCs w:val="20"/>
                <w:lang w:eastAsia="en-US"/>
              </w:rPr>
            </w:pPr>
            <w:r w:rsidRPr="00131EED">
              <w:rPr>
                <w:color w:val="000000"/>
                <w:sz w:val="20"/>
                <w:szCs w:val="20"/>
                <w:lang w:eastAsia="en-US"/>
              </w:rPr>
              <w:t>424.183335</w:t>
            </w:r>
          </w:p>
        </w:tc>
        <w:tc>
          <w:tcPr>
            <w:tcW w:w="1989" w:type="dxa"/>
            <w:tcBorders>
              <w:top w:val="nil"/>
              <w:left w:val="nil"/>
              <w:bottom w:val="single" w:sz="4" w:space="0" w:color="auto"/>
              <w:right w:val="single" w:sz="4" w:space="0" w:color="auto"/>
            </w:tcBorders>
            <w:noWrap/>
            <w:vAlign w:val="bottom"/>
            <w:hideMark/>
          </w:tcPr>
          <w:p w14:paraId="4A74F8C9" w14:textId="77777777" w:rsidR="007C3AB0" w:rsidRPr="00131EED" w:rsidRDefault="007C3AB0" w:rsidP="007C3AB0">
            <w:pPr>
              <w:jc w:val="right"/>
              <w:rPr>
                <w:color w:val="000000"/>
                <w:sz w:val="20"/>
                <w:szCs w:val="20"/>
                <w:lang w:eastAsia="en-US"/>
              </w:rPr>
            </w:pPr>
            <w:r w:rsidRPr="00131EED">
              <w:rPr>
                <w:color w:val="000000"/>
                <w:sz w:val="20"/>
                <w:szCs w:val="20"/>
                <w:lang w:eastAsia="en-US"/>
              </w:rPr>
              <w:t>2.73%</w:t>
            </w:r>
          </w:p>
        </w:tc>
      </w:tr>
      <w:tr w:rsidR="007C3AB0" w:rsidRPr="00131EED" w14:paraId="3B84899A"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320D2AAA"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Cajicá</w:t>
            </w:r>
          </w:p>
        </w:tc>
        <w:tc>
          <w:tcPr>
            <w:tcW w:w="1418" w:type="dxa"/>
            <w:tcBorders>
              <w:top w:val="nil"/>
              <w:left w:val="nil"/>
              <w:bottom w:val="single" w:sz="4" w:space="0" w:color="auto"/>
              <w:right w:val="single" w:sz="4" w:space="0" w:color="auto"/>
            </w:tcBorders>
            <w:noWrap/>
            <w:vAlign w:val="bottom"/>
            <w:hideMark/>
          </w:tcPr>
          <w:p w14:paraId="3E2A9C0B" w14:textId="77777777" w:rsidR="007C3AB0" w:rsidRPr="00131EED" w:rsidRDefault="007C3AB0" w:rsidP="007C3AB0">
            <w:pPr>
              <w:jc w:val="right"/>
              <w:rPr>
                <w:color w:val="000000"/>
                <w:sz w:val="20"/>
                <w:szCs w:val="20"/>
                <w:lang w:eastAsia="en-US"/>
              </w:rPr>
            </w:pPr>
            <w:r w:rsidRPr="00131EED">
              <w:rPr>
                <w:color w:val="000000"/>
                <w:sz w:val="20"/>
                <w:szCs w:val="20"/>
                <w:lang w:eastAsia="en-US"/>
              </w:rPr>
              <w:t>360.0931</w:t>
            </w:r>
          </w:p>
        </w:tc>
        <w:tc>
          <w:tcPr>
            <w:tcW w:w="1989" w:type="dxa"/>
            <w:tcBorders>
              <w:top w:val="nil"/>
              <w:left w:val="nil"/>
              <w:bottom w:val="single" w:sz="4" w:space="0" w:color="auto"/>
              <w:right w:val="single" w:sz="4" w:space="0" w:color="auto"/>
            </w:tcBorders>
            <w:noWrap/>
            <w:vAlign w:val="bottom"/>
            <w:hideMark/>
          </w:tcPr>
          <w:p w14:paraId="03B11523" w14:textId="77777777" w:rsidR="007C3AB0" w:rsidRPr="00131EED" w:rsidRDefault="007C3AB0" w:rsidP="007C3AB0">
            <w:pPr>
              <w:jc w:val="right"/>
              <w:rPr>
                <w:color w:val="000000"/>
                <w:sz w:val="20"/>
                <w:szCs w:val="20"/>
                <w:lang w:eastAsia="en-US"/>
              </w:rPr>
            </w:pPr>
            <w:r w:rsidRPr="00131EED">
              <w:rPr>
                <w:color w:val="000000"/>
                <w:sz w:val="20"/>
                <w:szCs w:val="20"/>
                <w:lang w:eastAsia="en-US"/>
              </w:rPr>
              <w:t>7.03%</w:t>
            </w:r>
          </w:p>
        </w:tc>
      </w:tr>
      <w:tr w:rsidR="007C3AB0" w:rsidRPr="00131EED" w14:paraId="54FD8178"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669FA106"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Zipaquirá</w:t>
            </w:r>
          </w:p>
        </w:tc>
        <w:tc>
          <w:tcPr>
            <w:tcW w:w="1418" w:type="dxa"/>
            <w:tcBorders>
              <w:top w:val="nil"/>
              <w:left w:val="nil"/>
              <w:bottom w:val="single" w:sz="4" w:space="0" w:color="auto"/>
              <w:right w:val="single" w:sz="4" w:space="0" w:color="auto"/>
            </w:tcBorders>
            <w:noWrap/>
            <w:vAlign w:val="bottom"/>
            <w:hideMark/>
          </w:tcPr>
          <w:p w14:paraId="14F15958" w14:textId="77777777" w:rsidR="007C3AB0" w:rsidRPr="00131EED" w:rsidRDefault="007C3AB0" w:rsidP="007C3AB0">
            <w:pPr>
              <w:jc w:val="right"/>
              <w:rPr>
                <w:color w:val="000000"/>
                <w:sz w:val="20"/>
                <w:szCs w:val="20"/>
                <w:lang w:eastAsia="en-US"/>
              </w:rPr>
            </w:pPr>
            <w:r w:rsidRPr="00131EED">
              <w:rPr>
                <w:color w:val="000000"/>
                <w:sz w:val="20"/>
                <w:szCs w:val="20"/>
                <w:lang w:eastAsia="en-US"/>
              </w:rPr>
              <w:t>163.992871</w:t>
            </w:r>
          </w:p>
        </w:tc>
        <w:tc>
          <w:tcPr>
            <w:tcW w:w="1989" w:type="dxa"/>
            <w:tcBorders>
              <w:top w:val="nil"/>
              <w:left w:val="nil"/>
              <w:bottom w:val="single" w:sz="4" w:space="0" w:color="auto"/>
              <w:right w:val="single" w:sz="4" w:space="0" w:color="auto"/>
            </w:tcBorders>
            <w:noWrap/>
            <w:vAlign w:val="bottom"/>
            <w:hideMark/>
          </w:tcPr>
          <w:p w14:paraId="09FD499B" w14:textId="77777777" w:rsidR="007C3AB0" w:rsidRPr="00131EED" w:rsidRDefault="007C3AB0" w:rsidP="007C3AB0">
            <w:pPr>
              <w:jc w:val="right"/>
              <w:rPr>
                <w:color w:val="000000"/>
                <w:sz w:val="20"/>
                <w:szCs w:val="20"/>
                <w:lang w:eastAsia="en-US"/>
              </w:rPr>
            </w:pPr>
            <w:r w:rsidRPr="00131EED">
              <w:rPr>
                <w:color w:val="000000"/>
                <w:sz w:val="20"/>
                <w:szCs w:val="20"/>
                <w:lang w:eastAsia="en-US"/>
              </w:rPr>
              <w:t>0.90%</w:t>
            </w:r>
          </w:p>
        </w:tc>
      </w:tr>
      <w:tr w:rsidR="007C3AB0" w:rsidRPr="00131EED" w14:paraId="2532C81F"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1C5CC159"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Sopó</w:t>
            </w:r>
          </w:p>
        </w:tc>
        <w:tc>
          <w:tcPr>
            <w:tcW w:w="1418" w:type="dxa"/>
            <w:tcBorders>
              <w:top w:val="nil"/>
              <w:left w:val="nil"/>
              <w:bottom w:val="single" w:sz="4" w:space="0" w:color="auto"/>
              <w:right w:val="single" w:sz="4" w:space="0" w:color="auto"/>
            </w:tcBorders>
            <w:noWrap/>
            <w:vAlign w:val="bottom"/>
            <w:hideMark/>
          </w:tcPr>
          <w:p w14:paraId="2D722443" w14:textId="77777777" w:rsidR="007C3AB0" w:rsidRPr="00131EED" w:rsidRDefault="007C3AB0" w:rsidP="007C3AB0">
            <w:pPr>
              <w:jc w:val="right"/>
              <w:rPr>
                <w:color w:val="000000"/>
                <w:sz w:val="20"/>
                <w:szCs w:val="20"/>
                <w:lang w:eastAsia="en-US"/>
              </w:rPr>
            </w:pPr>
            <w:r w:rsidRPr="00131EED">
              <w:rPr>
                <w:color w:val="000000"/>
                <w:sz w:val="20"/>
                <w:szCs w:val="20"/>
                <w:lang w:eastAsia="en-US"/>
              </w:rPr>
              <w:t>160.8845</w:t>
            </w:r>
          </w:p>
        </w:tc>
        <w:tc>
          <w:tcPr>
            <w:tcW w:w="1989" w:type="dxa"/>
            <w:tcBorders>
              <w:top w:val="nil"/>
              <w:left w:val="nil"/>
              <w:bottom w:val="single" w:sz="4" w:space="0" w:color="auto"/>
              <w:right w:val="single" w:sz="4" w:space="0" w:color="auto"/>
            </w:tcBorders>
            <w:noWrap/>
            <w:vAlign w:val="bottom"/>
            <w:hideMark/>
          </w:tcPr>
          <w:p w14:paraId="0EE5E945" w14:textId="77777777" w:rsidR="007C3AB0" w:rsidRPr="00131EED" w:rsidRDefault="007C3AB0" w:rsidP="007C3AB0">
            <w:pPr>
              <w:jc w:val="right"/>
              <w:rPr>
                <w:color w:val="000000"/>
                <w:sz w:val="20"/>
                <w:szCs w:val="20"/>
                <w:lang w:eastAsia="en-US"/>
              </w:rPr>
            </w:pPr>
            <w:r w:rsidRPr="00131EED">
              <w:rPr>
                <w:color w:val="000000"/>
                <w:sz w:val="20"/>
                <w:szCs w:val="20"/>
                <w:lang w:eastAsia="en-US"/>
              </w:rPr>
              <w:t>1.45%</w:t>
            </w:r>
          </w:p>
        </w:tc>
      </w:tr>
      <w:tr w:rsidR="007C3AB0" w:rsidRPr="00131EED" w14:paraId="204A7D36"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28340EC0"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Funza</w:t>
            </w:r>
          </w:p>
        </w:tc>
        <w:tc>
          <w:tcPr>
            <w:tcW w:w="1418" w:type="dxa"/>
            <w:tcBorders>
              <w:top w:val="nil"/>
              <w:left w:val="nil"/>
              <w:bottom w:val="single" w:sz="4" w:space="0" w:color="auto"/>
              <w:right w:val="single" w:sz="4" w:space="0" w:color="auto"/>
            </w:tcBorders>
            <w:noWrap/>
            <w:vAlign w:val="bottom"/>
            <w:hideMark/>
          </w:tcPr>
          <w:p w14:paraId="7026AC25" w14:textId="77777777" w:rsidR="007C3AB0" w:rsidRPr="00131EED" w:rsidRDefault="007C3AB0" w:rsidP="007C3AB0">
            <w:pPr>
              <w:jc w:val="right"/>
              <w:rPr>
                <w:color w:val="000000"/>
                <w:sz w:val="20"/>
                <w:szCs w:val="20"/>
                <w:lang w:eastAsia="en-US"/>
              </w:rPr>
            </w:pPr>
            <w:r w:rsidRPr="00131EED">
              <w:rPr>
                <w:color w:val="000000"/>
                <w:sz w:val="20"/>
                <w:szCs w:val="20"/>
                <w:lang w:eastAsia="en-US"/>
              </w:rPr>
              <w:t>157.30094</w:t>
            </w:r>
          </w:p>
        </w:tc>
        <w:tc>
          <w:tcPr>
            <w:tcW w:w="1989" w:type="dxa"/>
            <w:tcBorders>
              <w:top w:val="nil"/>
              <w:left w:val="nil"/>
              <w:bottom w:val="single" w:sz="4" w:space="0" w:color="auto"/>
              <w:right w:val="single" w:sz="4" w:space="0" w:color="auto"/>
            </w:tcBorders>
            <w:noWrap/>
            <w:vAlign w:val="bottom"/>
            <w:hideMark/>
          </w:tcPr>
          <w:p w14:paraId="16A703D3" w14:textId="77777777" w:rsidR="007C3AB0" w:rsidRPr="00131EED" w:rsidRDefault="007C3AB0" w:rsidP="007C3AB0">
            <w:pPr>
              <w:jc w:val="right"/>
              <w:rPr>
                <w:color w:val="000000"/>
                <w:sz w:val="20"/>
                <w:szCs w:val="20"/>
                <w:lang w:eastAsia="en-US"/>
              </w:rPr>
            </w:pPr>
            <w:r w:rsidRPr="00131EED">
              <w:rPr>
                <w:color w:val="000000"/>
                <w:sz w:val="20"/>
                <w:szCs w:val="20"/>
                <w:lang w:eastAsia="en-US"/>
              </w:rPr>
              <w:t>2.25%</w:t>
            </w:r>
          </w:p>
        </w:tc>
      </w:tr>
      <w:tr w:rsidR="007C3AB0" w:rsidRPr="00131EED" w14:paraId="2A61E088"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64B24600"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Tocancipá</w:t>
            </w:r>
          </w:p>
        </w:tc>
        <w:tc>
          <w:tcPr>
            <w:tcW w:w="1418" w:type="dxa"/>
            <w:tcBorders>
              <w:top w:val="nil"/>
              <w:left w:val="nil"/>
              <w:bottom w:val="single" w:sz="4" w:space="0" w:color="auto"/>
              <w:right w:val="single" w:sz="4" w:space="0" w:color="auto"/>
            </w:tcBorders>
            <w:noWrap/>
            <w:vAlign w:val="bottom"/>
            <w:hideMark/>
          </w:tcPr>
          <w:p w14:paraId="26344F7C" w14:textId="77777777" w:rsidR="007C3AB0" w:rsidRPr="00131EED" w:rsidRDefault="007C3AB0" w:rsidP="007C3AB0">
            <w:pPr>
              <w:jc w:val="right"/>
              <w:rPr>
                <w:color w:val="000000"/>
                <w:sz w:val="20"/>
                <w:szCs w:val="20"/>
                <w:lang w:eastAsia="en-US"/>
              </w:rPr>
            </w:pPr>
            <w:r w:rsidRPr="00131EED">
              <w:rPr>
                <w:color w:val="000000"/>
                <w:sz w:val="20"/>
                <w:szCs w:val="20"/>
                <w:lang w:eastAsia="en-US"/>
              </w:rPr>
              <w:t>147.504155</w:t>
            </w:r>
          </w:p>
        </w:tc>
        <w:tc>
          <w:tcPr>
            <w:tcW w:w="1989" w:type="dxa"/>
            <w:tcBorders>
              <w:top w:val="nil"/>
              <w:left w:val="nil"/>
              <w:bottom w:val="single" w:sz="4" w:space="0" w:color="auto"/>
              <w:right w:val="single" w:sz="4" w:space="0" w:color="auto"/>
            </w:tcBorders>
            <w:noWrap/>
            <w:vAlign w:val="bottom"/>
            <w:hideMark/>
          </w:tcPr>
          <w:p w14:paraId="3FDA0796" w14:textId="77777777" w:rsidR="007C3AB0" w:rsidRPr="00131EED" w:rsidRDefault="007C3AB0" w:rsidP="007C3AB0">
            <w:pPr>
              <w:jc w:val="right"/>
              <w:rPr>
                <w:color w:val="000000"/>
                <w:sz w:val="20"/>
                <w:szCs w:val="20"/>
                <w:lang w:eastAsia="en-US"/>
              </w:rPr>
            </w:pPr>
            <w:r w:rsidRPr="00131EED">
              <w:rPr>
                <w:color w:val="000000"/>
                <w:sz w:val="20"/>
                <w:szCs w:val="20"/>
                <w:lang w:eastAsia="en-US"/>
              </w:rPr>
              <w:t>2.02%</w:t>
            </w:r>
          </w:p>
        </w:tc>
      </w:tr>
      <w:tr w:rsidR="007C3AB0" w:rsidRPr="00131EED" w14:paraId="12444C00"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07EF8F7C"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Cota</w:t>
            </w:r>
          </w:p>
        </w:tc>
        <w:tc>
          <w:tcPr>
            <w:tcW w:w="1418" w:type="dxa"/>
            <w:tcBorders>
              <w:top w:val="nil"/>
              <w:left w:val="nil"/>
              <w:bottom w:val="single" w:sz="4" w:space="0" w:color="auto"/>
              <w:right w:val="single" w:sz="4" w:space="0" w:color="auto"/>
            </w:tcBorders>
            <w:noWrap/>
            <w:vAlign w:val="bottom"/>
            <w:hideMark/>
          </w:tcPr>
          <w:p w14:paraId="0C6045DE" w14:textId="77777777" w:rsidR="007C3AB0" w:rsidRPr="00131EED" w:rsidRDefault="007C3AB0" w:rsidP="007C3AB0">
            <w:pPr>
              <w:jc w:val="right"/>
              <w:rPr>
                <w:color w:val="000000"/>
                <w:sz w:val="20"/>
                <w:szCs w:val="20"/>
                <w:lang w:eastAsia="en-US"/>
              </w:rPr>
            </w:pPr>
            <w:r w:rsidRPr="00131EED">
              <w:rPr>
                <w:color w:val="000000"/>
                <w:sz w:val="20"/>
                <w:szCs w:val="20"/>
                <w:lang w:eastAsia="en-US"/>
              </w:rPr>
              <w:t>145.751461</w:t>
            </w:r>
          </w:p>
        </w:tc>
        <w:tc>
          <w:tcPr>
            <w:tcW w:w="1989" w:type="dxa"/>
            <w:tcBorders>
              <w:top w:val="nil"/>
              <w:left w:val="nil"/>
              <w:bottom w:val="single" w:sz="4" w:space="0" w:color="auto"/>
              <w:right w:val="single" w:sz="4" w:space="0" w:color="auto"/>
            </w:tcBorders>
            <w:noWrap/>
            <w:vAlign w:val="bottom"/>
            <w:hideMark/>
          </w:tcPr>
          <w:p w14:paraId="64650381" w14:textId="77777777" w:rsidR="007C3AB0" w:rsidRPr="00131EED" w:rsidRDefault="007C3AB0" w:rsidP="007C3AB0">
            <w:pPr>
              <w:jc w:val="right"/>
              <w:rPr>
                <w:color w:val="000000"/>
                <w:sz w:val="20"/>
                <w:szCs w:val="20"/>
                <w:lang w:eastAsia="en-US"/>
              </w:rPr>
            </w:pPr>
            <w:r w:rsidRPr="00131EED">
              <w:rPr>
                <w:color w:val="000000"/>
                <w:sz w:val="20"/>
                <w:szCs w:val="20"/>
                <w:lang w:eastAsia="en-US"/>
              </w:rPr>
              <w:t>2.72%</w:t>
            </w:r>
          </w:p>
        </w:tc>
      </w:tr>
      <w:tr w:rsidR="007C3AB0" w:rsidRPr="00131EED" w14:paraId="1F634DA6"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61245133"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Soacha</w:t>
            </w:r>
          </w:p>
        </w:tc>
        <w:tc>
          <w:tcPr>
            <w:tcW w:w="1418" w:type="dxa"/>
            <w:tcBorders>
              <w:top w:val="nil"/>
              <w:left w:val="nil"/>
              <w:bottom w:val="single" w:sz="4" w:space="0" w:color="auto"/>
              <w:right w:val="single" w:sz="4" w:space="0" w:color="auto"/>
            </w:tcBorders>
            <w:noWrap/>
            <w:vAlign w:val="bottom"/>
            <w:hideMark/>
          </w:tcPr>
          <w:p w14:paraId="494BEA04" w14:textId="77777777" w:rsidR="007C3AB0" w:rsidRPr="00131EED" w:rsidRDefault="007C3AB0" w:rsidP="007C3AB0">
            <w:pPr>
              <w:jc w:val="right"/>
              <w:rPr>
                <w:color w:val="000000"/>
                <w:sz w:val="20"/>
                <w:szCs w:val="20"/>
                <w:lang w:eastAsia="en-US"/>
              </w:rPr>
            </w:pPr>
            <w:r w:rsidRPr="00131EED">
              <w:rPr>
                <w:color w:val="000000"/>
                <w:sz w:val="20"/>
                <w:szCs w:val="20"/>
                <w:lang w:eastAsia="en-US"/>
              </w:rPr>
              <w:t>124.741839</w:t>
            </w:r>
          </w:p>
        </w:tc>
        <w:tc>
          <w:tcPr>
            <w:tcW w:w="1989" w:type="dxa"/>
            <w:tcBorders>
              <w:top w:val="nil"/>
              <w:left w:val="nil"/>
              <w:bottom w:val="single" w:sz="4" w:space="0" w:color="auto"/>
              <w:right w:val="single" w:sz="4" w:space="0" w:color="auto"/>
            </w:tcBorders>
            <w:noWrap/>
            <w:vAlign w:val="bottom"/>
            <w:hideMark/>
          </w:tcPr>
          <w:p w14:paraId="005D8927" w14:textId="77777777" w:rsidR="007C3AB0" w:rsidRPr="00131EED" w:rsidRDefault="007C3AB0" w:rsidP="007C3AB0">
            <w:pPr>
              <w:jc w:val="right"/>
              <w:rPr>
                <w:color w:val="000000"/>
                <w:sz w:val="20"/>
                <w:szCs w:val="20"/>
                <w:lang w:eastAsia="en-US"/>
              </w:rPr>
            </w:pPr>
            <w:r w:rsidRPr="00131EED">
              <w:rPr>
                <w:color w:val="000000"/>
                <w:sz w:val="20"/>
                <w:szCs w:val="20"/>
                <w:lang w:eastAsia="en-US"/>
              </w:rPr>
              <w:t>0.70%</w:t>
            </w:r>
          </w:p>
        </w:tc>
      </w:tr>
      <w:tr w:rsidR="007C3AB0" w:rsidRPr="00131EED" w14:paraId="40A94CA7"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3FA6A0CA"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Suesca</w:t>
            </w:r>
          </w:p>
        </w:tc>
        <w:tc>
          <w:tcPr>
            <w:tcW w:w="1418" w:type="dxa"/>
            <w:tcBorders>
              <w:top w:val="nil"/>
              <w:left w:val="nil"/>
              <w:bottom w:val="single" w:sz="4" w:space="0" w:color="auto"/>
              <w:right w:val="single" w:sz="4" w:space="0" w:color="auto"/>
            </w:tcBorders>
            <w:noWrap/>
            <w:vAlign w:val="bottom"/>
            <w:hideMark/>
          </w:tcPr>
          <w:p w14:paraId="7673322E" w14:textId="77777777" w:rsidR="007C3AB0" w:rsidRPr="00131EED" w:rsidRDefault="007C3AB0" w:rsidP="007C3AB0">
            <w:pPr>
              <w:jc w:val="right"/>
              <w:rPr>
                <w:color w:val="000000"/>
                <w:sz w:val="20"/>
                <w:szCs w:val="20"/>
                <w:lang w:eastAsia="en-US"/>
              </w:rPr>
            </w:pPr>
            <w:r w:rsidRPr="00131EED">
              <w:rPr>
                <w:color w:val="000000"/>
                <w:sz w:val="20"/>
                <w:szCs w:val="20"/>
                <w:lang w:eastAsia="en-US"/>
              </w:rPr>
              <w:t>115.175426</w:t>
            </w:r>
          </w:p>
        </w:tc>
        <w:tc>
          <w:tcPr>
            <w:tcW w:w="1989" w:type="dxa"/>
            <w:tcBorders>
              <w:top w:val="nil"/>
              <w:left w:val="nil"/>
              <w:bottom w:val="single" w:sz="4" w:space="0" w:color="auto"/>
              <w:right w:val="single" w:sz="4" w:space="0" w:color="auto"/>
            </w:tcBorders>
            <w:noWrap/>
            <w:vAlign w:val="bottom"/>
            <w:hideMark/>
          </w:tcPr>
          <w:p w14:paraId="3C5915E2" w14:textId="77777777" w:rsidR="007C3AB0" w:rsidRPr="00131EED" w:rsidRDefault="007C3AB0" w:rsidP="007C3AB0">
            <w:pPr>
              <w:jc w:val="right"/>
              <w:rPr>
                <w:color w:val="000000"/>
                <w:sz w:val="20"/>
                <w:szCs w:val="20"/>
                <w:lang w:eastAsia="en-US"/>
              </w:rPr>
            </w:pPr>
            <w:r w:rsidRPr="00131EED">
              <w:rPr>
                <w:color w:val="000000"/>
                <w:sz w:val="20"/>
                <w:szCs w:val="20"/>
                <w:lang w:eastAsia="en-US"/>
              </w:rPr>
              <w:t>1.00%</w:t>
            </w:r>
          </w:p>
        </w:tc>
      </w:tr>
      <w:tr w:rsidR="007C3AB0" w:rsidRPr="00131EED" w14:paraId="7CF4E9EF"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39EE7C6F"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Tabio</w:t>
            </w:r>
          </w:p>
        </w:tc>
        <w:tc>
          <w:tcPr>
            <w:tcW w:w="1418" w:type="dxa"/>
            <w:tcBorders>
              <w:top w:val="nil"/>
              <w:left w:val="nil"/>
              <w:bottom w:val="single" w:sz="4" w:space="0" w:color="auto"/>
              <w:right w:val="single" w:sz="4" w:space="0" w:color="auto"/>
            </w:tcBorders>
            <w:noWrap/>
            <w:vAlign w:val="bottom"/>
            <w:hideMark/>
          </w:tcPr>
          <w:p w14:paraId="0D287908" w14:textId="77777777" w:rsidR="007C3AB0" w:rsidRPr="00131EED" w:rsidRDefault="007C3AB0" w:rsidP="007C3AB0">
            <w:pPr>
              <w:jc w:val="right"/>
              <w:rPr>
                <w:color w:val="000000"/>
                <w:sz w:val="20"/>
                <w:szCs w:val="20"/>
                <w:lang w:eastAsia="en-US"/>
              </w:rPr>
            </w:pPr>
            <w:r w:rsidRPr="00131EED">
              <w:rPr>
                <w:color w:val="000000"/>
                <w:sz w:val="20"/>
                <w:szCs w:val="20"/>
                <w:lang w:eastAsia="en-US"/>
              </w:rPr>
              <w:t>101.36306</w:t>
            </w:r>
          </w:p>
        </w:tc>
        <w:tc>
          <w:tcPr>
            <w:tcW w:w="1989" w:type="dxa"/>
            <w:tcBorders>
              <w:top w:val="nil"/>
              <w:left w:val="nil"/>
              <w:bottom w:val="single" w:sz="4" w:space="0" w:color="auto"/>
              <w:right w:val="single" w:sz="4" w:space="0" w:color="auto"/>
            </w:tcBorders>
            <w:noWrap/>
            <w:vAlign w:val="bottom"/>
            <w:hideMark/>
          </w:tcPr>
          <w:p w14:paraId="64B7DF0D" w14:textId="77777777" w:rsidR="007C3AB0" w:rsidRPr="00131EED" w:rsidRDefault="007C3AB0" w:rsidP="007C3AB0">
            <w:pPr>
              <w:jc w:val="right"/>
              <w:rPr>
                <w:color w:val="000000"/>
                <w:sz w:val="20"/>
                <w:szCs w:val="20"/>
                <w:lang w:eastAsia="en-US"/>
              </w:rPr>
            </w:pPr>
            <w:r w:rsidRPr="00131EED">
              <w:rPr>
                <w:color w:val="000000"/>
                <w:sz w:val="20"/>
                <w:szCs w:val="20"/>
                <w:lang w:eastAsia="en-US"/>
              </w:rPr>
              <w:t>1.35%</w:t>
            </w:r>
          </w:p>
        </w:tc>
      </w:tr>
      <w:tr w:rsidR="007C3AB0" w:rsidRPr="00131EED" w14:paraId="5769A914"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5ABF6B76"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Mosquera</w:t>
            </w:r>
          </w:p>
        </w:tc>
        <w:tc>
          <w:tcPr>
            <w:tcW w:w="1418" w:type="dxa"/>
            <w:tcBorders>
              <w:top w:val="nil"/>
              <w:left w:val="nil"/>
              <w:bottom w:val="single" w:sz="4" w:space="0" w:color="auto"/>
              <w:right w:val="single" w:sz="4" w:space="0" w:color="auto"/>
            </w:tcBorders>
            <w:noWrap/>
            <w:vAlign w:val="bottom"/>
            <w:hideMark/>
          </w:tcPr>
          <w:p w14:paraId="7C8A6E99" w14:textId="77777777" w:rsidR="007C3AB0" w:rsidRPr="00131EED" w:rsidRDefault="007C3AB0" w:rsidP="007C3AB0">
            <w:pPr>
              <w:jc w:val="right"/>
              <w:rPr>
                <w:color w:val="000000"/>
                <w:sz w:val="20"/>
                <w:szCs w:val="20"/>
                <w:lang w:eastAsia="en-US"/>
              </w:rPr>
            </w:pPr>
            <w:r w:rsidRPr="00131EED">
              <w:rPr>
                <w:color w:val="000000"/>
                <w:sz w:val="20"/>
                <w:szCs w:val="20"/>
                <w:lang w:eastAsia="en-US"/>
              </w:rPr>
              <w:t>86.812855</w:t>
            </w:r>
          </w:p>
        </w:tc>
        <w:tc>
          <w:tcPr>
            <w:tcW w:w="1989" w:type="dxa"/>
            <w:tcBorders>
              <w:top w:val="nil"/>
              <w:left w:val="nil"/>
              <w:bottom w:val="single" w:sz="4" w:space="0" w:color="auto"/>
              <w:right w:val="single" w:sz="4" w:space="0" w:color="auto"/>
            </w:tcBorders>
            <w:noWrap/>
            <w:vAlign w:val="bottom"/>
            <w:hideMark/>
          </w:tcPr>
          <w:p w14:paraId="65C1D087" w14:textId="77777777" w:rsidR="007C3AB0" w:rsidRPr="00131EED" w:rsidRDefault="007C3AB0" w:rsidP="007C3AB0">
            <w:pPr>
              <w:jc w:val="right"/>
              <w:rPr>
                <w:color w:val="000000"/>
                <w:sz w:val="20"/>
                <w:szCs w:val="20"/>
                <w:lang w:eastAsia="en-US"/>
              </w:rPr>
            </w:pPr>
            <w:r w:rsidRPr="00131EED">
              <w:rPr>
                <w:color w:val="000000"/>
                <w:sz w:val="20"/>
                <w:szCs w:val="20"/>
                <w:lang w:eastAsia="en-US"/>
              </w:rPr>
              <w:t>0.82%</w:t>
            </w:r>
          </w:p>
        </w:tc>
      </w:tr>
      <w:tr w:rsidR="007C3AB0" w:rsidRPr="00131EED" w14:paraId="2F59F5DF"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0B883C89"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Sibaté</w:t>
            </w:r>
          </w:p>
        </w:tc>
        <w:tc>
          <w:tcPr>
            <w:tcW w:w="1418" w:type="dxa"/>
            <w:tcBorders>
              <w:top w:val="nil"/>
              <w:left w:val="nil"/>
              <w:bottom w:val="single" w:sz="4" w:space="0" w:color="auto"/>
              <w:right w:val="single" w:sz="4" w:space="0" w:color="auto"/>
            </w:tcBorders>
            <w:noWrap/>
            <w:vAlign w:val="bottom"/>
            <w:hideMark/>
          </w:tcPr>
          <w:p w14:paraId="04870633" w14:textId="77777777" w:rsidR="007C3AB0" w:rsidRPr="00131EED" w:rsidRDefault="007C3AB0" w:rsidP="007C3AB0">
            <w:pPr>
              <w:jc w:val="right"/>
              <w:rPr>
                <w:color w:val="000000"/>
                <w:sz w:val="20"/>
                <w:szCs w:val="20"/>
                <w:lang w:eastAsia="en-US"/>
              </w:rPr>
            </w:pPr>
            <w:r w:rsidRPr="00131EED">
              <w:rPr>
                <w:color w:val="000000"/>
                <w:sz w:val="20"/>
                <w:szCs w:val="20"/>
                <w:lang w:eastAsia="en-US"/>
              </w:rPr>
              <w:t>85.68168</w:t>
            </w:r>
          </w:p>
        </w:tc>
        <w:tc>
          <w:tcPr>
            <w:tcW w:w="1989" w:type="dxa"/>
            <w:tcBorders>
              <w:top w:val="nil"/>
              <w:left w:val="nil"/>
              <w:bottom w:val="single" w:sz="4" w:space="0" w:color="auto"/>
              <w:right w:val="single" w:sz="4" w:space="0" w:color="auto"/>
            </w:tcBorders>
            <w:noWrap/>
            <w:vAlign w:val="bottom"/>
            <w:hideMark/>
          </w:tcPr>
          <w:p w14:paraId="4B058F5E" w14:textId="77777777" w:rsidR="007C3AB0" w:rsidRPr="00131EED" w:rsidRDefault="007C3AB0" w:rsidP="007C3AB0">
            <w:pPr>
              <w:jc w:val="right"/>
              <w:rPr>
                <w:color w:val="000000"/>
                <w:sz w:val="20"/>
                <w:szCs w:val="20"/>
                <w:lang w:eastAsia="en-US"/>
              </w:rPr>
            </w:pPr>
            <w:r w:rsidRPr="00131EED">
              <w:rPr>
                <w:color w:val="000000"/>
                <w:sz w:val="20"/>
                <w:szCs w:val="20"/>
                <w:lang w:eastAsia="en-US"/>
              </w:rPr>
              <w:t>0.91%</w:t>
            </w:r>
          </w:p>
        </w:tc>
      </w:tr>
      <w:tr w:rsidR="007C3AB0" w:rsidRPr="00131EED" w14:paraId="0F7E6B3D"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293A34FE"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Villapinzon</w:t>
            </w:r>
          </w:p>
        </w:tc>
        <w:tc>
          <w:tcPr>
            <w:tcW w:w="1418" w:type="dxa"/>
            <w:tcBorders>
              <w:top w:val="nil"/>
              <w:left w:val="nil"/>
              <w:bottom w:val="single" w:sz="4" w:space="0" w:color="auto"/>
              <w:right w:val="single" w:sz="4" w:space="0" w:color="auto"/>
            </w:tcBorders>
            <w:noWrap/>
            <w:vAlign w:val="bottom"/>
            <w:hideMark/>
          </w:tcPr>
          <w:p w14:paraId="390FCAF7" w14:textId="77777777" w:rsidR="007C3AB0" w:rsidRPr="00131EED" w:rsidRDefault="007C3AB0" w:rsidP="007C3AB0">
            <w:pPr>
              <w:jc w:val="right"/>
              <w:rPr>
                <w:color w:val="000000"/>
                <w:sz w:val="20"/>
                <w:szCs w:val="20"/>
                <w:lang w:eastAsia="en-US"/>
              </w:rPr>
            </w:pPr>
            <w:r w:rsidRPr="00131EED">
              <w:rPr>
                <w:color w:val="000000"/>
                <w:sz w:val="20"/>
                <w:szCs w:val="20"/>
                <w:lang w:eastAsia="en-US"/>
              </w:rPr>
              <w:t>64.586153</w:t>
            </w:r>
          </w:p>
        </w:tc>
        <w:tc>
          <w:tcPr>
            <w:tcW w:w="1989" w:type="dxa"/>
            <w:tcBorders>
              <w:top w:val="nil"/>
              <w:left w:val="nil"/>
              <w:bottom w:val="single" w:sz="4" w:space="0" w:color="auto"/>
              <w:right w:val="single" w:sz="4" w:space="0" w:color="auto"/>
            </w:tcBorders>
            <w:noWrap/>
            <w:vAlign w:val="bottom"/>
            <w:hideMark/>
          </w:tcPr>
          <w:p w14:paraId="2DEA45A4" w14:textId="77777777" w:rsidR="007C3AB0" w:rsidRPr="00131EED" w:rsidRDefault="007C3AB0" w:rsidP="007C3AB0">
            <w:pPr>
              <w:jc w:val="right"/>
              <w:rPr>
                <w:color w:val="000000"/>
                <w:sz w:val="20"/>
                <w:szCs w:val="20"/>
                <w:lang w:eastAsia="en-US"/>
              </w:rPr>
            </w:pPr>
            <w:r w:rsidRPr="00131EED">
              <w:rPr>
                <w:color w:val="000000"/>
                <w:sz w:val="20"/>
                <w:szCs w:val="20"/>
                <w:lang w:eastAsia="en-US"/>
              </w:rPr>
              <w:t>0.51%</w:t>
            </w:r>
          </w:p>
        </w:tc>
      </w:tr>
      <w:tr w:rsidR="007C3AB0" w:rsidRPr="00131EED" w14:paraId="15821277"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7FE4C1A6"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Madrid</w:t>
            </w:r>
          </w:p>
        </w:tc>
        <w:tc>
          <w:tcPr>
            <w:tcW w:w="1418" w:type="dxa"/>
            <w:tcBorders>
              <w:top w:val="nil"/>
              <w:left w:val="nil"/>
              <w:bottom w:val="single" w:sz="4" w:space="0" w:color="auto"/>
              <w:right w:val="single" w:sz="4" w:space="0" w:color="auto"/>
            </w:tcBorders>
            <w:noWrap/>
            <w:vAlign w:val="bottom"/>
            <w:hideMark/>
          </w:tcPr>
          <w:p w14:paraId="05E5E9E1" w14:textId="77777777" w:rsidR="007C3AB0" w:rsidRPr="00131EED" w:rsidRDefault="007C3AB0" w:rsidP="007C3AB0">
            <w:pPr>
              <w:jc w:val="right"/>
              <w:rPr>
                <w:color w:val="000000"/>
                <w:sz w:val="20"/>
                <w:szCs w:val="20"/>
                <w:lang w:eastAsia="en-US"/>
              </w:rPr>
            </w:pPr>
            <w:r w:rsidRPr="00131EED">
              <w:rPr>
                <w:color w:val="000000"/>
                <w:sz w:val="20"/>
                <w:szCs w:val="20"/>
                <w:lang w:eastAsia="en-US"/>
              </w:rPr>
              <w:t>55.962036</w:t>
            </w:r>
          </w:p>
        </w:tc>
        <w:tc>
          <w:tcPr>
            <w:tcW w:w="1989" w:type="dxa"/>
            <w:tcBorders>
              <w:top w:val="nil"/>
              <w:left w:val="nil"/>
              <w:bottom w:val="single" w:sz="4" w:space="0" w:color="auto"/>
              <w:right w:val="single" w:sz="4" w:space="0" w:color="auto"/>
            </w:tcBorders>
            <w:noWrap/>
            <w:vAlign w:val="bottom"/>
            <w:hideMark/>
          </w:tcPr>
          <w:p w14:paraId="604A17DB" w14:textId="77777777" w:rsidR="007C3AB0" w:rsidRPr="00131EED" w:rsidRDefault="007C3AB0" w:rsidP="007C3AB0">
            <w:pPr>
              <w:jc w:val="right"/>
              <w:rPr>
                <w:color w:val="000000"/>
                <w:sz w:val="20"/>
                <w:szCs w:val="20"/>
                <w:lang w:eastAsia="en-US"/>
              </w:rPr>
            </w:pPr>
            <w:r w:rsidRPr="00131EED">
              <w:rPr>
                <w:color w:val="000000"/>
                <w:sz w:val="20"/>
                <w:szCs w:val="20"/>
                <w:lang w:eastAsia="en-US"/>
              </w:rPr>
              <w:t>0.47%</w:t>
            </w:r>
          </w:p>
        </w:tc>
      </w:tr>
      <w:tr w:rsidR="007C3AB0" w:rsidRPr="00131EED" w14:paraId="3AF60461"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3A0B13E8"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Bojacá</w:t>
            </w:r>
          </w:p>
        </w:tc>
        <w:tc>
          <w:tcPr>
            <w:tcW w:w="1418" w:type="dxa"/>
            <w:tcBorders>
              <w:top w:val="nil"/>
              <w:left w:val="nil"/>
              <w:bottom w:val="single" w:sz="4" w:space="0" w:color="auto"/>
              <w:right w:val="single" w:sz="4" w:space="0" w:color="auto"/>
            </w:tcBorders>
            <w:noWrap/>
            <w:vAlign w:val="bottom"/>
            <w:hideMark/>
          </w:tcPr>
          <w:p w14:paraId="5607795B" w14:textId="77777777" w:rsidR="007C3AB0" w:rsidRPr="00131EED" w:rsidRDefault="007C3AB0" w:rsidP="007C3AB0">
            <w:pPr>
              <w:jc w:val="right"/>
              <w:rPr>
                <w:color w:val="000000"/>
                <w:sz w:val="20"/>
                <w:szCs w:val="20"/>
                <w:lang w:eastAsia="en-US"/>
              </w:rPr>
            </w:pPr>
            <w:r w:rsidRPr="00131EED">
              <w:rPr>
                <w:color w:val="000000"/>
                <w:sz w:val="20"/>
                <w:szCs w:val="20"/>
                <w:lang w:eastAsia="en-US"/>
              </w:rPr>
              <w:t>51.705097</w:t>
            </w:r>
          </w:p>
        </w:tc>
        <w:tc>
          <w:tcPr>
            <w:tcW w:w="1989" w:type="dxa"/>
            <w:tcBorders>
              <w:top w:val="nil"/>
              <w:left w:val="nil"/>
              <w:bottom w:val="single" w:sz="4" w:space="0" w:color="auto"/>
              <w:right w:val="single" w:sz="4" w:space="0" w:color="auto"/>
            </w:tcBorders>
            <w:noWrap/>
            <w:vAlign w:val="bottom"/>
            <w:hideMark/>
          </w:tcPr>
          <w:p w14:paraId="77C77C3C" w14:textId="77777777" w:rsidR="007C3AB0" w:rsidRPr="00131EED" w:rsidRDefault="007C3AB0" w:rsidP="007C3AB0">
            <w:pPr>
              <w:jc w:val="right"/>
              <w:rPr>
                <w:color w:val="000000"/>
                <w:sz w:val="20"/>
                <w:szCs w:val="20"/>
                <w:lang w:eastAsia="en-US"/>
              </w:rPr>
            </w:pPr>
            <w:r w:rsidRPr="00131EED">
              <w:rPr>
                <w:color w:val="000000"/>
                <w:sz w:val="20"/>
                <w:szCs w:val="20"/>
                <w:lang w:eastAsia="en-US"/>
              </w:rPr>
              <w:t>0.51%</w:t>
            </w:r>
          </w:p>
        </w:tc>
      </w:tr>
      <w:tr w:rsidR="007C3AB0" w:rsidRPr="00131EED" w14:paraId="1019601A"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0B12DD60"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El Rosal</w:t>
            </w:r>
          </w:p>
        </w:tc>
        <w:tc>
          <w:tcPr>
            <w:tcW w:w="1418" w:type="dxa"/>
            <w:tcBorders>
              <w:top w:val="nil"/>
              <w:left w:val="nil"/>
              <w:bottom w:val="single" w:sz="4" w:space="0" w:color="auto"/>
              <w:right w:val="single" w:sz="4" w:space="0" w:color="auto"/>
            </w:tcBorders>
            <w:noWrap/>
            <w:vAlign w:val="bottom"/>
            <w:hideMark/>
          </w:tcPr>
          <w:p w14:paraId="6DC36112" w14:textId="77777777" w:rsidR="007C3AB0" w:rsidRPr="00131EED" w:rsidRDefault="007C3AB0" w:rsidP="007C3AB0">
            <w:pPr>
              <w:jc w:val="right"/>
              <w:rPr>
                <w:color w:val="000000"/>
                <w:sz w:val="20"/>
                <w:szCs w:val="20"/>
                <w:lang w:eastAsia="en-US"/>
              </w:rPr>
            </w:pPr>
            <w:r w:rsidRPr="00131EED">
              <w:rPr>
                <w:color w:val="000000"/>
                <w:sz w:val="20"/>
                <w:szCs w:val="20"/>
                <w:lang w:eastAsia="en-US"/>
              </w:rPr>
              <w:t>34.943181</w:t>
            </w:r>
          </w:p>
        </w:tc>
        <w:tc>
          <w:tcPr>
            <w:tcW w:w="1989" w:type="dxa"/>
            <w:tcBorders>
              <w:top w:val="nil"/>
              <w:left w:val="nil"/>
              <w:bottom w:val="single" w:sz="4" w:space="0" w:color="auto"/>
              <w:right w:val="single" w:sz="4" w:space="0" w:color="auto"/>
            </w:tcBorders>
            <w:noWrap/>
            <w:vAlign w:val="bottom"/>
            <w:hideMark/>
          </w:tcPr>
          <w:p w14:paraId="7B6FEE64" w14:textId="77777777" w:rsidR="007C3AB0" w:rsidRPr="00131EED" w:rsidRDefault="007C3AB0" w:rsidP="007C3AB0">
            <w:pPr>
              <w:jc w:val="right"/>
              <w:rPr>
                <w:color w:val="000000"/>
                <w:sz w:val="20"/>
                <w:szCs w:val="20"/>
                <w:lang w:eastAsia="en-US"/>
              </w:rPr>
            </w:pPr>
            <w:r w:rsidRPr="00131EED">
              <w:rPr>
                <w:color w:val="000000"/>
                <w:sz w:val="20"/>
                <w:szCs w:val="20"/>
                <w:lang w:eastAsia="en-US"/>
              </w:rPr>
              <w:t>0.51%</w:t>
            </w:r>
          </w:p>
        </w:tc>
      </w:tr>
      <w:tr w:rsidR="007C3AB0" w:rsidRPr="00131EED" w14:paraId="7BECE328"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38887CF8"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Sesquilé</w:t>
            </w:r>
          </w:p>
        </w:tc>
        <w:tc>
          <w:tcPr>
            <w:tcW w:w="1418" w:type="dxa"/>
            <w:tcBorders>
              <w:top w:val="nil"/>
              <w:left w:val="nil"/>
              <w:bottom w:val="single" w:sz="4" w:space="0" w:color="auto"/>
              <w:right w:val="single" w:sz="4" w:space="0" w:color="auto"/>
            </w:tcBorders>
            <w:noWrap/>
            <w:vAlign w:val="bottom"/>
            <w:hideMark/>
          </w:tcPr>
          <w:p w14:paraId="672F006C" w14:textId="77777777" w:rsidR="007C3AB0" w:rsidRPr="00131EED" w:rsidRDefault="007C3AB0" w:rsidP="007C3AB0">
            <w:pPr>
              <w:jc w:val="right"/>
              <w:rPr>
                <w:color w:val="000000"/>
                <w:sz w:val="20"/>
                <w:szCs w:val="20"/>
                <w:lang w:eastAsia="en-US"/>
              </w:rPr>
            </w:pPr>
            <w:r w:rsidRPr="00131EED">
              <w:rPr>
                <w:color w:val="000000"/>
                <w:sz w:val="20"/>
                <w:szCs w:val="20"/>
                <w:lang w:eastAsia="en-US"/>
              </w:rPr>
              <w:t>21.97722</w:t>
            </w:r>
          </w:p>
        </w:tc>
        <w:tc>
          <w:tcPr>
            <w:tcW w:w="1989" w:type="dxa"/>
            <w:tcBorders>
              <w:top w:val="nil"/>
              <w:left w:val="nil"/>
              <w:bottom w:val="single" w:sz="4" w:space="0" w:color="auto"/>
              <w:right w:val="single" w:sz="4" w:space="0" w:color="auto"/>
            </w:tcBorders>
            <w:noWrap/>
            <w:vAlign w:val="bottom"/>
            <w:hideMark/>
          </w:tcPr>
          <w:p w14:paraId="11301045" w14:textId="77777777" w:rsidR="007C3AB0" w:rsidRPr="00131EED" w:rsidRDefault="007C3AB0" w:rsidP="007C3AB0">
            <w:pPr>
              <w:jc w:val="right"/>
              <w:rPr>
                <w:color w:val="000000"/>
                <w:sz w:val="20"/>
                <w:szCs w:val="20"/>
                <w:lang w:eastAsia="en-US"/>
              </w:rPr>
            </w:pPr>
            <w:r w:rsidRPr="00131EED">
              <w:rPr>
                <w:color w:val="000000"/>
                <w:sz w:val="20"/>
                <w:szCs w:val="20"/>
                <w:lang w:eastAsia="en-US"/>
              </w:rPr>
              <w:t>0.16%</w:t>
            </w:r>
          </w:p>
        </w:tc>
      </w:tr>
      <w:tr w:rsidR="007C3AB0" w:rsidRPr="00131EED" w14:paraId="2007D081"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49D3694C"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Guasca</w:t>
            </w:r>
          </w:p>
        </w:tc>
        <w:tc>
          <w:tcPr>
            <w:tcW w:w="1418" w:type="dxa"/>
            <w:tcBorders>
              <w:top w:val="nil"/>
              <w:left w:val="nil"/>
              <w:bottom w:val="single" w:sz="4" w:space="0" w:color="auto"/>
              <w:right w:val="single" w:sz="4" w:space="0" w:color="auto"/>
            </w:tcBorders>
            <w:noWrap/>
            <w:vAlign w:val="bottom"/>
            <w:hideMark/>
          </w:tcPr>
          <w:p w14:paraId="4E7B5483" w14:textId="77777777" w:rsidR="007C3AB0" w:rsidRPr="00131EED" w:rsidRDefault="007C3AB0" w:rsidP="007C3AB0">
            <w:pPr>
              <w:jc w:val="right"/>
              <w:rPr>
                <w:color w:val="000000"/>
                <w:sz w:val="20"/>
                <w:szCs w:val="20"/>
                <w:lang w:eastAsia="en-US"/>
              </w:rPr>
            </w:pPr>
            <w:r w:rsidRPr="00131EED">
              <w:rPr>
                <w:color w:val="000000"/>
                <w:sz w:val="20"/>
                <w:szCs w:val="20"/>
                <w:lang w:eastAsia="en-US"/>
              </w:rPr>
              <w:t>21.953334</w:t>
            </w:r>
          </w:p>
        </w:tc>
        <w:tc>
          <w:tcPr>
            <w:tcW w:w="1989" w:type="dxa"/>
            <w:tcBorders>
              <w:top w:val="nil"/>
              <w:left w:val="nil"/>
              <w:bottom w:val="single" w:sz="4" w:space="0" w:color="auto"/>
              <w:right w:val="single" w:sz="4" w:space="0" w:color="auto"/>
            </w:tcBorders>
            <w:noWrap/>
            <w:vAlign w:val="bottom"/>
            <w:hideMark/>
          </w:tcPr>
          <w:p w14:paraId="6C65FF80" w14:textId="77777777" w:rsidR="007C3AB0" w:rsidRPr="00131EED" w:rsidRDefault="007C3AB0" w:rsidP="007C3AB0">
            <w:pPr>
              <w:jc w:val="right"/>
              <w:rPr>
                <w:color w:val="000000"/>
                <w:sz w:val="20"/>
                <w:szCs w:val="20"/>
                <w:lang w:eastAsia="en-US"/>
              </w:rPr>
            </w:pPr>
            <w:r w:rsidRPr="00131EED">
              <w:rPr>
                <w:color w:val="000000"/>
                <w:sz w:val="20"/>
                <w:szCs w:val="20"/>
                <w:lang w:eastAsia="en-US"/>
              </w:rPr>
              <w:t>0.11%</w:t>
            </w:r>
          </w:p>
        </w:tc>
      </w:tr>
      <w:tr w:rsidR="007C3AB0" w:rsidRPr="00131EED" w14:paraId="75D4C8F2"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66D6BA34"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Tenjo</w:t>
            </w:r>
          </w:p>
        </w:tc>
        <w:tc>
          <w:tcPr>
            <w:tcW w:w="1418" w:type="dxa"/>
            <w:tcBorders>
              <w:top w:val="nil"/>
              <w:left w:val="nil"/>
              <w:bottom w:val="single" w:sz="4" w:space="0" w:color="auto"/>
              <w:right w:val="single" w:sz="4" w:space="0" w:color="auto"/>
            </w:tcBorders>
            <w:noWrap/>
            <w:vAlign w:val="bottom"/>
            <w:hideMark/>
          </w:tcPr>
          <w:p w14:paraId="56B258D2" w14:textId="77777777" w:rsidR="007C3AB0" w:rsidRPr="00131EED" w:rsidRDefault="007C3AB0" w:rsidP="007C3AB0">
            <w:pPr>
              <w:jc w:val="right"/>
              <w:rPr>
                <w:color w:val="000000"/>
                <w:sz w:val="20"/>
                <w:szCs w:val="20"/>
                <w:lang w:eastAsia="en-US"/>
              </w:rPr>
            </w:pPr>
            <w:r w:rsidRPr="00131EED">
              <w:rPr>
                <w:color w:val="000000"/>
                <w:sz w:val="20"/>
                <w:szCs w:val="20"/>
                <w:lang w:eastAsia="en-US"/>
              </w:rPr>
              <w:t>20.582649</w:t>
            </w:r>
          </w:p>
        </w:tc>
        <w:tc>
          <w:tcPr>
            <w:tcW w:w="1989" w:type="dxa"/>
            <w:tcBorders>
              <w:top w:val="nil"/>
              <w:left w:val="nil"/>
              <w:bottom w:val="single" w:sz="4" w:space="0" w:color="auto"/>
              <w:right w:val="single" w:sz="4" w:space="0" w:color="auto"/>
            </w:tcBorders>
            <w:noWrap/>
            <w:vAlign w:val="bottom"/>
            <w:hideMark/>
          </w:tcPr>
          <w:p w14:paraId="13065AC4" w14:textId="77777777" w:rsidR="007C3AB0" w:rsidRPr="00131EED" w:rsidRDefault="007C3AB0" w:rsidP="007C3AB0">
            <w:pPr>
              <w:jc w:val="right"/>
              <w:rPr>
                <w:color w:val="000000"/>
                <w:sz w:val="20"/>
                <w:szCs w:val="20"/>
                <w:lang w:eastAsia="en-US"/>
              </w:rPr>
            </w:pPr>
            <w:r w:rsidRPr="00131EED">
              <w:rPr>
                <w:color w:val="000000"/>
                <w:sz w:val="20"/>
                <w:szCs w:val="20"/>
                <w:lang w:eastAsia="en-US"/>
              </w:rPr>
              <w:t>0.18%</w:t>
            </w:r>
          </w:p>
        </w:tc>
      </w:tr>
      <w:tr w:rsidR="007C3AB0" w:rsidRPr="00131EED" w14:paraId="1304208D"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7F2DF182"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Chocontá</w:t>
            </w:r>
          </w:p>
        </w:tc>
        <w:tc>
          <w:tcPr>
            <w:tcW w:w="1418" w:type="dxa"/>
            <w:tcBorders>
              <w:top w:val="nil"/>
              <w:left w:val="nil"/>
              <w:bottom w:val="single" w:sz="4" w:space="0" w:color="auto"/>
              <w:right w:val="single" w:sz="4" w:space="0" w:color="auto"/>
            </w:tcBorders>
            <w:noWrap/>
            <w:vAlign w:val="bottom"/>
            <w:hideMark/>
          </w:tcPr>
          <w:p w14:paraId="20970356" w14:textId="77777777" w:rsidR="007C3AB0" w:rsidRPr="00131EED" w:rsidRDefault="007C3AB0" w:rsidP="007C3AB0">
            <w:pPr>
              <w:jc w:val="right"/>
              <w:rPr>
                <w:color w:val="000000"/>
                <w:sz w:val="20"/>
                <w:szCs w:val="20"/>
                <w:lang w:eastAsia="en-US"/>
              </w:rPr>
            </w:pPr>
            <w:r w:rsidRPr="00131EED">
              <w:rPr>
                <w:color w:val="000000"/>
                <w:sz w:val="20"/>
                <w:szCs w:val="20"/>
                <w:lang w:eastAsia="en-US"/>
              </w:rPr>
              <w:t>20.239457</w:t>
            </w:r>
          </w:p>
        </w:tc>
        <w:tc>
          <w:tcPr>
            <w:tcW w:w="1989" w:type="dxa"/>
            <w:tcBorders>
              <w:top w:val="nil"/>
              <w:left w:val="nil"/>
              <w:bottom w:val="single" w:sz="4" w:space="0" w:color="auto"/>
              <w:right w:val="single" w:sz="4" w:space="0" w:color="auto"/>
            </w:tcBorders>
            <w:noWrap/>
            <w:vAlign w:val="bottom"/>
            <w:hideMark/>
          </w:tcPr>
          <w:p w14:paraId="5C67BE80" w14:textId="77777777" w:rsidR="007C3AB0" w:rsidRPr="00131EED" w:rsidRDefault="007C3AB0" w:rsidP="007C3AB0">
            <w:pPr>
              <w:jc w:val="right"/>
              <w:rPr>
                <w:color w:val="000000"/>
                <w:sz w:val="20"/>
                <w:szCs w:val="20"/>
                <w:lang w:eastAsia="en-US"/>
              </w:rPr>
            </w:pPr>
            <w:r w:rsidRPr="00131EED">
              <w:rPr>
                <w:color w:val="000000"/>
                <w:sz w:val="20"/>
                <w:szCs w:val="20"/>
                <w:lang w:eastAsia="en-US"/>
              </w:rPr>
              <w:t>0.08%</w:t>
            </w:r>
          </w:p>
        </w:tc>
      </w:tr>
      <w:tr w:rsidR="007C3AB0" w:rsidRPr="00131EED" w14:paraId="31757364"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206171DA"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La Calera</w:t>
            </w:r>
          </w:p>
        </w:tc>
        <w:tc>
          <w:tcPr>
            <w:tcW w:w="1418" w:type="dxa"/>
            <w:tcBorders>
              <w:top w:val="nil"/>
              <w:left w:val="nil"/>
              <w:bottom w:val="single" w:sz="4" w:space="0" w:color="auto"/>
              <w:right w:val="single" w:sz="4" w:space="0" w:color="auto"/>
            </w:tcBorders>
            <w:noWrap/>
            <w:vAlign w:val="bottom"/>
            <w:hideMark/>
          </w:tcPr>
          <w:p w14:paraId="55598D9D" w14:textId="77777777" w:rsidR="007C3AB0" w:rsidRPr="00131EED" w:rsidRDefault="007C3AB0" w:rsidP="007C3AB0">
            <w:pPr>
              <w:jc w:val="right"/>
              <w:rPr>
                <w:color w:val="000000"/>
                <w:sz w:val="20"/>
                <w:szCs w:val="20"/>
                <w:lang w:eastAsia="en-US"/>
              </w:rPr>
            </w:pPr>
            <w:r w:rsidRPr="00131EED">
              <w:rPr>
                <w:color w:val="000000"/>
                <w:sz w:val="20"/>
                <w:szCs w:val="20"/>
                <w:lang w:eastAsia="en-US"/>
              </w:rPr>
              <w:t>11.877164</w:t>
            </w:r>
          </w:p>
        </w:tc>
        <w:tc>
          <w:tcPr>
            <w:tcW w:w="1989" w:type="dxa"/>
            <w:tcBorders>
              <w:top w:val="nil"/>
              <w:left w:val="nil"/>
              <w:bottom w:val="single" w:sz="4" w:space="0" w:color="auto"/>
              <w:right w:val="single" w:sz="4" w:space="0" w:color="auto"/>
            </w:tcBorders>
            <w:noWrap/>
            <w:vAlign w:val="bottom"/>
            <w:hideMark/>
          </w:tcPr>
          <w:p w14:paraId="679A9C92" w14:textId="77777777" w:rsidR="007C3AB0" w:rsidRPr="00131EED" w:rsidRDefault="007C3AB0" w:rsidP="007C3AB0">
            <w:pPr>
              <w:jc w:val="right"/>
              <w:rPr>
                <w:color w:val="000000"/>
                <w:sz w:val="20"/>
                <w:szCs w:val="20"/>
                <w:lang w:eastAsia="en-US"/>
              </w:rPr>
            </w:pPr>
            <w:r w:rsidRPr="00131EED">
              <w:rPr>
                <w:color w:val="000000"/>
                <w:sz w:val="20"/>
                <w:szCs w:val="20"/>
                <w:lang w:eastAsia="en-US"/>
              </w:rPr>
              <w:t>0.06%</w:t>
            </w:r>
          </w:p>
        </w:tc>
      </w:tr>
      <w:tr w:rsidR="007C3AB0" w:rsidRPr="00131EED" w14:paraId="751E6903"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01D8A1D1"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Nemocón</w:t>
            </w:r>
          </w:p>
        </w:tc>
        <w:tc>
          <w:tcPr>
            <w:tcW w:w="1418" w:type="dxa"/>
            <w:tcBorders>
              <w:top w:val="nil"/>
              <w:left w:val="nil"/>
              <w:bottom w:val="single" w:sz="4" w:space="0" w:color="auto"/>
              <w:right w:val="single" w:sz="4" w:space="0" w:color="auto"/>
            </w:tcBorders>
            <w:noWrap/>
            <w:vAlign w:val="bottom"/>
            <w:hideMark/>
          </w:tcPr>
          <w:p w14:paraId="6EC48446" w14:textId="77777777" w:rsidR="007C3AB0" w:rsidRPr="00131EED" w:rsidRDefault="007C3AB0" w:rsidP="007C3AB0">
            <w:pPr>
              <w:jc w:val="right"/>
              <w:rPr>
                <w:color w:val="000000"/>
                <w:sz w:val="20"/>
                <w:szCs w:val="20"/>
                <w:lang w:eastAsia="en-US"/>
              </w:rPr>
            </w:pPr>
            <w:r w:rsidRPr="00131EED">
              <w:rPr>
                <w:color w:val="000000"/>
                <w:sz w:val="20"/>
                <w:szCs w:val="20"/>
                <w:lang w:eastAsia="en-US"/>
              </w:rPr>
              <w:t>9.980965</w:t>
            </w:r>
          </w:p>
        </w:tc>
        <w:tc>
          <w:tcPr>
            <w:tcW w:w="1989" w:type="dxa"/>
            <w:tcBorders>
              <w:top w:val="nil"/>
              <w:left w:val="nil"/>
              <w:bottom w:val="single" w:sz="4" w:space="0" w:color="auto"/>
              <w:right w:val="single" w:sz="4" w:space="0" w:color="auto"/>
            </w:tcBorders>
            <w:noWrap/>
            <w:vAlign w:val="bottom"/>
            <w:hideMark/>
          </w:tcPr>
          <w:p w14:paraId="041357DD" w14:textId="77777777" w:rsidR="007C3AB0" w:rsidRPr="00131EED" w:rsidRDefault="007C3AB0" w:rsidP="007C3AB0">
            <w:pPr>
              <w:jc w:val="right"/>
              <w:rPr>
                <w:color w:val="000000"/>
                <w:sz w:val="20"/>
                <w:szCs w:val="20"/>
                <w:lang w:eastAsia="en-US"/>
              </w:rPr>
            </w:pPr>
            <w:r w:rsidRPr="00131EED">
              <w:rPr>
                <w:color w:val="000000"/>
                <w:sz w:val="20"/>
                <w:szCs w:val="20"/>
                <w:lang w:eastAsia="en-US"/>
              </w:rPr>
              <w:t>0.10%</w:t>
            </w:r>
          </w:p>
        </w:tc>
      </w:tr>
      <w:tr w:rsidR="007C3AB0" w:rsidRPr="00131EED" w14:paraId="72637E72"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2AAF8CFB"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Gachancipá</w:t>
            </w:r>
          </w:p>
        </w:tc>
        <w:tc>
          <w:tcPr>
            <w:tcW w:w="1418" w:type="dxa"/>
            <w:tcBorders>
              <w:top w:val="nil"/>
              <w:left w:val="nil"/>
              <w:bottom w:val="single" w:sz="4" w:space="0" w:color="auto"/>
              <w:right w:val="single" w:sz="4" w:space="0" w:color="auto"/>
            </w:tcBorders>
            <w:noWrap/>
            <w:vAlign w:val="bottom"/>
            <w:hideMark/>
          </w:tcPr>
          <w:p w14:paraId="2BC03A73" w14:textId="77777777" w:rsidR="007C3AB0" w:rsidRPr="00131EED" w:rsidRDefault="007C3AB0" w:rsidP="007C3AB0">
            <w:pPr>
              <w:jc w:val="right"/>
              <w:rPr>
                <w:color w:val="000000"/>
                <w:sz w:val="20"/>
                <w:szCs w:val="20"/>
                <w:lang w:eastAsia="en-US"/>
              </w:rPr>
            </w:pPr>
            <w:r w:rsidRPr="00131EED">
              <w:rPr>
                <w:color w:val="000000"/>
                <w:sz w:val="20"/>
                <w:szCs w:val="20"/>
                <w:lang w:eastAsia="en-US"/>
              </w:rPr>
              <w:t>5.763494</w:t>
            </w:r>
          </w:p>
        </w:tc>
        <w:tc>
          <w:tcPr>
            <w:tcW w:w="1989" w:type="dxa"/>
            <w:tcBorders>
              <w:top w:val="nil"/>
              <w:left w:val="nil"/>
              <w:bottom w:val="single" w:sz="4" w:space="0" w:color="auto"/>
              <w:right w:val="single" w:sz="4" w:space="0" w:color="auto"/>
            </w:tcBorders>
            <w:noWrap/>
            <w:vAlign w:val="bottom"/>
            <w:hideMark/>
          </w:tcPr>
          <w:p w14:paraId="088F0946" w14:textId="77777777" w:rsidR="007C3AB0" w:rsidRPr="00131EED" w:rsidRDefault="007C3AB0" w:rsidP="007C3AB0">
            <w:pPr>
              <w:jc w:val="right"/>
              <w:rPr>
                <w:color w:val="000000"/>
                <w:sz w:val="20"/>
                <w:szCs w:val="20"/>
                <w:lang w:eastAsia="en-US"/>
              </w:rPr>
            </w:pPr>
            <w:r w:rsidRPr="00131EED">
              <w:rPr>
                <w:color w:val="000000"/>
                <w:sz w:val="20"/>
                <w:szCs w:val="20"/>
                <w:lang w:eastAsia="en-US"/>
              </w:rPr>
              <w:t>0.13%</w:t>
            </w:r>
          </w:p>
        </w:tc>
      </w:tr>
      <w:tr w:rsidR="007C3AB0" w:rsidRPr="00131EED" w14:paraId="6C9AB10A"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6DF6C835"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Guatavita</w:t>
            </w:r>
          </w:p>
        </w:tc>
        <w:tc>
          <w:tcPr>
            <w:tcW w:w="1418" w:type="dxa"/>
            <w:tcBorders>
              <w:top w:val="nil"/>
              <w:left w:val="nil"/>
              <w:bottom w:val="single" w:sz="4" w:space="0" w:color="auto"/>
              <w:right w:val="single" w:sz="4" w:space="0" w:color="auto"/>
            </w:tcBorders>
            <w:noWrap/>
            <w:vAlign w:val="bottom"/>
            <w:hideMark/>
          </w:tcPr>
          <w:p w14:paraId="2F6B8F91" w14:textId="77777777" w:rsidR="007C3AB0" w:rsidRPr="00131EED" w:rsidRDefault="007C3AB0" w:rsidP="007C3AB0">
            <w:pPr>
              <w:jc w:val="right"/>
              <w:rPr>
                <w:color w:val="000000"/>
                <w:sz w:val="20"/>
                <w:szCs w:val="20"/>
                <w:lang w:eastAsia="en-US"/>
              </w:rPr>
            </w:pPr>
            <w:r w:rsidRPr="00131EED">
              <w:rPr>
                <w:color w:val="000000"/>
                <w:sz w:val="20"/>
                <w:szCs w:val="20"/>
                <w:lang w:eastAsia="en-US"/>
              </w:rPr>
              <w:t>4.725011</w:t>
            </w:r>
          </w:p>
        </w:tc>
        <w:tc>
          <w:tcPr>
            <w:tcW w:w="1989" w:type="dxa"/>
            <w:tcBorders>
              <w:top w:val="nil"/>
              <w:left w:val="nil"/>
              <w:bottom w:val="single" w:sz="4" w:space="0" w:color="auto"/>
              <w:right w:val="single" w:sz="4" w:space="0" w:color="auto"/>
            </w:tcBorders>
            <w:noWrap/>
            <w:vAlign w:val="bottom"/>
            <w:hideMark/>
          </w:tcPr>
          <w:p w14:paraId="4C6F8052" w14:textId="77777777" w:rsidR="007C3AB0" w:rsidRPr="00131EED" w:rsidRDefault="007C3AB0" w:rsidP="007C3AB0">
            <w:pPr>
              <w:jc w:val="right"/>
              <w:rPr>
                <w:color w:val="000000"/>
                <w:sz w:val="20"/>
                <w:szCs w:val="20"/>
                <w:lang w:eastAsia="en-US"/>
              </w:rPr>
            </w:pPr>
            <w:r w:rsidRPr="00131EED">
              <w:rPr>
                <w:color w:val="000000"/>
                <w:sz w:val="20"/>
                <w:szCs w:val="20"/>
                <w:lang w:eastAsia="en-US"/>
              </w:rPr>
              <w:t>0.03%</w:t>
            </w:r>
          </w:p>
        </w:tc>
      </w:tr>
      <w:tr w:rsidR="007C3AB0" w:rsidRPr="00131EED" w14:paraId="6FC6AD14"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0586B204" w14:textId="77777777" w:rsidR="007C3AB0" w:rsidRPr="00131EED" w:rsidRDefault="007C3AB0" w:rsidP="007C3AB0">
            <w:pPr>
              <w:jc w:val="left"/>
              <w:rPr>
                <w:b/>
                <w:color w:val="000000"/>
                <w:sz w:val="20"/>
                <w:szCs w:val="20"/>
                <w:lang w:eastAsia="en-US"/>
              </w:rPr>
            </w:pPr>
            <w:r w:rsidRPr="00131EED">
              <w:rPr>
                <w:b/>
                <w:color w:val="000000"/>
                <w:sz w:val="20"/>
                <w:szCs w:val="20"/>
                <w:lang w:eastAsia="en-US"/>
              </w:rPr>
              <w:t>Subachoque</w:t>
            </w:r>
          </w:p>
        </w:tc>
        <w:tc>
          <w:tcPr>
            <w:tcW w:w="1418" w:type="dxa"/>
            <w:tcBorders>
              <w:top w:val="nil"/>
              <w:left w:val="nil"/>
              <w:bottom w:val="single" w:sz="4" w:space="0" w:color="auto"/>
              <w:right w:val="single" w:sz="4" w:space="0" w:color="auto"/>
            </w:tcBorders>
            <w:noWrap/>
            <w:vAlign w:val="bottom"/>
            <w:hideMark/>
          </w:tcPr>
          <w:p w14:paraId="1B67EDCA" w14:textId="77777777" w:rsidR="007C3AB0" w:rsidRPr="00131EED" w:rsidRDefault="007C3AB0" w:rsidP="007C3AB0">
            <w:pPr>
              <w:jc w:val="right"/>
              <w:rPr>
                <w:color w:val="000000"/>
                <w:sz w:val="20"/>
                <w:szCs w:val="20"/>
                <w:lang w:eastAsia="en-US"/>
              </w:rPr>
            </w:pPr>
            <w:r w:rsidRPr="00131EED">
              <w:rPr>
                <w:color w:val="000000"/>
                <w:sz w:val="20"/>
                <w:szCs w:val="20"/>
                <w:lang w:eastAsia="en-US"/>
              </w:rPr>
              <w:t>2.278185</w:t>
            </w:r>
          </w:p>
        </w:tc>
        <w:tc>
          <w:tcPr>
            <w:tcW w:w="1989" w:type="dxa"/>
            <w:tcBorders>
              <w:top w:val="nil"/>
              <w:left w:val="nil"/>
              <w:bottom w:val="single" w:sz="4" w:space="0" w:color="auto"/>
              <w:right w:val="single" w:sz="4" w:space="0" w:color="auto"/>
            </w:tcBorders>
            <w:noWrap/>
            <w:vAlign w:val="bottom"/>
            <w:hideMark/>
          </w:tcPr>
          <w:p w14:paraId="7D1A29E8" w14:textId="77777777" w:rsidR="007C3AB0" w:rsidRPr="00131EED" w:rsidRDefault="007C3AB0" w:rsidP="007C3AB0">
            <w:pPr>
              <w:jc w:val="right"/>
              <w:rPr>
                <w:color w:val="000000"/>
                <w:sz w:val="20"/>
                <w:szCs w:val="20"/>
                <w:lang w:eastAsia="en-US"/>
              </w:rPr>
            </w:pPr>
            <w:r w:rsidRPr="00131EED">
              <w:rPr>
                <w:color w:val="000000"/>
                <w:sz w:val="20"/>
                <w:szCs w:val="20"/>
                <w:lang w:eastAsia="en-US"/>
              </w:rPr>
              <w:t>0.01%</w:t>
            </w:r>
          </w:p>
        </w:tc>
      </w:tr>
      <w:tr w:rsidR="00CB146C" w:rsidRPr="00131EED" w14:paraId="0CF0ACBE" w14:textId="77777777" w:rsidTr="000767E2">
        <w:trPr>
          <w:trHeight w:val="288"/>
          <w:jc w:val="center"/>
        </w:trPr>
        <w:tc>
          <w:tcPr>
            <w:tcW w:w="1838" w:type="dxa"/>
            <w:tcBorders>
              <w:top w:val="nil"/>
              <w:left w:val="single" w:sz="4" w:space="0" w:color="auto"/>
              <w:bottom w:val="single" w:sz="4" w:space="0" w:color="auto"/>
              <w:right w:val="single" w:sz="4" w:space="0" w:color="auto"/>
            </w:tcBorders>
            <w:noWrap/>
            <w:vAlign w:val="bottom"/>
            <w:hideMark/>
          </w:tcPr>
          <w:p w14:paraId="33EAC596" w14:textId="77777777" w:rsidR="00CB146C" w:rsidRPr="00131EED" w:rsidRDefault="00CB146C" w:rsidP="00D65CF0">
            <w:pPr>
              <w:jc w:val="right"/>
              <w:rPr>
                <w:b/>
                <w:color w:val="000000"/>
                <w:sz w:val="20"/>
                <w:szCs w:val="20"/>
                <w:lang w:eastAsia="en-US"/>
              </w:rPr>
            </w:pPr>
            <w:r w:rsidRPr="00131EED">
              <w:rPr>
                <w:b/>
                <w:color w:val="000000"/>
                <w:sz w:val="20"/>
                <w:szCs w:val="20"/>
                <w:lang w:eastAsia="en-US"/>
              </w:rPr>
              <w:t>Total</w:t>
            </w:r>
          </w:p>
        </w:tc>
        <w:tc>
          <w:tcPr>
            <w:tcW w:w="3407" w:type="dxa"/>
            <w:gridSpan w:val="2"/>
            <w:tcBorders>
              <w:top w:val="nil"/>
              <w:left w:val="nil"/>
              <w:bottom w:val="single" w:sz="4" w:space="0" w:color="auto"/>
              <w:right w:val="single" w:sz="4" w:space="0" w:color="auto"/>
            </w:tcBorders>
            <w:noWrap/>
            <w:vAlign w:val="bottom"/>
            <w:hideMark/>
          </w:tcPr>
          <w:p w14:paraId="4743BE84" w14:textId="2B82852E" w:rsidR="00CB146C" w:rsidRPr="00131EED" w:rsidRDefault="00CB146C" w:rsidP="007C3AB0">
            <w:pPr>
              <w:jc w:val="right"/>
              <w:rPr>
                <w:b/>
                <w:color w:val="000000"/>
                <w:sz w:val="20"/>
                <w:szCs w:val="20"/>
                <w:lang w:eastAsia="en-US"/>
              </w:rPr>
            </w:pPr>
            <w:r w:rsidRPr="00131EED">
              <w:rPr>
                <w:b/>
                <w:color w:val="000000"/>
                <w:sz w:val="20"/>
                <w:szCs w:val="20"/>
                <w:lang w:eastAsia="en-US"/>
              </w:rPr>
              <w:t>4682.130861</w:t>
            </w:r>
          </w:p>
        </w:tc>
      </w:tr>
    </w:tbl>
    <w:p w14:paraId="1583BE87" w14:textId="23627F94" w:rsidR="00B763D4" w:rsidRPr="00131EED" w:rsidRDefault="00286E89" w:rsidP="00286E89">
      <w:pPr>
        <w:jc w:val="center"/>
        <w:rPr>
          <w:sz w:val="20"/>
          <w:szCs w:val="20"/>
        </w:rPr>
      </w:pPr>
      <w:r w:rsidRPr="00131EED">
        <w:rPr>
          <w:sz w:val="20"/>
          <w:szCs w:val="20"/>
        </w:rPr>
        <w:t>Fuente: MinAmbiente (2025)</w:t>
      </w:r>
    </w:p>
    <w:p w14:paraId="44BDE16E" w14:textId="77777777" w:rsidR="00B763D4" w:rsidRPr="00131EED" w:rsidRDefault="00B763D4" w:rsidP="003234A3">
      <w:pPr>
        <w:rPr>
          <w:rFonts w:cs="Arial"/>
        </w:rPr>
      </w:pPr>
    </w:p>
    <w:p w14:paraId="0682D7CE" w14:textId="24FA0FB8" w:rsidR="003234A3" w:rsidRPr="00131EED" w:rsidRDefault="00AB511F" w:rsidP="003234A3">
      <w:pPr>
        <w:rPr>
          <w:rFonts w:cs="Arial"/>
        </w:rPr>
      </w:pPr>
      <w:r w:rsidRPr="00131EED">
        <w:rPr>
          <w:rFonts w:cs="Arial"/>
        </w:rPr>
        <w:t>En el caso de la clase III</w:t>
      </w:r>
      <w:r w:rsidR="00C912C2" w:rsidRPr="00131EED">
        <w:rPr>
          <w:rFonts w:cs="Arial"/>
        </w:rPr>
        <w:t xml:space="preserve"> </w:t>
      </w:r>
      <w:r w:rsidR="00F53AAA" w:rsidRPr="00131EED">
        <w:rPr>
          <w:rFonts w:cs="Arial"/>
        </w:rPr>
        <w:t>para el 2002</w:t>
      </w:r>
      <w:r w:rsidR="00C912C2" w:rsidRPr="00131EED">
        <w:rPr>
          <w:rFonts w:cs="Arial"/>
        </w:rPr>
        <w:t xml:space="preserve">, </w:t>
      </w:r>
      <w:r w:rsidR="00CB146C" w:rsidRPr="00131EED">
        <w:rPr>
          <w:rFonts w:ascii="Aptos Narrow" w:hAnsi="Aptos Narrow"/>
          <w:color w:val="000000"/>
          <w:sz w:val="22"/>
          <w:szCs w:val="22"/>
          <w:lang w:eastAsia="en-US"/>
        </w:rPr>
        <w:t>21 ha + 2878 m</w:t>
      </w:r>
      <w:r w:rsidR="00CB146C" w:rsidRPr="00131EED">
        <w:rPr>
          <w:rFonts w:ascii="Aptos Narrow" w:hAnsi="Aptos Narrow"/>
          <w:color w:val="000000"/>
          <w:sz w:val="22"/>
          <w:szCs w:val="22"/>
          <w:vertAlign w:val="superscript"/>
          <w:lang w:eastAsia="en-US"/>
        </w:rPr>
        <w:t>2</w:t>
      </w:r>
      <w:r w:rsidR="00CB146C" w:rsidRPr="00131EED">
        <w:rPr>
          <w:rFonts w:ascii="Aptos Narrow" w:hAnsi="Aptos Narrow"/>
          <w:color w:val="000000"/>
          <w:sz w:val="22"/>
          <w:szCs w:val="22"/>
          <w:lang w:eastAsia="en-US"/>
        </w:rPr>
        <w:t xml:space="preserve"> </w:t>
      </w:r>
      <w:r w:rsidR="003234A3" w:rsidRPr="00131EED">
        <w:rPr>
          <w:rFonts w:cs="Arial"/>
        </w:rPr>
        <w:t xml:space="preserve">de áreas artificializadas se concentraron en </w:t>
      </w:r>
      <w:r w:rsidR="00C912C2" w:rsidRPr="00131EED">
        <w:rPr>
          <w:rFonts w:cs="Arial"/>
        </w:rPr>
        <w:t>esta clase</w:t>
      </w:r>
      <w:r w:rsidR="003234A3" w:rsidRPr="00131EED">
        <w:rPr>
          <w:rFonts w:cs="Arial"/>
        </w:rPr>
        <w:t>, así mismo los entes territoriales con mayor área artificializada sobre suelo de clase II</w:t>
      </w:r>
      <w:r w:rsidR="00C912C2" w:rsidRPr="00131EED">
        <w:rPr>
          <w:rFonts w:cs="Arial"/>
        </w:rPr>
        <w:t>I</w:t>
      </w:r>
      <w:r w:rsidR="003234A3" w:rsidRPr="00131EED">
        <w:rPr>
          <w:rFonts w:cs="Arial"/>
        </w:rPr>
        <w:t xml:space="preserve"> son </w:t>
      </w:r>
      <w:r w:rsidR="00C912C2" w:rsidRPr="00131EED">
        <w:rPr>
          <w:rFonts w:cs="Arial"/>
        </w:rPr>
        <w:t>Chocontá, Facatativá y Suesca.</w:t>
      </w:r>
    </w:p>
    <w:p w14:paraId="2839D8CB" w14:textId="77777777" w:rsidR="0051300C" w:rsidRPr="00131EED" w:rsidRDefault="0051300C" w:rsidP="003234A3">
      <w:pPr>
        <w:rPr>
          <w:rFonts w:cs="Arial"/>
        </w:rPr>
      </w:pPr>
    </w:p>
    <w:p w14:paraId="60017538" w14:textId="77777777" w:rsidR="00AB511F" w:rsidRPr="00131EED" w:rsidRDefault="00AB511F" w:rsidP="003234A3">
      <w:pPr>
        <w:rPr>
          <w:rFonts w:cs="Arial"/>
        </w:rPr>
      </w:pPr>
    </w:p>
    <w:p w14:paraId="09B3A65F" w14:textId="3AD04908" w:rsidR="003A3BE0" w:rsidRPr="00131EED" w:rsidRDefault="003A3BE0" w:rsidP="003A3BE0">
      <w:pPr>
        <w:pStyle w:val="Caption"/>
        <w:keepNext/>
        <w:jc w:val="center"/>
      </w:pPr>
      <w:bookmarkStart w:id="358" w:name="_Toc216468974"/>
      <w:r w:rsidRPr="00131EED">
        <w:t xml:space="preserve">Tabla </w:t>
      </w:r>
      <w:fldSimple w:instr=" SEQ Tabla \* ARABIC ">
        <w:r w:rsidR="00CE096F">
          <w:rPr>
            <w:noProof/>
          </w:rPr>
          <w:t>64</w:t>
        </w:r>
      </w:fldSimple>
      <w:r w:rsidRPr="00131EED">
        <w:t>. Áreas artificializadas en suelos de clase III durante el año 2002.</w:t>
      </w:r>
      <w:bookmarkEnd w:id="358"/>
    </w:p>
    <w:tbl>
      <w:tblPr>
        <w:tblW w:w="5807" w:type="dxa"/>
        <w:jc w:val="center"/>
        <w:tblLook w:val="04A0" w:firstRow="1" w:lastRow="0" w:firstColumn="1" w:lastColumn="0" w:noHBand="0" w:noVBand="1"/>
      </w:tblPr>
      <w:tblGrid>
        <w:gridCol w:w="2122"/>
        <w:gridCol w:w="1417"/>
        <w:gridCol w:w="2268"/>
      </w:tblGrid>
      <w:tr w:rsidR="00AB511F" w:rsidRPr="00131EED" w14:paraId="28F15AB2" w14:textId="77777777" w:rsidTr="00970D45">
        <w:trPr>
          <w:trHeight w:val="288"/>
          <w:jc w:val="center"/>
        </w:trPr>
        <w:tc>
          <w:tcPr>
            <w:tcW w:w="5807" w:type="dxa"/>
            <w:gridSpan w:val="3"/>
            <w:tcBorders>
              <w:top w:val="single" w:sz="4" w:space="0" w:color="auto"/>
              <w:left w:val="single" w:sz="4" w:space="0" w:color="auto"/>
              <w:bottom w:val="single" w:sz="4" w:space="0" w:color="auto"/>
              <w:right w:val="single" w:sz="4" w:space="0" w:color="auto"/>
            </w:tcBorders>
            <w:noWrap/>
            <w:vAlign w:val="bottom"/>
            <w:hideMark/>
          </w:tcPr>
          <w:p w14:paraId="6B2942B7" w14:textId="77777777" w:rsidR="00AB511F" w:rsidRPr="00131EED" w:rsidRDefault="00AB511F" w:rsidP="00AB511F">
            <w:pPr>
              <w:jc w:val="center"/>
              <w:rPr>
                <w:b/>
                <w:color w:val="000000"/>
                <w:sz w:val="20"/>
                <w:szCs w:val="20"/>
                <w:lang w:eastAsia="en-US"/>
              </w:rPr>
            </w:pPr>
            <w:r w:rsidRPr="00131EED">
              <w:rPr>
                <w:b/>
                <w:color w:val="000000"/>
                <w:sz w:val="20"/>
                <w:szCs w:val="20"/>
                <w:lang w:eastAsia="en-US"/>
              </w:rPr>
              <w:t>Clase III - 2002</w:t>
            </w:r>
          </w:p>
        </w:tc>
      </w:tr>
      <w:tr w:rsidR="00AB511F" w:rsidRPr="00131EED" w14:paraId="21DF41BC" w14:textId="77777777" w:rsidTr="00970D45">
        <w:trPr>
          <w:trHeight w:val="288"/>
          <w:jc w:val="center"/>
        </w:trPr>
        <w:tc>
          <w:tcPr>
            <w:tcW w:w="2122" w:type="dxa"/>
            <w:tcBorders>
              <w:top w:val="nil"/>
              <w:left w:val="single" w:sz="4" w:space="0" w:color="auto"/>
              <w:bottom w:val="single" w:sz="4" w:space="0" w:color="auto"/>
              <w:right w:val="single" w:sz="4" w:space="0" w:color="auto"/>
            </w:tcBorders>
            <w:noWrap/>
            <w:vAlign w:val="center"/>
            <w:hideMark/>
          </w:tcPr>
          <w:p w14:paraId="4E312E03" w14:textId="77777777" w:rsidR="00AB511F" w:rsidRPr="00131EED" w:rsidRDefault="00AB511F" w:rsidP="00AB511F">
            <w:pPr>
              <w:jc w:val="center"/>
              <w:rPr>
                <w:b/>
                <w:color w:val="000000"/>
                <w:sz w:val="20"/>
                <w:szCs w:val="20"/>
                <w:lang w:eastAsia="en-US"/>
              </w:rPr>
            </w:pPr>
            <w:r w:rsidRPr="00131EED">
              <w:rPr>
                <w:b/>
                <w:color w:val="000000"/>
                <w:sz w:val="20"/>
                <w:szCs w:val="20"/>
                <w:lang w:eastAsia="en-US"/>
              </w:rPr>
              <w:t>Municipio</w:t>
            </w:r>
          </w:p>
        </w:tc>
        <w:tc>
          <w:tcPr>
            <w:tcW w:w="1417" w:type="dxa"/>
            <w:tcBorders>
              <w:top w:val="nil"/>
              <w:left w:val="nil"/>
              <w:bottom w:val="single" w:sz="4" w:space="0" w:color="auto"/>
              <w:right w:val="single" w:sz="4" w:space="0" w:color="auto"/>
            </w:tcBorders>
            <w:noWrap/>
            <w:vAlign w:val="center"/>
            <w:hideMark/>
          </w:tcPr>
          <w:p w14:paraId="4FBF10A4" w14:textId="77777777" w:rsidR="00AB511F" w:rsidRPr="00131EED" w:rsidRDefault="00AB511F" w:rsidP="00AB511F">
            <w:pPr>
              <w:jc w:val="center"/>
              <w:rPr>
                <w:b/>
                <w:color w:val="000000"/>
                <w:sz w:val="20"/>
                <w:szCs w:val="20"/>
                <w:lang w:eastAsia="en-US"/>
              </w:rPr>
            </w:pPr>
            <w:r w:rsidRPr="00131EED">
              <w:rPr>
                <w:b/>
                <w:color w:val="000000"/>
                <w:sz w:val="20"/>
                <w:szCs w:val="20"/>
                <w:lang w:eastAsia="en-US"/>
              </w:rPr>
              <w:t>Área Artificializada (ha) Clase III</w:t>
            </w:r>
          </w:p>
        </w:tc>
        <w:tc>
          <w:tcPr>
            <w:tcW w:w="2268" w:type="dxa"/>
            <w:tcBorders>
              <w:top w:val="nil"/>
              <w:left w:val="nil"/>
              <w:bottom w:val="single" w:sz="4" w:space="0" w:color="auto"/>
              <w:right w:val="single" w:sz="4" w:space="0" w:color="auto"/>
            </w:tcBorders>
            <w:noWrap/>
            <w:vAlign w:val="center"/>
            <w:hideMark/>
          </w:tcPr>
          <w:p w14:paraId="6FEE3E77" w14:textId="77777777" w:rsidR="00AB511F" w:rsidRPr="00131EED" w:rsidRDefault="00AB511F" w:rsidP="00AB511F">
            <w:pPr>
              <w:jc w:val="center"/>
              <w:rPr>
                <w:b/>
                <w:color w:val="000000"/>
                <w:sz w:val="20"/>
                <w:szCs w:val="20"/>
                <w:lang w:eastAsia="en-US"/>
              </w:rPr>
            </w:pPr>
            <w:r w:rsidRPr="00131EED">
              <w:rPr>
                <w:b/>
                <w:color w:val="000000"/>
                <w:sz w:val="20"/>
                <w:szCs w:val="20"/>
                <w:lang w:eastAsia="en-US"/>
              </w:rPr>
              <w:t>Porcentaje artificializado del municipio dentro del ámbito</w:t>
            </w:r>
          </w:p>
        </w:tc>
      </w:tr>
      <w:tr w:rsidR="00AB511F" w:rsidRPr="00131EED" w14:paraId="51570DD4" w14:textId="77777777" w:rsidTr="00970D45">
        <w:trPr>
          <w:trHeight w:val="288"/>
          <w:jc w:val="center"/>
        </w:trPr>
        <w:tc>
          <w:tcPr>
            <w:tcW w:w="2122" w:type="dxa"/>
            <w:tcBorders>
              <w:top w:val="nil"/>
              <w:left w:val="single" w:sz="4" w:space="0" w:color="auto"/>
              <w:bottom w:val="single" w:sz="4" w:space="0" w:color="auto"/>
              <w:right w:val="single" w:sz="4" w:space="0" w:color="auto"/>
            </w:tcBorders>
            <w:noWrap/>
            <w:vAlign w:val="bottom"/>
            <w:hideMark/>
          </w:tcPr>
          <w:p w14:paraId="0CE98F5C" w14:textId="77777777" w:rsidR="00AB511F" w:rsidRPr="00131EED" w:rsidRDefault="00AB511F" w:rsidP="00AB511F">
            <w:pPr>
              <w:jc w:val="left"/>
              <w:rPr>
                <w:b/>
                <w:color w:val="000000"/>
                <w:sz w:val="20"/>
                <w:szCs w:val="20"/>
                <w:lang w:eastAsia="en-US"/>
              </w:rPr>
            </w:pPr>
            <w:r w:rsidRPr="00131EED">
              <w:rPr>
                <w:b/>
                <w:color w:val="000000"/>
                <w:sz w:val="20"/>
                <w:szCs w:val="20"/>
                <w:lang w:eastAsia="en-US"/>
              </w:rPr>
              <w:t>Chocontá</w:t>
            </w:r>
          </w:p>
        </w:tc>
        <w:tc>
          <w:tcPr>
            <w:tcW w:w="1417" w:type="dxa"/>
            <w:tcBorders>
              <w:top w:val="nil"/>
              <w:left w:val="nil"/>
              <w:bottom w:val="single" w:sz="4" w:space="0" w:color="auto"/>
              <w:right w:val="single" w:sz="4" w:space="0" w:color="auto"/>
            </w:tcBorders>
            <w:noWrap/>
            <w:vAlign w:val="bottom"/>
            <w:hideMark/>
          </w:tcPr>
          <w:p w14:paraId="772D6987" w14:textId="77777777" w:rsidR="00AB511F" w:rsidRPr="00131EED" w:rsidRDefault="00AB511F" w:rsidP="00AB511F">
            <w:pPr>
              <w:jc w:val="right"/>
              <w:rPr>
                <w:color w:val="000000"/>
                <w:sz w:val="20"/>
                <w:szCs w:val="20"/>
                <w:lang w:eastAsia="en-US"/>
              </w:rPr>
            </w:pPr>
            <w:r w:rsidRPr="00131EED">
              <w:rPr>
                <w:color w:val="000000"/>
                <w:sz w:val="20"/>
                <w:szCs w:val="20"/>
                <w:lang w:eastAsia="en-US"/>
              </w:rPr>
              <w:t>0.053735</w:t>
            </w:r>
          </w:p>
        </w:tc>
        <w:tc>
          <w:tcPr>
            <w:tcW w:w="2268" w:type="dxa"/>
            <w:tcBorders>
              <w:top w:val="nil"/>
              <w:left w:val="nil"/>
              <w:bottom w:val="single" w:sz="4" w:space="0" w:color="auto"/>
              <w:right w:val="single" w:sz="4" w:space="0" w:color="auto"/>
            </w:tcBorders>
            <w:noWrap/>
            <w:vAlign w:val="bottom"/>
            <w:hideMark/>
          </w:tcPr>
          <w:p w14:paraId="24364739" w14:textId="77777777" w:rsidR="00AB511F" w:rsidRPr="00131EED" w:rsidRDefault="00AB511F" w:rsidP="00AB511F">
            <w:pPr>
              <w:jc w:val="right"/>
              <w:rPr>
                <w:color w:val="000000"/>
                <w:sz w:val="20"/>
                <w:szCs w:val="20"/>
                <w:lang w:eastAsia="en-US"/>
              </w:rPr>
            </w:pPr>
            <w:r w:rsidRPr="00131EED">
              <w:rPr>
                <w:color w:val="000000"/>
                <w:sz w:val="20"/>
                <w:szCs w:val="20"/>
                <w:lang w:eastAsia="en-US"/>
              </w:rPr>
              <w:t>0.0002%</w:t>
            </w:r>
          </w:p>
        </w:tc>
      </w:tr>
      <w:tr w:rsidR="00AB511F" w:rsidRPr="00131EED" w14:paraId="4D68E019" w14:textId="77777777" w:rsidTr="00970D45">
        <w:trPr>
          <w:trHeight w:val="288"/>
          <w:jc w:val="center"/>
        </w:trPr>
        <w:tc>
          <w:tcPr>
            <w:tcW w:w="2122" w:type="dxa"/>
            <w:tcBorders>
              <w:top w:val="nil"/>
              <w:left w:val="single" w:sz="4" w:space="0" w:color="auto"/>
              <w:bottom w:val="single" w:sz="4" w:space="0" w:color="auto"/>
              <w:right w:val="single" w:sz="4" w:space="0" w:color="auto"/>
            </w:tcBorders>
            <w:noWrap/>
            <w:vAlign w:val="bottom"/>
            <w:hideMark/>
          </w:tcPr>
          <w:p w14:paraId="13BA59BB" w14:textId="77777777" w:rsidR="00AB511F" w:rsidRPr="00131EED" w:rsidRDefault="00AB511F" w:rsidP="00AB511F">
            <w:pPr>
              <w:jc w:val="left"/>
              <w:rPr>
                <w:b/>
                <w:color w:val="000000"/>
                <w:sz w:val="20"/>
                <w:szCs w:val="20"/>
                <w:lang w:eastAsia="en-US"/>
              </w:rPr>
            </w:pPr>
            <w:r w:rsidRPr="00131EED">
              <w:rPr>
                <w:b/>
                <w:color w:val="000000"/>
                <w:sz w:val="20"/>
                <w:szCs w:val="20"/>
                <w:lang w:eastAsia="en-US"/>
              </w:rPr>
              <w:t>Facatativá</w:t>
            </w:r>
          </w:p>
        </w:tc>
        <w:tc>
          <w:tcPr>
            <w:tcW w:w="1417" w:type="dxa"/>
            <w:tcBorders>
              <w:top w:val="nil"/>
              <w:left w:val="nil"/>
              <w:bottom w:val="single" w:sz="4" w:space="0" w:color="auto"/>
              <w:right w:val="single" w:sz="4" w:space="0" w:color="auto"/>
            </w:tcBorders>
            <w:noWrap/>
            <w:vAlign w:val="bottom"/>
            <w:hideMark/>
          </w:tcPr>
          <w:p w14:paraId="6F111AFF" w14:textId="77777777" w:rsidR="00AB511F" w:rsidRPr="00131EED" w:rsidRDefault="00AB511F" w:rsidP="00AB511F">
            <w:pPr>
              <w:jc w:val="right"/>
              <w:rPr>
                <w:color w:val="000000"/>
                <w:sz w:val="20"/>
                <w:szCs w:val="20"/>
                <w:lang w:eastAsia="en-US"/>
              </w:rPr>
            </w:pPr>
            <w:r w:rsidRPr="00131EED">
              <w:rPr>
                <w:color w:val="000000"/>
                <w:sz w:val="20"/>
                <w:szCs w:val="20"/>
                <w:lang w:eastAsia="en-US"/>
              </w:rPr>
              <w:t>16.542904</w:t>
            </w:r>
          </w:p>
        </w:tc>
        <w:tc>
          <w:tcPr>
            <w:tcW w:w="2268" w:type="dxa"/>
            <w:tcBorders>
              <w:top w:val="nil"/>
              <w:left w:val="nil"/>
              <w:bottom w:val="single" w:sz="4" w:space="0" w:color="auto"/>
              <w:right w:val="single" w:sz="4" w:space="0" w:color="auto"/>
            </w:tcBorders>
            <w:noWrap/>
            <w:vAlign w:val="bottom"/>
            <w:hideMark/>
          </w:tcPr>
          <w:p w14:paraId="7E458E16" w14:textId="77777777" w:rsidR="00AB511F" w:rsidRPr="00131EED" w:rsidRDefault="00AB511F" w:rsidP="00AB511F">
            <w:pPr>
              <w:jc w:val="right"/>
              <w:rPr>
                <w:color w:val="000000"/>
                <w:sz w:val="20"/>
                <w:szCs w:val="20"/>
                <w:lang w:eastAsia="en-US"/>
              </w:rPr>
            </w:pPr>
            <w:r w:rsidRPr="00131EED">
              <w:rPr>
                <w:color w:val="000000"/>
                <w:sz w:val="20"/>
                <w:szCs w:val="20"/>
                <w:lang w:eastAsia="en-US"/>
              </w:rPr>
              <w:t>0.1064%</w:t>
            </w:r>
          </w:p>
        </w:tc>
      </w:tr>
      <w:tr w:rsidR="00AB511F" w:rsidRPr="00131EED" w14:paraId="5EEBD963" w14:textId="77777777" w:rsidTr="00970D45">
        <w:trPr>
          <w:trHeight w:val="288"/>
          <w:jc w:val="center"/>
        </w:trPr>
        <w:tc>
          <w:tcPr>
            <w:tcW w:w="2122" w:type="dxa"/>
            <w:tcBorders>
              <w:top w:val="nil"/>
              <w:left w:val="single" w:sz="4" w:space="0" w:color="auto"/>
              <w:bottom w:val="single" w:sz="4" w:space="0" w:color="auto"/>
              <w:right w:val="single" w:sz="4" w:space="0" w:color="auto"/>
            </w:tcBorders>
            <w:noWrap/>
            <w:vAlign w:val="bottom"/>
            <w:hideMark/>
          </w:tcPr>
          <w:p w14:paraId="4B69ED88" w14:textId="77777777" w:rsidR="00AB511F" w:rsidRPr="00131EED" w:rsidRDefault="00AB511F" w:rsidP="00AB511F">
            <w:pPr>
              <w:jc w:val="left"/>
              <w:rPr>
                <w:b/>
                <w:color w:val="000000"/>
                <w:sz w:val="20"/>
                <w:szCs w:val="20"/>
                <w:lang w:eastAsia="en-US"/>
              </w:rPr>
            </w:pPr>
            <w:r w:rsidRPr="00131EED">
              <w:rPr>
                <w:b/>
                <w:color w:val="000000"/>
                <w:sz w:val="20"/>
                <w:szCs w:val="20"/>
                <w:lang w:eastAsia="en-US"/>
              </w:rPr>
              <w:t>Suesca</w:t>
            </w:r>
          </w:p>
        </w:tc>
        <w:tc>
          <w:tcPr>
            <w:tcW w:w="1417" w:type="dxa"/>
            <w:tcBorders>
              <w:top w:val="nil"/>
              <w:left w:val="nil"/>
              <w:bottom w:val="single" w:sz="4" w:space="0" w:color="auto"/>
              <w:right w:val="single" w:sz="4" w:space="0" w:color="auto"/>
            </w:tcBorders>
            <w:noWrap/>
            <w:vAlign w:val="bottom"/>
            <w:hideMark/>
          </w:tcPr>
          <w:p w14:paraId="39CA5B10" w14:textId="77777777" w:rsidR="00AB511F" w:rsidRPr="00131EED" w:rsidRDefault="00AB511F" w:rsidP="00AB511F">
            <w:pPr>
              <w:jc w:val="right"/>
              <w:rPr>
                <w:color w:val="000000"/>
                <w:sz w:val="20"/>
                <w:szCs w:val="20"/>
                <w:lang w:eastAsia="en-US"/>
              </w:rPr>
            </w:pPr>
            <w:r w:rsidRPr="00131EED">
              <w:rPr>
                <w:color w:val="000000"/>
                <w:sz w:val="20"/>
                <w:szCs w:val="20"/>
                <w:lang w:eastAsia="en-US"/>
              </w:rPr>
              <w:t>4.691258</w:t>
            </w:r>
          </w:p>
        </w:tc>
        <w:tc>
          <w:tcPr>
            <w:tcW w:w="2268" w:type="dxa"/>
            <w:tcBorders>
              <w:top w:val="nil"/>
              <w:left w:val="nil"/>
              <w:bottom w:val="single" w:sz="4" w:space="0" w:color="auto"/>
              <w:right w:val="single" w:sz="4" w:space="0" w:color="auto"/>
            </w:tcBorders>
            <w:noWrap/>
            <w:vAlign w:val="bottom"/>
            <w:hideMark/>
          </w:tcPr>
          <w:p w14:paraId="23145ACB" w14:textId="77777777" w:rsidR="00AB511F" w:rsidRPr="00131EED" w:rsidRDefault="00AB511F" w:rsidP="00AB511F">
            <w:pPr>
              <w:jc w:val="right"/>
              <w:rPr>
                <w:color w:val="000000"/>
                <w:sz w:val="20"/>
                <w:szCs w:val="20"/>
                <w:lang w:eastAsia="en-US"/>
              </w:rPr>
            </w:pPr>
            <w:r w:rsidRPr="00131EED">
              <w:rPr>
                <w:color w:val="000000"/>
                <w:sz w:val="20"/>
                <w:szCs w:val="20"/>
                <w:lang w:eastAsia="en-US"/>
              </w:rPr>
              <w:t>0.0408%</w:t>
            </w:r>
          </w:p>
        </w:tc>
      </w:tr>
      <w:tr w:rsidR="00CB146C" w:rsidRPr="00131EED" w14:paraId="6E23C073" w14:textId="77777777" w:rsidTr="00970D45">
        <w:trPr>
          <w:trHeight w:val="288"/>
          <w:jc w:val="center"/>
        </w:trPr>
        <w:tc>
          <w:tcPr>
            <w:tcW w:w="2122" w:type="dxa"/>
            <w:tcBorders>
              <w:top w:val="nil"/>
              <w:left w:val="single" w:sz="4" w:space="0" w:color="auto"/>
              <w:bottom w:val="single" w:sz="4" w:space="0" w:color="auto"/>
              <w:right w:val="single" w:sz="4" w:space="0" w:color="auto"/>
            </w:tcBorders>
            <w:noWrap/>
            <w:vAlign w:val="bottom"/>
            <w:hideMark/>
          </w:tcPr>
          <w:p w14:paraId="18FF9B49" w14:textId="77777777" w:rsidR="00CB146C" w:rsidRPr="00131EED" w:rsidRDefault="00CB146C" w:rsidP="00D65CF0">
            <w:pPr>
              <w:jc w:val="right"/>
              <w:rPr>
                <w:b/>
                <w:color w:val="000000"/>
                <w:sz w:val="20"/>
                <w:szCs w:val="20"/>
                <w:lang w:eastAsia="en-US"/>
              </w:rPr>
            </w:pPr>
            <w:r w:rsidRPr="00131EED">
              <w:rPr>
                <w:b/>
                <w:color w:val="000000"/>
                <w:sz w:val="20"/>
                <w:szCs w:val="20"/>
                <w:lang w:eastAsia="en-US"/>
              </w:rPr>
              <w:t>Total</w:t>
            </w:r>
          </w:p>
        </w:tc>
        <w:tc>
          <w:tcPr>
            <w:tcW w:w="3685" w:type="dxa"/>
            <w:gridSpan w:val="2"/>
            <w:tcBorders>
              <w:top w:val="nil"/>
              <w:left w:val="nil"/>
              <w:bottom w:val="single" w:sz="4" w:space="0" w:color="auto"/>
              <w:right w:val="single" w:sz="4" w:space="0" w:color="auto"/>
            </w:tcBorders>
            <w:noWrap/>
            <w:vAlign w:val="bottom"/>
            <w:hideMark/>
          </w:tcPr>
          <w:p w14:paraId="71B5FFD0" w14:textId="1C96DABB" w:rsidR="00CB146C" w:rsidRPr="00131EED" w:rsidRDefault="00CB146C" w:rsidP="00AB511F">
            <w:pPr>
              <w:jc w:val="right"/>
              <w:rPr>
                <w:b/>
                <w:color w:val="000000"/>
                <w:sz w:val="20"/>
                <w:szCs w:val="20"/>
                <w:lang w:eastAsia="en-US"/>
              </w:rPr>
            </w:pPr>
            <w:r w:rsidRPr="00131EED">
              <w:rPr>
                <w:b/>
                <w:color w:val="000000"/>
                <w:sz w:val="20"/>
                <w:szCs w:val="20"/>
                <w:lang w:eastAsia="en-US"/>
              </w:rPr>
              <w:t>21.287897</w:t>
            </w:r>
          </w:p>
        </w:tc>
      </w:tr>
    </w:tbl>
    <w:p w14:paraId="14C508D1" w14:textId="77777777" w:rsidR="00286E89" w:rsidRPr="00131EED" w:rsidRDefault="00286E89" w:rsidP="00286E89">
      <w:pPr>
        <w:jc w:val="center"/>
        <w:rPr>
          <w:sz w:val="20"/>
          <w:szCs w:val="20"/>
        </w:rPr>
      </w:pPr>
      <w:r w:rsidRPr="00131EED">
        <w:rPr>
          <w:sz w:val="20"/>
          <w:szCs w:val="20"/>
        </w:rPr>
        <w:t>Fuente: MinAmbiente (2025)</w:t>
      </w:r>
    </w:p>
    <w:p w14:paraId="0B548A67" w14:textId="77777777" w:rsidR="00970D45" w:rsidRPr="00131EED" w:rsidRDefault="00970D45" w:rsidP="00565CA7">
      <w:pPr>
        <w:rPr>
          <w:rFonts w:cs="Arial"/>
        </w:rPr>
      </w:pPr>
    </w:p>
    <w:p w14:paraId="457C27DB" w14:textId="522A1AF1" w:rsidR="00565CA7" w:rsidRPr="00131EED" w:rsidRDefault="00C912C2" w:rsidP="00565CA7">
      <w:pPr>
        <w:rPr>
          <w:rFonts w:cs="Arial"/>
        </w:rPr>
      </w:pPr>
      <w:r w:rsidRPr="00131EED">
        <w:rPr>
          <w:rFonts w:cs="Arial"/>
        </w:rPr>
        <w:t xml:space="preserve">En cuanto a las áreas artificializadas sobre suelo de clase IV, para el 2002 se tiene </w:t>
      </w:r>
      <w:r w:rsidR="00CB146C" w:rsidRPr="00131EED">
        <w:rPr>
          <w:rFonts w:cs="Arial"/>
        </w:rPr>
        <w:t>un total de</w:t>
      </w:r>
      <w:r w:rsidRPr="00131EED">
        <w:rPr>
          <w:rFonts w:cs="Arial"/>
        </w:rPr>
        <w:t xml:space="preserve"> </w:t>
      </w:r>
      <w:r w:rsidR="00CB146C" w:rsidRPr="00131EED">
        <w:rPr>
          <w:color w:val="000000"/>
          <w:lang w:eastAsia="en-US"/>
        </w:rPr>
        <w:t>64 ha + 2274 m</w:t>
      </w:r>
      <w:r w:rsidR="00CB146C" w:rsidRPr="00131EED">
        <w:rPr>
          <w:color w:val="000000"/>
          <w:vertAlign w:val="superscript"/>
          <w:lang w:eastAsia="en-US"/>
        </w:rPr>
        <w:t>2</w:t>
      </w:r>
      <w:r w:rsidR="00CB146C" w:rsidRPr="00131EED">
        <w:rPr>
          <w:color w:val="000000"/>
          <w:lang w:eastAsia="en-US"/>
        </w:rPr>
        <w:t xml:space="preserve"> </w:t>
      </w:r>
      <w:r w:rsidR="00110253" w:rsidRPr="00131EED">
        <w:rPr>
          <w:rFonts w:cs="Arial"/>
        </w:rPr>
        <w:t>de estos suelos tienen esta cobertura, entre los entes territoriales con mayor área artificializada sobre esta clase de suelo, se encuentran, Bogotá, Chía y Suesca.</w:t>
      </w:r>
    </w:p>
    <w:p w14:paraId="3C709C4E" w14:textId="77777777" w:rsidR="00110253" w:rsidRPr="00131EED" w:rsidRDefault="00110253" w:rsidP="00565CA7">
      <w:pPr>
        <w:rPr>
          <w:rFonts w:cs="Arial"/>
        </w:rPr>
      </w:pPr>
    </w:p>
    <w:p w14:paraId="0792B9C7" w14:textId="78524643" w:rsidR="003A3BE0" w:rsidRPr="00131EED" w:rsidRDefault="003A3BE0" w:rsidP="003A3BE0">
      <w:pPr>
        <w:pStyle w:val="Caption"/>
        <w:keepNext/>
        <w:jc w:val="center"/>
      </w:pPr>
      <w:bookmarkStart w:id="359" w:name="_Toc216468975"/>
      <w:r w:rsidRPr="00131EED">
        <w:t xml:space="preserve">Tabla </w:t>
      </w:r>
      <w:fldSimple w:instr=" SEQ Tabla \* ARABIC ">
        <w:r w:rsidR="00CE096F">
          <w:rPr>
            <w:noProof/>
          </w:rPr>
          <w:t>65</w:t>
        </w:r>
      </w:fldSimple>
      <w:r w:rsidRPr="00131EED">
        <w:t>. Áreas artificializadas en suelos de clase IV durante el año 2002.</w:t>
      </w:r>
      <w:bookmarkEnd w:id="359"/>
    </w:p>
    <w:tbl>
      <w:tblPr>
        <w:tblW w:w="5670" w:type="dxa"/>
        <w:tblInd w:w="1555" w:type="dxa"/>
        <w:tblLook w:val="04A0" w:firstRow="1" w:lastRow="0" w:firstColumn="1" w:lastColumn="0" w:noHBand="0" w:noVBand="1"/>
      </w:tblPr>
      <w:tblGrid>
        <w:gridCol w:w="2126"/>
        <w:gridCol w:w="1417"/>
        <w:gridCol w:w="2127"/>
      </w:tblGrid>
      <w:tr w:rsidR="00110253" w:rsidRPr="00131EED" w14:paraId="79756958" w14:textId="77777777" w:rsidTr="00970D45">
        <w:trPr>
          <w:trHeight w:val="288"/>
          <w:tblHeader/>
        </w:trPr>
        <w:tc>
          <w:tcPr>
            <w:tcW w:w="5670" w:type="dxa"/>
            <w:gridSpan w:val="3"/>
            <w:tcBorders>
              <w:top w:val="single" w:sz="4" w:space="0" w:color="auto"/>
              <w:left w:val="single" w:sz="4" w:space="0" w:color="auto"/>
              <w:bottom w:val="single" w:sz="4" w:space="0" w:color="auto"/>
              <w:right w:val="single" w:sz="4" w:space="0" w:color="auto"/>
            </w:tcBorders>
            <w:noWrap/>
            <w:vAlign w:val="bottom"/>
            <w:hideMark/>
          </w:tcPr>
          <w:p w14:paraId="3EF9350F" w14:textId="77777777" w:rsidR="00110253" w:rsidRPr="00131EED" w:rsidRDefault="00110253" w:rsidP="00110253">
            <w:pPr>
              <w:jc w:val="center"/>
              <w:rPr>
                <w:b/>
                <w:color w:val="000000"/>
                <w:sz w:val="20"/>
                <w:szCs w:val="20"/>
                <w:lang w:eastAsia="en-US"/>
              </w:rPr>
            </w:pPr>
            <w:r w:rsidRPr="00131EED">
              <w:rPr>
                <w:b/>
                <w:color w:val="000000"/>
                <w:sz w:val="20"/>
                <w:szCs w:val="20"/>
                <w:lang w:eastAsia="en-US"/>
              </w:rPr>
              <w:t>Clase IV - 2002</w:t>
            </w:r>
          </w:p>
        </w:tc>
      </w:tr>
      <w:tr w:rsidR="00110253" w:rsidRPr="00131EED" w14:paraId="01464E2D" w14:textId="77777777" w:rsidTr="00970D45">
        <w:trPr>
          <w:trHeight w:val="288"/>
          <w:tblHeader/>
        </w:trPr>
        <w:tc>
          <w:tcPr>
            <w:tcW w:w="2126" w:type="dxa"/>
            <w:tcBorders>
              <w:top w:val="nil"/>
              <w:left w:val="single" w:sz="4" w:space="0" w:color="auto"/>
              <w:bottom w:val="single" w:sz="4" w:space="0" w:color="auto"/>
              <w:right w:val="single" w:sz="4" w:space="0" w:color="auto"/>
            </w:tcBorders>
            <w:noWrap/>
            <w:vAlign w:val="center"/>
            <w:hideMark/>
          </w:tcPr>
          <w:p w14:paraId="28576090" w14:textId="77777777" w:rsidR="00110253" w:rsidRPr="00131EED" w:rsidRDefault="00110253" w:rsidP="00110253">
            <w:pPr>
              <w:jc w:val="center"/>
              <w:rPr>
                <w:b/>
                <w:color w:val="000000"/>
                <w:sz w:val="20"/>
                <w:szCs w:val="20"/>
                <w:lang w:eastAsia="en-US"/>
              </w:rPr>
            </w:pPr>
            <w:r w:rsidRPr="00131EED">
              <w:rPr>
                <w:b/>
                <w:color w:val="000000"/>
                <w:sz w:val="20"/>
                <w:szCs w:val="20"/>
                <w:lang w:eastAsia="en-US"/>
              </w:rPr>
              <w:t>Municipio</w:t>
            </w:r>
          </w:p>
        </w:tc>
        <w:tc>
          <w:tcPr>
            <w:tcW w:w="1417" w:type="dxa"/>
            <w:tcBorders>
              <w:top w:val="nil"/>
              <w:left w:val="nil"/>
              <w:bottom w:val="single" w:sz="4" w:space="0" w:color="auto"/>
              <w:right w:val="single" w:sz="4" w:space="0" w:color="auto"/>
            </w:tcBorders>
            <w:noWrap/>
            <w:vAlign w:val="center"/>
            <w:hideMark/>
          </w:tcPr>
          <w:p w14:paraId="3B203713" w14:textId="77777777" w:rsidR="00110253" w:rsidRPr="00131EED" w:rsidRDefault="00110253" w:rsidP="00110253">
            <w:pPr>
              <w:jc w:val="center"/>
              <w:rPr>
                <w:b/>
                <w:color w:val="000000"/>
                <w:sz w:val="20"/>
                <w:szCs w:val="20"/>
                <w:lang w:eastAsia="en-US"/>
              </w:rPr>
            </w:pPr>
            <w:r w:rsidRPr="00131EED">
              <w:rPr>
                <w:b/>
                <w:color w:val="000000"/>
                <w:sz w:val="20"/>
                <w:szCs w:val="20"/>
                <w:lang w:eastAsia="en-US"/>
              </w:rPr>
              <w:t>Área Artificializada (ha) Clase IV</w:t>
            </w:r>
          </w:p>
        </w:tc>
        <w:tc>
          <w:tcPr>
            <w:tcW w:w="2127" w:type="dxa"/>
            <w:tcBorders>
              <w:top w:val="nil"/>
              <w:left w:val="nil"/>
              <w:bottom w:val="single" w:sz="4" w:space="0" w:color="auto"/>
              <w:right w:val="single" w:sz="4" w:space="0" w:color="auto"/>
            </w:tcBorders>
            <w:noWrap/>
            <w:vAlign w:val="center"/>
            <w:hideMark/>
          </w:tcPr>
          <w:p w14:paraId="5DEDA7AC" w14:textId="77777777" w:rsidR="00110253" w:rsidRPr="00131EED" w:rsidRDefault="00110253" w:rsidP="00110253">
            <w:pPr>
              <w:jc w:val="center"/>
              <w:rPr>
                <w:b/>
                <w:color w:val="000000"/>
                <w:sz w:val="20"/>
                <w:szCs w:val="20"/>
                <w:lang w:eastAsia="en-US"/>
              </w:rPr>
            </w:pPr>
            <w:r w:rsidRPr="00131EED">
              <w:rPr>
                <w:b/>
                <w:color w:val="000000"/>
                <w:sz w:val="20"/>
                <w:szCs w:val="20"/>
                <w:lang w:eastAsia="en-US"/>
              </w:rPr>
              <w:t>Porcentaje artificializado del municipio dentro del ámbito</w:t>
            </w:r>
          </w:p>
        </w:tc>
      </w:tr>
      <w:tr w:rsidR="00110253" w:rsidRPr="00131EED" w14:paraId="4C7F4FBD"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0131BBEA"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Bogotá D.C.</w:t>
            </w:r>
          </w:p>
        </w:tc>
        <w:tc>
          <w:tcPr>
            <w:tcW w:w="1417" w:type="dxa"/>
            <w:tcBorders>
              <w:top w:val="nil"/>
              <w:left w:val="nil"/>
              <w:bottom w:val="single" w:sz="4" w:space="0" w:color="auto"/>
              <w:right w:val="single" w:sz="4" w:space="0" w:color="auto"/>
            </w:tcBorders>
            <w:noWrap/>
            <w:vAlign w:val="bottom"/>
            <w:hideMark/>
          </w:tcPr>
          <w:p w14:paraId="6C02AFE3" w14:textId="77777777" w:rsidR="00110253" w:rsidRPr="00131EED" w:rsidRDefault="00110253" w:rsidP="00110253">
            <w:pPr>
              <w:jc w:val="right"/>
              <w:rPr>
                <w:color w:val="000000"/>
                <w:sz w:val="20"/>
                <w:szCs w:val="20"/>
                <w:lang w:eastAsia="en-US"/>
              </w:rPr>
            </w:pPr>
            <w:r w:rsidRPr="00131EED">
              <w:rPr>
                <w:color w:val="000000"/>
                <w:sz w:val="20"/>
                <w:szCs w:val="20"/>
                <w:lang w:eastAsia="en-US"/>
              </w:rPr>
              <w:t>1208.276805</w:t>
            </w:r>
          </w:p>
        </w:tc>
        <w:tc>
          <w:tcPr>
            <w:tcW w:w="2127" w:type="dxa"/>
            <w:tcBorders>
              <w:top w:val="nil"/>
              <w:left w:val="nil"/>
              <w:bottom w:val="single" w:sz="4" w:space="0" w:color="auto"/>
              <w:right w:val="single" w:sz="4" w:space="0" w:color="auto"/>
            </w:tcBorders>
            <w:noWrap/>
            <w:vAlign w:val="bottom"/>
            <w:hideMark/>
          </w:tcPr>
          <w:p w14:paraId="3E227F6D" w14:textId="77777777" w:rsidR="00110253" w:rsidRPr="00131EED" w:rsidRDefault="00110253" w:rsidP="00110253">
            <w:pPr>
              <w:jc w:val="right"/>
              <w:rPr>
                <w:color w:val="000000"/>
                <w:sz w:val="20"/>
                <w:szCs w:val="20"/>
                <w:lang w:eastAsia="en-US"/>
              </w:rPr>
            </w:pPr>
            <w:r w:rsidRPr="00131EED">
              <w:rPr>
                <w:color w:val="000000"/>
                <w:sz w:val="20"/>
                <w:szCs w:val="20"/>
                <w:lang w:eastAsia="en-US"/>
              </w:rPr>
              <w:t>1.43%</w:t>
            </w:r>
          </w:p>
        </w:tc>
      </w:tr>
      <w:tr w:rsidR="00110253" w:rsidRPr="00131EED" w14:paraId="65D362D9"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4B22E904"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Chía</w:t>
            </w:r>
          </w:p>
        </w:tc>
        <w:tc>
          <w:tcPr>
            <w:tcW w:w="1417" w:type="dxa"/>
            <w:tcBorders>
              <w:top w:val="nil"/>
              <w:left w:val="nil"/>
              <w:bottom w:val="single" w:sz="4" w:space="0" w:color="auto"/>
              <w:right w:val="single" w:sz="4" w:space="0" w:color="auto"/>
            </w:tcBorders>
            <w:noWrap/>
            <w:vAlign w:val="bottom"/>
            <w:hideMark/>
          </w:tcPr>
          <w:p w14:paraId="155212C0" w14:textId="77777777" w:rsidR="00110253" w:rsidRPr="00131EED" w:rsidRDefault="00110253" w:rsidP="00110253">
            <w:pPr>
              <w:jc w:val="right"/>
              <w:rPr>
                <w:color w:val="000000"/>
                <w:sz w:val="20"/>
                <w:szCs w:val="20"/>
                <w:lang w:eastAsia="en-US"/>
              </w:rPr>
            </w:pPr>
            <w:r w:rsidRPr="00131EED">
              <w:rPr>
                <w:color w:val="000000"/>
                <w:sz w:val="20"/>
                <w:szCs w:val="20"/>
                <w:lang w:eastAsia="en-US"/>
              </w:rPr>
              <w:t>150.264663</w:t>
            </w:r>
          </w:p>
        </w:tc>
        <w:tc>
          <w:tcPr>
            <w:tcW w:w="2127" w:type="dxa"/>
            <w:tcBorders>
              <w:top w:val="nil"/>
              <w:left w:val="nil"/>
              <w:bottom w:val="single" w:sz="4" w:space="0" w:color="auto"/>
              <w:right w:val="single" w:sz="4" w:space="0" w:color="auto"/>
            </w:tcBorders>
            <w:noWrap/>
            <w:vAlign w:val="bottom"/>
            <w:hideMark/>
          </w:tcPr>
          <w:p w14:paraId="08A6107E" w14:textId="77777777" w:rsidR="00110253" w:rsidRPr="00131EED" w:rsidRDefault="00110253" w:rsidP="00110253">
            <w:pPr>
              <w:jc w:val="right"/>
              <w:rPr>
                <w:color w:val="000000"/>
                <w:sz w:val="20"/>
                <w:szCs w:val="20"/>
                <w:lang w:eastAsia="en-US"/>
              </w:rPr>
            </w:pPr>
            <w:r w:rsidRPr="00131EED">
              <w:rPr>
                <w:color w:val="000000"/>
                <w:sz w:val="20"/>
                <w:szCs w:val="20"/>
                <w:lang w:eastAsia="en-US"/>
              </w:rPr>
              <w:t>1.88%</w:t>
            </w:r>
          </w:p>
        </w:tc>
      </w:tr>
      <w:tr w:rsidR="00110253" w:rsidRPr="00131EED" w14:paraId="438EAC03"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79841E0F"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Suesca</w:t>
            </w:r>
          </w:p>
        </w:tc>
        <w:tc>
          <w:tcPr>
            <w:tcW w:w="1417" w:type="dxa"/>
            <w:tcBorders>
              <w:top w:val="nil"/>
              <w:left w:val="nil"/>
              <w:bottom w:val="single" w:sz="4" w:space="0" w:color="auto"/>
              <w:right w:val="single" w:sz="4" w:space="0" w:color="auto"/>
            </w:tcBorders>
            <w:noWrap/>
            <w:vAlign w:val="bottom"/>
            <w:hideMark/>
          </w:tcPr>
          <w:p w14:paraId="5C820F9F" w14:textId="77777777" w:rsidR="00110253" w:rsidRPr="00131EED" w:rsidRDefault="00110253" w:rsidP="00110253">
            <w:pPr>
              <w:jc w:val="right"/>
              <w:rPr>
                <w:color w:val="000000"/>
                <w:sz w:val="20"/>
                <w:szCs w:val="20"/>
                <w:lang w:eastAsia="en-US"/>
              </w:rPr>
            </w:pPr>
            <w:r w:rsidRPr="00131EED">
              <w:rPr>
                <w:color w:val="000000"/>
                <w:sz w:val="20"/>
                <w:szCs w:val="20"/>
                <w:lang w:eastAsia="en-US"/>
              </w:rPr>
              <w:t>96.9117</w:t>
            </w:r>
          </w:p>
        </w:tc>
        <w:tc>
          <w:tcPr>
            <w:tcW w:w="2127" w:type="dxa"/>
            <w:tcBorders>
              <w:top w:val="nil"/>
              <w:left w:val="nil"/>
              <w:bottom w:val="single" w:sz="4" w:space="0" w:color="auto"/>
              <w:right w:val="single" w:sz="4" w:space="0" w:color="auto"/>
            </w:tcBorders>
            <w:noWrap/>
            <w:vAlign w:val="bottom"/>
            <w:hideMark/>
          </w:tcPr>
          <w:p w14:paraId="049E2F71" w14:textId="77777777" w:rsidR="00110253" w:rsidRPr="00131EED" w:rsidRDefault="00110253" w:rsidP="00110253">
            <w:pPr>
              <w:jc w:val="right"/>
              <w:rPr>
                <w:color w:val="000000"/>
                <w:sz w:val="20"/>
                <w:szCs w:val="20"/>
                <w:lang w:eastAsia="en-US"/>
              </w:rPr>
            </w:pPr>
            <w:r w:rsidRPr="00131EED">
              <w:rPr>
                <w:color w:val="000000"/>
                <w:sz w:val="20"/>
                <w:szCs w:val="20"/>
                <w:lang w:eastAsia="en-US"/>
              </w:rPr>
              <w:t>0.84%</w:t>
            </w:r>
          </w:p>
        </w:tc>
      </w:tr>
      <w:tr w:rsidR="00110253" w:rsidRPr="00131EED" w14:paraId="0574FB0E"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5369BE23"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Zipaquirá</w:t>
            </w:r>
          </w:p>
        </w:tc>
        <w:tc>
          <w:tcPr>
            <w:tcW w:w="1417" w:type="dxa"/>
            <w:tcBorders>
              <w:top w:val="nil"/>
              <w:left w:val="nil"/>
              <w:bottom w:val="single" w:sz="4" w:space="0" w:color="auto"/>
              <w:right w:val="single" w:sz="4" w:space="0" w:color="auto"/>
            </w:tcBorders>
            <w:noWrap/>
            <w:vAlign w:val="bottom"/>
            <w:hideMark/>
          </w:tcPr>
          <w:p w14:paraId="1AB036C2" w14:textId="77777777" w:rsidR="00110253" w:rsidRPr="00131EED" w:rsidRDefault="00110253" w:rsidP="00110253">
            <w:pPr>
              <w:jc w:val="right"/>
              <w:rPr>
                <w:color w:val="000000"/>
                <w:sz w:val="20"/>
                <w:szCs w:val="20"/>
                <w:lang w:eastAsia="en-US"/>
              </w:rPr>
            </w:pPr>
            <w:r w:rsidRPr="00131EED">
              <w:rPr>
                <w:color w:val="000000"/>
                <w:sz w:val="20"/>
                <w:szCs w:val="20"/>
                <w:lang w:eastAsia="en-US"/>
              </w:rPr>
              <w:t>90.332372</w:t>
            </w:r>
          </w:p>
        </w:tc>
        <w:tc>
          <w:tcPr>
            <w:tcW w:w="2127" w:type="dxa"/>
            <w:tcBorders>
              <w:top w:val="nil"/>
              <w:left w:val="nil"/>
              <w:bottom w:val="single" w:sz="4" w:space="0" w:color="auto"/>
              <w:right w:val="single" w:sz="4" w:space="0" w:color="auto"/>
            </w:tcBorders>
            <w:noWrap/>
            <w:vAlign w:val="bottom"/>
            <w:hideMark/>
          </w:tcPr>
          <w:p w14:paraId="7531757C" w14:textId="77777777" w:rsidR="00110253" w:rsidRPr="00131EED" w:rsidRDefault="00110253" w:rsidP="00110253">
            <w:pPr>
              <w:jc w:val="right"/>
              <w:rPr>
                <w:color w:val="000000"/>
                <w:sz w:val="20"/>
                <w:szCs w:val="20"/>
                <w:lang w:eastAsia="en-US"/>
              </w:rPr>
            </w:pPr>
            <w:r w:rsidRPr="00131EED">
              <w:rPr>
                <w:color w:val="000000"/>
                <w:sz w:val="20"/>
                <w:szCs w:val="20"/>
                <w:lang w:eastAsia="en-US"/>
              </w:rPr>
              <w:t>0.50%</w:t>
            </w:r>
          </w:p>
        </w:tc>
      </w:tr>
      <w:tr w:rsidR="00110253" w:rsidRPr="00131EED" w14:paraId="32D395BF"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73CFF5DD"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Cajicá</w:t>
            </w:r>
          </w:p>
        </w:tc>
        <w:tc>
          <w:tcPr>
            <w:tcW w:w="1417" w:type="dxa"/>
            <w:tcBorders>
              <w:top w:val="nil"/>
              <w:left w:val="nil"/>
              <w:bottom w:val="single" w:sz="4" w:space="0" w:color="auto"/>
              <w:right w:val="single" w:sz="4" w:space="0" w:color="auto"/>
            </w:tcBorders>
            <w:noWrap/>
            <w:vAlign w:val="bottom"/>
            <w:hideMark/>
          </w:tcPr>
          <w:p w14:paraId="0C181ED1" w14:textId="77777777" w:rsidR="00110253" w:rsidRPr="00131EED" w:rsidRDefault="00110253" w:rsidP="00110253">
            <w:pPr>
              <w:jc w:val="right"/>
              <w:rPr>
                <w:color w:val="000000"/>
                <w:sz w:val="20"/>
                <w:szCs w:val="20"/>
                <w:lang w:eastAsia="en-US"/>
              </w:rPr>
            </w:pPr>
            <w:r w:rsidRPr="00131EED">
              <w:rPr>
                <w:color w:val="000000"/>
                <w:sz w:val="20"/>
                <w:szCs w:val="20"/>
                <w:lang w:eastAsia="en-US"/>
              </w:rPr>
              <w:t>90.06408</w:t>
            </w:r>
          </w:p>
        </w:tc>
        <w:tc>
          <w:tcPr>
            <w:tcW w:w="2127" w:type="dxa"/>
            <w:tcBorders>
              <w:top w:val="nil"/>
              <w:left w:val="nil"/>
              <w:bottom w:val="single" w:sz="4" w:space="0" w:color="auto"/>
              <w:right w:val="single" w:sz="4" w:space="0" w:color="auto"/>
            </w:tcBorders>
            <w:noWrap/>
            <w:vAlign w:val="bottom"/>
            <w:hideMark/>
          </w:tcPr>
          <w:p w14:paraId="1462F166" w14:textId="77777777" w:rsidR="00110253" w:rsidRPr="00131EED" w:rsidRDefault="00110253" w:rsidP="00110253">
            <w:pPr>
              <w:jc w:val="right"/>
              <w:rPr>
                <w:color w:val="000000"/>
                <w:sz w:val="20"/>
                <w:szCs w:val="20"/>
                <w:lang w:eastAsia="en-US"/>
              </w:rPr>
            </w:pPr>
            <w:r w:rsidRPr="00131EED">
              <w:rPr>
                <w:color w:val="000000"/>
                <w:sz w:val="20"/>
                <w:szCs w:val="20"/>
                <w:lang w:eastAsia="en-US"/>
              </w:rPr>
              <w:t>1.76%</w:t>
            </w:r>
          </w:p>
        </w:tc>
      </w:tr>
      <w:tr w:rsidR="00110253" w:rsidRPr="00131EED" w14:paraId="28C66FE1"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7A2482FF"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Soacha</w:t>
            </w:r>
          </w:p>
        </w:tc>
        <w:tc>
          <w:tcPr>
            <w:tcW w:w="1417" w:type="dxa"/>
            <w:tcBorders>
              <w:top w:val="nil"/>
              <w:left w:val="nil"/>
              <w:bottom w:val="single" w:sz="4" w:space="0" w:color="auto"/>
              <w:right w:val="single" w:sz="4" w:space="0" w:color="auto"/>
            </w:tcBorders>
            <w:noWrap/>
            <w:vAlign w:val="bottom"/>
            <w:hideMark/>
          </w:tcPr>
          <w:p w14:paraId="65C25CD5" w14:textId="77777777" w:rsidR="00110253" w:rsidRPr="00131EED" w:rsidRDefault="00110253" w:rsidP="00110253">
            <w:pPr>
              <w:jc w:val="right"/>
              <w:rPr>
                <w:color w:val="000000"/>
                <w:sz w:val="20"/>
                <w:szCs w:val="20"/>
                <w:lang w:eastAsia="en-US"/>
              </w:rPr>
            </w:pPr>
            <w:r w:rsidRPr="00131EED">
              <w:rPr>
                <w:color w:val="000000"/>
                <w:sz w:val="20"/>
                <w:szCs w:val="20"/>
                <w:lang w:eastAsia="en-US"/>
              </w:rPr>
              <w:t>67.516296</w:t>
            </w:r>
          </w:p>
        </w:tc>
        <w:tc>
          <w:tcPr>
            <w:tcW w:w="2127" w:type="dxa"/>
            <w:tcBorders>
              <w:top w:val="nil"/>
              <w:left w:val="nil"/>
              <w:bottom w:val="single" w:sz="4" w:space="0" w:color="auto"/>
              <w:right w:val="single" w:sz="4" w:space="0" w:color="auto"/>
            </w:tcBorders>
            <w:noWrap/>
            <w:vAlign w:val="bottom"/>
            <w:hideMark/>
          </w:tcPr>
          <w:p w14:paraId="6C703C4E" w14:textId="77777777" w:rsidR="00110253" w:rsidRPr="00131EED" w:rsidRDefault="00110253" w:rsidP="00110253">
            <w:pPr>
              <w:jc w:val="right"/>
              <w:rPr>
                <w:color w:val="000000"/>
                <w:sz w:val="20"/>
                <w:szCs w:val="20"/>
                <w:lang w:eastAsia="en-US"/>
              </w:rPr>
            </w:pPr>
            <w:r w:rsidRPr="00131EED">
              <w:rPr>
                <w:color w:val="000000"/>
                <w:sz w:val="20"/>
                <w:szCs w:val="20"/>
                <w:lang w:eastAsia="en-US"/>
              </w:rPr>
              <w:t>0.38%</w:t>
            </w:r>
          </w:p>
        </w:tc>
      </w:tr>
      <w:tr w:rsidR="00110253" w:rsidRPr="00131EED" w14:paraId="3325F469"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5FBEC1CF"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Mosquera</w:t>
            </w:r>
          </w:p>
        </w:tc>
        <w:tc>
          <w:tcPr>
            <w:tcW w:w="1417" w:type="dxa"/>
            <w:tcBorders>
              <w:top w:val="nil"/>
              <w:left w:val="nil"/>
              <w:bottom w:val="single" w:sz="4" w:space="0" w:color="auto"/>
              <w:right w:val="single" w:sz="4" w:space="0" w:color="auto"/>
            </w:tcBorders>
            <w:noWrap/>
            <w:vAlign w:val="bottom"/>
            <w:hideMark/>
          </w:tcPr>
          <w:p w14:paraId="341E0F72" w14:textId="77777777" w:rsidR="00110253" w:rsidRPr="00131EED" w:rsidRDefault="00110253" w:rsidP="00110253">
            <w:pPr>
              <w:jc w:val="right"/>
              <w:rPr>
                <w:color w:val="000000"/>
                <w:sz w:val="20"/>
                <w:szCs w:val="20"/>
                <w:lang w:eastAsia="en-US"/>
              </w:rPr>
            </w:pPr>
            <w:r w:rsidRPr="00131EED">
              <w:rPr>
                <w:color w:val="000000"/>
                <w:sz w:val="20"/>
                <w:szCs w:val="20"/>
                <w:lang w:eastAsia="en-US"/>
              </w:rPr>
              <w:t>64.22746</w:t>
            </w:r>
          </w:p>
        </w:tc>
        <w:tc>
          <w:tcPr>
            <w:tcW w:w="2127" w:type="dxa"/>
            <w:tcBorders>
              <w:top w:val="nil"/>
              <w:left w:val="nil"/>
              <w:bottom w:val="single" w:sz="4" w:space="0" w:color="auto"/>
              <w:right w:val="single" w:sz="4" w:space="0" w:color="auto"/>
            </w:tcBorders>
            <w:noWrap/>
            <w:vAlign w:val="bottom"/>
            <w:hideMark/>
          </w:tcPr>
          <w:p w14:paraId="00435BD0" w14:textId="77777777" w:rsidR="00110253" w:rsidRPr="00131EED" w:rsidRDefault="00110253" w:rsidP="00110253">
            <w:pPr>
              <w:jc w:val="right"/>
              <w:rPr>
                <w:color w:val="000000"/>
                <w:sz w:val="20"/>
                <w:szCs w:val="20"/>
                <w:lang w:eastAsia="en-US"/>
              </w:rPr>
            </w:pPr>
            <w:r w:rsidRPr="00131EED">
              <w:rPr>
                <w:color w:val="000000"/>
                <w:sz w:val="20"/>
                <w:szCs w:val="20"/>
                <w:lang w:eastAsia="en-US"/>
              </w:rPr>
              <w:t>0.61%</w:t>
            </w:r>
          </w:p>
        </w:tc>
      </w:tr>
      <w:tr w:rsidR="00110253" w:rsidRPr="00131EED" w14:paraId="4388983C"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521E1C50"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Sopó</w:t>
            </w:r>
          </w:p>
        </w:tc>
        <w:tc>
          <w:tcPr>
            <w:tcW w:w="1417" w:type="dxa"/>
            <w:tcBorders>
              <w:top w:val="nil"/>
              <w:left w:val="nil"/>
              <w:bottom w:val="single" w:sz="4" w:space="0" w:color="auto"/>
              <w:right w:val="single" w:sz="4" w:space="0" w:color="auto"/>
            </w:tcBorders>
            <w:noWrap/>
            <w:vAlign w:val="bottom"/>
            <w:hideMark/>
          </w:tcPr>
          <w:p w14:paraId="68310BD1" w14:textId="77777777" w:rsidR="00110253" w:rsidRPr="00131EED" w:rsidRDefault="00110253" w:rsidP="00110253">
            <w:pPr>
              <w:jc w:val="right"/>
              <w:rPr>
                <w:color w:val="000000"/>
                <w:sz w:val="20"/>
                <w:szCs w:val="20"/>
                <w:lang w:eastAsia="en-US"/>
              </w:rPr>
            </w:pPr>
            <w:r w:rsidRPr="00131EED">
              <w:rPr>
                <w:color w:val="000000"/>
                <w:sz w:val="20"/>
                <w:szCs w:val="20"/>
                <w:lang w:eastAsia="en-US"/>
              </w:rPr>
              <w:t>54.313574</w:t>
            </w:r>
          </w:p>
        </w:tc>
        <w:tc>
          <w:tcPr>
            <w:tcW w:w="2127" w:type="dxa"/>
            <w:tcBorders>
              <w:top w:val="nil"/>
              <w:left w:val="nil"/>
              <w:bottom w:val="single" w:sz="4" w:space="0" w:color="auto"/>
              <w:right w:val="single" w:sz="4" w:space="0" w:color="auto"/>
            </w:tcBorders>
            <w:noWrap/>
            <w:vAlign w:val="bottom"/>
            <w:hideMark/>
          </w:tcPr>
          <w:p w14:paraId="3C9F3A33" w14:textId="77777777" w:rsidR="00110253" w:rsidRPr="00131EED" w:rsidRDefault="00110253" w:rsidP="00110253">
            <w:pPr>
              <w:jc w:val="right"/>
              <w:rPr>
                <w:color w:val="000000"/>
                <w:sz w:val="20"/>
                <w:szCs w:val="20"/>
                <w:lang w:eastAsia="en-US"/>
              </w:rPr>
            </w:pPr>
            <w:r w:rsidRPr="00131EED">
              <w:rPr>
                <w:color w:val="000000"/>
                <w:sz w:val="20"/>
                <w:szCs w:val="20"/>
                <w:lang w:eastAsia="en-US"/>
              </w:rPr>
              <w:t>0.49%</w:t>
            </w:r>
          </w:p>
        </w:tc>
      </w:tr>
      <w:tr w:rsidR="00110253" w:rsidRPr="00131EED" w14:paraId="77A05342"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6A450A3D"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Facatativá</w:t>
            </w:r>
          </w:p>
        </w:tc>
        <w:tc>
          <w:tcPr>
            <w:tcW w:w="1417" w:type="dxa"/>
            <w:tcBorders>
              <w:top w:val="nil"/>
              <w:left w:val="nil"/>
              <w:bottom w:val="single" w:sz="4" w:space="0" w:color="auto"/>
              <w:right w:val="single" w:sz="4" w:space="0" w:color="auto"/>
            </w:tcBorders>
            <w:noWrap/>
            <w:vAlign w:val="bottom"/>
            <w:hideMark/>
          </w:tcPr>
          <w:p w14:paraId="75A6BB32" w14:textId="77777777" w:rsidR="00110253" w:rsidRPr="00131EED" w:rsidRDefault="00110253" w:rsidP="00110253">
            <w:pPr>
              <w:jc w:val="right"/>
              <w:rPr>
                <w:color w:val="000000"/>
                <w:sz w:val="20"/>
                <w:szCs w:val="20"/>
                <w:lang w:eastAsia="en-US"/>
              </w:rPr>
            </w:pPr>
            <w:r w:rsidRPr="00131EED">
              <w:rPr>
                <w:color w:val="000000"/>
                <w:sz w:val="20"/>
                <w:szCs w:val="20"/>
                <w:lang w:eastAsia="en-US"/>
              </w:rPr>
              <w:t>52.647102</w:t>
            </w:r>
          </w:p>
        </w:tc>
        <w:tc>
          <w:tcPr>
            <w:tcW w:w="2127" w:type="dxa"/>
            <w:tcBorders>
              <w:top w:val="nil"/>
              <w:left w:val="nil"/>
              <w:bottom w:val="single" w:sz="4" w:space="0" w:color="auto"/>
              <w:right w:val="single" w:sz="4" w:space="0" w:color="auto"/>
            </w:tcBorders>
            <w:noWrap/>
            <w:vAlign w:val="bottom"/>
            <w:hideMark/>
          </w:tcPr>
          <w:p w14:paraId="186862BB" w14:textId="77777777" w:rsidR="00110253" w:rsidRPr="00131EED" w:rsidRDefault="00110253" w:rsidP="00110253">
            <w:pPr>
              <w:jc w:val="right"/>
              <w:rPr>
                <w:color w:val="000000"/>
                <w:sz w:val="20"/>
                <w:szCs w:val="20"/>
                <w:lang w:eastAsia="en-US"/>
              </w:rPr>
            </w:pPr>
            <w:r w:rsidRPr="00131EED">
              <w:rPr>
                <w:color w:val="000000"/>
                <w:sz w:val="20"/>
                <w:szCs w:val="20"/>
                <w:lang w:eastAsia="en-US"/>
              </w:rPr>
              <w:t>0.34%</w:t>
            </w:r>
          </w:p>
        </w:tc>
      </w:tr>
      <w:tr w:rsidR="00110253" w:rsidRPr="00131EED" w14:paraId="3825F7AF"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5CA6F513"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Bojacá</w:t>
            </w:r>
          </w:p>
        </w:tc>
        <w:tc>
          <w:tcPr>
            <w:tcW w:w="1417" w:type="dxa"/>
            <w:tcBorders>
              <w:top w:val="nil"/>
              <w:left w:val="nil"/>
              <w:bottom w:val="single" w:sz="4" w:space="0" w:color="auto"/>
              <w:right w:val="single" w:sz="4" w:space="0" w:color="auto"/>
            </w:tcBorders>
            <w:noWrap/>
            <w:vAlign w:val="bottom"/>
            <w:hideMark/>
          </w:tcPr>
          <w:p w14:paraId="0C14BB8A" w14:textId="77777777" w:rsidR="00110253" w:rsidRPr="00131EED" w:rsidRDefault="00110253" w:rsidP="00110253">
            <w:pPr>
              <w:jc w:val="right"/>
              <w:rPr>
                <w:color w:val="000000"/>
                <w:sz w:val="20"/>
                <w:szCs w:val="20"/>
                <w:lang w:eastAsia="en-US"/>
              </w:rPr>
            </w:pPr>
            <w:r w:rsidRPr="00131EED">
              <w:rPr>
                <w:color w:val="000000"/>
                <w:sz w:val="20"/>
                <w:szCs w:val="20"/>
                <w:lang w:eastAsia="en-US"/>
              </w:rPr>
              <w:t>41.690771</w:t>
            </w:r>
          </w:p>
        </w:tc>
        <w:tc>
          <w:tcPr>
            <w:tcW w:w="2127" w:type="dxa"/>
            <w:tcBorders>
              <w:top w:val="nil"/>
              <w:left w:val="nil"/>
              <w:bottom w:val="single" w:sz="4" w:space="0" w:color="auto"/>
              <w:right w:val="single" w:sz="4" w:space="0" w:color="auto"/>
            </w:tcBorders>
            <w:noWrap/>
            <w:vAlign w:val="bottom"/>
            <w:hideMark/>
          </w:tcPr>
          <w:p w14:paraId="126B4440" w14:textId="77777777" w:rsidR="00110253" w:rsidRPr="00131EED" w:rsidRDefault="00110253" w:rsidP="00110253">
            <w:pPr>
              <w:jc w:val="right"/>
              <w:rPr>
                <w:color w:val="000000"/>
                <w:sz w:val="20"/>
                <w:szCs w:val="20"/>
                <w:lang w:eastAsia="en-US"/>
              </w:rPr>
            </w:pPr>
            <w:r w:rsidRPr="00131EED">
              <w:rPr>
                <w:color w:val="000000"/>
                <w:sz w:val="20"/>
                <w:szCs w:val="20"/>
                <w:lang w:eastAsia="en-US"/>
              </w:rPr>
              <w:t>0.41%</w:t>
            </w:r>
          </w:p>
        </w:tc>
      </w:tr>
      <w:tr w:rsidR="00110253" w:rsidRPr="00131EED" w14:paraId="760705DC"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239BC367"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Villapinzon</w:t>
            </w:r>
          </w:p>
        </w:tc>
        <w:tc>
          <w:tcPr>
            <w:tcW w:w="1417" w:type="dxa"/>
            <w:tcBorders>
              <w:top w:val="nil"/>
              <w:left w:val="nil"/>
              <w:bottom w:val="single" w:sz="4" w:space="0" w:color="auto"/>
              <w:right w:val="single" w:sz="4" w:space="0" w:color="auto"/>
            </w:tcBorders>
            <w:noWrap/>
            <w:vAlign w:val="bottom"/>
            <w:hideMark/>
          </w:tcPr>
          <w:p w14:paraId="29A3FD31" w14:textId="77777777" w:rsidR="00110253" w:rsidRPr="00131EED" w:rsidRDefault="00110253" w:rsidP="00110253">
            <w:pPr>
              <w:jc w:val="right"/>
              <w:rPr>
                <w:color w:val="000000"/>
                <w:sz w:val="20"/>
                <w:szCs w:val="20"/>
                <w:lang w:eastAsia="en-US"/>
              </w:rPr>
            </w:pPr>
            <w:r w:rsidRPr="00131EED">
              <w:rPr>
                <w:color w:val="000000"/>
                <w:sz w:val="20"/>
                <w:szCs w:val="20"/>
                <w:lang w:eastAsia="en-US"/>
              </w:rPr>
              <w:t>37.738216</w:t>
            </w:r>
          </w:p>
        </w:tc>
        <w:tc>
          <w:tcPr>
            <w:tcW w:w="2127" w:type="dxa"/>
            <w:tcBorders>
              <w:top w:val="nil"/>
              <w:left w:val="nil"/>
              <w:bottom w:val="single" w:sz="4" w:space="0" w:color="auto"/>
              <w:right w:val="single" w:sz="4" w:space="0" w:color="auto"/>
            </w:tcBorders>
            <w:noWrap/>
            <w:vAlign w:val="bottom"/>
            <w:hideMark/>
          </w:tcPr>
          <w:p w14:paraId="1335122D" w14:textId="77777777" w:rsidR="00110253" w:rsidRPr="00131EED" w:rsidRDefault="00110253" w:rsidP="00110253">
            <w:pPr>
              <w:jc w:val="right"/>
              <w:rPr>
                <w:color w:val="000000"/>
                <w:sz w:val="20"/>
                <w:szCs w:val="20"/>
                <w:lang w:eastAsia="en-US"/>
              </w:rPr>
            </w:pPr>
            <w:r w:rsidRPr="00131EED">
              <w:rPr>
                <w:color w:val="000000"/>
                <w:sz w:val="20"/>
                <w:szCs w:val="20"/>
                <w:lang w:eastAsia="en-US"/>
              </w:rPr>
              <w:t>0.30%</w:t>
            </w:r>
          </w:p>
        </w:tc>
      </w:tr>
      <w:tr w:rsidR="00110253" w:rsidRPr="00131EED" w14:paraId="6F6A8667"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0678CE00"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Funza</w:t>
            </w:r>
          </w:p>
        </w:tc>
        <w:tc>
          <w:tcPr>
            <w:tcW w:w="1417" w:type="dxa"/>
            <w:tcBorders>
              <w:top w:val="nil"/>
              <w:left w:val="nil"/>
              <w:bottom w:val="single" w:sz="4" w:space="0" w:color="auto"/>
              <w:right w:val="single" w:sz="4" w:space="0" w:color="auto"/>
            </w:tcBorders>
            <w:noWrap/>
            <w:vAlign w:val="bottom"/>
            <w:hideMark/>
          </w:tcPr>
          <w:p w14:paraId="638379E4" w14:textId="77777777" w:rsidR="00110253" w:rsidRPr="00131EED" w:rsidRDefault="00110253" w:rsidP="00110253">
            <w:pPr>
              <w:jc w:val="right"/>
              <w:rPr>
                <w:color w:val="000000"/>
                <w:sz w:val="20"/>
                <w:szCs w:val="20"/>
                <w:lang w:eastAsia="en-US"/>
              </w:rPr>
            </w:pPr>
            <w:r w:rsidRPr="00131EED">
              <w:rPr>
                <w:color w:val="000000"/>
                <w:sz w:val="20"/>
                <w:szCs w:val="20"/>
                <w:lang w:eastAsia="en-US"/>
              </w:rPr>
              <w:t>27.114438</w:t>
            </w:r>
          </w:p>
        </w:tc>
        <w:tc>
          <w:tcPr>
            <w:tcW w:w="2127" w:type="dxa"/>
            <w:tcBorders>
              <w:top w:val="nil"/>
              <w:left w:val="nil"/>
              <w:bottom w:val="single" w:sz="4" w:space="0" w:color="auto"/>
              <w:right w:val="single" w:sz="4" w:space="0" w:color="auto"/>
            </w:tcBorders>
            <w:noWrap/>
            <w:vAlign w:val="bottom"/>
            <w:hideMark/>
          </w:tcPr>
          <w:p w14:paraId="45E7F9E4" w14:textId="77777777" w:rsidR="00110253" w:rsidRPr="00131EED" w:rsidRDefault="00110253" w:rsidP="00110253">
            <w:pPr>
              <w:jc w:val="right"/>
              <w:rPr>
                <w:color w:val="000000"/>
                <w:sz w:val="20"/>
                <w:szCs w:val="20"/>
                <w:lang w:eastAsia="en-US"/>
              </w:rPr>
            </w:pPr>
            <w:r w:rsidRPr="00131EED">
              <w:rPr>
                <w:color w:val="000000"/>
                <w:sz w:val="20"/>
                <w:szCs w:val="20"/>
                <w:lang w:eastAsia="en-US"/>
              </w:rPr>
              <w:t>0.39%</w:t>
            </w:r>
          </w:p>
        </w:tc>
      </w:tr>
      <w:tr w:rsidR="00110253" w:rsidRPr="00131EED" w14:paraId="66E47508"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64B310CE"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Cota</w:t>
            </w:r>
          </w:p>
        </w:tc>
        <w:tc>
          <w:tcPr>
            <w:tcW w:w="1417" w:type="dxa"/>
            <w:tcBorders>
              <w:top w:val="nil"/>
              <w:left w:val="nil"/>
              <w:bottom w:val="single" w:sz="4" w:space="0" w:color="auto"/>
              <w:right w:val="single" w:sz="4" w:space="0" w:color="auto"/>
            </w:tcBorders>
            <w:noWrap/>
            <w:vAlign w:val="bottom"/>
            <w:hideMark/>
          </w:tcPr>
          <w:p w14:paraId="4498A48C" w14:textId="77777777" w:rsidR="00110253" w:rsidRPr="00131EED" w:rsidRDefault="00110253" w:rsidP="00110253">
            <w:pPr>
              <w:jc w:val="right"/>
              <w:rPr>
                <w:color w:val="000000"/>
                <w:sz w:val="20"/>
                <w:szCs w:val="20"/>
                <w:lang w:eastAsia="en-US"/>
              </w:rPr>
            </w:pPr>
            <w:r w:rsidRPr="00131EED">
              <w:rPr>
                <w:color w:val="000000"/>
                <w:sz w:val="20"/>
                <w:szCs w:val="20"/>
                <w:lang w:eastAsia="en-US"/>
              </w:rPr>
              <w:t>24.462545</w:t>
            </w:r>
          </w:p>
        </w:tc>
        <w:tc>
          <w:tcPr>
            <w:tcW w:w="2127" w:type="dxa"/>
            <w:tcBorders>
              <w:top w:val="nil"/>
              <w:left w:val="nil"/>
              <w:bottom w:val="single" w:sz="4" w:space="0" w:color="auto"/>
              <w:right w:val="single" w:sz="4" w:space="0" w:color="auto"/>
            </w:tcBorders>
            <w:noWrap/>
            <w:vAlign w:val="bottom"/>
            <w:hideMark/>
          </w:tcPr>
          <w:p w14:paraId="2EED7669" w14:textId="77777777" w:rsidR="00110253" w:rsidRPr="00131EED" w:rsidRDefault="00110253" w:rsidP="00110253">
            <w:pPr>
              <w:jc w:val="right"/>
              <w:rPr>
                <w:color w:val="000000"/>
                <w:sz w:val="20"/>
                <w:szCs w:val="20"/>
                <w:lang w:eastAsia="en-US"/>
              </w:rPr>
            </w:pPr>
            <w:r w:rsidRPr="00131EED">
              <w:rPr>
                <w:color w:val="000000"/>
                <w:sz w:val="20"/>
                <w:szCs w:val="20"/>
                <w:lang w:eastAsia="en-US"/>
              </w:rPr>
              <w:t>0.46%</w:t>
            </w:r>
          </w:p>
        </w:tc>
      </w:tr>
      <w:tr w:rsidR="00110253" w:rsidRPr="00131EED" w14:paraId="05CD2A9A"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656A9A68"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Guasca</w:t>
            </w:r>
          </w:p>
        </w:tc>
        <w:tc>
          <w:tcPr>
            <w:tcW w:w="1417" w:type="dxa"/>
            <w:tcBorders>
              <w:top w:val="nil"/>
              <w:left w:val="nil"/>
              <w:bottom w:val="single" w:sz="4" w:space="0" w:color="auto"/>
              <w:right w:val="single" w:sz="4" w:space="0" w:color="auto"/>
            </w:tcBorders>
            <w:noWrap/>
            <w:vAlign w:val="bottom"/>
            <w:hideMark/>
          </w:tcPr>
          <w:p w14:paraId="45B27434" w14:textId="77777777" w:rsidR="00110253" w:rsidRPr="00131EED" w:rsidRDefault="00110253" w:rsidP="00110253">
            <w:pPr>
              <w:jc w:val="right"/>
              <w:rPr>
                <w:color w:val="000000"/>
                <w:sz w:val="20"/>
                <w:szCs w:val="20"/>
                <w:lang w:eastAsia="en-US"/>
              </w:rPr>
            </w:pPr>
            <w:r w:rsidRPr="00131EED">
              <w:rPr>
                <w:color w:val="000000"/>
                <w:sz w:val="20"/>
                <w:szCs w:val="20"/>
                <w:lang w:eastAsia="en-US"/>
              </w:rPr>
              <w:t>21.953334</w:t>
            </w:r>
          </w:p>
        </w:tc>
        <w:tc>
          <w:tcPr>
            <w:tcW w:w="2127" w:type="dxa"/>
            <w:tcBorders>
              <w:top w:val="nil"/>
              <w:left w:val="nil"/>
              <w:bottom w:val="single" w:sz="4" w:space="0" w:color="auto"/>
              <w:right w:val="single" w:sz="4" w:space="0" w:color="auto"/>
            </w:tcBorders>
            <w:noWrap/>
            <w:vAlign w:val="bottom"/>
            <w:hideMark/>
          </w:tcPr>
          <w:p w14:paraId="6A20C25C" w14:textId="77777777" w:rsidR="00110253" w:rsidRPr="00131EED" w:rsidRDefault="00110253" w:rsidP="00110253">
            <w:pPr>
              <w:jc w:val="right"/>
              <w:rPr>
                <w:color w:val="000000"/>
                <w:sz w:val="20"/>
                <w:szCs w:val="20"/>
                <w:lang w:eastAsia="en-US"/>
              </w:rPr>
            </w:pPr>
            <w:r w:rsidRPr="00131EED">
              <w:rPr>
                <w:color w:val="000000"/>
                <w:sz w:val="20"/>
                <w:szCs w:val="20"/>
                <w:lang w:eastAsia="en-US"/>
              </w:rPr>
              <w:t>0.11%</w:t>
            </w:r>
          </w:p>
        </w:tc>
      </w:tr>
      <w:tr w:rsidR="00110253" w:rsidRPr="00131EED" w14:paraId="1144E715"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2AE80DFE"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Sibaté</w:t>
            </w:r>
          </w:p>
        </w:tc>
        <w:tc>
          <w:tcPr>
            <w:tcW w:w="1417" w:type="dxa"/>
            <w:tcBorders>
              <w:top w:val="nil"/>
              <w:left w:val="nil"/>
              <w:bottom w:val="single" w:sz="4" w:space="0" w:color="auto"/>
              <w:right w:val="single" w:sz="4" w:space="0" w:color="auto"/>
            </w:tcBorders>
            <w:noWrap/>
            <w:vAlign w:val="bottom"/>
            <w:hideMark/>
          </w:tcPr>
          <w:p w14:paraId="236D9E05" w14:textId="77777777" w:rsidR="00110253" w:rsidRPr="00131EED" w:rsidRDefault="00110253" w:rsidP="00110253">
            <w:pPr>
              <w:jc w:val="right"/>
              <w:rPr>
                <w:color w:val="000000"/>
                <w:sz w:val="20"/>
                <w:szCs w:val="20"/>
                <w:lang w:eastAsia="en-US"/>
              </w:rPr>
            </w:pPr>
            <w:r w:rsidRPr="00131EED">
              <w:rPr>
                <w:color w:val="000000"/>
                <w:sz w:val="20"/>
                <w:szCs w:val="20"/>
                <w:lang w:eastAsia="en-US"/>
              </w:rPr>
              <w:t>16.945942</w:t>
            </w:r>
          </w:p>
        </w:tc>
        <w:tc>
          <w:tcPr>
            <w:tcW w:w="2127" w:type="dxa"/>
            <w:tcBorders>
              <w:top w:val="nil"/>
              <w:left w:val="nil"/>
              <w:bottom w:val="single" w:sz="4" w:space="0" w:color="auto"/>
              <w:right w:val="single" w:sz="4" w:space="0" w:color="auto"/>
            </w:tcBorders>
            <w:noWrap/>
            <w:vAlign w:val="bottom"/>
            <w:hideMark/>
          </w:tcPr>
          <w:p w14:paraId="3F53EA00" w14:textId="77777777" w:rsidR="00110253" w:rsidRPr="00131EED" w:rsidRDefault="00110253" w:rsidP="00110253">
            <w:pPr>
              <w:jc w:val="right"/>
              <w:rPr>
                <w:color w:val="000000"/>
                <w:sz w:val="20"/>
                <w:szCs w:val="20"/>
                <w:lang w:eastAsia="en-US"/>
              </w:rPr>
            </w:pPr>
            <w:r w:rsidRPr="00131EED">
              <w:rPr>
                <w:color w:val="000000"/>
                <w:sz w:val="20"/>
                <w:szCs w:val="20"/>
                <w:lang w:eastAsia="en-US"/>
              </w:rPr>
              <w:t>0.18%</w:t>
            </w:r>
          </w:p>
        </w:tc>
      </w:tr>
      <w:tr w:rsidR="00110253" w:rsidRPr="00131EED" w14:paraId="5E9D7B93"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1B61C562"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Tenjo</w:t>
            </w:r>
          </w:p>
        </w:tc>
        <w:tc>
          <w:tcPr>
            <w:tcW w:w="1417" w:type="dxa"/>
            <w:tcBorders>
              <w:top w:val="nil"/>
              <w:left w:val="nil"/>
              <w:bottom w:val="single" w:sz="4" w:space="0" w:color="auto"/>
              <w:right w:val="single" w:sz="4" w:space="0" w:color="auto"/>
            </w:tcBorders>
            <w:noWrap/>
            <w:vAlign w:val="bottom"/>
            <w:hideMark/>
          </w:tcPr>
          <w:p w14:paraId="10DDEF49" w14:textId="77777777" w:rsidR="00110253" w:rsidRPr="00131EED" w:rsidRDefault="00110253" w:rsidP="00110253">
            <w:pPr>
              <w:jc w:val="right"/>
              <w:rPr>
                <w:color w:val="000000"/>
                <w:sz w:val="20"/>
                <w:szCs w:val="20"/>
                <w:lang w:eastAsia="en-US"/>
              </w:rPr>
            </w:pPr>
            <w:r w:rsidRPr="00131EED">
              <w:rPr>
                <w:color w:val="000000"/>
                <w:sz w:val="20"/>
                <w:szCs w:val="20"/>
                <w:lang w:eastAsia="en-US"/>
              </w:rPr>
              <w:t>13.097993</w:t>
            </w:r>
          </w:p>
        </w:tc>
        <w:tc>
          <w:tcPr>
            <w:tcW w:w="2127" w:type="dxa"/>
            <w:tcBorders>
              <w:top w:val="nil"/>
              <w:left w:val="nil"/>
              <w:bottom w:val="single" w:sz="4" w:space="0" w:color="auto"/>
              <w:right w:val="single" w:sz="4" w:space="0" w:color="auto"/>
            </w:tcBorders>
            <w:noWrap/>
            <w:vAlign w:val="bottom"/>
            <w:hideMark/>
          </w:tcPr>
          <w:p w14:paraId="2D317D37" w14:textId="77777777" w:rsidR="00110253" w:rsidRPr="00131EED" w:rsidRDefault="00110253" w:rsidP="00110253">
            <w:pPr>
              <w:jc w:val="right"/>
              <w:rPr>
                <w:color w:val="000000"/>
                <w:sz w:val="20"/>
                <w:szCs w:val="20"/>
                <w:lang w:eastAsia="en-US"/>
              </w:rPr>
            </w:pPr>
            <w:r w:rsidRPr="00131EED">
              <w:rPr>
                <w:color w:val="000000"/>
                <w:sz w:val="20"/>
                <w:szCs w:val="20"/>
                <w:lang w:eastAsia="en-US"/>
              </w:rPr>
              <w:t>0.11%</w:t>
            </w:r>
          </w:p>
        </w:tc>
      </w:tr>
      <w:tr w:rsidR="00110253" w:rsidRPr="00131EED" w14:paraId="21041477"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5A9A9303"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Chocontá</w:t>
            </w:r>
          </w:p>
        </w:tc>
        <w:tc>
          <w:tcPr>
            <w:tcW w:w="1417" w:type="dxa"/>
            <w:tcBorders>
              <w:top w:val="nil"/>
              <w:left w:val="nil"/>
              <w:bottom w:val="single" w:sz="4" w:space="0" w:color="auto"/>
              <w:right w:val="single" w:sz="4" w:space="0" w:color="auto"/>
            </w:tcBorders>
            <w:noWrap/>
            <w:vAlign w:val="bottom"/>
            <w:hideMark/>
          </w:tcPr>
          <w:p w14:paraId="7706C768" w14:textId="77777777" w:rsidR="00110253" w:rsidRPr="00131EED" w:rsidRDefault="00110253" w:rsidP="00110253">
            <w:pPr>
              <w:jc w:val="right"/>
              <w:rPr>
                <w:color w:val="000000"/>
                <w:sz w:val="20"/>
                <w:szCs w:val="20"/>
                <w:lang w:eastAsia="en-US"/>
              </w:rPr>
            </w:pPr>
            <w:r w:rsidRPr="00131EED">
              <w:rPr>
                <w:color w:val="000000"/>
                <w:sz w:val="20"/>
                <w:szCs w:val="20"/>
                <w:lang w:eastAsia="en-US"/>
              </w:rPr>
              <w:t>12.615009</w:t>
            </w:r>
          </w:p>
        </w:tc>
        <w:tc>
          <w:tcPr>
            <w:tcW w:w="2127" w:type="dxa"/>
            <w:tcBorders>
              <w:top w:val="nil"/>
              <w:left w:val="nil"/>
              <w:bottom w:val="single" w:sz="4" w:space="0" w:color="auto"/>
              <w:right w:val="single" w:sz="4" w:space="0" w:color="auto"/>
            </w:tcBorders>
            <w:noWrap/>
            <w:vAlign w:val="bottom"/>
            <w:hideMark/>
          </w:tcPr>
          <w:p w14:paraId="5A1CE182" w14:textId="77777777" w:rsidR="00110253" w:rsidRPr="00131EED" w:rsidRDefault="00110253" w:rsidP="00110253">
            <w:pPr>
              <w:jc w:val="right"/>
              <w:rPr>
                <w:color w:val="000000"/>
                <w:sz w:val="20"/>
                <w:szCs w:val="20"/>
                <w:lang w:eastAsia="en-US"/>
              </w:rPr>
            </w:pPr>
            <w:r w:rsidRPr="00131EED">
              <w:rPr>
                <w:color w:val="000000"/>
                <w:sz w:val="20"/>
                <w:szCs w:val="20"/>
                <w:lang w:eastAsia="en-US"/>
              </w:rPr>
              <w:t>0.05%</w:t>
            </w:r>
          </w:p>
        </w:tc>
      </w:tr>
      <w:tr w:rsidR="00110253" w:rsidRPr="00131EED" w14:paraId="6EA6D162"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3491E3B6"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La Calera</w:t>
            </w:r>
          </w:p>
        </w:tc>
        <w:tc>
          <w:tcPr>
            <w:tcW w:w="1417" w:type="dxa"/>
            <w:tcBorders>
              <w:top w:val="nil"/>
              <w:left w:val="nil"/>
              <w:bottom w:val="single" w:sz="4" w:space="0" w:color="auto"/>
              <w:right w:val="single" w:sz="4" w:space="0" w:color="auto"/>
            </w:tcBorders>
            <w:noWrap/>
            <w:vAlign w:val="bottom"/>
            <w:hideMark/>
          </w:tcPr>
          <w:p w14:paraId="5BD985B9" w14:textId="77777777" w:rsidR="00110253" w:rsidRPr="00131EED" w:rsidRDefault="00110253" w:rsidP="00110253">
            <w:pPr>
              <w:jc w:val="right"/>
              <w:rPr>
                <w:color w:val="000000"/>
                <w:sz w:val="20"/>
                <w:szCs w:val="20"/>
                <w:lang w:eastAsia="en-US"/>
              </w:rPr>
            </w:pPr>
            <w:r w:rsidRPr="00131EED">
              <w:rPr>
                <w:color w:val="000000"/>
                <w:sz w:val="20"/>
                <w:szCs w:val="20"/>
                <w:lang w:eastAsia="en-US"/>
              </w:rPr>
              <w:t>11.877164</w:t>
            </w:r>
          </w:p>
        </w:tc>
        <w:tc>
          <w:tcPr>
            <w:tcW w:w="2127" w:type="dxa"/>
            <w:tcBorders>
              <w:top w:val="nil"/>
              <w:left w:val="nil"/>
              <w:bottom w:val="single" w:sz="4" w:space="0" w:color="auto"/>
              <w:right w:val="single" w:sz="4" w:space="0" w:color="auto"/>
            </w:tcBorders>
            <w:noWrap/>
            <w:vAlign w:val="bottom"/>
            <w:hideMark/>
          </w:tcPr>
          <w:p w14:paraId="42EBE46C" w14:textId="77777777" w:rsidR="00110253" w:rsidRPr="00131EED" w:rsidRDefault="00110253" w:rsidP="00110253">
            <w:pPr>
              <w:jc w:val="right"/>
              <w:rPr>
                <w:color w:val="000000"/>
                <w:sz w:val="20"/>
                <w:szCs w:val="20"/>
                <w:lang w:eastAsia="en-US"/>
              </w:rPr>
            </w:pPr>
            <w:r w:rsidRPr="00131EED">
              <w:rPr>
                <w:color w:val="000000"/>
                <w:sz w:val="20"/>
                <w:szCs w:val="20"/>
                <w:lang w:eastAsia="en-US"/>
              </w:rPr>
              <w:t>0.06%</w:t>
            </w:r>
          </w:p>
        </w:tc>
      </w:tr>
      <w:tr w:rsidR="00110253" w:rsidRPr="00131EED" w14:paraId="5FEB066D"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10BB87C1"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Madrid</w:t>
            </w:r>
          </w:p>
        </w:tc>
        <w:tc>
          <w:tcPr>
            <w:tcW w:w="1417" w:type="dxa"/>
            <w:tcBorders>
              <w:top w:val="nil"/>
              <w:left w:val="nil"/>
              <w:bottom w:val="single" w:sz="4" w:space="0" w:color="auto"/>
              <w:right w:val="single" w:sz="4" w:space="0" w:color="auto"/>
            </w:tcBorders>
            <w:noWrap/>
            <w:vAlign w:val="bottom"/>
            <w:hideMark/>
          </w:tcPr>
          <w:p w14:paraId="0553A101" w14:textId="77777777" w:rsidR="00110253" w:rsidRPr="00131EED" w:rsidRDefault="00110253" w:rsidP="00110253">
            <w:pPr>
              <w:jc w:val="right"/>
              <w:rPr>
                <w:color w:val="000000"/>
                <w:sz w:val="20"/>
                <w:szCs w:val="20"/>
                <w:lang w:eastAsia="en-US"/>
              </w:rPr>
            </w:pPr>
            <w:r w:rsidRPr="00131EED">
              <w:rPr>
                <w:color w:val="000000"/>
                <w:sz w:val="20"/>
                <w:szCs w:val="20"/>
                <w:lang w:eastAsia="en-US"/>
              </w:rPr>
              <w:t>6.235548</w:t>
            </w:r>
          </w:p>
        </w:tc>
        <w:tc>
          <w:tcPr>
            <w:tcW w:w="2127" w:type="dxa"/>
            <w:tcBorders>
              <w:top w:val="nil"/>
              <w:left w:val="nil"/>
              <w:bottom w:val="single" w:sz="4" w:space="0" w:color="auto"/>
              <w:right w:val="single" w:sz="4" w:space="0" w:color="auto"/>
            </w:tcBorders>
            <w:noWrap/>
            <w:vAlign w:val="bottom"/>
            <w:hideMark/>
          </w:tcPr>
          <w:p w14:paraId="74544514" w14:textId="77777777" w:rsidR="00110253" w:rsidRPr="00131EED" w:rsidRDefault="00110253" w:rsidP="00110253">
            <w:pPr>
              <w:jc w:val="right"/>
              <w:rPr>
                <w:color w:val="000000"/>
                <w:sz w:val="20"/>
                <w:szCs w:val="20"/>
                <w:lang w:eastAsia="en-US"/>
              </w:rPr>
            </w:pPr>
            <w:r w:rsidRPr="00131EED">
              <w:rPr>
                <w:color w:val="000000"/>
                <w:sz w:val="20"/>
                <w:szCs w:val="20"/>
                <w:lang w:eastAsia="en-US"/>
              </w:rPr>
              <w:t>0.05%</w:t>
            </w:r>
          </w:p>
        </w:tc>
      </w:tr>
      <w:tr w:rsidR="00110253" w:rsidRPr="00131EED" w14:paraId="18F89D6D"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56626EAB"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Nemocón</w:t>
            </w:r>
          </w:p>
        </w:tc>
        <w:tc>
          <w:tcPr>
            <w:tcW w:w="1417" w:type="dxa"/>
            <w:tcBorders>
              <w:top w:val="nil"/>
              <w:left w:val="nil"/>
              <w:bottom w:val="single" w:sz="4" w:space="0" w:color="auto"/>
              <w:right w:val="single" w:sz="4" w:space="0" w:color="auto"/>
            </w:tcBorders>
            <w:noWrap/>
            <w:vAlign w:val="bottom"/>
            <w:hideMark/>
          </w:tcPr>
          <w:p w14:paraId="193C859E" w14:textId="77777777" w:rsidR="00110253" w:rsidRPr="00131EED" w:rsidRDefault="00110253" w:rsidP="00110253">
            <w:pPr>
              <w:jc w:val="right"/>
              <w:rPr>
                <w:color w:val="000000"/>
                <w:sz w:val="20"/>
                <w:szCs w:val="20"/>
                <w:lang w:eastAsia="en-US"/>
              </w:rPr>
            </w:pPr>
            <w:r w:rsidRPr="00131EED">
              <w:rPr>
                <w:color w:val="000000"/>
                <w:sz w:val="20"/>
                <w:szCs w:val="20"/>
                <w:lang w:eastAsia="en-US"/>
              </w:rPr>
              <w:t>5.894466</w:t>
            </w:r>
          </w:p>
        </w:tc>
        <w:tc>
          <w:tcPr>
            <w:tcW w:w="2127" w:type="dxa"/>
            <w:tcBorders>
              <w:top w:val="nil"/>
              <w:left w:val="nil"/>
              <w:bottom w:val="single" w:sz="4" w:space="0" w:color="auto"/>
              <w:right w:val="single" w:sz="4" w:space="0" w:color="auto"/>
            </w:tcBorders>
            <w:noWrap/>
            <w:vAlign w:val="bottom"/>
            <w:hideMark/>
          </w:tcPr>
          <w:p w14:paraId="41DEBCAA" w14:textId="77777777" w:rsidR="00110253" w:rsidRPr="00131EED" w:rsidRDefault="00110253" w:rsidP="00110253">
            <w:pPr>
              <w:jc w:val="right"/>
              <w:rPr>
                <w:color w:val="000000"/>
                <w:sz w:val="20"/>
                <w:szCs w:val="20"/>
                <w:lang w:eastAsia="en-US"/>
              </w:rPr>
            </w:pPr>
            <w:r w:rsidRPr="00131EED">
              <w:rPr>
                <w:color w:val="000000"/>
                <w:sz w:val="20"/>
                <w:szCs w:val="20"/>
                <w:lang w:eastAsia="en-US"/>
              </w:rPr>
              <w:t>0.06%</w:t>
            </w:r>
          </w:p>
        </w:tc>
      </w:tr>
      <w:tr w:rsidR="00110253" w:rsidRPr="00131EED" w14:paraId="62ECC3E8"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14BC2602"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Tabio</w:t>
            </w:r>
          </w:p>
        </w:tc>
        <w:tc>
          <w:tcPr>
            <w:tcW w:w="1417" w:type="dxa"/>
            <w:tcBorders>
              <w:top w:val="nil"/>
              <w:left w:val="nil"/>
              <w:bottom w:val="single" w:sz="4" w:space="0" w:color="auto"/>
              <w:right w:val="single" w:sz="4" w:space="0" w:color="auto"/>
            </w:tcBorders>
            <w:noWrap/>
            <w:vAlign w:val="bottom"/>
            <w:hideMark/>
          </w:tcPr>
          <w:p w14:paraId="110AD22D" w14:textId="77777777" w:rsidR="00110253" w:rsidRPr="00131EED" w:rsidRDefault="00110253" w:rsidP="00110253">
            <w:pPr>
              <w:jc w:val="right"/>
              <w:rPr>
                <w:color w:val="000000"/>
                <w:sz w:val="20"/>
                <w:szCs w:val="20"/>
                <w:lang w:eastAsia="en-US"/>
              </w:rPr>
            </w:pPr>
            <w:r w:rsidRPr="00131EED">
              <w:rPr>
                <w:color w:val="000000"/>
                <w:sz w:val="20"/>
                <w:szCs w:val="20"/>
                <w:lang w:eastAsia="en-US"/>
              </w:rPr>
              <w:t>5.415765</w:t>
            </w:r>
          </w:p>
        </w:tc>
        <w:tc>
          <w:tcPr>
            <w:tcW w:w="2127" w:type="dxa"/>
            <w:tcBorders>
              <w:top w:val="nil"/>
              <w:left w:val="nil"/>
              <w:bottom w:val="single" w:sz="4" w:space="0" w:color="auto"/>
              <w:right w:val="single" w:sz="4" w:space="0" w:color="auto"/>
            </w:tcBorders>
            <w:noWrap/>
            <w:vAlign w:val="bottom"/>
            <w:hideMark/>
          </w:tcPr>
          <w:p w14:paraId="672DCBB5" w14:textId="77777777" w:rsidR="00110253" w:rsidRPr="00131EED" w:rsidRDefault="00110253" w:rsidP="00110253">
            <w:pPr>
              <w:jc w:val="right"/>
              <w:rPr>
                <w:color w:val="000000"/>
                <w:sz w:val="20"/>
                <w:szCs w:val="20"/>
                <w:lang w:eastAsia="en-US"/>
              </w:rPr>
            </w:pPr>
            <w:r w:rsidRPr="00131EED">
              <w:rPr>
                <w:color w:val="000000"/>
                <w:sz w:val="20"/>
                <w:szCs w:val="20"/>
                <w:lang w:eastAsia="en-US"/>
              </w:rPr>
              <w:t>0.07%</w:t>
            </w:r>
          </w:p>
        </w:tc>
      </w:tr>
      <w:tr w:rsidR="00110253" w:rsidRPr="00131EED" w14:paraId="29BB3384"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30247D5D"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Guatavita</w:t>
            </w:r>
          </w:p>
        </w:tc>
        <w:tc>
          <w:tcPr>
            <w:tcW w:w="1417" w:type="dxa"/>
            <w:tcBorders>
              <w:top w:val="nil"/>
              <w:left w:val="nil"/>
              <w:bottom w:val="single" w:sz="4" w:space="0" w:color="auto"/>
              <w:right w:val="single" w:sz="4" w:space="0" w:color="auto"/>
            </w:tcBorders>
            <w:noWrap/>
            <w:vAlign w:val="bottom"/>
            <w:hideMark/>
          </w:tcPr>
          <w:p w14:paraId="02EA29B6" w14:textId="77777777" w:rsidR="00110253" w:rsidRPr="00131EED" w:rsidRDefault="00110253" w:rsidP="00110253">
            <w:pPr>
              <w:jc w:val="right"/>
              <w:rPr>
                <w:color w:val="000000"/>
                <w:sz w:val="20"/>
                <w:szCs w:val="20"/>
                <w:lang w:eastAsia="en-US"/>
              </w:rPr>
            </w:pPr>
            <w:r w:rsidRPr="00131EED">
              <w:rPr>
                <w:color w:val="000000"/>
                <w:sz w:val="20"/>
                <w:szCs w:val="20"/>
                <w:lang w:eastAsia="en-US"/>
              </w:rPr>
              <w:t>4.725011</w:t>
            </w:r>
          </w:p>
        </w:tc>
        <w:tc>
          <w:tcPr>
            <w:tcW w:w="2127" w:type="dxa"/>
            <w:tcBorders>
              <w:top w:val="nil"/>
              <w:left w:val="nil"/>
              <w:bottom w:val="single" w:sz="4" w:space="0" w:color="auto"/>
              <w:right w:val="single" w:sz="4" w:space="0" w:color="auto"/>
            </w:tcBorders>
            <w:noWrap/>
            <w:vAlign w:val="bottom"/>
            <w:hideMark/>
          </w:tcPr>
          <w:p w14:paraId="6C4EE52F" w14:textId="77777777" w:rsidR="00110253" w:rsidRPr="00131EED" w:rsidRDefault="00110253" w:rsidP="00110253">
            <w:pPr>
              <w:jc w:val="right"/>
              <w:rPr>
                <w:color w:val="000000"/>
                <w:sz w:val="20"/>
                <w:szCs w:val="20"/>
                <w:lang w:eastAsia="en-US"/>
              </w:rPr>
            </w:pPr>
            <w:r w:rsidRPr="00131EED">
              <w:rPr>
                <w:color w:val="000000"/>
                <w:sz w:val="20"/>
                <w:szCs w:val="20"/>
                <w:lang w:eastAsia="en-US"/>
              </w:rPr>
              <w:t>0.03%</w:t>
            </w:r>
          </w:p>
        </w:tc>
      </w:tr>
      <w:tr w:rsidR="00110253" w:rsidRPr="00131EED" w14:paraId="4C1F25F1"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0DB407AD"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Sesquilé</w:t>
            </w:r>
          </w:p>
        </w:tc>
        <w:tc>
          <w:tcPr>
            <w:tcW w:w="1417" w:type="dxa"/>
            <w:tcBorders>
              <w:top w:val="nil"/>
              <w:left w:val="nil"/>
              <w:bottom w:val="single" w:sz="4" w:space="0" w:color="auto"/>
              <w:right w:val="single" w:sz="4" w:space="0" w:color="auto"/>
            </w:tcBorders>
            <w:noWrap/>
            <w:vAlign w:val="bottom"/>
            <w:hideMark/>
          </w:tcPr>
          <w:p w14:paraId="4E973E94" w14:textId="77777777" w:rsidR="00110253" w:rsidRPr="00131EED" w:rsidRDefault="00110253" w:rsidP="00110253">
            <w:pPr>
              <w:jc w:val="right"/>
              <w:rPr>
                <w:color w:val="000000"/>
                <w:sz w:val="20"/>
                <w:szCs w:val="20"/>
                <w:lang w:eastAsia="en-US"/>
              </w:rPr>
            </w:pPr>
            <w:r w:rsidRPr="00131EED">
              <w:rPr>
                <w:color w:val="000000"/>
                <w:sz w:val="20"/>
                <w:szCs w:val="20"/>
                <w:lang w:eastAsia="en-US"/>
              </w:rPr>
              <w:t>4.014303</w:t>
            </w:r>
          </w:p>
        </w:tc>
        <w:tc>
          <w:tcPr>
            <w:tcW w:w="2127" w:type="dxa"/>
            <w:tcBorders>
              <w:top w:val="nil"/>
              <w:left w:val="nil"/>
              <w:bottom w:val="single" w:sz="4" w:space="0" w:color="auto"/>
              <w:right w:val="single" w:sz="4" w:space="0" w:color="auto"/>
            </w:tcBorders>
            <w:noWrap/>
            <w:vAlign w:val="bottom"/>
            <w:hideMark/>
          </w:tcPr>
          <w:p w14:paraId="1B489F97" w14:textId="77777777" w:rsidR="00110253" w:rsidRPr="00131EED" w:rsidRDefault="00110253" w:rsidP="00110253">
            <w:pPr>
              <w:jc w:val="right"/>
              <w:rPr>
                <w:color w:val="000000"/>
                <w:sz w:val="20"/>
                <w:szCs w:val="20"/>
                <w:lang w:eastAsia="en-US"/>
              </w:rPr>
            </w:pPr>
            <w:r w:rsidRPr="00131EED">
              <w:rPr>
                <w:color w:val="000000"/>
                <w:sz w:val="20"/>
                <w:szCs w:val="20"/>
                <w:lang w:eastAsia="en-US"/>
              </w:rPr>
              <w:t>0.03%</w:t>
            </w:r>
          </w:p>
        </w:tc>
      </w:tr>
      <w:tr w:rsidR="00110253" w:rsidRPr="00131EED" w14:paraId="61BD9B0B"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61FF7055"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Tocancipá</w:t>
            </w:r>
          </w:p>
        </w:tc>
        <w:tc>
          <w:tcPr>
            <w:tcW w:w="1417" w:type="dxa"/>
            <w:tcBorders>
              <w:top w:val="nil"/>
              <w:left w:val="nil"/>
              <w:bottom w:val="single" w:sz="4" w:space="0" w:color="auto"/>
              <w:right w:val="single" w:sz="4" w:space="0" w:color="auto"/>
            </w:tcBorders>
            <w:noWrap/>
            <w:vAlign w:val="bottom"/>
            <w:hideMark/>
          </w:tcPr>
          <w:p w14:paraId="1F85484B" w14:textId="77777777" w:rsidR="00110253" w:rsidRPr="00131EED" w:rsidRDefault="00110253" w:rsidP="00110253">
            <w:pPr>
              <w:jc w:val="right"/>
              <w:rPr>
                <w:color w:val="000000"/>
                <w:sz w:val="20"/>
                <w:szCs w:val="20"/>
                <w:lang w:eastAsia="en-US"/>
              </w:rPr>
            </w:pPr>
            <w:r w:rsidRPr="00131EED">
              <w:rPr>
                <w:color w:val="000000"/>
                <w:sz w:val="20"/>
                <w:szCs w:val="20"/>
                <w:lang w:eastAsia="en-US"/>
              </w:rPr>
              <w:t>0.711284</w:t>
            </w:r>
          </w:p>
        </w:tc>
        <w:tc>
          <w:tcPr>
            <w:tcW w:w="2127" w:type="dxa"/>
            <w:tcBorders>
              <w:top w:val="nil"/>
              <w:left w:val="nil"/>
              <w:bottom w:val="single" w:sz="4" w:space="0" w:color="auto"/>
              <w:right w:val="single" w:sz="4" w:space="0" w:color="auto"/>
            </w:tcBorders>
            <w:noWrap/>
            <w:vAlign w:val="bottom"/>
            <w:hideMark/>
          </w:tcPr>
          <w:p w14:paraId="57332FCC" w14:textId="77777777" w:rsidR="00110253" w:rsidRPr="00131EED" w:rsidRDefault="00110253" w:rsidP="00110253">
            <w:pPr>
              <w:jc w:val="right"/>
              <w:rPr>
                <w:color w:val="000000"/>
                <w:sz w:val="20"/>
                <w:szCs w:val="20"/>
                <w:lang w:eastAsia="en-US"/>
              </w:rPr>
            </w:pPr>
            <w:r w:rsidRPr="00131EED">
              <w:rPr>
                <w:color w:val="000000"/>
                <w:sz w:val="20"/>
                <w:szCs w:val="20"/>
                <w:lang w:eastAsia="en-US"/>
              </w:rPr>
              <w:t>0.01%</w:t>
            </w:r>
          </w:p>
        </w:tc>
      </w:tr>
      <w:tr w:rsidR="00110253" w:rsidRPr="00131EED" w14:paraId="7F983387"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41F1F174" w14:textId="77777777" w:rsidR="00110253" w:rsidRPr="00131EED" w:rsidRDefault="00110253" w:rsidP="00110253">
            <w:pPr>
              <w:jc w:val="left"/>
              <w:rPr>
                <w:b/>
                <w:color w:val="000000"/>
                <w:sz w:val="20"/>
                <w:szCs w:val="20"/>
                <w:lang w:eastAsia="en-US"/>
              </w:rPr>
            </w:pPr>
            <w:r w:rsidRPr="00131EED">
              <w:rPr>
                <w:b/>
                <w:color w:val="000000"/>
                <w:sz w:val="20"/>
                <w:szCs w:val="20"/>
                <w:lang w:eastAsia="en-US"/>
              </w:rPr>
              <w:t>Subachoque</w:t>
            </w:r>
          </w:p>
        </w:tc>
        <w:tc>
          <w:tcPr>
            <w:tcW w:w="1417" w:type="dxa"/>
            <w:tcBorders>
              <w:top w:val="nil"/>
              <w:left w:val="nil"/>
              <w:bottom w:val="single" w:sz="4" w:space="0" w:color="auto"/>
              <w:right w:val="single" w:sz="4" w:space="0" w:color="auto"/>
            </w:tcBorders>
            <w:noWrap/>
            <w:vAlign w:val="bottom"/>
            <w:hideMark/>
          </w:tcPr>
          <w:p w14:paraId="79C8BDAA" w14:textId="77777777" w:rsidR="00110253" w:rsidRPr="00131EED" w:rsidRDefault="00110253" w:rsidP="00110253">
            <w:pPr>
              <w:jc w:val="right"/>
              <w:rPr>
                <w:color w:val="000000"/>
                <w:sz w:val="20"/>
                <w:szCs w:val="20"/>
                <w:lang w:eastAsia="en-US"/>
              </w:rPr>
            </w:pPr>
            <w:r w:rsidRPr="00131EED">
              <w:rPr>
                <w:color w:val="000000"/>
                <w:sz w:val="20"/>
                <w:szCs w:val="20"/>
                <w:lang w:eastAsia="en-US"/>
              </w:rPr>
              <w:t>0.085796</w:t>
            </w:r>
          </w:p>
        </w:tc>
        <w:tc>
          <w:tcPr>
            <w:tcW w:w="2127" w:type="dxa"/>
            <w:tcBorders>
              <w:top w:val="nil"/>
              <w:left w:val="nil"/>
              <w:bottom w:val="single" w:sz="4" w:space="0" w:color="auto"/>
              <w:right w:val="single" w:sz="4" w:space="0" w:color="auto"/>
            </w:tcBorders>
            <w:noWrap/>
            <w:vAlign w:val="bottom"/>
            <w:hideMark/>
          </w:tcPr>
          <w:p w14:paraId="25210A63" w14:textId="77777777" w:rsidR="00110253" w:rsidRPr="00131EED" w:rsidRDefault="00110253" w:rsidP="00110253">
            <w:pPr>
              <w:jc w:val="right"/>
              <w:rPr>
                <w:color w:val="000000"/>
                <w:sz w:val="20"/>
                <w:szCs w:val="20"/>
                <w:lang w:eastAsia="en-US"/>
              </w:rPr>
            </w:pPr>
            <w:r w:rsidRPr="00131EED">
              <w:rPr>
                <w:color w:val="000000"/>
                <w:sz w:val="20"/>
                <w:szCs w:val="20"/>
                <w:lang w:eastAsia="en-US"/>
              </w:rPr>
              <w:t>0.00%</w:t>
            </w:r>
          </w:p>
        </w:tc>
      </w:tr>
      <w:tr w:rsidR="00110253" w:rsidRPr="00131EED" w14:paraId="6C11EC95" w14:textId="77777777" w:rsidTr="00970D45">
        <w:trPr>
          <w:trHeight w:val="288"/>
        </w:trPr>
        <w:tc>
          <w:tcPr>
            <w:tcW w:w="2126" w:type="dxa"/>
            <w:tcBorders>
              <w:top w:val="nil"/>
              <w:left w:val="single" w:sz="4" w:space="0" w:color="auto"/>
              <w:bottom w:val="single" w:sz="4" w:space="0" w:color="auto"/>
              <w:right w:val="single" w:sz="4" w:space="0" w:color="auto"/>
            </w:tcBorders>
            <w:noWrap/>
            <w:vAlign w:val="bottom"/>
            <w:hideMark/>
          </w:tcPr>
          <w:p w14:paraId="0CFDD1C2" w14:textId="77777777" w:rsidR="00110253" w:rsidRPr="00131EED" w:rsidRDefault="00110253" w:rsidP="00D65CF0">
            <w:pPr>
              <w:jc w:val="right"/>
              <w:rPr>
                <w:b/>
                <w:color w:val="000000"/>
                <w:sz w:val="20"/>
                <w:szCs w:val="20"/>
                <w:lang w:eastAsia="en-US"/>
              </w:rPr>
            </w:pPr>
            <w:r w:rsidRPr="00131EED">
              <w:rPr>
                <w:b/>
                <w:color w:val="000000"/>
                <w:sz w:val="20"/>
                <w:szCs w:val="20"/>
                <w:lang w:eastAsia="en-US"/>
              </w:rPr>
              <w:t>Total</w:t>
            </w:r>
          </w:p>
        </w:tc>
        <w:tc>
          <w:tcPr>
            <w:tcW w:w="1417" w:type="dxa"/>
            <w:tcBorders>
              <w:top w:val="nil"/>
              <w:left w:val="nil"/>
              <w:bottom w:val="single" w:sz="4" w:space="0" w:color="auto"/>
              <w:right w:val="single" w:sz="4" w:space="0" w:color="auto"/>
            </w:tcBorders>
            <w:noWrap/>
            <w:vAlign w:val="bottom"/>
            <w:hideMark/>
          </w:tcPr>
          <w:p w14:paraId="0064C1F1" w14:textId="77777777" w:rsidR="00110253" w:rsidRPr="00131EED" w:rsidRDefault="00110253" w:rsidP="00110253">
            <w:pPr>
              <w:jc w:val="right"/>
              <w:rPr>
                <w:color w:val="000000"/>
                <w:sz w:val="20"/>
                <w:szCs w:val="20"/>
                <w:lang w:eastAsia="en-US"/>
              </w:rPr>
            </w:pPr>
            <w:r w:rsidRPr="00131EED">
              <w:rPr>
                <w:color w:val="000000"/>
                <w:sz w:val="20"/>
                <w:szCs w:val="20"/>
                <w:lang w:eastAsia="en-US"/>
              </w:rPr>
              <w:t>2109.131637</w:t>
            </w:r>
          </w:p>
        </w:tc>
        <w:tc>
          <w:tcPr>
            <w:tcW w:w="2127" w:type="dxa"/>
            <w:tcBorders>
              <w:top w:val="nil"/>
              <w:left w:val="nil"/>
              <w:bottom w:val="single" w:sz="4" w:space="0" w:color="auto"/>
              <w:right w:val="single" w:sz="4" w:space="0" w:color="auto"/>
            </w:tcBorders>
            <w:noWrap/>
            <w:vAlign w:val="bottom"/>
            <w:hideMark/>
          </w:tcPr>
          <w:p w14:paraId="3470F273" w14:textId="77777777" w:rsidR="00110253" w:rsidRPr="00131EED" w:rsidRDefault="00110253" w:rsidP="00110253">
            <w:pPr>
              <w:jc w:val="right"/>
              <w:rPr>
                <w:color w:val="000000"/>
                <w:sz w:val="20"/>
                <w:szCs w:val="20"/>
                <w:lang w:eastAsia="en-US"/>
              </w:rPr>
            </w:pPr>
            <w:r w:rsidRPr="00131EED">
              <w:rPr>
                <w:color w:val="000000"/>
                <w:sz w:val="20"/>
                <w:szCs w:val="20"/>
                <w:lang w:eastAsia="en-US"/>
              </w:rPr>
              <w:t>10.54%</w:t>
            </w:r>
          </w:p>
        </w:tc>
      </w:tr>
    </w:tbl>
    <w:p w14:paraId="18FA090F" w14:textId="77777777" w:rsidR="00286E89" w:rsidRPr="00131EED" w:rsidRDefault="00286E89" w:rsidP="00286E89">
      <w:pPr>
        <w:jc w:val="center"/>
        <w:rPr>
          <w:sz w:val="20"/>
          <w:szCs w:val="20"/>
        </w:rPr>
      </w:pPr>
      <w:r w:rsidRPr="00131EED">
        <w:rPr>
          <w:sz w:val="20"/>
          <w:szCs w:val="20"/>
        </w:rPr>
        <w:t>Fuente: MinAmbiente (2025)</w:t>
      </w:r>
    </w:p>
    <w:p w14:paraId="7E2AD03B" w14:textId="77777777" w:rsidR="00286E89" w:rsidRPr="00131EED" w:rsidRDefault="00286E89" w:rsidP="00222A07">
      <w:pPr>
        <w:rPr>
          <w:rFonts w:cs="Arial"/>
        </w:rPr>
      </w:pPr>
    </w:p>
    <w:p w14:paraId="32FAF82D" w14:textId="05793692" w:rsidR="00222A07" w:rsidRPr="00131EED" w:rsidRDefault="00222A07" w:rsidP="00222A07">
      <w:pPr>
        <w:rPr>
          <w:rFonts w:cs="Arial"/>
        </w:rPr>
      </w:pPr>
      <w:r w:rsidRPr="00131EED">
        <w:rPr>
          <w:rFonts w:cs="Arial"/>
        </w:rPr>
        <w:t>Para el año 2018</w:t>
      </w:r>
      <w:r w:rsidR="006E2DDF" w:rsidRPr="00131EED">
        <w:rPr>
          <w:rFonts w:cs="Arial"/>
        </w:rPr>
        <w:t xml:space="preserve">, se tuvo un total de </w:t>
      </w:r>
      <w:r w:rsidR="00CB146C" w:rsidRPr="00131EED">
        <w:rPr>
          <w:rFonts w:cs="Arial"/>
        </w:rPr>
        <w:t>16.719 ha + 6023 m2</w:t>
      </w:r>
      <w:r w:rsidR="006E2DDF" w:rsidRPr="00131EED">
        <w:rPr>
          <w:rFonts w:cs="Arial"/>
        </w:rPr>
        <w:t xml:space="preserve"> </w:t>
      </w:r>
      <w:r w:rsidRPr="00131EED">
        <w:rPr>
          <w:rFonts w:cs="Arial"/>
        </w:rPr>
        <w:t>de áreas artificializadas se concentraron en suelos de Clase II</w:t>
      </w:r>
      <w:r w:rsidR="0028711A" w:rsidRPr="00131EED">
        <w:rPr>
          <w:rFonts w:cs="Arial"/>
        </w:rPr>
        <w:t>, III</w:t>
      </w:r>
      <w:r w:rsidR="007856D9" w:rsidRPr="00131EED">
        <w:rPr>
          <w:rFonts w:cs="Arial"/>
        </w:rPr>
        <w:t xml:space="preserve"> y</w:t>
      </w:r>
      <w:r w:rsidR="0028711A" w:rsidRPr="00131EED">
        <w:rPr>
          <w:rFonts w:cs="Arial"/>
        </w:rPr>
        <w:t xml:space="preserve"> IV</w:t>
      </w:r>
      <w:r w:rsidRPr="00131EED">
        <w:rPr>
          <w:rFonts w:cs="Arial"/>
        </w:rPr>
        <w:t xml:space="preserve">, así mismo los entes territoriales con mayor área artificializada sobre </w:t>
      </w:r>
      <w:r w:rsidR="0028711A" w:rsidRPr="00131EED">
        <w:rPr>
          <w:rFonts w:cs="Arial"/>
        </w:rPr>
        <w:t xml:space="preserve">el </w:t>
      </w:r>
      <w:r w:rsidRPr="00131EED">
        <w:rPr>
          <w:rFonts w:cs="Arial"/>
        </w:rPr>
        <w:t>suelo son Chía, Bogotá D.C. y Facatativá.</w:t>
      </w:r>
    </w:p>
    <w:p w14:paraId="25B12D13" w14:textId="77777777" w:rsidR="00F425D1" w:rsidRPr="00131EED" w:rsidRDefault="00F425D1" w:rsidP="00565CA7">
      <w:pPr>
        <w:rPr>
          <w:rFonts w:cs="Arial"/>
        </w:rPr>
      </w:pPr>
    </w:p>
    <w:p w14:paraId="757DDF46" w14:textId="57874EB9" w:rsidR="003A3BE0" w:rsidRPr="00131EED" w:rsidRDefault="003A3BE0" w:rsidP="003A3BE0">
      <w:pPr>
        <w:pStyle w:val="Caption"/>
        <w:keepNext/>
        <w:jc w:val="center"/>
      </w:pPr>
      <w:bookmarkStart w:id="360" w:name="_Toc216468976"/>
      <w:r w:rsidRPr="00131EED">
        <w:t xml:space="preserve">Tabla </w:t>
      </w:r>
      <w:fldSimple w:instr=" SEQ Tabla \* ARABIC ">
        <w:r w:rsidR="00CE096F">
          <w:rPr>
            <w:noProof/>
          </w:rPr>
          <w:t>66</w:t>
        </w:r>
      </w:fldSimple>
      <w:r w:rsidRPr="00131EED">
        <w:t>. Áreas artificializadas en suelos de clase II, III</w:t>
      </w:r>
      <w:r w:rsidR="007856D9" w:rsidRPr="00131EED">
        <w:t xml:space="preserve"> y</w:t>
      </w:r>
      <w:r w:rsidRPr="00131EED">
        <w:t xml:space="preserve"> IV durante el año 2018.</w:t>
      </w:r>
      <w:bookmarkEnd w:id="360"/>
    </w:p>
    <w:tbl>
      <w:tblPr>
        <w:tblW w:w="5812" w:type="dxa"/>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7"/>
        <w:gridCol w:w="2127"/>
      </w:tblGrid>
      <w:tr w:rsidR="006E4E0A" w:rsidRPr="00131EED" w14:paraId="6D7E63B7" w14:textId="77777777" w:rsidTr="00F425D1">
        <w:trPr>
          <w:trHeight w:val="288"/>
        </w:trPr>
        <w:tc>
          <w:tcPr>
            <w:tcW w:w="5812" w:type="dxa"/>
            <w:gridSpan w:val="3"/>
            <w:noWrap/>
            <w:vAlign w:val="center"/>
            <w:hideMark/>
          </w:tcPr>
          <w:p w14:paraId="651EE685" w14:textId="628EACF9" w:rsidR="006E4E0A" w:rsidRPr="00131EED" w:rsidRDefault="006E4E0A" w:rsidP="006E4E0A">
            <w:pPr>
              <w:jc w:val="center"/>
              <w:rPr>
                <w:b/>
                <w:color w:val="000000"/>
                <w:sz w:val="20"/>
                <w:szCs w:val="20"/>
                <w:lang w:eastAsia="en-US"/>
              </w:rPr>
            </w:pPr>
            <w:r w:rsidRPr="00131EED">
              <w:rPr>
                <w:b/>
                <w:color w:val="000000"/>
                <w:sz w:val="20"/>
                <w:szCs w:val="20"/>
                <w:lang w:eastAsia="en-US"/>
              </w:rPr>
              <w:t>Áreas artificializadas sobre suelos clase II, III</w:t>
            </w:r>
            <w:r w:rsidR="007856D9" w:rsidRPr="00131EED">
              <w:rPr>
                <w:b/>
                <w:color w:val="000000"/>
                <w:sz w:val="20"/>
                <w:szCs w:val="20"/>
                <w:lang w:eastAsia="en-US"/>
              </w:rPr>
              <w:t xml:space="preserve"> y</w:t>
            </w:r>
            <w:r w:rsidRPr="00131EED">
              <w:rPr>
                <w:b/>
                <w:color w:val="000000"/>
                <w:sz w:val="20"/>
                <w:szCs w:val="20"/>
                <w:lang w:eastAsia="en-US"/>
              </w:rPr>
              <w:t xml:space="preserve"> IV - año 2018</w:t>
            </w:r>
          </w:p>
        </w:tc>
      </w:tr>
      <w:tr w:rsidR="006E4E0A" w:rsidRPr="00131EED" w14:paraId="10216D09" w14:textId="77777777" w:rsidTr="00F425D1">
        <w:trPr>
          <w:trHeight w:val="288"/>
        </w:trPr>
        <w:tc>
          <w:tcPr>
            <w:tcW w:w="2268" w:type="dxa"/>
            <w:noWrap/>
            <w:vAlign w:val="center"/>
            <w:hideMark/>
          </w:tcPr>
          <w:p w14:paraId="24C456CC" w14:textId="77777777" w:rsidR="006E4E0A" w:rsidRPr="00131EED" w:rsidRDefault="006E4E0A" w:rsidP="006E4E0A">
            <w:pPr>
              <w:jc w:val="center"/>
              <w:rPr>
                <w:b/>
                <w:color w:val="000000"/>
                <w:sz w:val="20"/>
                <w:szCs w:val="20"/>
                <w:lang w:eastAsia="en-US"/>
              </w:rPr>
            </w:pPr>
            <w:r w:rsidRPr="00131EED">
              <w:rPr>
                <w:b/>
                <w:color w:val="000000"/>
                <w:sz w:val="20"/>
                <w:szCs w:val="20"/>
                <w:lang w:eastAsia="en-US"/>
              </w:rPr>
              <w:t>Municipio</w:t>
            </w:r>
          </w:p>
        </w:tc>
        <w:tc>
          <w:tcPr>
            <w:tcW w:w="1417" w:type="dxa"/>
            <w:noWrap/>
            <w:vAlign w:val="center"/>
            <w:hideMark/>
          </w:tcPr>
          <w:p w14:paraId="1B429891" w14:textId="77777777" w:rsidR="006E4E0A" w:rsidRPr="00131EED" w:rsidRDefault="006E4E0A" w:rsidP="006E4E0A">
            <w:pPr>
              <w:jc w:val="center"/>
              <w:rPr>
                <w:b/>
                <w:color w:val="000000"/>
                <w:sz w:val="20"/>
                <w:szCs w:val="20"/>
                <w:lang w:eastAsia="en-US"/>
              </w:rPr>
            </w:pPr>
            <w:r w:rsidRPr="00131EED">
              <w:rPr>
                <w:b/>
                <w:color w:val="000000"/>
                <w:sz w:val="20"/>
                <w:szCs w:val="20"/>
                <w:lang w:eastAsia="en-US"/>
              </w:rPr>
              <w:t>Área Artificializada (ha)</w:t>
            </w:r>
          </w:p>
        </w:tc>
        <w:tc>
          <w:tcPr>
            <w:tcW w:w="2127" w:type="dxa"/>
            <w:noWrap/>
            <w:vAlign w:val="center"/>
            <w:hideMark/>
          </w:tcPr>
          <w:p w14:paraId="64E3BEF3" w14:textId="77777777" w:rsidR="006E4E0A" w:rsidRPr="00131EED" w:rsidRDefault="006E4E0A" w:rsidP="006E4E0A">
            <w:pPr>
              <w:jc w:val="center"/>
              <w:rPr>
                <w:b/>
                <w:color w:val="000000"/>
                <w:sz w:val="20"/>
                <w:szCs w:val="20"/>
                <w:lang w:eastAsia="en-US"/>
              </w:rPr>
            </w:pPr>
            <w:r w:rsidRPr="00131EED">
              <w:rPr>
                <w:b/>
                <w:color w:val="000000"/>
                <w:sz w:val="20"/>
                <w:szCs w:val="20"/>
                <w:lang w:eastAsia="en-US"/>
              </w:rPr>
              <w:t>Porcentaje artificializado del municipio dentro del ámbito</w:t>
            </w:r>
          </w:p>
        </w:tc>
      </w:tr>
      <w:tr w:rsidR="006E4E0A" w:rsidRPr="00131EED" w14:paraId="63DECD03" w14:textId="77777777" w:rsidTr="00F425D1">
        <w:trPr>
          <w:trHeight w:val="288"/>
        </w:trPr>
        <w:tc>
          <w:tcPr>
            <w:tcW w:w="2268" w:type="dxa"/>
            <w:noWrap/>
            <w:vAlign w:val="center"/>
            <w:hideMark/>
          </w:tcPr>
          <w:p w14:paraId="6D60B64D"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Bogotá D.C.</w:t>
            </w:r>
          </w:p>
        </w:tc>
        <w:tc>
          <w:tcPr>
            <w:tcW w:w="1417" w:type="dxa"/>
            <w:noWrap/>
            <w:vAlign w:val="center"/>
            <w:hideMark/>
          </w:tcPr>
          <w:p w14:paraId="323EA57B" w14:textId="77777777" w:rsidR="006E4E0A" w:rsidRPr="00131EED" w:rsidRDefault="006E4E0A" w:rsidP="006E4E0A">
            <w:pPr>
              <w:jc w:val="right"/>
              <w:rPr>
                <w:color w:val="000000"/>
                <w:sz w:val="20"/>
                <w:szCs w:val="20"/>
                <w:lang w:eastAsia="en-US"/>
              </w:rPr>
            </w:pPr>
            <w:r w:rsidRPr="00131EED">
              <w:rPr>
                <w:color w:val="000000"/>
                <w:sz w:val="20"/>
                <w:szCs w:val="20"/>
                <w:lang w:eastAsia="en-US"/>
              </w:rPr>
              <w:t>4389.9469</w:t>
            </w:r>
          </w:p>
        </w:tc>
        <w:tc>
          <w:tcPr>
            <w:tcW w:w="2127" w:type="dxa"/>
            <w:noWrap/>
            <w:vAlign w:val="center"/>
            <w:hideMark/>
          </w:tcPr>
          <w:p w14:paraId="285F1CC0" w14:textId="77777777" w:rsidR="006E4E0A" w:rsidRPr="00131EED" w:rsidRDefault="006E4E0A" w:rsidP="006E4E0A">
            <w:pPr>
              <w:jc w:val="right"/>
              <w:rPr>
                <w:color w:val="000000"/>
                <w:sz w:val="20"/>
                <w:szCs w:val="20"/>
                <w:lang w:eastAsia="en-US"/>
              </w:rPr>
            </w:pPr>
            <w:r w:rsidRPr="00131EED">
              <w:rPr>
                <w:color w:val="000000"/>
                <w:sz w:val="20"/>
                <w:szCs w:val="20"/>
                <w:lang w:eastAsia="en-US"/>
              </w:rPr>
              <w:t>5.19%</w:t>
            </w:r>
          </w:p>
        </w:tc>
      </w:tr>
      <w:tr w:rsidR="006E4E0A" w:rsidRPr="00131EED" w14:paraId="317241FD" w14:textId="77777777" w:rsidTr="00F425D1">
        <w:trPr>
          <w:trHeight w:val="288"/>
        </w:trPr>
        <w:tc>
          <w:tcPr>
            <w:tcW w:w="2268" w:type="dxa"/>
            <w:noWrap/>
            <w:vAlign w:val="center"/>
            <w:hideMark/>
          </w:tcPr>
          <w:p w14:paraId="756BCF11"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Chía</w:t>
            </w:r>
          </w:p>
        </w:tc>
        <w:tc>
          <w:tcPr>
            <w:tcW w:w="1417" w:type="dxa"/>
            <w:noWrap/>
            <w:vAlign w:val="center"/>
            <w:hideMark/>
          </w:tcPr>
          <w:p w14:paraId="43F3BD5B" w14:textId="77777777" w:rsidR="006E4E0A" w:rsidRPr="00131EED" w:rsidRDefault="006E4E0A" w:rsidP="006E4E0A">
            <w:pPr>
              <w:jc w:val="right"/>
              <w:rPr>
                <w:color w:val="000000"/>
                <w:sz w:val="20"/>
                <w:szCs w:val="20"/>
                <w:lang w:eastAsia="en-US"/>
              </w:rPr>
            </w:pPr>
            <w:r w:rsidRPr="00131EED">
              <w:rPr>
                <w:color w:val="000000"/>
                <w:sz w:val="20"/>
                <w:szCs w:val="20"/>
                <w:lang w:eastAsia="en-US"/>
              </w:rPr>
              <w:t>1858.3173</w:t>
            </w:r>
          </w:p>
        </w:tc>
        <w:tc>
          <w:tcPr>
            <w:tcW w:w="2127" w:type="dxa"/>
            <w:noWrap/>
            <w:vAlign w:val="center"/>
            <w:hideMark/>
          </w:tcPr>
          <w:p w14:paraId="78B42166" w14:textId="77777777" w:rsidR="006E4E0A" w:rsidRPr="00131EED" w:rsidRDefault="006E4E0A" w:rsidP="006E4E0A">
            <w:pPr>
              <w:jc w:val="right"/>
              <w:rPr>
                <w:color w:val="000000"/>
                <w:sz w:val="20"/>
                <w:szCs w:val="20"/>
                <w:lang w:eastAsia="en-US"/>
              </w:rPr>
            </w:pPr>
            <w:r w:rsidRPr="00131EED">
              <w:rPr>
                <w:color w:val="000000"/>
                <w:sz w:val="20"/>
                <w:szCs w:val="20"/>
                <w:lang w:eastAsia="en-US"/>
              </w:rPr>
              <w:t>23.28%</w:t>
            </w:r>
          </w:p>
        </w:tc>
      </w:tr>
      <w:tr w:rsidR="006E4E0A" w:rsidRPr="00131EED" w14:paraId="1EECE4F5" w14:textId="77777777" w:rsidTr="00F425D1">
        <w:trPr>
          <w:trHeight w:val="288"/>
        </w:trPr>
        <w:tc>
          <w:tcPr>
            <w:tcW w:w="2268" w:type="dxa"/>
            <w:noWrap/>
            <w:vAlign w:val="center"/>
            <w:hideMark/>
          </w:tcPr>
          <w:p w14:paraId="075A4B2C"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Cota</w:t>
            </w:r>
          </w:p>
        </w:tc>
        <w:tc>
          <w:tcPr>
            <w:tcW w:w="1417" w:type="dxa"/>
            <w:noWrap/>
            <w:vAlign w:val="center"/>
            <w:hideMark/>
          </w:tcPr>
          <w:p w14:paraId="2E029CAB" w14:textId="77777777" w:rsidR="006E4E0A" w:rsidRPr="00131EED" w:rsidRDefault="006E4E0A" w:rsidP="006E4E0A">
            <w:pPr>
              <w:jc w:val="right"/>
              <w:rPr>
                <w:color w:val="000000"/>
                <w:sz w:val="20"/>
                <w:szCs w:val="20"/>
                <w:lang w:eastAsia="en-US"/>
              </w:rPr>
            </w:pPr>
            <w:r w:rsidRPr="00131EED">
              <w:rPr>
                <w:color w:val="000000"/>
                <w:sz w:val="20"/>
                <w:szCs w:val="20"/>
                <w:lang w:eastAsia="en-US"/>
              </w:rPr>
              <w:t>1259.6523</w:t>
            </w:r>
          </w:p>
        </w:tc>
        <w:tc>
          <w:tcPr>
            <w:tcW w:w="2127" w:type="dxa"/>
            <w:noWrap/>
            <w:vAlign w:val="center"/>
            <w:hideMark/>
          </w:tcPr>
          <w:p w14:paraId="3541231D" w14:textId="77777777" w:rsidR="006E4E0A" w:rsidRPr="00131EED" w:rsidRDefault="006E4E0A" w:rsidP="006E4E0A">
            <w:pPr>
              <w:jc w:val="right"/>
              <w:rPr>
                <w:color w:val="000000"/>
                <w:sz w:val="20"/>
                <w:szCs w:val="20"/>
                <w:lang w:eastAsia="en-US"/>
              </w:rPr>
            </w:pPr>
            <w:r w:rsidRPr="00131EED">
              <w:rPr>
                <w:color w:val="000000"/>
                <w:sz w:val="20"/>
                <w:szCs w:val="20"/>
                <w:lang w:eastAsia="en-US"/>
              </w:rPr>
              <w:t>23.47%</w:t>
            </w:r>
          </w:p>
        </w:tc>
      </w:tr>
      <w:tr w:rsidR="006E4E0A" w:rsidRPr="00131EED" w14:paraId="0692DECF" w14:textId="77777777" w:rsidTr="00F425D1">
        <w:trPr>
          <w:trHeight w:val="288"/>
        </w:trPr>
        <w:tc>
          <w:tcPr>
            <w:tcW w:w="2268" w:type="dxa"/>
            <w:noWrap/>
            <w:vAlign w:val="center"/>
            <w:hideMark/>
          </w:tcPr>
          <w:p w14:paraId="0118412E"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Cajicá</w:t>
            </w:r>
          </w:p>
        </w:tc>
        <w:tc>
          <w:tcPr>
            <w:tcW w:w="1417" w:type="dxa"/>
            <w:noWrap/>
            <w:vAlign w:val="center"/>
            <w:hideMark/>
          </w:tcPr>
          <w:p w14:paraId="1A8941B4" w14:textId="77777777" w:rsidR="006E4E0A" w:rsidRPr="00131EED" w:rsidRDefault="006E4E0A" w:rsidP="006E4E0A">
            <w:pPr>
              <w:jc w:val="right"/>
              <w:rPr>
                <w:color w:val="000000"/>
                <w:sz w:val="20"/>
                <w:szCs w:val="20"/>
                <w:lang w:eastAsia="en-US"/>
              </w:rPr>
            </w:pPr>
            <w:r w:rsidRPr="00131EED">
              <w:rPr>
                <w:color w:val="000000"/>
                <w:sz w:val="20"/>
                <w:szCs w:val="20"/>
                <w:lang w:eastAsia="en-US"/>
              </w:rPr>
              <w:t>1034.1715</w:t>
            </w:r>
          </w:p>
        </w:tc>
        <w:tc>
          <w:tcPr>
            <w:tcW w:w="2127" w:type="dxa"/>
            <w:noWrap/>
            <w:vAlign w:val="center"/>
            <w:hideMark/>
          </w:tcPr>
          <w:p w14:paraId="1EAA4E84" w14:textId="77777777" w:rsidR="006E4E0A" w:rsidRPr="00131EED" w:rsidRDefault="006E4E0A" w:rsidP="006E4E0A">
            <w:pPr>
              <w:jc w:val="right"/>
              <w:rPr>
                <w:color w:val="000000"/>
                <w:sz w:val="20"/>
                <w:szCs w:val="20"/>
                <w:lang w:eastAsia="en-US"/>
              </w:rPr>
            </w:pPr>
            <w:r w:rsidRPr="00131EED">
              <w:rPr>
                <w:color w:val="000000"/>
                <w:sz w:val="20"/>
                <w:szCs w:val="20"/>
                <w:lang w:eastAsia="en-US"/>
              </w:rPr>
              <w:t>20.18%</w:t>
            </w:r>
          </w:p>
        </w:tc>
      </w:tr>
      <w:tr w:rsidR="006E4E0A" w:rsidRPr="00131EED" w14:paraId="645946EE" w14:textId="77777777" w:rsidTr="00F425D1">
        <w:trPr>
          <w:trHeight w:val="288"/>
        </w:trPr>
        <w:tc>
          <w:tcPr>
            <w:tcW w:w="2268" w:type="dxa"/>
            <w:noWrap/>
            <w:vAlign w:val="center"/>
            <w:hideMark/>
          </w:tcPr>
          <w:p w14:paraId="4B7A538C"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Funza</w:t>
            </w:r>
          </w:p>
        </w:tc>
        <w:tc>
          <w:tcPr>
            <w:tcW w:w="1417" w:type="dxa"/>
            <w:noWrap/>
            <w:vAlign w:val="center"/>
            <w:hideMark/>
          </w:tcPr>
          <w:p w14:paraId="2EE407BA" w14:textId="77777777" w:rsidR="006E4E0A" w:rsidRPr="00131EED" w:rsidRDefault="006E4E0A" w:rsidP="006E4E0A">
            <w:pPr>
              <w:jc w:val="right"/>
              <w:rPr>
                <w:color w:val="000000"/>
                <w:sz w:val="20"/>
                <w:szCs w:val="20"/>
                <w:lang w:eastAsia="en-US"/>
              </w:rPr>
            </w:pPr>
            <w:r w:rsidRPr="00131EED">
              <w:rPr>
                <w:color w:val="000000"/>
                <w:sz w:val="20"/>
                <w:szCs w:val="20"/>
                <w:lang w:eastAsia="en-US"/>
              </w:rPr>
              <w:t>1017.6875</w:t>
            </w:r>
          </w:p>
        </w:tc>
        <w:tc>
          <w:tcPr>
            <w:tcW w:w="2127" w:type="dxa"/>
            <w:noWrap/>
            <w:vAlign w:val="center"/>
            <w:hideMark/>
          </w:tcPr>
          <w:p w14:paraId="7D092EE7" w14:textId="77777777" w:rsidR="006E4E0A" w:rsidRPr="00131EED" w:rsidRDefault="006E4E0A" w:rsidP="006E4E0A">
            <w:pPr>
              <w:jc w:val="right"/>
              <w:rPr>
                <w:color w:val="000000"/>
                <w:sz w:val="20"/>
                <w:szCs w:val="20"/>
                <w:lang w:eastAsia="en-US"/>
              </w:rPr>
            </w:pPr>
            <w:r w:rsidRPr="00131EED">
              <w:rPr>
                <w:color w:val="000000"/>
                <w:sz w:val="20"/>
                <w:szCs w:val="20"/>
                <w:lang w:eastAsia="en-US"/>
              </w:rPr>
              <w:t>14.54%</w:t>
            </w:r>
          </w:p>
        </w:tc>
      </w:tr>
      <w:tr w:rsidR="006E4E0A" w:rsidRPr="00131EED" w14:paraId="6E32B443" w14:textId="77777777" w:rsidTr="00F425D1">
        <w:trPr>
          <w:trHeight w:val="288"/>
        </w:trPr>
        <w:tc>
          <w:tcPr>
            <w:tcW w:w="2268" w:type="dxa"/>
            <w:noWrap/>
            <w:vAlign w:val="center"/>
            <w:hideMark/>
          </w:tcPr>
          <w:p w14:paraId="500311C5"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Mosquera</w:t>
            </w:r>
          </w:p>
        </w:tc>
        <w:tc>
          <w:tcPr>
            <w:tcW w:w="1417" w:type="dxa"/>
            <w:noWrap/>
            <w:vAlign w:val="center"/>
            <w:hideMark/>
          </w:tcPr>
          <w:p w14:paraId="20CD8F54" w14:textId="77777777" w:rsidR="006E4E0A" w:rsidRPr="00131EED" w:rsidRDefault="006E4E0A" w:rsidP="006E4E0A">
            <w:pPr>
              <w:jc w:val="right"/>
              <w:rPr>
                <w:color w:val="000000"/>
                <w:sz w:val="20"/>
                <w:szCs w:val="20"/>
                <w:lang w:eastAsia="en-US"/>
              </w:rPr>
            </w:pPr>
            <w:r w:rsidRPr="00131EED">
              <w:rPr>
                <w:color w:val="000000"/>
                <w:sz w:val="20"/>
                <w:szCs w:val="20"/>
                <w:lang w:eastAsia="en-US"/>
              </w:rPr>
              <w:t>1016.1437</w:t>
            </w:r>
          </w:p>
        </w:tc>
        <w:tc>
          <w:tcPr>
            <w:tcW w:w="2127" w:type="dxa"/>
            <w:noWrap/>
            <w:vAlign w:val="center"/>
            <w:hideMark/>
          </w:tcPr>
          <w:p w14:paraId="09005E6A" w14:textId="77777777" w:rsidR="006E4E0A" w:rsidRPr="00131EED" w:rsidRDefault="006E4E0A" w:rsidP="006E4E0A">
            <w:pPr>
              <w:jc w:val="right"/>
              <w:rPr>
                <w:color w:val="000000"/>
                <w:sz w:val="20"/>
                <w:szCs w:val="20"/>
                <w:lang w:eastAsia="en-US"/>
              </w:rPr>
            </w:pPr>
            <w:r w:rsidRPr="00131EED">
              <w:rPr>
                <w:color w:val="000000"/>
                <w:sz w:val="20"/>
                <w:szCs w:val="20"/>
                <w:lang w:eastAsia="en-US"/>
              </w:rPr>
              <w:t>9.59%</w:t>
            </w:r>
          </w:p>
        </w:tc>
      </w:tr>
      <w:tr w:rsidR="006E4E0A" w:rsidRPr="00131EED" w14:paraId="6271EE51" w14:textId="77777777" w:rsidTr="00F425D1">
        <w:trPr>
          <w:trHeight w:val="288"/>
        </w:trPr>
        <w:tc>
          <w:tcPr>
            <w:tcW w:w="2268" w:type="dxa"/>
            <w:noWrap/>
            <w:vAlign w:val="center"/>
            <w:hideMark/>
          </w:tcPr>
          <w:p w14:paraId="2A3A718A"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Tocancipá</w:t>
            </w:r>
          </w:p>
        </w:tc>
        <w:tc>
          <w:tcPr>
            <w:tcW w:w="1417" w:type="dxa"/>
            <w:noWrap/>
            <w:vAlign w:val="center"/>
            <w:hideMark/>
          </w:tcPr>
          <w:p w14:paraId="1F229712" w14:textId="77777777" w:rsidR="006E4E0A" w:rsidRPr="00131EED" w:rsidRDefault="006E4E0A" w:rsidP="006E4E0A">
            <w:pPr>
              <w:jc w:val="right"/>
              <w:rPr>
                <w:color w:val="000000"/>
                <w:sz w:val="20"/>
                <w:szCs w:val="20"/>
                <w:lang w:eastAsia="en-US"/>
              </w:rPr>
            </w:pPr>
            <w:r w:rsidRPr="00131EED">
              <w:rPr>
                <w:color w:val="000000"/>
                <w:sz w:val="20"/>
                <w:szCs w:val="20"/>
                <w:lang w:eastAsia="en-US"/>
              </w:rPr>
              <w:t>962.6259</w:t>
            </w:r>
          </w:p>
        </w:tc>
        <w:tc>
          <w:tcPr>
            <w:tcW w:w="2127" w:type="dxa"/>
            <w:noWrap/>
            <w:vAlign w:val="center"/>
            <w:hideMark/>
          </w:tcPr>
          <w:p w14:paraId="0D0A6283" w14:textId="77777777" w:rsidR="006E4E0A" w:rsidRPr="00131EED" w:rsidRDefault="006E4E0A" w:rsidP="006E4E0A">
            <w:pPr>
              <w:jc w:val="right"/>
              <w:rPr>
                <w:color w:val="000000"/>
                <w:sz w:val="20"/>
                <w:szCs w:val="20"/>
                <w:lang w:eastAsia="en-US"/>
              </w:rPr>
            </w:pPr>
            <w:r w:rsidRPr="00131EED">
              <w:rPr>
                <w:color w:val="000000"/>
                <w:sz w:val="20"/>
                <w:szCs w:val="20"/>
                <w:lang w:eastAsia="en-US"/>
              </w:rPr>
              <w:t>13.16%</w:t>
            </w:r>
          </w:p>
        </w:tc>
      </w:tr>
      <w:tr w:rsidR="006E4E0A" w:rsidRPr="00131EED" w14:paraId="16DFE8E4" w14:textId="77777777" w:rsidTr="00F425D1">
        <w:trPr>
          <w:trHeight w:val="288"/>
        </w:trPr>
        <w:tc>
          <w:tcPr>
            <w:tcW w:w="2268" w:type="dxa"/>
            <w:noWrap/>
            <w:vAlign w:val="center"/>
            <w:hideMark/>
          </w:tcPr>
          <w:p w14:paraId="47D07224"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Soacha</w:t>
            </w:r>
          </w:p>
        </w:tc>
        <w:tc>
          <w:tcPr>
            <w:tcW w:w="1417" w:type="dxa"/>
            <w:noWrap/>
            <w:vAlign w:val="center"/>
            <w:hideMark/>
          </w:tcPr>
          <w:p w14:paraId="22B7AB51" w14:textId="77777777" w:rsidR="006E4E0A" w:rsidRPr="00131EED" w:rsidRDefault="006E4E0A" w:rsidP="006E4E0A">
            <w:pPr>
              <w:jc w:val="right"/>
              <w:rPr>
                <w:color w:val="000000"/>
                <w:sz w:val="20"/>
                <w:szCs w:val="20"/>
                <w:lang w:eastAsia="en-US"/>
              </w:rPr>
            </w:pPr>
            <w:r w:rsidRPr="00131EED">
              <w:rPr>
                <w:color w:val="000000"/>
                <w:sz w:val="20"/>
                <w:szCs w:val="20"/>
                <w:lang w:eastAsia="en-US"/>
              </w:rPr>
              <w:t>832.0862</w:t>
            </w:r>
          </w:p>
        </w:tc>
        <w:tc>
          <w:tcPr>
            <w:tcW w:w="2127" w:type="dxa"/>
            <w:noWrap/>
            <w:vAlign w:val="center"/>
            <w:hideMark/>
          </w:tcPr>
          <w:p w14:paraId="7B340CE7" w14:textId="77777777" w:rsidR="006E4E0A" w:rsidRPr="00131EED" w:rsidRDefault="006E4E0A" w:rsidP="006E4E0A">
            <w:pPr>
              <w:jc w:val="right"/>
              <w:rPr>
                <w:color w:val="000000"/>
                <w:sz w:val="20"/>
                <w:szCs w:val="20"/>
                <w:lang w:eastAsia="en-US"/>
              </w:rPr>
            </w:pPr>
            <w:r w:rsidRPr="00131EED">
              <w:rPr>
                <w:color w:val="000000"/>
                <w:sz w:val="20"/>
                <w:szCs w:val="20"/>
                <w:lang w:eastAsia="en-US"/>
              </w:rPr>
              <w:t>4.70%</w:t>
            </w:r>
          </w:p>
        </w:tc>
      </w:tr>
      <w:tr w:rsidR="006E4E0A" w:rsidRPr="00131EED" w14:paraId="34FCCC57" w14:textId="77777777" w:rsidTr="00F425D1">
        <w:trPr>
          <w:trHeight w:val="288"/>
        </w:trPr>
        <w:tc>
          <w:tcPr>
            <w:tcW w:w="2268" w:type="dxa"/>
            <w:noWrap/>
            <w:vAlign w:val="center"/>
            <w:hideMark/>
          </w:tcPr>
          <w:p w14:paraId="26F626C1"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Sopó</w:t>
            </w:r>
          </w:p>
        </w:tc>
        <w:tc>
          <w:tcPr>
            <w:tcW w:w="1417" w:type="dxa"/>
            <w:noWrap/>
            <w:vAlign w:val="center"/>
            <w:hideMark/>
          </w:tcPr>
          <w:p w14:paraId="4C398F3B" w14:textId="77777777" w:rsidR="006E4E0A" w:rsidRPr="00131EED" w:rsidRDefault="006E4E0A" w:rsidP="006E4E0A">
            <w:pPr>
              <w:jc w:val="right"/>
              <w:rPr>
                <w:color w:val="000000"/>
                <w:sz w:val="20"/>
                <w:szCs w:val="20"/>
                <w:lang w:eastAsia="en-US"/>
              </w:rPr>
            </w:pPr>
            <w:r w:rsidRPr="00131EED">
              <w:rPr>
                <w:color w:val="000000"/>
                <w:sz w:val="20"/>
                <w:szCs w:val="20"/>
                <w:lang w:eastAsia="en-US"/>
              </w:rPr>
              <w:t>650.1490</w:t>
            </w:r>
          </w:p>
        </w:tc>
        <w:tc>
          <w:tcPr>
            <w:tcW w:w="2127" w:type="dxa"/>
            <w:noWrap/>
            <w:vAlign w:val="center"/>
            <w:hideMark/>
          </w:tcPr>
          <w:p w14:paraId="5738B175" w14:textId="77777777" w:rsidR="006E4E0A" w:rsidRPr="00131EED" w:rsidRDefault="006E4E0A" w:rsidP="006E4E0A">
            <w:pPr>
              <w:jc w:val="right"/>
              <w:rPr>
                <w:color w:val="000000"/>
                <w:sz w:val="20"/>
                <w:szCs w:val="20"/>
                <w:lang w:eastAsia="en-US"/>
              </w:rPr>
            </w:pPr>
            <w:r w:rsidRPr="00131EED">
              <w:rPr>
                <w:color w:val="000000"/>
                <w:sz w:val="20"/>
                <w:szCs w:val="20"/>
                <w:lang w:eastAsia="en-US"/>
              </w:rPr>
              <w:t>5.86%</w:t>
            </w:r>
          </w:p>
        </w:tc>
      </w:tr>
      <w:tr w:rsidR="006E4E0A" w:rsidRPr="00131EED" w14:paraId="69517157" w14:textId="77777777" w:rsidTr="00F425D1">
        <w:trPr>
          <w:trHeight w:val="288"/>
        </w:trPr>
        <w:tc>
          <w:tcPr>
            <w:tcW w:w="2268" w:type="dxa"/>
            <w:noWrap/>
            <w:vAlign w:val="center"/>
            <w:hideMark/>
          </w:tcPr>
          <w:p w14:paraId="61380297"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Facatativá</w:t>
            </w:r>
          </w:p>
        </w:tc>
        <w:tc>
          <w:tcPr>
            <w:tcW w:w="1417" w:type="dxa"/>
            <w:noWrap/>
            <w:vAlign w:val="center"/>
            <w:hideMark/>
          </w:tcPr>
          <w:p w14:paraId="3CC844A8" w14:textId="77777777" w:rsidR="006E4E0A" w:rsidRPr="00131EED" w:rsidRDefault="006E4E0A" w:rsidP="006E4E0A">
            <w:pPr>
              <w:jc w:val="right"/>
              <w:rPr>
                <w:color w:val="000000"/>
                <w:sz w:val="20"/>
                <w:szCs w:val="20"/>
                <w:lang w:eastAsia="en-US"/>
              </w:rPr>
            </w:pPr>
            <w:r w:rsidRPr="00131EED">
              <w:rPr>
                <w:color w:val="000000"/>
                <w:sz w:val="20"/>
                <w:szCs w:val="20"/>
                <w:lang w:eastAsia="en-US"/>
              </w:rPr>
              <w:t>584.4004</w:t>
            </w:r>
          </w:p>
        </w:tc>
        <w:tc>
          <w:tcPr>
            <w:tcW w:w="2127" w:type="dxa"/>
            <w:noWrap/>
            <w:vAlign w:val="center"/>
            <w:hideMark/>
          </w:tcPr>
          <w:p w14:paraId="69FEA6CA" w14:textId="77777777" w:rsidR="006E4E0A" w:rsidRPr="00131EED" w:rsidRDefault="006E4E0A" w:rsidP="006E4E0A">
            <w:pPr>
              <w:jc w:val="right"/>
              <w:rPr>
                <w:color w:val="000000"/>
                <w:sz w:val="20"/>
                <w:szCs w:val="20"/>
                <w:lang w:eastAsia="en-US"/>
              </w:rPr>
            </w:pPr>
            <w:r w:rsidRPr="00131EED">
              <w:rPr>
                <w:color w:val="000000"/>
                <w:sz w:val="20"/>
                <w:szCs w:val="20"/>
                <w:lang w:eastAsia="en-US"/>
              </w:rPr>
              <w:t>3.76%</w:t>
            </w:r>
          </w:p>
        </w:tc>
      </w:tr>
      <w:tr w:rsidR="006E4E0A" w:rsidRPr="00131EED" w14:paraId="66EEAE9A" w14:textId="77777777" w:rsidTr="00F425D1">
        <w:trPr>
          <w:trHeight w:val="288"/>
        </w:trPr>
        <w:tc>
          <w:tcPr>
            <w:tcW w:w="2268" w:type="dxa"/>
            <w:noWrap/>
            <w:vAlign w:val="center"/>
            <w:hideMark/>
          </w:tcPr>
          <w:p w14:paraId="74760E43"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Madrid</w:t>
            </w:r>
          </w:p>
        </w:tc>
        <w:tc>
          <w:tcPr>
            <w:tcW w:w="1417" w:type="dxa"/>
            <w:noWrap/>
            <w:vAlign w:val="center"/>
            <w:hideMark/>
          </w:tcPr>
          <w:p w14:paraId="700E239D" w14:textId="77777777" w:rsidR="006E4E0A" w:rsidRPr="00131EED" w:rsidRDefault="006E4E0A" w:rsidP="006E4E0A">
            <w:pPr>
              <w:jc w:val="right"/>
              <w:rPr>
                <w:color w:val="000000"/>
                <w:sz w:val="20"/>
                <w:szCs w:val="20"/>
                <w:lang w:eastAsia="en-US"/>
              </w:rPr>
            </w:pPr>
            <w:r w:rsidRPr="00131EED">
              <w:rPr>
                <w:color w:val="000000"/>
                <w:sz w:val="20"/>
                <w:szCs w:val="20"/>
                <w:lang w:eastAsia="en-US"/>
              </w:rPr>
              <w:t>526.9126</w:t>
            </w:r>
          </w:p>
        </w:tc>
        <w:tc>
          <w:tcPr>
            <w:tcW w:w="2127" w:type="dxa"/>
            <w:noWrap/>
            <w:vAlign w:val="center"/>
            <w:hideMark/>
          </w:tcPr>
          <w:p w14:paraId="697920DD" w14:textId="77777777" w:rsidR="006E4E0A" w:rsidRPr="00131EED" w:rsidRDefault="006E4E0A" w:rsidP="006E4E0A">
            <w:pPr>
              <w:jc w:val="right"/>
              <w:rPr>
                <w:color w:val="000000"/>
                <w:sz w:val="20"/>
                <w:szCs w:val="20"/>
                <w:lang w:eastAsia="en-US"/>
              </w:rPr>
            </w:pPr>
            <w:r w:rsidRPr="00131EED">
              <w:rPr>
                <w:color w:val="000000"/>
                <w:sz w:val="20"/>
                <w:szCs w:val="20"/>
                <w:lang w:eastAsia="en-US"/>
              </w:rPr>
              <w:t>4.41%</w:t>
            </w:r>
          </w:p>
        </w:tc>
      </w:tr>
      <w:tr w:rsidR="006E4E0A" w:rsidRPr="00131EED" w14:paraId="00D2A365" w14:textId="77777777" w:rsidTr="00F425D1">
        <w:trPr>
          <w:trHeight w:val="288"/>
        </w:trPr>
        <w:tc>
          <w:tcPr>
            <w:tcW w:w="2268" w:type="dxa"/>
            <w:noWrap/>
            <w:vAlign w:val="center"/>
            <w:hideMark/>
          </w:tcPr>
          <w:p w14:paraId="6DAD2E7F"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Zipaquirá</w:t>
            </w:r>
          </w:p>
        </w:tc>
        <w:tc>
          <w:tcPr>
            <w:tcW w:w="1417" w:type="dxa"/>
            <w:noWrap/>
            <w:vAlign w:val="center"/>
            <w:hideMark/>
          </w:tcPr>
          <w:p w14:paraId="27DDB533" w14:textId="77777777" w:rsidR="006E4E0A" w:rsidRPr="00131EED" w:rsidRDefault="006E4E0A" w:rsidP="006E4E0A">
            <w:pPr>
              <w:jc w:val="right"/>
              <w:rPr>
                <w:color w:val="000000"/>
                <w:sz w:val="20"/>
                <w:szCs w:val="20"/>
                <w:lang w:eastAsia="en-US"/>
              </w:rPr>
            </w:pPr>
            <w:r w:rsidRPr="00131EED">
              <w:rPr>
                <w:color w:val="000000"/>
                <w:sz w:val="20"/>
                <w:szCs w:val="20"/>
                <w:lang w:eastAsia="en-US"/>
              </w:rPr>
              <w:t>465.9629</w:t>
            </w:r>
          </w:p>
        </w:tc>
        <w:tc>
          <w:tcPr>
            <w:tcW w:w="2127" w:type="dxa"/>
            <w:noWrap/>
            <w:vAlign w:val="center"/>
            <w:hideMark/>
          </w:tcPr>
          <w:p w14:paraId="7F7D3120" w14:textId="77777777" w:rsidR="006E4E0A" w:rsidRPr="00131EED" w:rsidRDefault="006E4E0A" w:rsidP="006E4E0A">
            <w:pPr>
              <w:jc w:val="right"/>
              <w:rPr>
                <w:color w:val="000000"/>
                <w:sz w:val="20"/>
                <w:szCs w:val="20"/>
                <w:lang w:eastAsia="en-US"/>
              </w:rPr>
            </w:pPr>
            <w:r w:rsidRPr="00131EED">
              <w:rPr>
                <w:color w:val="000000"/>
                <w:sz w:val="20"/>
                <w:szCs w:val="20"/>
                <w:lang w:eastAsia="en-US"/>
              </w:rPr>
              <w:t>2.57%</w:t>
            </w:r>
          </w:p>
        </w:tc>
      </w:tr>
      <w:tr w:rsidR="006E4E0A" w:rsidRPr="00131EED" w14:paraId="14903AFE" w14:textId="77777777" w:rsidTr="00F425D1">
        <w:trPr>
          <w:trHeight w:val="288"/>
        </w:trPr>
        <w:tc>
          <w:tcPr>
            <w:tcW w:w="2268" w:type="dxa"/>
            <w:noWrap/>
            <w:vAlign w:val="center"/>
            <w:hideMark/>
          </w:tcPr>
          <w:p w14:paraId="2BD31C74"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La Calera</w:t>
            </w:r>
          </w:p>
        </w:tc>
        <w:tc>
          <w:tcPr>
            <w:tcW w:w="1417" w:type="dxa"/>
            <w:noWrap/>
            <w:vAlign w:val="center"/>
            <w:hideMark/>
          </w:tcPr>
          <w:p w14:paraId="5CF761E9" w14:textId="77777777" w:rsidR="006E4E0A" w:rsidRPr="00131EED" w:rsidRDefault="006E4E0A" w:rsidP="006E4E0A">
            <w:pPr>
              <w:jc w:val="right"/>
              <w:rPr>
                <w:color w:val="000000"/>
                <w:sz w:val="20"/>
                <w:szCs w:val="20"/>
                <w:lang w:eastAsia="en-US"/>
              </w:rPr>
            </w:pPr>
            <w:r w:rsidRPr="00131EED">
              <w:rPr>
                <w:color w:val="000000"/>
                <w:sz w:val="20"/>
                <w:szCs w:val="20"/>
                <w:lang w:eastAsia="en-US"/>
              </w:rPr>
              <w:t>353.1462</w:t>
            </w:r>
          </w:p>
        </w:tc>
        <w:tc>
          <w:tcPr>
            <w:tcW w:w="2127" w:type="dxa"/>
            <w:noWrap/>
            <w:vAlign w:val="center"/>
            <w:hideMark/>
          </w:tcPr>
          <w:p w14:paraId="19740FD6" w14:textId="77777777" w:rsidR="006E4E0A" w:rsidRPr="00131EED" w:rsidRDefault="006E4E0A" w:rsidP="006E4E0A">
            <w:pPr>
              <w:jc w:val="right"/>
              <w:rPr>
                <w:color w:val="000000"/>
                <w:sz w:val="20"/>
                <w:szCs w:val="20"/>
                <w:lang w:eastAsia="en-US"/>
              </w:rPr>
            </w:pPr>
            <w:r w:rsidRPr="00131EED">
              <w:rPr>
                <w:color w:val="000000"/>
                <w:sz w:val="20"/>
                <w:szCs w:val="20"/>
                <w:lang w:eastAsia="en-US"/>
              </w:rPr>
              <w:t>1.88%</w:t>
            </w:r>
          </w:p>
        </w:tc>
      </w:tr>
      <w:tr w:rsidR="006E4E0A" w:rsidRPr="00131EED" w14:paraId="48F59CE3" w14:textId="77777777" w:rsidTr="00F425D1">
        <w:trPr>
          <w:trHeight w:val="288"/>
        </w:trPr>
        <w:tc>
          <w:tcPr>
            <w:tcW w:w="2268" w:type="dxa"/>
            <w:noWrap/>
            <w:vAlign w:val="center"/>
            <w:hideMark/>
          </w:tcPr>
          <w:p w14:paraId="7C33E93A"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Tenjo</w:t>
            </w:r>
          </w:p>
        </w:tc>
        <w:tc>
          <w:tcPr>
            <w:tcW w:w="1417" w:type="dxa"/>
            <w:noWrap/>
            <w:vAlign w:val="center"/>
            <w:hideMark/>
          </w:tcPr>
          <w:p w14:paraId="6E8756CB" w14:textId="77777777" w:rsidR="006E4E0A" w:rsidRPr="00131EED" w:rsidRDefault="006E4E0A" w:rsidP="006E4E0A">
            <w:pPr>
              <w:jc w:val="right"/>
              <w:rPr>
                <w:color w:val="000000"/>
                <w:sz w:val="20"/>
                <w:szCs w:val="20"/>
                <w:lang w:eastAsia="en-US"/>
              </w:rPr>
            </w:pPr>
            <w:r w:rsidRPr="00131EED">
              <w:rPr>
                <w:color w:val="000000"/>
                <w:sz w:val="20"/>
                <w:szCs w:val="20"/>
                <w:lang w:eastAsia="en-US"/>
              </w:rPr>
              <w:t>305.8798</w:t>
            </w:r>
          </w:p>
        </w:tc>
        <w:tc>
          <w:tcPr>
            <w:tcW w:w="2127" w:type="dxa"/>
            <w:noWrap/>
            <w:vAlign w:val="center"/>
            <w:hideMark/>
          </w:tcPr>
          <w:p w14:paraId="5919AC58" w14:textId="77777777" w:rsidR="006E4E0A" w:rsidRPr="00131EED" w:rsidRDefault="006E4E0A" w:rsidP="006E4E0A">
            <w:pPr>
              <w:jc w:val="right"/>
              <w:rPr>
                <w:color w:val="000000"/>
                <w:sz w:val="20"/>
                <w:szCs w:val="20"/>
                <w:lang w:eastAsia="en-US"/>
              </w:rPr>
            </w:pPr>
            <w:r w:rsidRPr="00131EED">
              <w:rPr>
                <w:color w:val="000000"/>
                <w:sz w:val="20"/>
                <w:szCs w:val="20"/>
                <w:lang w:eastAsia="en-US"/>
              </w:rPr>
              <w:t>2.68%</w:t>
            </w:r>
          </w:p>
        </w:tc>
      </w:tr>
      <w:tr w:rsidR="006E4E0A" w:rsidRPr="00131EED" w14:paraId="7C7FF357" w14:textId="77777777" w:rsidTr="00F425D1">
        <w:trPr>
          <w:trHeight w:val="288"/>
        </w:trPr>
        <w:tc>
          <w:tcPr>
            <w:tcW w:w="2268" w:type="dxa"/>
            <w:noWrap/>
            <w:vAlign w:val="center"/>
            <w:hideMark/>
          </w:tcPr>
          <w:p w14:paraId="1190800B"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Cogua</w:t>
            </w:r>
          </w:p>
        </w:tc>
        <w:tc>
          <w:tcPr>
            <w:tcW w:w="1417" w:type="dxa"/>
            <w:noWrap/>
            <w:vAlign w:val="center"/>
            <w:hideMark/>
          </w:tcPr>
          <w:p w14:paraId="6F8CD5B9" w14:textId="77777777" w:rsidR="006E4E0A" w:rsidRPr="00131EED" w:rsidRDefault="006E4E0A" w:rsidP="006E4E0A">
            <w:pPr>
              <w:jc w:val="right"/>
              <w:rPr>
                <w:color w:val="000000"/>
                <w:sz w:val="20"/>
                <w:szCs w:val="20"/>
                <w:lang w:eastAsia="en-US"/>
              </w:rPr>
            </w:pPr>
            <w:r w:rsidRPr="00131EED">
              <w:rPr>
                <w:color w:val="000000"/>
                <w:sz w:val="20"/>
                <w:szCs w:val="20"/>
                <w:lang w:eastAsia="en-US"/>
              </w:rPr>
              <w:t>302.8068</w:t>
            </w:r>
          </w:p>
        </w:tc>
        <w:tc>
          <w:tcPr>
            <w:tcW w:w="2127" w:type="dxa"/>
            <w:noWrap/>
            <w:vAlign w:val="center"/>
            <w:hideMark/>
          </w:tcPr>
          <w:p w14:paraId="08F00F19" w14:textId="77777777" w:rsidR="006E4E0A" w:rsidRPr="00131EED" w:rsidRDefault="006E4E0A" w:rsidP="006E4E0A">
            <w:pPr>
              <w:jc w:val="right"/>
              <w:rPr>
                <w:color w:val="000000"/>
                <w:sz w:val="20"/>
                <w:szCs w:val="20"/>
                <w:lang w:eastAsia="en-US"/>
              </w:rPr>
            </w:pPr>
            <w:r w:rsidRPr="00131EED">
              <w:rPr>
                <w:color w:val="000000"/>
                <w:sz w:val="20"/>
                <w:szCs w:val="20"/>
                <w:lang w:eastAsia="en-US"/>
              </w:rPr>
              <w:t>2.28%</w:t>
            </w:r>
          </w:p>
        </w:tc>
      </w:tr>
      <w:tr w:rsidR="006E4E0A" w:rsidRPr="00131EED" w14:paraId="3BA2E11F" w14:textId="77777777" w:rsidTr="00F425D1">
        <w:trPr>
          <w:trHeight w:val="288"/>
        </w:trPr>
        <w:tc>
          <w:tcPr>
            <w:tcW w:w="2268" w:type="dxa"/>
            <w:noWrap/>
            <w:vAlign w:val="center"/>
            <w:hideMark/>
          </w:tcPr>
          <w:p w14:paraId="53A758D3"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Tabio</w:t>
            </w:r>
          </w:p>
        </w:tc>
        <w:tc>
          <w:tcPr>
            <w:tcW w:w="1417" w:type="dxa"/>
            <w:noWrap/>
            <w:vAlign w:val="center"/>
            <w:hideMark/>
          </w:tcPr>
          <w:p w14:paraId="5607792F" w14:textId="77777777" w:rsidR="006E4E0A" w:rsidRPr="00131EED" w:rsidRDefault="006E4E0A" w:rsidP="006E4E0A">
            <w:pPr>
              <w:jc w:val="right"/>
              <w:rPr>
                <w:color w:val="000000"/>
                <w:sz w:val="20"/>
                <w:szCs w:val="20"/>
                <w:lang w:eastAsia="en-US"/>
              </w:rPr>
            </w:pPr>
            <w:r w:rsidRPr="00131EED">
              <w:rPr>
                <w:color w:val="000000"/>
                <w:sz w:val="20"/>
                <w:szCs w:val="20"/>
                <w:lang w:eastAsia="en-US"/>
              </w:rPr>
              <w:t>276.8789</w:t>
            </w:r>
          </w:p>
        </w:tc>
        <w:tc>
          <w:tcPr>
            <w:tcW w:w="2127" w:type="dxa"/>
            <w:noWrap/>
            <w:vAlign w:val="center"/>
            <w:hideMark/>
          </w:tcPr>
          <w:p w14:paraId="77C0D471" w14:textId="77777777" w:rsidR="006E4E0A" w:rsidRPr="00131EED" w:rsidRDefault="006E4E0A" w:rsidP="006E4E0A">
            <w:pPr>
              <w:jc w:val="right"/>
              <w:rPr>
                <w:color w:val="000000"/>
                <w:sz w:val="20"/>
                <w:szCs w:val="20"/>
                <w:lang w:eastAsia="en-US"/>
              </w:rPr>
            </w:pPr>
            <w:r w:rsidRPr="00131EED">
              <w:rPr>
                <w:color w:val="000000"/>
                <w:sz w:val="20"/>
                <w:szCs w:val="20"/>
                <w:lang w:eastAsia="en-US"/>
              </w:rPr>
              <w:t>3.69%</w:t>
            </w:r>
          </w:p>
        </w:tc>
      </w:tr>
      <w:tr w:rsidR="006E4E0A" w:rsidRPr="00131EED" w14:paraId="401CC6BF" w14:textId="77777777" w:rsidTr="00F425D1">
        <w:trPr>
          <w:trHeight w:val="288"/>
        </w:trPr>
        <w:tc>
          <w:tcPr>
            <w:tcW w:w="2268" w:type="dxa"/>
            <w:noWrap/>
            <w:vAlign w:val="center"/>
            <w:hideMark/>
          </w:tcPr>
          <w:p w14:paraId="72A335A7"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Sibaté</w:t>
            </w:r>
          </w:p>
        </w:tc>
        <w:tc>
          <w:tcPr>
            <w:tcW w:w="1417" w:type="dxa"/>
            <w:noWrap/>
            <w:vAlign w:val="center"/>
            <w:hideMark/>
          </w:tcPr>
          <w:p w14:paraId="7A4E4E3C" w14:textId="77777777" w:rsidR="006E4E0A" w:rsidRPr="00131EED" w:rsidRDefault="006E4E0A" w:rsidP="006E4E0A">
            <w:pPr>
              <w:jc w:val="right"/>
              <w:rPr>
                <w:color w:val="000000"/>
                <w:sz w:val="20"/>
                <w:szCs w:val="20"/>
                <w:lang w:eastAsia="en-US"/>
              </w:rPr>
            </w:pPr>
            <w:r w:rsidRPr="00131EED">
              <w:rPr>
                <w:color w:val="000000"/>
                <w:sz w:val="20"/>
                <w:szCs w:val="20"/>
                <w:lang w:eastAsia="en-US"/>
              </w:rPr>
              <w:t>210.1527</w:t>
            </w:r>
          </w:p>
        </w:tc>
        <w:tc>
          <w:tcPr>
            <w:tcW w:w="2127" w:type="dxa"/>
            <w:noWrap/>
            <w:vAlign w:val="center"/>
            <w:hideMark/>
          </w:tcPr>
          <w:p w14:paraId="291C5CB1" w14:textId="77777777" w:rsidR="006E4E0A" w:rsidRPr="00131EED" w:rsidRDefault="006E4E0A" w:rsidP="006E4E0A">
            <w:pPr>
              <w:jc w:val="right"/>
              <w:rPr>
                <w:color w:val="000000"/>
                <w:sz w:val="20"/>
                <w:szCs w:val="20"/>
                <w:lang w:eastAsia="en-US"/>
              </w:rPr>
            </w:pPr>
            <w:r w:rsidRPr="00131EED">
              <w:rPr>
                <w:color w:val="000000"/>
                <w:sz w:val="20"/>
                <w:szCs w:val="20"/>
                <w:lang w:eastAsia="en-US"/>
              </w:rPr>
              <w:t>2.22%</w:t>
            </w:r>
          </w:p>
        </w:tc>
      </w:tr>
      <w:tr w:rsidR="006E4E0A" w:rsidRPr="00131EED" w14:paraId="273CE186" w14:textId="77777777" w:rsidTr="00F425D1">
        <w:trPr>
          <w:trHeight w:val="288"/>
        </w:trPr>
        <w:tc>
          <w:tcPr>
            <w:tcW w:w="2268" w:type="dxa"/>
            <w:noWrap/>
            <w:vAlign w:val="center"/>
            <w:hideMark/>
          </w:tcPr>
          <w:p w14:paraId="2B015C10"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Gachancipá</w:t>
            </w:r>
          </w:p>
        </w:tc>
        <w:tc>
          <w:tcPr>
            <w:tcW w:w="1417" w:type="dxa"/>
            <w:noWrap/>
            <w:vAlign w:val="center"/>
            <w:hideMark/>
          </w:tcPr>
          <w:p w14:paraId="6E35A102" w14:textId="77777777" w:rsidR="006E4E0A" w:rsidRPr="00131EED" w:rsidRDefault="006E4E0A" w:rsidP="006E4E0A">
            <w:pPr>
              <w:jc w:val="right"/>
              <w:rPr>
                <w:color w:val="000000"/>
                <w:sz w:val="20"/>
                <w:szCs w:val="20"/>
                <w:lang w:eastAsia="en-US"/>
              </w:rPr>
            </w:pPr>
            <w:r w:rsidRPr="00131EED">
              <w:rPr>
                <w:color w:val="000000"/>
                <w:sz w:val="20"/>
                <w:szCs w:val="20"/>
                <w:lang w:eastAsia="en-US"/>
              </w:rPr>
              <w:t>109.0476</w:t>
            </w:r>
          </w:p>
        </w:tc>
        <w:tc>
          <w:tcPr>
            <w:tcW w:w="2127" w:type="dxa"/>
            <w:noWrap/>
            <w:vAlign w:val="center"/>
            <w:hideMark/>
          </w:tcPr>
          <w:p w14:paraId="1A6EC9B5" w14:textId="77777777" w:rsidR="006E4E0A" w:rsidRPr="00131EED" w:rsidRDefault="006E4E0A" w:rsidP="006E4E0A">
            <w:pPr>
              <w:jc w:val="right"/>
              <w:rPr>
                <w:color w:val="000000"/>
                <w:sz w:val="20"/>
                <w:szCs w:val="20"/>
                <w:lang w:eastAsia="en-US"/>
              </w:rPr>
            </w:pPr>
            <w:r w:rsidRPr="00131EED">
              <w:rPr>
                <w:color w:val="000000"/>
                <w:sz w:val="20"/>
                <w:szCs w:val="20"/>
                <w:lang w:eastAsia="en-US"/>
              </w:rPr>
              <w:t>2.54%</w:t>
            </w:r>
          </w:p>
        </w:tc>
      </w:tr>
      <w:tr w:rsidR="006E4E0A" w:rsidRPr="00131EED" w14:paraId="06C8E5A0" w14:textId="77777777" w:rsidTr="00F425D1">
        <w:trPr>
          <w:trHeight w:val="288"/>
        </w:trPr>
        <w:tc>
          <w:tcPr>
            <w:tcW w:w="2268" w:type="dxa"/>
            <w:noWrap/>
            <w:vAlign w:val="center"/>
            <w:hideMark/>
          </w:tcPr>
          <w:p w14:paraId="65A49111"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Bojacá</w:t>
            </w:r>
          </w:p>
        </w:tc>
        <w:tc>
          <w:tcPr>
            <w:tcW w:w="1417" w:type="dxa"/>
            <w:noWrap/>
            <w:vAlign w:val="center"/>
            <w:hideMark/>
          </w:tcPr>
          <w:p w14:paraId="755E2CA3" w14:textId="77777777" w:rsidR="006E4E0A" w:rsidRPr="00131EED" w:rsidRDefault="006E4E0A" w:rsidP="006E4E0A">
            <w:pPr>
              <w:jc w:val="right"/>
              <w:rPr>
                <w:color w:val="000000"/>
                <w:sz w:val="20"/>
                <w:szCs w:val="20"/>
                <w:lang w:eastAsia="en-US"/>
              </w:rPr>
            </w:pPr>
            <w:r w:rsidRPr="00131EED">
              <w:rPr>
                <w:color w:val="000000"/>
                <w:sz w:val="20"/>
                <w:szCs w:val="20"/>
                <w:lang w:eastAsia="en-US"/>
              </w:rPr>
              <w:t>99.6552</w:t>
            </w:r>
          </w:p>
        </w:tc>
        <w:tc>
          <w:tcPr>
            <w:tcW w:w="2127" w:type="dxa"/>
            <w:noWrap/>
            <w:vAlign w:val="center"/>
            <w:hideMark/>
          </w:tcPr>
          <w:p w14:paraId="38E365E5" w14:textId="77777777" w:rsidR="006E4E0A" w:rsidRPr="00131EED" w:rsidRDefault="006E4E0A" w:rsidP="006E4E0A">
            <w:pPr>
              <w:jc w:val="right"/>
              <w:rPr>
                <w:color w:val="000000"/>
                <w:sz w:val="20"/>
                <w:szCs w:val="20"/>
                <w:lang w:eastAsia="en-US"/>
              </w:rPr>
            </w:pPr>
            <w:r w:rsidRPr="00131EED">
              <w:rPr>
                <w:color w:val="000000"/>
                <w:sz w:val="20"/>
                <w:szCs w:val="20"/>
                <w:lang w:eastAsia="en-US"/>
              </w:rPr>
              <w:t>0.98%</w:t>
            </w:r>
          </w:p>
        </w:tc>
      </w:tr>
      <w:tr w:rsidR="006E4E0A" w:rsidRPr="00131EED" w14:paraId="1042D877" w14:textId="77777777" w:rsidTr="00F425D1">
        <w:trPr>
          <w:trHeight w:val="288"/>
        </w:trPr>
        <w:tc>
          <w:tcPr>
            <w:tcW w:w="2268" w:type="dxa"/>
            <w:noWrap/>
            <w:vAlign w:val="center"/>
            <w:hideMark/>
          </w:tcPr>
          <w:p w14:paraId="641DE006"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El Rosal</w:t>
            </w:r>
          </w:p>
        </w:tc>
        <w:tc>
          <w:tcPr>
            <w:tcW w:w="1417" w:type="dxa"/>
            <w:noWrap/>
            <w:vAlign w:val="center"/>
            <w:hideMark/>
          </w:tcPr>
          <w:p w14:paraId="69282928" w14:textId="77777777" w:rsidR="006E4E0A" w:rsidRPr="00131EED" w:rsidRDefault="006E4E0A" w:rsidP="006E4E0A">
            <w:pPr>
              <w:jc w:val="right"/>
              <w:rPr>
                <w:color w:val="000000"/>
                <w:sz w:val="20"/>
                <w:szCs w:val="20"/>
                <w:lang w:eastAsia="en-US"/>
              </w:rPr>
            </w:pPr>
            <w:r w:rsidRPr="00131EED">
              <w:rPr>
                <w:color w:val="000000"/>
                <w:sz w:val="20"/>
                <w:szCs w:val="20"/>
                <w:lang w:eastAsia="en-US"/>
              </w:rPr>
              <w:t>87.8083</w:t>
            </w:r>
          </w:p>
        </w:tc>
        <w:tc>
          <w:tcPr>
            <w:tcW w:w="2127" w:type="dxa"/>
            <w:noWrap/>
            <w:vAlign w:val="center"/>
            <w:hideMark/>
          </w:tcPr>
          <w:p w14:paraId="44BFE1B6" w14:textId="77777777" w:rsidR="006E4E0A" w:rsidRPr="00131EED" w:rsidRDefault="006E4E0A" w:rsidP="006E4E0A">
            <w:pPr>
              <w:jc w:val="right"/>
              <w:rPr>
                <w:color w:val="000000"/>
                <w:sz w:val="20"/>
                <w:szCs w:val="20"/>
                <w:lang w:eastAsia="en-US"/>
              </w:rPr>
            </w:pPr>
            <w:r w:rsidRPr="00131EED">
              <w:rPr>
                <w:color w:val="000000"/>
                <w:sz w:val="20"/>
                <w:szCs w:val="20"/>
                <w:lang w:eastAsia="en-US"/>
              </w:rPr>
              <w:t>1.28%</w:t>
            </w:r>
          </w:p>
        </w:tc>
      </w:tr>
      <w:tr w:rsidR="006E4E0A" w:rsidRPr="00131EED" w14:paraId="5141AB73" w14:textId="77777777" w:rsidTr="00F425D1">
        <w:trPr>
          <w:trHeight w:val="288"/>
        </w:trPr>
        <w:tc>
          <w:tcPr>
            <w:tcW w:w="2268" w:type="dxa"/>
            <w:noWrap/>
            <w:vAlign w:val="center"/>
            <w:hideMark/>
          </w:tcPr>
          <w:p w14:paraId="6F76FC6F"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Villapinzon</w:t>
            </w:r>
          </w:p>
        </w:tc>
        <w:tc>
          <w:tcPr>
            <w:tcW w:w="1417" w:type="dxa"/>
            <w:noWrap/>
            <w:vAlign w:val="center"/>
            <w:hideMark/>
          </w:tcPr>
          <w:p w14:paraId="42BF18CC" w14:textId="77777777" w:rsidR="006E4E0A" w:rsidRPr="00131EED" w:rsidRDefault="006E4E0A" w:rsidP="006E4E0A">
            <w:pPr>
              <w:jc w:val="right"/>
              <w:rPr>
                <w:color w:val="000000"/>
                <w:sz w:val="20"/>
                <w:szCs w:val="20"/>
                <w:lang w:eastAsia="en-US"/>
              </w:rPr>
            </w:pPr>
            <w:r w:rsidRPr="00131EED">
              <w:rPr>
                <w:color w:val="000000"/>
                <w:sz w:val="20"/>
                <w:szCs w:val="20"/>
                <w:lang w:eastAsia="en-US"/>
              </w:rPr>
              <w:t>69.7169</w:t>
            </w:r>
          </w:p>
        </w:tc>
        <w:tc>
          <w:tcPr>
            <w:tcW w:w="2127" w:type="dxa"/>
            <w:noWrap/>
            <w:vAlign w:val="center"/>
            <w:hideMark/>
          </w:tcPr>
          <w:p w14:paraId="3827284C" w14:textId="77777777" w:rsidR="006E4E0A" w:rsidRPr="00131EED" w:rsidRDefault="006E4E0A" w:rsidP="006E4E0A">
            <w:pPr>
              <w:jc w:val="right"/>
              <w:rPr>
                <w:color w:val="000000"/>
                <w:sz w:val="20"/>
                <w:szCs w:val="20"/>
                <w:lang w:eastAsia="en-US"/>
              </w:rPr>
            </w:pPr>
            <w:r w:rsidRPr="00131EED">
              <w:rPr>
                <w:color w:val="000000"/>
                <w:sz w:val="20"/>
                <w:szCs w:val="20"/>
                <w:lang w:eastAsia="en-US"/>
              </w:rPr>
              <w:t>0.55%</w:t>
            </w:r>
          </w:p>
        </w:tc>
      </w:tr>
      <w:tr w:rsidR="006E4E0A" w:rsidRPr="00131EED" w14:paraId="2153D98C" w14:textId="77777777" w:rsidTr="00F425D1">
        <w:trPr>
          <w:trHeight w:val="288"/>
        </w:trPr>
        <w:tc>
          <w:tcPr>
            <w:tcW w:w="2268" w:type="dxa"/>
            <w:noWrap/>
            <w:vAlign w:val="center"/>
            <w:hideMark/>
          </w:tcPr>
          <w:p w14:paraId="5F5B2B53"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Sesquilé</w:t>
            </w:r>
          </w:p>
        </w:tc>
        <w:tc>
          <w:tcPr>
            <w:tcW w:w="1417" w:type="dxa"/>
            <w:noWrap/>
            <w:vAlign w:val="center"/>
            <w:hideMark/>
          </w:tcPr>
          <w:p w14:paraId="4799F31B" w14:textId="77777777" w:rsidR="006E4E0A" w:rsidRPr="00131EED" w:rsidRDefault="006E4E0A" w:rsidP="006E4E0A">
            <w:pPr>
              <w:jc w:val="right"/>
              <w:rPr>
                <w:color w:val="000000"/>
                <w:sz w:val="20"/>
                <w:szCs w:val="20"/>
                <w:lang w:eastAsia="en-US"/>
              </w:rPr>
            </w:pPr>
            <w:r w:rsidRPr="00131EED">
              <w:rPr>
                <w:color w:val="000000"/>
                <w:sz w:val="20"/>
                <w:szCs w:val="20"/>
                <w:lang w:eastAsia="en-US"/>
              </w:rPr>
              <w:t>69.0522</w:t>
            </w:r>
          </w:p>
        </w:tc>
        <w:tc>
          <w:tcPr>
            <w:tcW w:w="2127" w:type="dxa"/>
            <w:noWrap/>
            <w:vAlign w:val="center"/>
            <w:hideMark/>
          </w:tcPr>
          <w:p w14:paraId="7810387C" w14:textId="77777777" w:rsidR="006E4E0A" w:rsidRPr="00131EED" w:rsidRDefault="006E4E0A" w:rsidP="006E4E0A">
            <w:pPr>
              <w:jc w:val="right"/>
              <w:rPr>
                <w:color w:val="000000"/>
                <w:sz w:val="20"/>
                <w:szCs w:val="20"/>
                <w:lang w:eastAsia="en-US"/>
              </w:rPr>
            </w:pPr>
            <w:r w:rsidRPr="00131EED">
              <w:rPr>
                <w:color w:val="000000"/>
                <w:sz w:val="20"/>
                <w:szCs w:val="20"/>
                <w:lang w:eastAsia="en-US"/>
              </w:rPr>
              <w:t>0.49%</w:t>
            </w:r>
          </w:p>
        </w:tc>
      </w:tr>
      <w:tr w:rsidR="006E4E0A" w:rsidRPr="00131EED" w14:paraId="13107DFB" w14:textId="77777777" w:rsidTr="00F425D1">
        <w:trPr>
          <w:trHeight w:val="288"/>
        </w:trPr>
        <w:tc>
          <w:tcPr>
            <w:tcW w:w="2268" w:type="dxa"/>
            <w:noWrap/>
            <w:vAlign w:val="center"/>
            <w:hideMark/>
          </w:tcPr>
          <w:p w14:paraId="28CD83F0"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Suesca</w:t>
            </w:r>
          </w:p>
        </w:tc>
        <w:tc>
          <w:tcPr>
            <w:tcW w:w="1417" w:type="dxa"/>
            <w:noWrap/>
            <w:vAlign w:val="center"/>
            <w:hideMark/>
          </w:tcPr>
          <w:p w14:paraId="6F4B4AE0" w14:textId="77777777" w:rsidR="006E4E0A" w:rsidRPr="00131EED" w:rsidRDefault="006E4E0A" w:rsidP="006E4E0A">
            <w:pPr>
              <w:jc w:val="right"/>
              <w:rPr>
                <w:color w:val="000000"/>
                <w:sz w:val="20"/>
                <w:szCs w:val="20"/>
                <w:lang w:eastAsia="en-US"/>
              </w:rPr>
            </w:pPr>
            <w:r w:rsidRPr="00131EED">
              <w:rPr>
                <w:color w:val="000000"/>
                <w:sz w:val="20"/>
                <w:szCs w:val="20"/>
                <w:lang w:eastAsia="en-US"/>
              </w:rPr>
              <w:t>63.6941</w:t>
            </w:r>
          </w:p>
        </w:tc>
        <w:tc>
          <w:tcPr>
            <w:tcW w:w="2127" w:type="dxa"/>
            <w:noWrap/>
            <w:vAlign w:val="center"/>
            <w:hideMark/>
          </w:tcPr>
          <w:p w14:paraId="36847886" w14:textId="77777777" w:rsidR="006E4E0A" w:rsidRPr="00131EED" w:rsidRDefault="006E4E0A" w:rsidP="006E4E0A">
            <w:pPr>
              <w:jc w:val="right"/>
              <w:rPr>
                <w:color w:val="000000"/>
                <w:sz w:val="20"/>
                <w:szCs w:val="20"/>
                <w:lang w:eastAsia="en-US"/>
              </w:rPr>
            </w:pPr>
            <w:r w:rsidRPr="00131EED">
              <w:rPr>
                <w:color w:val="000000"/>
                <w:sz w:val="20"/>
                <w:szCs w:val="20"/>
                <w:lang w:eastAsia="en-US"/>
              </w:rPr>
              <w:t>0.55%</w:t>
            </w:r>
          </w:p>
        </w:tc>
      </w:tr>
      <w:tr w:rsidR="006E4E0A" w:rsidRPr="00131EED" w14:paraId="6E749C15" w14:textId="77777777" w:rsidTr="00F425D1">
        <w:trPr>
          <w:trHeight w:val="288"/>
        </w:trPr>
        <w:tc>
          <w:tcPr>
            <w:tcW w:w="2268" w:type="dxa"/>
            <w:noWrap/>
            <w:vAlign w:val="center"/>
            <w:hideMark/>
          </w:tcPr>
          <w:p w14:paraId="7ABDBCBA"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Nemocón</w:t>
            </w:r>
          </w:p>
        </w:tc>
        <w:tc>
          <w:tcPr>
            <w:tcW w:w="1417" w:type="dxa"/>
            <w:noWrap/>
            <w:vAlign w:val="center"/>
            <w:hideMark/>
          </w:tcPr>
          <w:p w14:paraId="5BFE34C3" w14:textId="77777777" w:rsidR="006E4E0A" w:rsidRPr="00131EED" w:rsidRDefault="006E4E0A" w:rsidP="006E4E0A">
            <w:pPr>
              <w:jc w:val="right"/>
              <w:rPr>
                <w:color w:val="000000"/>
                <w:sz w:val="20"/>
                <w:szCs w:val="20"/>
                <w:lang w:eastAsia="en-US"/>
              </w:rPr>
            </w:pPr>
            <w:r w:rsidRPr="00131EED">
              <w:rPr>
                <w:color w:val="000000"/>
                <w:sz w:val="20"/>
                <w:szCs w:val="20"/>
                <w:lang w:eastAsia="en-US"/>
              </w:rPr>
              <w:t>51.0144</w:t>
            </w:r>
          </w:p>
        </w:tc>
        <w:tc>
          <w:tcPr>
            <w:tcW w:w="2127" w:type="dxa"/>
            <w:noWrap/>
            <w:vAlign w:val="center"/>
            <w:hideMark/>
          </w:tcPr>
          <w:p w14:paraId="423B0D28" w14:textId="77777777" w:rsidR="006E4E0A" w:rsidRPr="00131EED" w:rsidRDefault="006E4E0A" w:rsidP="006E4E0A">
            <w:pPr>
              <w:jc w:val="right"/>
              <w:rPr>
                <w:color w:val="000000"/>
                <w:sz w:val="20"/>
                <w:szCs w:val="20"/>
                <w:lang w:eastAsia="en-US"/>
              </w:rPr>
            </w:pPr>
            <w:r w:rsidRPr="00131EED">
              <w:rPr>
                <w:color w:val="000000"/>
                <w:sz w:val="20"/>
                <w:szCs w:val="20"/>
                <w:lang w:eastAsia="en-US"/>
              </w:rPr>
              <w:t>0.52%</w:t>
            </w:r>
          </w:p>
        </w:tc>
      </w:tr>
      <w:tr w:rsidR="006E4E0A" w:rsidRPr="00131EED" w14:paraId="197AEDEB" w14:textId="77777777" w:rsidTr="00F425D1">
        <w:trPr>
          <w:trHeight w:val="288"/>
        </w:trPr>
        <w:tc>
          <w:tcPr>
            <w:tcW w:w="2268" w:type="dxa"/>
            <w:noWrap/>
            <w:vAlign w:val="center"/>
            <w:hideMark/>
          </w:tcPr>
          <w:p w14:paraId="0A94C8B2"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Guasca</w:t>
            </w:r>
          </w:p>
        </w:tc>
        <w:tc>
          <w:tcPr>
            <w:tcW w:w="1417" w:type="dxa"/>
            <w:noWrap/>
            <w:vAlign w:val="center"/>
            <w:hideMark/>
          </w:tcPr>
          <w:p w14:paraId="08E3F9E8" w14:textId="77777777" w:rsidR="006E4E0A" w:rsidRPr="00131EED" w:rsidRDefault="006E4E0A" w:rsidP="006E4E0A">
            <w:pPr>
              <w:jc w:val="right"/>
              <w:rPr>
                <w:color w:val="000000"/>
                <w:sz w:val="20"/>
                <w:szCs w:val="20"/>
                <w:lang w:eastAsia="en-US"/>
              </w:rPr>
            </w:pPr>
            <w:r w:rsidRPr="00131EED">
              <w:rPr>
                <w:color w:val="000000"/>
                <w:sz w:val="20"/>
                <w:szCs w:val="20"/>
                <w:lang w:eastAsia="en-US"/>
              </w:rPr>
              <w:t>40.5099</w:t>
            </w:r>
          </w:p>
        </w:tc>
        <w:tc>
          <w:tcPr>
            <w:tcW w:w="2127" w:type="dxa"/>
            <w:noWrap/>
            <w:vAlign w:val="center"/>
            <w:hideMark/>
          </w:tcPr>
          <w:p w14:paraId="2CF6F753" w14:textId="77777777" w:rsidR="006E4E0A" w:rsidRPr="00131EED" w:rsidRDefault="006E4E0A" w:rsidP="006E4E0A">
            <w:pPr>
              <w:jc w:val="right"/>
              <w:rPr>
                <w:color w:val="000000"/>
                <w:sz w:val="20"/>
                <w:szCs w:val="20"/>
                <w:lang w:eastAsia="en-US"/>
              </w:rPr>
            </w:pPr>
            <w:r w:rsidRPr="00131EED">
              <w:rPr>
                <w:color w:val="000000"/>
                <w:sz w:val="20"/>
                <w:szCs w:val="20"/>
                <w:lang w:eastAsia="en-US"/>
              </w:rPr>
              <w:t>0.19%</w:t>
            </w:r>
          </w:p>
        </w:tc>
      </w:tr>
      <w:tr w:rsidR="006E4E0A" w:rsidRPr="00131EED" w14:paraId="6202766A" w14:textId="77777777" w:rsidTr="00F425D1">
        <w:trPr>
          <w:trHeight w:val="288"/>
        </w:trPr>
        <w:tc>
          <w:tcPr>
            <w:tcW w:w="2268" w:type="dxa"/>
            <w:noWrap/>
            <w:vAlign w:val="center"/>
            <w:hideMark/>
          </w:tcPr>
          <w:p w14:paraId="1C05FDC8"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Chocontá</w:t>
            </w:r>
          </w:p>
        </w:tc>
        <w:tc>
          <w:tcPr>
            <w:tcW w:w="1417" w:type="dxa"/>
            <w:noWrap/>
            <w:vAlign w:val="center"/>
            <w:hideMark/>
          </w:tcPr>
          <w:p w14:paraId="2CE597FB" w14:textId="77777777" w:rsidR="006E4E0A" w:rsidRPr="00131EED" w:rsidRDefault="006E4E0A" w:rsidP="006E4E0A">
            <w:pPr>
              <w:jc w:val="right"/>
              <w:rPr>
                <w:color w:val="000000"/>
                <w:sz w:val="20"/>
                <w:szCs w:val="20"/>
                <w:lang w:eastAsia="en-US"/>
              </w:rPr>
            </w:pPr>
            <w:r w:rsidRPr="00131EED">
              <w:rPr>
                <w:color w:val="000000"/>
                <w:sz w:val="20"/>
                <w:szCs w:val="20"/>
                <w:lang w:eastAsia="en-US"/>
              </w:rPr>
              <w:t>37.0252</w:t>
            </w:r>
          </w:p>
        </w:tc>
        <w:tc>
          <w:tcPr>
            <w:tcW w:w="2127" w:type="dxa"/>
            <w:noWrap/>
            <w:vAlign w:val="center"/>
            <w:hideMark/>
          </w:tcPr>
          <w:p w14:paraId="7F04461B" w14:textId="77777777" w:rsidR="006E4E0A" w:rsidRPr="00131EED" w:rsidRDefault="006E4E0A" w:rsidP="006E4E0A">
            <w:pPr>
              <w:jc w:val="right"/>
              <w:rPr>
                <w:color w:val="000000"/>
                <w:sz w:val="20"/>
                <w:szCs w:val="20"/>
                <w:lang w:eastAsia="en-US"/>
              </w:rPr>
            </w:pPr>
            <w:r w:rsidRPr="00131EED">
              <w:rPr>
                <w:color w:val="000000"/>
                <w:sz w:val="20"/>
                <w:szCs w:val="20"/>
                <w:lang w:eastAsia="en-US"/>
              </w:rPr>
              <w:t>0.15%</w:t>
            </w:r>
          </w:p>
        </w:tc>
      </w:tr>
      <w:tr w:rsidR="006E4E0A" w:rsidRPr="00131EED" w14:paraId="72750EA3" w14:textId="77777777" w:rsidTr="00F425D1">
        <w:trPr>
          <w:trHeight w:val="288"/>
        </w:trPr>
        <w:tc>
          <w:tcPr>
            <w:tcW w:w="2268" w:type="dxa"/>
            <w:noWrap/>
            <w:vAlign w:val="center"/>
            <w:hideMark/>
          </w:tcPr>
          <w:p w14:paraId="13859D0C"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Subachoque</w:t>
            </w:r>
          </w:p>
        </w:tc>
        <w:tc>
          <w:tcPr>
            <w:tcW w:w="1417" w:type="dxa"/>
            <w:noWrap/>
            <w:vAlign w:val="center"/>
            <w:hideMark/>
          </w:tcPr>
          <w:p w14:paraId="07E6955A" w14:textId="77777777" w:rsidR="006E4E0A" w:rsidRPr="00131EED" w:rsidRDefault="006E4E0A" w:rsidP="006E4E0A">
            <w:pPr>
              <w:jc w:val="right"/>
              <w:rPr>
                <w:color w:val="000000"/>
                <w:sz w:val="20"/>
                <w:szCs w:val="20"/>
                <w:lang w:eastAsia="en-US"/>
              </w:rPr>
            </w:pPr>
            <w:r w:rsidRPr="00131EED">
              <w:rPr>
                <w:color w:val="000000"/>
                <w:sz w:val="20"/>
                <w:szCs w:val="20"/>
                <w:lang w:eastAsia="en-US"/>
              </w:rPr>
              <w:t>32.7124</w:t>
            </w:r>
          </w:p>
        </w:tc>
        <w:tc>
          <w:tcPr>
            <w:tcW w:w="2127" w:type="dxa"/>
            <w:noWrap/>
            <w:vAlign w:val="center"/>
            <w:hideMark/>
          </w:tcPr>
          <w:p w14:paraId="33FC55D1" w14:textId="77777777" w:rsidR="006E4E0A" w:rsidRPr="00131EED" w:rsidRDefault="006E4E0A" w:rsidP="006E4E0A">
            <w:pPr>
              <w:jc w:val="right"/>
              <w:rPr>
                <w:color w:val="000000"/>
                <w:sz w:val="20"/>
                <w:szCs w:val="20"/>
                <w:lang w:eastAsia="en-US"/>
              </w:rPr>
            </w:pPr>
            <w:r w:rsidRPr="00131EED">
              <w:rPr>
                <w:color w:val="000000"/>
                <w:sz w:val="20"/>
                <w:szCs w:val="20"/>
                <w:lang w:eastAsia="en-US"/>
              </w:rPr>
              <w:t>0.18%</w:t>
            </w:r>
          </w:p>
        </w:tc>
      </w:tr>
      <w:tr w:rsidR="006E4E0A" w:rsidRPr="00131EED" w14:paraId="188208D5" w14:textId="77777777" w:rsidTr="00F425D1">
        <w:trPr>
          <w:trHeight w:val="288"/>
        </w:trPr>
        <w:tc>
          <w:tcPr>
            <w:tcW w:w="2268" w:type="dxa"/>
            <w:noWrap/>
            <w:vAlign w:val="center"/>
            <w:hideMark/>
          </w:tcPr>
          <w:p w14:paraId="0FBF69A5"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Tausa</w:t>
            </w:r>
          </w:p>
        </w:tc>
        <w:tc>
          <w:tcPr>
            <w:tcW w:w="1417" w:type="dxa"/>
            <w:noWrap/>
            <w:vAlign w:val="center"/>
            <w:hideMark/>
          </w:tcPr>
          <w:p w14:paraId="3D449E1B" w14:textId="77777777" w:rsidR="006E4E0A" w:rsidRPr="00131EED" w:rsidRDefault="006E4E0A" w:rsidP="006E4E0A">
            <w:pPr>
              <w:jc w:val="right"/>
              <w:rPr>
                <w:color w:val="000000"/>
                <w:sz w:val="20"/>
                <w:szCs w:val="20"/>
                <w:lang w:eastAsia="en-US"/>
              </w:rPr>
            </w:pPr>
            <w:r w:rsidRPr="00131EED">
              <w:rPr>
                <w:color w:val="000000"/>
                <w:sz w:val="20"/>
                <w:szCs w:val="20"/>
                <w:lang w:eastAsia="en-US"/>
              </w:rPr>
              <w:t>7.9448</w:t>
            </w:r>
          </w:p>
        </w:tc>
        <w:tc>
          <w:tcPr>
            <w:tcW w:w="2127" w:type="dxa"/>
            <w:noWrap/>
            <w:vAlign w:val="center"/>
            <w:hideMark/>
          </w:tcPr>
          <w:p w14:paraId="0C72505F" w14:textId="77777777" w:rsidR="006E4E0A" w:rsidRPr="00131EED" w:rsidRDefault="006E4E0A" w:rsidP="006E4E0A">
            <w:pPr>
              <w:jc w:val="right"/>
              <w:rPr>
                <w:color w:val="000000"/>
                <w:sz w:val="20"/>
                <w:szCs w:val="20"/>
                <w:lang w:eastAsia="en-US"/>
              </w:rPr>
            </w:pPr>
            <w:r w:rsidRPr="00131EED">
              <w:rPr>
                <w:color w:val="000000"/>
                <w:sz w:val="20"/>
                <w:szCs w:val="20"/>
                <w:lang w:eastAsia="en-US"/>
              </w:rPr>
              <w:t>0.06%</w:t>
            </w:r>
          </w:p>
        </w:tc>
      </w:tr>
      <w:tr w:rsidR="006E4E0A" w:rsidRPr="00131EED" w14:paraId="34B85CCB" w14:textId="77777777" w:rsidTr="00F425D1">
        <w:trPr>
          <w:trHeight w:val="288"/>
        </w:trPr>
        <w:tc>
          <w:tcPr>
            <w:tcW w:w="2268" w:type="dxa"/>
            <w:noWrap/>
            <w:vAlign w:val="center"/>
            <w:hideMark/>
          </w:tcPr>
          <w:p w14:paraId="4F998F52" w14:textId="77777777" w:rsidR="006E4E0A" w:rsidRPr="00131EED" w:rsidRDefault="006E4E0A" w:rsidP="006E4E0A">
            <w:pPr>
              <w:jc w:val="left"/>
              <w:rPr>
                <w:b/>
                <w:color w:val="000000"/>
                <w:sz w:val="20"/>
                <w:szCs w:val="20"/>
                <w:lang w:eastAsia="en-US"/>
              </w:rPr>
            </w:pPr>
            <w:r w:rsidRPr="00131EED">
              <w:rPr>
                <w:b/>
                <w:color w:val="000000"/>
                <w:sz w:val="20"/>
                <w:szCs w:val="20"/>
                <w:lang w:eastAsia="en-US"/>
              </w:rPr>
              <w:t>Guatavita</w:t>
            </w:r>
          </w:p>
        </w:tc>
        <w:tc>
          <w:tcPr>
            <w:tcW w:w="1417" w:type="dxa"/>
            <w:noWrap/>
            <w:vAlign w:val="center"/>
            <w:hideMark/>
          </w:tcPr>
          <w:p w14:paraId="511C229E" w14:textId="77777777" w:rsidR="006E4E0A" w:rsidRPr="00131EED" w:rsidRDefault="006E4E0A" w:rsidP="006E4E0A">
            <w:pPr>
              <w:jc w:val="right"/>
              <w:rPr>
                <w:color w:val="000000"/>
                <w:sz w:val="20"/>
                <w:szCs w:val="20"/>
                <w:lang w:eastAsia="en-US"/>
              </w:rPr>
            </w:pPr>
            <w:r w:rsidRPr="00131EED">
              <w:rPr>
                <w:color w:val="000000"/>
                <w:sz w:val="20"/>
                <w:szCs w:val="20"/>
                <w:lang w:eastAsia="en-US"/>
              </w:rPr>
              <w:t>4.5009</w:t>
            </w:r>
          </w:p>
        </w:tc>
        <w:tc>
          <w:tcPr>
            <w:tcW w:w="2127" w:type="dxa"/>
            <w:noWrap/>
            <w:vAlign w:val="center"/>
            <w:hideMark/>
          </w:tcPr>
          <w:p w14:paraId="3F68DB78" w14:textId="77777777" w:rsidR="006E4E0A" w:rsidRPr="00131EED" w:rsidRDefault="006E4E0A" w:rsidP="006E4E0A">
            <w:pPr>
              <w:jc w:val="right"/>
              <w:rPr>
                <w:color w:val="000000"/>
                <w:sz w:val="20"/>
                <w:szCs w:val="20"/>
                <w:lang w:eastAsia="en-US"/>
              </w:rPr>
            </w:pPr>
            <w:r w:rsidRPr="00131EED">
              <w:rPr>
                <w:color w:val="000000"/>
                <w:sz w:val="20"/>
                <w:szCs w:val="20"/>
                <w:lang w:eastAsia="en-US"/>
              </w:rPr>
              <w:t>0.03%</w:t>
            </w:r>
          </w:p>
        </w:tc>
      </w:tr>
      <w:tr w:rsidR="00CB146C" w:rsidRPr="00131EED" w14:paraId="649126AE" w14:textId="77777777" w:rsidTr="00F425D1">
        <w:trPr>
          <w:trHeight w:val="288"/>
        </w:trPr>
        <w:tc>
          <w:tcPr>
            <w:tcW w:w="2268" w:type="dxa"/>
            <w:noWrap/>
            <w:vAlign w:val="center"/>
            <w:hideMark/>
          </w:tcPr>
          <w:p w14:paraId="1FCC9531" w14:textId="12ACC6B1" w:rsidR="00CB146C" w:rsidRPr="00131EED" w:rsidRDefault="00CB146C" w:rsidP="00D65CF0">
            <w:pPr>
              <w:jc w:val="right"/>
              <w:rPr>
                <w:b/>
                <w:color w:val="000000"/>
                <w:sz w:val="20"/>
                <w:szCs w:val="20"/>
                <w:lang w:eastAsia="en-US"/>
              </w:rPr>
            </w:pPr>
            <w:r w:rsidRPr="00131EED">
              <w:rPr>
                <w:b/>
                <w:color w:val="000000"/>
                <w:sz w:val="20"/>
                <w:szCs w:val="20"/>
                <w:lang w:eastAsia="en-US"/>
              </w:rPr>
              <w:t>Total</w:t>
            </w:r>
          </w:p>
        </w:tc>
        <w:tc>
          <w:tcPr>
            <w:tcW w:w="3544" w:type="dxa"/>
            <w:gridSpan w:val="2"/>
            <w:noWrap/>
            <w:vAlign w:val="center"/>
            <w:hideMark/>
          </w:tcPr>
          <w:p w14:paraId="1752F517" w14:textId="52E4E57E" w:rsidR="00CB146C" w:rsidRPr="00131EED" w:rsidRDefault="00CB146C" w:rsidP="006E4E0A">
            <w:pPr>
              <w:jc w:val="right"/>
              <w:rPr>
                <w:b/>
                <w:color w:val="000000"/>
                <w:sz w:val="20"/>
                <w:szCs w:val="20"/>
                <w:lang w:eastAsia="en-US"/>
              </w:rPr>
            </w:pPr>
            <w:r w:rsidRPr="00131EED">
              <w:rPr>
                <w:b/>
                <w:color w:val="000000"/>
                <w:sz w:val="20"/>
                <w:szCs w:val="20"/>
                <w:lang w:eastAsia="en-US"/>
              </w:rPr>
              <w:t>16.719 ha + 6023 m</w:t>
            </w:r>
            <w:r w:rsidRPr="00131EED">
              <w:rPr>
                <w:b/>
                <w:color w:val="000000"/>
                <w:sz w:val="20"/>
                <w:szCs w:val="20"/>
                <w:vertAlign w:val="superscript"/>
                <w:lang w:eastAsia="en-US"/>
              </w:rPr>
              <w:t>2</w:t>
            </w:r>
          </w:p>
        </w:tc>
      </w:tr>
    </w:tbl>
    <w:p w14:paraId="4B8365D6" w14:textId="77777777" w:rsidR="00286E89" w:rsidRPr="00131EED" w:rsidRDefault="00286E89" w:rsidP="00286E89">
      <w:pPr>
        <w:jc w:val="center"/>
        <w:rPr>
          <w:sz w:val="20"/>
          <w:szCs w:val="20"/>
        </w:rPr>
      </w:pPr>
      <w:r w:rsidRPr="00131EED">
        <w:rPr>
          <w:sz w:val="20"/>
          <w:szCs w:val="20"/>
        </w:rPr>
        <w:t>Fuente: MinAmbiente (2025)</w:t>
      </w:r>
    </w:p>
    <w:p w14:paraId="0374A6E2" w14:textId="77777777" w:rsidR="00F425D1" w:rsidRPr="00131EED" w:rsidRDefault="00F425D1" w:rsidP="00486A29">
      <w:pPr>
        <w:rPr>
          <w:rFonts w:cs="Arial"/>
        </w:rPr>
      </w:pPr>
    </w:p>
    <w:p w14:paraId="5FCAC36C" w14:textId="3DD37FAF" w:rsidR="00486A29" w:rsidRPr="00131EED" w:rsidRDefault="00486A29" w:rsidP="00486A29">
      <w:pPr>
        <w:rPr>
          <w:rFonts w:cs="Arial"/>
        </w:rPr>
      </w:pPr>
      <w:r w:rsidRPr="00131EED">
        <w:rPr>
          <w:rFonts w:cs="Arial"/>
        </w:rPr>
        <w:t xml:space="preserve">En el 2018, las áreas artificializadas en suelo de clase II, alcanzaron </w:t>
      </w:r>
      <w:r w:rsidRPr="00131EED">
        <w:rPr>
          <w:color w:val="000000"/>
          <w:lang w:eastAsia="en-US"/>
        </w:rPr>
        <w:t>9.959 ha + 5120m</w:t>
      </w:r>
      <w:r w:rsidRPr="00131EED">
        <w:rPr>
          <w:color w:val="000000"/>
          <w:vertAlign w:val="superscript"/>
          <w:lang w:eastAsia="en-US"/>
        </w:rPr>
        <w:t>2</w:t>
      </w:r>
      <w:r w:rsidRPr="00131EED">
        <w:rPr>
          <w:rFonts w:cs="Arial"/>
        </w:rPr>
        <w:t xml:space="preserve">. Entre los entes territoriales que mayor área artificializada presentan en esta fecha son, Bogotá D.C., Chía y </w:t>
      </w:r>
      <w:r w:rsidR="00622212" w:rsidRPr="00131EED">
        <w:rPr>
          <w:rFonts w:cs="Arial"/>
        </w:rPr>
        <w:t>Cota.</w:t>
      </w:r>
    </w:p>
    <w:p w14:paraId="6120A91E" w14:textId="77777777" w:rsidR="00486A29" w:rsidRPr="00131EED" w:rsidRDefault="00486A29" w:rsidP="00565CA7">
      <w:pPr>
        <w:rPr>
          <w:rFonts w:cs="Arial"/>
        </w:rPr>
      </w:pPr>
    </w:p>
    <w:p w14:paraId="7E64A6F8" w14:textId="05E643D2" w:rsidR="003A3BE0" w:rsidRPr="00131EED" w:rsidRDefault="003A3BE0" w:rsidP="003A3BE0">
      <w:pPr>
        <w:pStyle w:val="Caption"/>
        <w:keepNext/>
        <w:jc w:val="center"/>
      </w:pPr>
      <w:bookmarkStart w:id="361" w:name="_Toc216468977"/>
      <w:r w:rsidRPr="00131EED">
        <w:t xml:space="preserve">Tabla </w:t>
      </w:r>
      <w:fldSimple w:instr=" SEQ Tabla \* ARABIC ">
        <w:r w:rsidR="00CE096F">
          <w:rPr>
            <w:noProof/>
          </w:rPr>
          <w:t>67</w:t>
        </w:r>
      </w:fldSimple>
      <w:r w:rsidRPr="00131EED">
        <w:t>. Áreas artificializadas en suelos de clase II durante el año 2018.</w:t>
      </w:r>
      <w:bookmarkEnd w:id="361"/>
    </w:p>
    <w:tbl>
      <w:tblPr>
        <w:tblW w:w="5812" w:type="dxa"/>
        <w:tblInd w:w="1413" w:type="dxa"/>
        <w:tblLook w:val="04A0" w:firstRow="1" w:lastRow="0" w:firstColumn="1" w:lastColumn="0" w:noHBand="0" w:noVBand="1"/>
      </w:tblPr>
      <w:tblGrid>
        <w:gridCol w:w="2268"/>
        <w:gridCol w:w="1417"/>
        <w:gridCol w:w="2127"/>
      </w:tblGrid>
      <w:tr w:rsidR="00486A29" w:rsidRPr="00131EED" w14:paraId="542ABE73" w14:textId="77777777" w:rsidTr="00F425D1">
        <w:trPr>
          <w:trHeight w:val="288"/>
          <w:tblHeader/>
        </w:trPr>
        <w:tc>
          <w:tcPr>
            <w:tcW w:w="5812" w:type="dxa"/>
            <w:gridSpan w:val="3"/>
            <w:tcBorders>
              <w:top w:val="single" w:sz="4" w:space="0" w:color="auto"/>
              <w:left w:val="single" w:sz="4" w:space="0" w:color="auto"/>
              <w:bottom w:val="single" w:sz="4" w:space="0" w:color="auto"/>
              <w:right w:val="single" w:sz="4" w:space="0" w:color="auto"/>
            </w:tcBorders>
            <w:noWrap/>
            <w:vAlign w:val="bottom"/>
            <w:hideMark/>
          </w:tcPr>
          <w:p w14:paraId="2771CF4F" w14:textId="77777777" w:rsidR="00486A29" w:rsidRPr="00131EED" w:rsidRDefault="00486A29" w:rsidP="00486A29">
            <w:pPr>
              <w:jc w:val="center"/>
              <w:rPr>
                <w:b/>
                <w:color w:val="000000"/>
                <w:sz w:val="20"/>
                <w:szCs w:val="20"/>
                <w:lang w:eastAsia="en-US"/>
              </w:rPr>
            </w:pPr>
            <w:r w:rsidRPr="00131EED">
              <w:rPr>
                <w:b/>
                <w:color w:val="000000"/>
                <w:sz w:val="20"/>
                <w:szCs w:val="20"/>
                <w:lang w:eastAsia="en-US"/>
              </w:rPr>
              <w:t>Clase II - 2018</w:t>
            </w:r>
          </w:p>
        </w:tc>
      </w:tr>
      <w:tr w:rsidR="00486A29" w:rsidRPr="00131EED" w14:paraId="6E2428B5" w14:textId="77777777" w:rsidTr="00F425D1">
        <w:trPr>
          <w:trHeight w:val="288"/>
          <w:tblHeader/>
        </w:trPr>
        <w:tc>
          <w:tcPr>
            <w:tcW w:w="2268" w:type="dxa"/>
            <w:tcBorders>
              <w:top w:val="nil"/>
              <w:left w:val="single" w:sz="4" w:space="0" w:color="auto"/>
              <w:bottom w:val="single" w:sz="4" w:space="0" w:color="auto"/>
              <w:right w:val="single" w:sz="4" w:space="0" w:color="auto"/>
            </w:tcBorders>
            <w:noWrap/>
            <w:vAlign w:val="center"/>
            <w:hideMark/>
          </w:tcPr>
          <w:p w14:paraId="06D916D3" w14:textId="77777777" w:rsidR="00486A29" w:rsidRPr="00131EED" w:rsidRDefault="00486A29" w:rsidP="00486A29">
            <w:pPr>
              <w:jc w:val="center"/>
              <w:rPr>
                <w:b/>
                <w:color w:val="000000"/>
                <w:sz w:val="20"/>
                <w:szCs w:val="20"/>
                <w:lang w:eastAsia="en-US"/>
              </w:rPr>
            </w:pPr>
            <w:r w:rsidRPr="00131EED">
              <w:rPr>
                <w:b/>
                <w:color w:val="000000"/>
                <w:sz w:val="20"/>
                <w:szCs w:val="20"/>
                <w:lang w:eastAsia="en-US"/>
              </w:rPr>
              <w:t>Municipio</w:t>
            </w:r>
          </w:p>
        </w:tc>
        <w:tc>
          <w:tcPr>
            <w:tcW w:w="1417" w:type="dxa"/>
            <w:tcBorders>
              <w:top w:val="nil"/>
              <w:left w:val="nil"/>
              <w:bottom w:val="single" w:sz="4" w:space="0" w:color="auto"/>
              <w:right w:val="single" w:sz="4" w:space="0" w:color="auto"/>
            </w:tcBorders>
            <w:noWrap/>
            <w:vAlign w:val="center"/>
            <w:hideMark/>
          </w:tcPr>
          <w:p w14:paraId="514D5659" w14:textId="77777777" w:rsidR="00486A29" w:rsidRPr="00131EED" w:rsidRDefault="00486A29" w:rsidP="00486A29">
            <w:pPr>
              <w:jc w:val="center"/>
              <w:rPr>
                <w:b/>
                <w:color w:val="000000"/>
                <w:sz w:val="20"/>
                <w:szCs w:val="20"/>
                <w:lang w:eastAsia="en-US"/>
              </w:rPr>
            </w:pPr>
            <w:r w:rsidRPr="00131EED">
              <w:rPr>
                <w:b/>
                <w:color w:val="000000"/>
                <w:sz w:val="20"/>
                <w:szCs w:val="20"/>
                <w:lang w:eastAsia="en-US"/>
              </w:rPr>
              <w:t>Área Artificializada (ha) Clase II</w:t>
            </w:r>
          </w:p>
        </w:tc>
        <w:tc>
          <w:tcPr>
            <w:tcW w:w="2127" w:type="dxa"/>
            <w:tcBorders>
              <w:top w:val="nil"/>
              <w:left w:val="nil"/>
              <w:bottom w:val="single" w:sz="4" w:space="0" w:color="auto"/>
              <w:right w:val="single" w:sz="4" w:space="0" w:color="auto"/>
            </w:tcBorders>
            <w:noWrap/>
            <w:vAlign w:val="center"/>
            <w:hideMark/>
          </w:tcPr>
          <w:p w14:paraId="1EF668EE" w14:textId="2E1C3D6C" w:rsidR="00486A29" w:rsidRPr="00131EED" w:rsidRDefault="00F94826" w:rsidP="00486A29">
            <w:pPr>
              <w:jc w:val="center"/>
              <w:rPr>
                <w:b/>
                <w:color w:val="000000"/>
                <w:sz w:val="20"/>
                <w:szCs w:val="20"/>
                <w:lang w:eastAsia="en-US"/>
              </w:rPr>
            </w:pPr>
            <w:r w:rsidRPr="00131EED">
              <w:rPr>
                <w:b/>
                <w:color w:val="000000"/>
                <w:sz w:val="20"/>
                <w:szCs w:val="20"/>
                <w:lang w:eastAsia="en-US"/>
              </w:rPr>
              <w:t>Porcentaje artificializado del municipio dentro del ámbito</w:t>
            </w:r>
          </w:p>
        </w:tc>
      </w:tr>
      <w:tr w:rsidR="00486A29" w:rsidRPr="00131EED" w14:paraId="42C2484E"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022C99B3"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Bogotá D.C.</w:t>
            </w:r>
          </w:p>
        </w:tc>
        <w:tc>
          <w:tcPr>
            <w:tcW w:w="1417" w:type="dxa"/>
            <w:tcBorders>
              <w:top w:val="nil"/>
              <w:left w:val="nil"/>
              <w:bottom w:val="single" w:sz="4" w:space="0" w:color="auto"/>
              <w:right w:val="single" w:sz="4" w:space="0" w:color="auto"/>
            </w:tcBorders>
            <w:noWrap/>
            <w:vAlign w:val="center"/>
            <w:hideMark/>
          </w:tcPr>
          <w:p w14:paraId="041113DD" w14:textId="77777777" w:rsidR="00486A29" w:rsidRPr="00131EED" w:rsidRDefault="00486A29" w:rsidP="00486A29">
            <w:pPr>
              <w:jc w:val="center"/>
              <w:rPr>
                <w:color w:val="000000"/>
                <w:sz w:val="20"/>
                <w:szCs w:val="20"/>
                <w:lang w:eastAsia="en-US"/>
              </w:rPr>
            </w:pPr>
            <w:r w:rsidRPr="00131EED">
              <w:rPr>
                <w:color w:val="000000"/>
                <w:sz w:val="20"/>
                <w:szCs w:val="20"/>
                <w:lang w:eastAsia="en-US"/>
              </w:rPr>
              <w:t>1288.2745</w:t>
            </w:r>
          </w:p>
        </w:tc>
        <w:tc>
          <w:tcPr>
            <w:tcW w:w="2127" w:type="dxa"/>
            <w:tcBorders>
              <w:top w:val="nil"/>
              <w:left w:val="nil"/>
              <w:bottom w:val="single" w:sz="4" w:space="0" w:color="auto"/>
              <w:right w:val="single" w:sz="4" w:space="0" w:color="auto"/>
            </w:tcBorders>
            <w:noWrap/>
            <w:vAlign w:val="center"/>
            <w:hideMark/>
          </w:tcPr>
          <w:p w14:paraId="1E33C2BB" w14:textId="77777777" w:rsidR="00486A29" w:rsidRPr="00131EED" w:rsidRDefault="00486A29" w:rsidP="00486A29">
            <w:pPr>
              <w:jc w:val="center"/>
              <w:rPr>
                <w:color w:val="000000"/>
                <w:sz w:val="20"/>
                <w:szCs w:val="20"/>
                <w:lang w:eastAsia="en-US"/>
              </w:rPr>
            </w:pPr>
            <w:r w:rsidRPr="00131EED">
              <w:rPr>
                <w:color w:val="000000"/>
                <w:sz w:val="20"/>
                <w:szCs w:val="20"/>
                <w:lang w:eastAsia="en-US"/>
              </w:rPr>
              <w:t>1.52%</w:t>
            </w:r>
          </w:p>
        </w:tc>
      </w:tr>
      <w:tr w:rsidR="00486A29" w:rsidRPr="00131EED" w14:paraId="2EEC7888"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325CB4C3"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Bojacá</w:t>
            </w:r>
          </w:p>
        </w:tc>
        <w:tc>
          <w:tcPr>
            <w:tcW w:w="1417" w:type="dxa"/>
            <w:tcBorders>
              <w:top w:val="nil"/>
              <w:left w:val="nil"/>
              <w:bottom w:val="single" w:sz="4" w:space="0" w:color="auto"/>
              <w:right w:val="single" w:sz="4" w:space="0" w:color="auto"/>
            </w:tcBorders>
            <w:noWrap/>
            <w:vAlign w:val="center"/>
            <w:hideMark/>
          </w:tcPr>
          <w:p w14:paraId="298F6586" w14:textId="77777777" w:rsidR="00486A29" w:rsidRPr="00131EED" w:rsidRDefault="00486A29" w:rsidP="00486A29">
            <w:pPr>
              <w:jc w:val="center"/>
              <w:rPr>
                <w:color w:val="000000"/>
                <w:sz w:val="20"/>
                <w:szCs w:val="20"/>
                <w:lang w:eastAsia="en-US"/>
              </w:rPr>
            </w:pPr>
            <w:r w:rsidRPr="00131EED">
              <w:rPr>
                <w:color w:val="000000"/>
                <w:sz w:val="20"/>
                <w:szCs w:val="20"/>
                <w:lang w:eastAsia="en-US"/>
              </w:rPr>
              <w:t>58.2739</w:t>
            </w:r>
          </w:p>
        </w:tc>
        <w:tc>
          <w:tcPr>
            <w:tcW w:w="2127" w:type="dxa"/>
            <w:tcBorders>
              <w:top w:val="nil"/>
              <w:left w:val="nil"/>
              <w:bottom w:val="single" w:sz="4" w:space="0" w:color="auto"/>
              <w:right w:val="single" w:sz="4" w:space="0" w:color="auto"/>
            </w:tcBorders>
            <w:noWrap/>
            <w:vAlign w:val="center"/>
            <w:hideMark/>
          </w:tcPr>
          <w:p w14:paraId="7D36807F" w14:textId="77777777" w:rsidR="00486A29" w:rsidRPr="00131EED" w:rsidRDefault="00486A29" w:rsidP="00486A29">
            <w:pPr>
              <w:jc w:val="center"/>
              <w:rPr>
                <w:color w:val="000000"/>
                <w:sz w:val="20"/>
                <w:szCs w:val="20"/>
                <w:lang w:eastAsia="en-US"/>
              </w:rPr>
            </w:pPr>
            <w:r w:rsidRPr="00131EED">
              <w:rPr>
                <w:color w:val="000000"/>
                <w:sz w:val="20"/>
                <w:szCs w:val="20"/>
                <w:lang w:eastAsia="en-US"/>
              </w:rPr>
              <w:t>0.57%</w:t>
            </w:r>
          </w:p>
        </w:tc>
      </w:tr>
      <w:tr w:rsidR="00486A29" w:rsidRPr="00131EED" w14:paraId="02191BDF"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40D8BE91"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Cajicá</w:t>
            </w:r>
          </w:p>
        </w:tc>
        <w:tc>
          <w:tcPr>
            <w:tcW w:w="1417" w:type="dxa"/>
            <w:tcBorders>
              <w:top w:val="nil"/>
              <w:left w:val="nil"/>
              <w:bottom w:val="single" w:sz="4" w:space="0" w:color="auto"/>
              <w:right w:val="single" w:sz="4" w:space="0" w:color="auto"/>
            </w:tcBorders>
            <w:noWrap/>
            <w:vAlign w:val="center"/>
            <w:hideMark/>
          </w:tcPr>
          <w:p w14:paraId="56138D40" w14:textId="77777777" w:rsidR="00486A29" w:rsidRPr="00131EED" w:rsidRDefault="00486A29" w:rsidP="00486A29">
            <w:pPr>
              <w:jc w:val="center"/>
              <w:rPr>
                <w:color w:val="000000"/>
                <w:sz w:val="20"/>
                <w:szCs w:val="20"/>
                <w:lang w:eastAsia="en-US"/>
              </w:rPr>
            </w:pPr>
            <w:r w:rsidRPr="00131EED">
              <w:rPr>
                <w:color w:val="000000"/>
                <w:sz w:val="20"/>
                <w:szCs w:val="20"/>
                <w:lang w:eastAsia="en-US"/>
              </w:rPr>
              <w:t>896.3760</w:t>
            </w:r>
          </w:p>
        </w:tc>
        <w:tc>
          <w:tcPr>
            <w:tcW w:w="2127" w:type="dxa"/>
            <w:tcBorders>
              <w:top w:val="nil"/>
              <w:left w:val="nil"/>
              <w:bottom w:val="single" w:sz="4" w:space="0" w:color="auto"/>
              <w:right w:val="single" w:sz="4" w:space="0" w:color="auto"/>
            </w:tcBorders>
            <w:noWrap/>
            <w:vAlign w:val="center"/>
            <w:hideMark/>
          </w:tcPr>
          <w:p w14:paraId="471EC284" w14:textId="77777777" w:rsidR="00486A29" w:rsidRPr="00131EED" w:rsidRDefault="00486A29" w:rsidP="00486A29">
            <w:pPr>
              <w:jc w:val="center"/>
              <w:rPr>
                <w:color w:val="000000"/>
                <w:sz w:val="20"/>
                <w:szCs w:val="20"/>
                <w:lang w:eastAsia="en-US"/>
              </w:rPr>
            </w:pPr>
            <w:r w:rsidRPr="00131EED">
              <w:rPr>
                <w:color w:val="000000"/>
                <w:sz w:val="20"/>
                <w:szCs w:val="20"/>
                <w:lang w:eastAsia="en-US"/>
              </w:rPr>
              <w:t>17.49%</w:t>
            </w:r>
          </w:p>
        </w:tc>
      </w:tr>
      <w:tr w:rsidR="00486A29" w:rsidRPr="00131EED" w14:paraId="61F5FC18"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184EEC4B"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Chía</w:t>
            </w:r>
          </w:p>
        </w:tc>
        <w:tc>
          <w:tcPr>
            <w:tcW w:w="1417" w:type="dxa"/>
            <w:tcBorders>
              <w:top w:val="nil"/>
              <w:left w:val="nil"/>
              <w:bottom w:val="single" w:sz="4" w:space="0" w:color="auto"/>
              <w:right w:val="single" w:sz="4" w:space="0" w:color="auto"/>
            </w:tcBorders>
            <w:noWrap/>
            <w:vAlign w:val="center"/>
            <w:hideMark/>
          </w:tcPr>
          <w:p w14:paraId="26CBA828" w14:textId="77777777" w:rsidR="00486A29" w:rsidRPr="00131EED" w:rsidRDefault="00486A29" w:rsidP="00486A29">
            <w:pPr>
              <w:jc w:val="center"/>
              <w:rPr>
                <w:color w:val="000000"/>
                <w:sz w:val="20"/>
                <w:szCs w:val="20"/>
                <w:lang w:eastAsia="en-US"/>
              </w:rPr>
            </w:pPr>
            <w:r w:rsidRPr="00131EED">
              <w:rPr>
                <w:color w:val="000000"/>
                <w:sz w:val="20"/>
                <w:szCs w:val="20"/>
                <w:lang w:eastAsia="en-US"/>
              </w:rPr>
              <w:t>1325.0978</w:t>
            </w:r>
          </w:p>
        </w:tc>
        <w:tc>
          <w:tcPr>
            <w:tcW w:w="2127" w:type="dxa"/>
            <w:tcBorders>
              <w:top w:val="nil"/>
              <w:left w:val="nil"/>
              <w:bottom w:val="single" w:sz="4" w:space="0" w:color="auto"/>
              <w:right w:val="single" w:sz="4" w:space="0" w:color="auto"/>
            </w:tcBorders>
            <w:noWrap/>
            <w:vAlign w:val="center"/>
            <w:hideMark/>
          </w:tcPr>
          <w:p w14:paraId="6DFEC5C5" w14:textId="77777777" w:rsidR="00486A29" w:rsidRPr="00131EED" w:rsidRDefault="00486A29" w:rsidP="00486A29">
            <w:pPr>
              <w:jc w:val="center"/>
              <w:rPr>
                <w:color w:val="000000"/>
                <w:sz w:val="20"/>
                <w:szCs w:val="20"/>
                <w:lang w:eastAsia="en-US"/>
              </w:rPr>
            </w:pPr>
            <w:r w:rsidRPr="00131EED">
              <w:rPr>
                <w:color w:val="000000"/>
                <w:sz w:val="20"/>
                <w:szCs w:val="20"/>
                <w:lang w:eastAsia="en-US"/>
              </w:rPr>
              <w:t>16.60%</w:t>
            </w:r>
          </w:p>
        </w:tc>
      </w:tr>
      <w:tr w:rsidR="00486A29" w:rsidRPr="00131EED" w14:paraId="1C26F973"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34D5035B"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Chocontá</w:t>
            </w:r>
          </w:p>
        </w:tc>
        <w:tc>
          <w:tcPr>
            <w:tcW w:w="1417" w:type="dxa"/>
            <w:tcBorders>
              <w:top w:val="nil"/>
              <w:left w:val="nil"/>
              <w:bottom w:val="single" w:sz="4" w:space="0" w:color="auto"/>
              <w:right w:val="single" w:sz="4" w:space="0" w:color="auto"/>
            </w:tcBorders>
            <w:noWrap/>
            <w:vAlign w:val="center"/>
            <w:hideMark/>
          </w:tcPr>
          <w:p w14:paraId="6AEE7D58" w14:textId="77777777" w:rsidR="00486A29" w:rsidRPr="00131EED" w:rsidRDefault="00486A29" w:rsidP="00486A29">
            <w:pPr>
              <w:jc w:val="center"/>
              <w:rPr>
                <w:color w:val="000000"/>
                <w:sz w:val="20"/>
                <w:szCs w:val="20"/>
                <w:lang w:eastAsia="en-US"/>
              </w:rPr>
            </w:pPr>
            <w:r w:rsidRPr="00131EED">
              <w:rPr>
                <w:color w:val="000000"/>
                <w:sz w:val="20"/>
                <w:szCs w:val="20"/>
                <w:lang w:eastAsia="en-US"/>
              </w:rPr>
              <w:t>6.3129</w:t>
            </w:r>
          </w:p>
        </w:tc>
        <w:tc>
          <w:tcPr>
            <w:tcW w:w="2127" w:type="dxa"/>
            <w:tcBorders>
              <w:top w:val="nil"/>
              <w:left w:val="nil"/>
              <w:bottom w:val="single" w:sz="4" w:space="0" w:color="auto"/>
              <w:right w:val="single" w:sz="4" w:space="0" w:color="auto"/>
            </w:tcBorders>
            <w:noWrap/>
            <w:vAlign w:val="center"/>
            <w:hideMark/>
          </w:tcPr>
          <w:p w14:paraId="5A4B7727" w14:textId="77777777" w:rsidR="00486A29" w:rsidRPr="00131EED" w:rsidRDefault="00486A29" w:rsidP="00486A29">
            <w:pPr>
              <w:jc w:val="center"/>
              <w:rPr>
                <w:color w:val="000000"/>
                <w:sz w:val="20"/>
                <w:szCs w:val="20"/>
                <w:lang w:eastAsia="en-US"/>
              </w:rPr>
            </w:pPr>
            <w:r w:rsidRPr="00131EED">
              <w:rPr>
                <w:color w:val="000000"/>
                <w:sz w:val="20"/>
                <w:szCs w:val="20"/>
                <w:lang w:eastAsia="en-US"/>
              </w:rPr>
              <w:t>0.03%</w:t>
            </w:r>
          </w:p>
        </w:tc>
      </w:tr>
      <w:tr w:rsidR="00486A29" w:rsidRPr="00131EED" w14:paraId="63034295"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1E3C61EF"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Cogua</w:t>
            </w:r>
          </w:p>
        </w:tc>
        <w:tc>
          <w:tcPr>
            <w:tcW w:w="1417" w:type="dxa"/>
            <w:tcBorders>
              <w:top w:val="nil"/>
              <w:left w:val="nil"/>
              <w:bottom w:val="single" w:sz="4" w:space="0" w:color="auto"/>
              <w:right w:val="single" w:sz="4" w:space="0" w:color="auto"/>
            </w:tcBorders>
            <w:noWrap/>
            <w:vAlign w:val="center"/>
            <w:hideMark/>
          </w:tcPr>
          <w:p w14:paraId="0D85C74C" w14:textId="77777777" w:rsidR="00486A29" w:rsidRPr="00131EED" w:rsidRDefault="00486A29" w:rsidP="00486A29">
            <w:pPr>
              <w:jc w:val="center"/>
              <w:rPr>
                <w:color w:val="000000"/>
                <w:sz w:val="20"/>
                <w:szCs w:val="20"/>
                <w:lang w:eastAsia="en-US"/>
              </w:rPr>
            </w:pPr>
            <w:r w:rsidRPr="00131EED">
              <w:rPr>
                <w:color w:val="000000"/>
                <w:sz w:val="20"/>
                <w:szCs w:val="20"/>
                <w:lang w:eastAsia="en-US"/>
              </w:rPr>
              <w:t>113.0478</w:t>
            </w:r>
          </w:p>
        </w:tc>
        <w:tc>
          <w:tcPr>
            <w:tcW w:w="2127" w:type="dxa"/>
            <w:tcBorders>
              <w:top w:val="nil"/>
              <w:left w:val="nil"/>
              <w:bottom w:val="single" w:sz="4" w:space="0" w:color="auto"/>
              <w:right w:val="single" w:sz="4" w:space="0" w:color="auto"/>
            </w:tcBorders>
            <w:noWrap/>
            <w:vAlign w:val="center"/>
            <w:hideMark/>
          </w:tcPr>
          <w:p w14:paraId="603B6E4C" w14:textId="77777777" w:rsidR="00486A29" w:rsidRPr="00131EED" w:rsidRDefault="00486A29" w:rsidP="00486A29">
            <w:pPr>
              <w:jc w:val="center"/>
              <w:rPr>
                <w:color w:val="000000"/>
                <w:sz w:val="20"/>
                <w:szCs w:val="20"/>
                <w:lang w:eastAsia="en-US"/>
              </w:rPr>
            </w:pPr>
            <w:r w:rsidRPr="00131EED">
              <w:rPr>
                <w:color w:val="000000"/>
                <w:sz w:val="20"/>
                <w:szCs w:val="20"/>
                <w:lang w:eastAsia="en-US"/>
              </w:rPr>
              <w:t>0.85%</w:t>
            </w:r>
          </w:p>
        </w:tc>
      </w:tr>
      <w:tr w:rsidR="00486A29" w:rsidRPr="00131EED" w14:paraId="6A6E851F"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0F1E3A54"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Cota</w:t>
            </w:r>
          </w:p>
        </w:tc>
        <w:tc>
          <w:tcPr>
            <w:tcW w:w="1417" w:type="dxa"/>
            <w:tcBorders>
              <w:top w:val="nil"/>
              <w:left w:val="nil"/>
              <w:bottom w:val="single" w:sz="4" w:space="0" w:color="auto"/>
              <w:right w:val="single" w:sz="4" w:space="0" w:color="auto"/>
            </w:tcBorders>
            <w:noWrap/>
            <w:vAlign w:val="center"/>
            <w:hideMark/>
          </w:tcPr>
          <w:p w14:paraId="15B06715" w14:textId="77777777" w:rsidR="00486A29" w:rsidRPr="00131EED" w:rsidRDefault="00486A29" w:rsidP="00486A29">
            <w:pPr>
              <w:jc w:val="center"/>
              <w:rPr>
                <w:color w:val="000000"/>
                <w:sz w:val="20"/>
                <w:szCs w:val="20"/>
                <w:lang w:eastAsia="en-US"/>
              </w:rPr>
            </w:pPr>
            <w:r w:rsidRPr="00131EED">
              <w:rPr>
                <w:color w:val="000000"/>
                <w:sz w:val="20"/>
                <w:szCs w:val="20"/>
                <w:lang w:eastAsia="en-US"/>
              </w:rPr>
              <w:t>955.3739</w:t>
            </w:r>
          </w:p>
        </w:tc>
        <w:tc>
          <w:tcPr>
            <w:tcW w:w="2127" w:type="dxa"/>
            <w:tcBorders>
              <w:top w:val="nil"/>
              <w:left w:val="nil"/>
              <w:bottom w:val="single" w:sz="4" w:space="0" w:color="auto"/>
              <w:right w:val="single" w:sz="4" w:space="0" w:color="auto"/>
            </w:tcBorders>
            <w:noWrap/>
            <w:vAlign w:val="center"/>
            <w:hideMark/>
          </w:tcPr>
          <w:p w14:paraId="2B6F5DCE" w14:textId="77777777" w:rsidR="00486A29" w:rsidRPr="00131EED" w:rsidRDefault="00486A29" w:rsidP="00486A29">
            <w:pPr>
              <w:jc w:val="center"/>
              <w:rPr>
                <w:color w:val="000000"/>
                <w:sz w:val="20"/>
                <w:szCs w:val="20"/>
                <w:lang w:eastAsia="en-US"/>
              </w:rPr>
            </w:pPr>
            <w:r w:rsidRPr="00131EED">
              <w:rPr>
                <w:color w:val="000000"/>
                <w:sz w:val="20"/>
                <w:szCs w:val="20"/>
                <w:lang w:eastAsia="en-US"/>
              </w:rPr>
              <w:t>17.80%</w:t>
            </w:r>
          </w:p>
        </w:tc>
      </w:tr>
      <w:tr w:rsidR="00486A29" w:rsidRPr="00131EED" w14:paraId="6FBF7B0F"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2CF5D592"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El Rosal</w:t>
            </w:r>
          </w:p>
        </w:tc>
        <w:tc>
          <w:tcPr>
            <w:tcW w:w="1417" w:type="dxa"/>
            <w:tcBorders>
              <w:top w:val="nil"/>
              <w:left w:val="nil"/>
              <w:bottom w:val="single" w:sz="4" w:space="0" w:color="auto"/>
              <w:right w:val="single" w:sz="4" w:space="0" w:color="auto"/>
            </w:tcBorders>
            <w:noWrap/>
            <w:vAlign w:val="center"/>
            <w:hideMark/>
          </w:tcPr>
          <w:p w14:paraId="6E0F1DAD" w14:textId="77777777" w:rsidR="00486A29" w:rsidRPr="00131EED" w:rsidRDefault="00486A29" w:rsidP="00486A29">
            <w:pPr>
              <w:jc w:val="center"/>
              <w:rPr>
                <w:color w:val="000000"/>
                <w:sz w:val="20"/>
                <w:szCs w:val="20"/>
                <w:lang w:eastAsia="en-US"/>
              </w:rPr>
            </w:pPr>
            <w:r w:rsidRPr="00131EED">
              <w:rPr>
                <w:color w:val="000000"/>
                <w:sz w:val="20"/>
                <w:szCs w:val="20"/>
                <w:lang w:eastAsia="en-US"/>
              </w:rPr>
              <w:t>71.6281</w:t>
            </w:r>
          </w:p>
        </w:tc>
        <w:tc>
          <w:tcPr>
            <w:tcW w:w="2127" w:type="dxa"/>
            <w:tcBorders>
              <w:top w:val="nil"/>
              <w:left w:val="nil"/>
              <w:bottom w:val="single" w:sz="4" w:space="0" w:color="auto"/>
              <w:right w:val="single" w:sz="4" w:space="0" w:color="auto"/>
            </w:tcBorders>
            <w:noWrap/>
            <w:vAlign w:val="center"/>
            <w:hideMark/>
          </w:tcPr>
          <w:p w14:paraId="54F2554E" w14:textId="77777777" w:rsidR="00486A29" w:rsidRPr="00131EED" w:rsidRDefault="00486A29" w:rsidP="00486A29">
            <w:pPr>
              <w:jc w:val="center"/>
              <w:rPr>
                <w:color w:val="000000"/>
                <w:sz w:val="20"/>
                <w:szCs w:val="20"/>
                <w:lang w:eastAsia="en-US"/>
              </w:rPr>
            </w:pPr>
            <w:r w:rsidRPr="00131EED">
              <w:rPr>
                <w:color w:val="000000"/>
                <w:sz w:val="20"/>
                <w:szCs w:val="20"/>
                <w:lang w:eastAsia="en-US"/>
              </w:rPr>
              <w:t>1.04%</w:t>
            </w:r>
          </w:p>
        </w:tc>
      </w:tr>
      <w:tr w:rsidR="00486A29" w:rsidRPr="00131EED" w14:paraId="6D991771"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1FE0D39B"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Facatativá</w:t>
            </w:r>
          </w:p>
        </w:tc>
        <w:tc>
          <w:tcPr>
            <w:tcW w:w="1417" w:type="dxa"/>
            <w:tcBorders>
              <w:top w:val="nil"/>
              <w:left w:val="nil"/>
              <w:bottom w:val="single" w:sz="4" w:space="0" w:color="auto"/>
              <w:right w:val="single" w:sz="4" w:space="0" w:color="auto"/>
            </w:tcBorders>
            <w:noWrap/>
            <w:vAlign w:val="center"/>
            <w:hideMark/>
          </w:tcPr>
          <w:p w14:paraId="0F229D2E" w14:textId="77777777" w:rsidR="00486A29" w:rsidRPr="00131EED" w:rsidRDefault="00486A29" w:rsidP="00486A29">
            <w:pPr>
              <w:jc w:val="center"/>
              <w:rPr>
                <w:color w:val="000000"/>
                <w:sz w:val="20"/>
                <w:szCs w:val="20"/>
                <w:lang w:eastAsia="en-US"/>
              </w:rPr>
            </w:pPr>
            <w:r w:rsidRPr="00131EED">
              <w:rPr>
                <w:color w:val="000000"/>
                <w:sz w:val="20"/>
                <w:szCs w:val="20"/>
                <w:lang w:eastAsia="en-US"/>
              </w:rPr>
              <w:t>408.0246</w:t>
            </w:r>
          </w:p>
        </w:tc>
        <w:tc>
          <w:tcPr>
            <w:tcW w:w="2127" w:type="dxa"/>
            <w:tcBorders>
              <w:top w:val="nil"/>
              <w:left w:val="nil"/>
              <w:bottom w:val="single" w:sz="4" w:space="0" w:color="auto"/>
              <w:right w:val="single" w:sz="4" w:space="0" w:color="auto"/>
            </w:tcBorders>
            <w:noWrap/>
            <w:vAlign w:val="center"/>
            <w:hideMark/>
          </w:tcPr>
          <w:p w14:paraId="3DF4A635" w14:textId="77777777" w:rsidR="00486A29" w:rsidRPr="00131EED" w:rsidRDefault="00486A29" w:rsidP="00486A29">
            <w:pPr>
              <w:jc w:val="center"/>
              <w:rPr>
                <w:color w:val="000000"/>
                <w:sz w:val="20"/>
                <w:szCs w:val="20"/>
                <w:lang w:eastAsia="en-US"/>
              </w:rPr>
            </w:pPr>
            <w:r w:rsidRPr="00131EED">
              <w:rPr>
                <w:color w:val="000000"/>
                <w:sz w:val="20"/>
                <w:szCs w:val="20"/>
                <w:lang w:eastAsia="en-US"/>
              </w:rPr>
              <w:t>2.63%</w:t>
            </w:r>
          </w:p>
        </w:tc>
      </w:tr>
      <w:tr w:rsidR="00486A29" w:rsidRPr="00131EED" w14:paraId="1097F12D"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2525423D"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Funza</w:t>
            </w:r>
          </w:p>
        </w:tc>
        <w:tc>
          <w:tcPr>
            <w:tcW w:w="1417" w:type="dxa"/>
            <w:tcBorders>
              <w:top w:val="nil"/>
              <w:left w:val="nil"/>
              <w:bottom w:val="single" w:sz="4" w:space="0" w:color="auto"/>
              <w:right w:val="single" w:sz="4" w:space="0" w:color="auto"/>
            </w:tcBorders>
            <w:noWrap/>
            <w:vAlign w:val="center"/>
            <w:hideMark/>
          </w:tcPr>
          <w:p w14:paraId="216ADF20" w14:textId="77777777" w:rsidR="00486A29" w:rsidRPr="00131EED" w:rsidRDefault="00486A29" w:rsidP="00486A29">
            <w:pPr>
              <w:jc w:val="center"/>
              <w:rPr>
                <w:color w:val="000000"/>
                <w:sz w:val="20"/>
                <w:szCs w:val="20"/>
                <w:lang w:eastAsia="en-US"/>
              </w:rPr>
            </w:pPr>
            <w:r w:rsidRPr="00131EED">
              <w:rPr>
                <w:color w:val="000000"/>
                <w:sz w:val="20"/>
                <w:szCs w:val="20"/>
                <w:lang w:eastAsia="en-US"/>
              </w:rPr>
              <w:t>780.2732</w:t>
            </w:r>
          </w:p>
        </w:tc>
        <w:tc>
          <w:tcPr>
            <w:tcW w:w="2127" w:type="dxa"/>
            <w:tcBorders>
              <w:top w:val="nil"/>
              <w:left w:val="nil"/>
              <w:bottom w:val="single" w:sz="4" w:space="0" w:color="auto"/>
              <w:right w:val="single" w:sz="4" w:space="0" w:color="auto"/>
            </w:tcBorders>
            <w:noWrap/>
            <w:vAlign w:val="center"/>
            <w:hideMark/>
          </w:tcPr>
          <w:p w14:paraId="1BFE949C" w14:textId="77777777" w:rsidR="00486A29" w:rsidRPr="00131EED" w:rsidRDefault="00486A29" w:rsidP="00486A29">
            <w:pPr>
              <w:jc w:val="center"/>
              <w:rPr>
                <w:color w:val="000000"/>
                <w:sz w:val="20"/>
                <w:szCs w:val="20"/>
                <w:lang w:eastAsia="en-US"/>
              </w:rPr>
            </w:pPr>
            <w:r w:rsidRPr="00131EED">
              <w:rPr>
                <w:color w:val="000000"/>
                <w:sz w:val="20"/>
                <w:szCs w:val="20"/>
                <w:lang w:eastAsia="en-US"/>
              </w:rPr>
              <w:t>11.15%</w:t>
            </w:r>
          </w:p>
        </w:tc>
      </w:tr>
      <w:tr w:rsidR="00486A29" w:rsidRPr="00131EED" w14:paraId="11DC0CF8"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300C1048"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Gachancipá</w:t>
            </w:r>
          </w:p>
        </w:tc>
        <w:tc>
          <w:tcPr>
            <w:tcW w:w="1417" w:type="dxa"/>
            <w:tcBorders>
              <w:top w:val="nil"/>
              <w:left w:val="nil"/>
              <w:bottom w:val="single" w:sz="4" w:space="0" w:color="auto"/>
              <w:right w:val="single" w:sz="4" w:space="0" w:color="auto"/>
            </w:tcBorders>
            <w:noWrap/>
            <w:vAlign w:val="center"/>
            <w:hideMark/>
          </w:tcPr>
          <w:p w14:paraId="59D97831" w14:textId="77777777" w:rsidR="00486A29" w:rsidRPr="00131EED" w:rsidRDefault="00486A29" w:rsidP="00486A29">
            <w:pPr>
              <w:jc w:val="center"/>
              <w:rPr>
                <w:color w:val="000000"/>
                <w:sz w:val="20"/>
                <w:szCs w:val="20"/>
                <w:lang w:eastAsia="en-US"/>
              </w:rPr>
            </w:pPr>
            <w:r w:rsidRPr="00131EED">
              <w:rPr>
                <w:color w:val="000000"/>
                <w:sz w:val="20"/>
                <w:szCs w:val="20"/>
                <w:lang w:eastAsia="en-US"/>
              </w:rPr>
              <w:t>109.0355</w:t>
            </w:r>
          </w:p>
        </w:tc>
        <w:tc>
          <w:tcPr>
            <w:tcW w:w="2127" w:type="dxa"/>
            <w:tcBorders>
              <w:top w:val="nil"/>
              <w:left w:val="nil"/>
              <w:bottom w:val="single" w:sz="4" w:space="0" w:color="auto"/>
              <w:right w:val="single" w:sz="4" w:space="0" w:color="auto"/>
            </w:tcBorders>
            <w:noWrap/>
            <w:vAlign w:val="center"/>
            <w:hideMark/>
          </w:tcPr>
          <w:p w14:paraId="06E4C812" w14:textId="77777777" w:rsidR="00486A29" w:rsidRPr="00131EED" w:rsidRDefault="00486A29" w:rsidP="00486A29">
            <w:pPr>
              <w:jc w:val="center"/>
              <w:rPr>
                <w:color w:val="000000"/>
                <w:sz w:val="20"/>
                <w:szCs w:val="20"/>
                <w:lang w:eastAsia="en-US"/>
              </w:rPr>
            </w:pPr>
            <w:r w:rsidRPr="00131EED">
              <w:rPr>
                <w:color w:val="000000"/>
                <w:sz w:val="20"/>
                <w:szCs w:val="20"/>
                <w:lang w:eastAsia="en-US"/>
              </w:rPr>
              <w:t>2.54%</w:t>
            </w:r>
          </w:p>
        </w:tc>
      </w:tr>
      <w:tr w:rsidR="00486A29" w:rsidRPr="00131EED" w14:paraId="045394CD"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41EA42F0"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Guasca</w:t>
            </w:r>
          </w:p>
        </w:tc>
        <w:tc>
          <w:tcPr>
            <w:tcW w:w="1417" w:type="dxa"/>
            <w:tcBorders>
              <w:top w:val="nil"/>
              <w:left w:val="nil"/>
              <w:bottom w:val="single" w:sz="4" w:space="0" w:color="auto"/>
              <w:right w:val="single" w:sz="4" w:space="0" w:color="auto"/>
            </w:tcBorders>
            <w:noWrap/>
            <w:vAlign w:val="center"/>
            <w:hideMark/>
          </w:tcPr>
          <w:p w14:paraId="5316B78B" w14:textId="77777777" w:rsidR="00486A29" w:rsidRPr="00131EED" w:rsidRDefault="00486A29" w:rsidP="00486A29">
            <w:pPr>
              <w:jc w:val="center"/>
              <w:rPr>
                <w:color w:val="000000"/>
                <w:sz w:val="20"/>
                <w:szCs w:val="20"/>
                <w:lang w:eastAsia="en-US"/>
              </w:rPr>
            </w:pPr>
            <w:r w:rsidRPr="00131EED">
              <w:rPr>
                <w:color w:val="000000"/>
                <w:sz w:val="20"/>
                <w:szCs w:val="20"/>
                <w:lang w:eastAsia="en-US"/>
              </w:rPr>
              <w:t>0.0991</w:t>
            </w:r>
          </w:p>
        </w:tc>
        <w:tc>
          <w:tcPr>
            <w:tcW w:w="2127" w:type="dxa"/>
            <w:tcBorders>
              <w:top w:val="nil"/>
              <w:left w:val="nil"/>
              <w:bottom w:val="single" w:sz="4" w:space="0" w:color="auto"/>
              <w:right w:val="single" w:sz="4" w:space="0" w:color="auto"/>
            </w:tcBorders>
            <w:noWrap/>
            <w:vAlign w:val="center"/>
            <w:hideMark/>
          </w:tcPr>
          <w:p w14:paraId="298C3ED7" w14:textId="77777777" w:rsidR="00486A29" w:rsidRPr="00131EED" w:rsidRDefault="00486A29" w:rsidP="00486A29">
            <w:pPr>
              <w:jc w:val="center"/>
              <w:rPr>
                <w:color w:val="000000"/>
                <w:sz w:val="20"/>
                <w:szCs w:val="20"/>
                <w:lang w:eastAsia="en-US"/>
              </w:rPr>
            </w:pPr>
            <w:r w:rsidRPr="00131EED">
              <w:rPr>
                <w:color w:val="000000"/>
                <w:sz w:val="20"/>
                <w:szCs w:val="20"/>
                <w:lang w:eastAsia="en-US"/>
              </w:rPr>
              <w:t>0.00%</w:t>
            </w:r>
          </w:p>
        </w:tc>
      </w:tr>
      <w:tr w:rsidR="00486A29" w:rsidRPr="00131EED" w14:paraId="5B9263EB"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15803605"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La Calera</w:t>
            </w:r>
          </w:p>
        </w:tc>
        <w:tc>
          <w:tcPr>
            <w:tcW w:w="1417" w:type="dxa"/>
            <w:tcBorders>
              <w:top w:val="nil"/>
              <w:left w:val="nil"/>
              <w:bottom w:val="single" w:sz="4" w:space="0" w:color="auto"/>
              <w:right w:val="single" w:sz="4" w:space="0" w:color="auto"/>
            </w:tcBorders>
            <w:noWrap/>
            <w:vAlign w:val="center"/>
            <w:hideMark/>
          </w:tcPr>
          <w:p w14:paraId="72A52479" w14:textId="77777777" w:rsidR="00486A29" w:rsidRPr="00131EED" w:rsidRDefault="00486A29" w:rsidP="00486A29">
            <w:pPr>
              <w:jc w:val="center"/>
              <w:rPr>
                <w:color w:val="000000"/>
                <w:sz w:val="20"/>
                <w:szCs w:val="20"/>
                <w:lang w:eastAsia="en-US"/>
              </w:rPr>
            </w:pPr>
            <w:r w:rsidRPr="00131EED">
              <w:rPr>
                <w:color w:val="000000"/>
                <w:sz w:val="20"/>
                <w:szCs w:val="20"/>
                <w:lang w:eastAsia="en-US"/>
              </w:rPr>
              <w:t>83.6864</w:t>
            </w:r>
          </w:p>
        </w:tc>
        <w:tc>
          <w:tcPr>
            <w:tcW w:w="2127" w:type="dxa"/>
            <w:tcBorders>
              <w:top w:val="nil"/>
              <w:left w:val="nil"/>
              <w:bottom w:val="single" w:sz="4" w:space="0" w:color="auto"/>
              <w:right w:val="single" w:sz="4" w:space="0" w:color="auto"/>
            </w:tcBorders>
            <w:noWrap/>
            <w:vAlign w:val="center"/>
            <w:hideMark/>
          </w:tcPr>
          <w:p w14:paraId="44751AD0" w14:textId="77777777" w:rsidR="00486A29" w:rsidRPr="00131EED" w:rsidRDefault="00486A29" w:rsidP="00486A29">
            <w:pPr>
              <w:jc w:val="center"/>
              <w:rPr>
                <w:color w:val="000000"/>
                <w:sz w:val="20"/>
                <w:szCs w:val="20"/>
                <w:lang w:eastAsia="en-US"/>
              </w:rPr>
            </w:pPr>
            <w:r w:rsidRPr="00131EED">
              <w:rPr>
                <w:color w:val="000000"/>
                <w:sz w:val="20"/>
                <w:szCs w:val="20"/>
                <w:lang w:eastAsia="en-US"/>
              </w:rPr>
              <w:t>0.45%</w:t>
            </w:r>
          </w:p>
        </w:tc>
      </w:tr>
      <w:tr w:rsidR="00486A29" w:rsidRPr="00131EED" w14:paraId="5DF77ED9"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1A101DB8"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Madrid</w:t>
            </w:r>
          </w:p>
        </w:tc>
        <w:tc>
          <w:tcPr>
            <w:tcW w:w="1417" w:type="dxa"/>
            <w:tcBorders>
              <w:top w:val="nil"/>
              <w:left w:val="nil"/>
              <w:bottom w:val="single" w:sz="4" w:space="0" w:color="auto"/>
              <w:right w:val="single" w:sz="4" w:space="0" w:color="auto"/>
            </w:tcBorders>
            <w:noWrap/>
            <w:vAlign w:val="center"/>
            <w:hideMark/>
          </w:tcPr>
          <w:p w14:paraId="7750CC2B" w14:textId="77777777" w:rsidR="00486A29" w:rsidRPr="00131EED" w:rsidRDefault="00486A29" w:rsidP="00486A29">
            <w:pPr>
              <w:jc w:val="center"/>
              <w:rPr>
                <w:color w:val="000000"/>
                <w:sz w:val="20"/>
                <w:szCs w:val="20"/>
                <w:lang w:eastAsia="en-US"/>
              </w:rPr>
            </w:pPr>
            <w:r w:rsidRPr="00131EED">
              <w:rPr>
                <w:color w:val="000000"/>
                <w:sz w:val="20"/>
                <w:szCs w:val="20"/>
                <w:lang w:eastAsia="en-US"/>
              </w:rPr>
              <w:t>455.6514</w:t>
            </w:r>
          </w:p>
        </w:tc>
        <w:tc>
          <w:tcPr>
            <w:tcW w:w="2127" w:type="dxa"/>
            <w:tcBorders>
              <w:top w:val="nil"/>
              <w:left w:val="nil"/>
              <w:bottom w:val="single" w:sz="4" w:space="0" w:color="auto"/>
              <w:right w:val="single" w:sz="4" w:space="0" w:color="auto"/>
            </w:tcBorders>
            <w:noWrap/>
            <w:vAlign w:val="center"/>
            <w:hideMark/>
          </w:tcPr>
          <w:p w14:paraId="71B593E4" w14:textId="77777777" w:rsidR="00486A29" w:rsidRPr="00131EED" w:rsidRDefault="00486A29" w:rsidP="00486A29">
            <w:pPr>
              <w:jc w:val="center"/>
              <w:rPr>
                <w:color w:val="000000"/>
                <w:sz w:val="20"/>
                <w:szCs w:val="20"/>
                <w:lang w:eastAsia="en-US"/>
              </w:rPr>
            </w:pPr>
            <w:r w:rsidRPr="00131EED">
              <w:rPr>
                <w:color w:val="000000"/>
                <w:sz w:val="20"/>
                <w:szCs w:val="20"/>
                <w:lang w:eastAsia="en-US"/>
              </w:rPr>
              <w:t>3.81%</w:t>
            </w:r>
          </w:p>
        </w:tc>
      </w:tr>
      <w:tr w:rsidR="00486A29" w:rsidRPr="00131EED" w14:paraId="5AAE70B6"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7ACA2FC2"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Mosquera</w:t>
            </w:r>
          </w:p>
        </w:tc>
        <w:tc>
          <w:tcPr>
            <w:tcW w:w="1417" w:type="dxa"/>
            <w:tcBorders>
              <w:top w:val="nil"/>
              <w:left w:val="nil"/>
              <w:bottom w:val="single" w:sz="4" w:space="0" w:color="auto"/>
              <w:right w:val="single" w:sz="4" w:space="0" w:color="auto"/>
            </w:tcBorders>
            <w:noWrap/>
            <w:vAlign w:val="center"/>
            <w:hideMark/>
          </w:tcPr>
          <w:p w14:paraId="39971904" w14:textId="77777777" w:rsidR="00486A29" w:rsidRPr="00131EED" w:rsidRDefault="00486A29" w:rsidP="00486A29">
            <w:pPr>
              <w:jc w:val="center"/>
              <w:rPr>
                <w:color w:val="000000"/>
                <w:sz w:val="20"/>
                <w:szCs w:val="20"/>
                <w:lang w:eastAsia="en-US"/>
              </w:rPr>
            </w:pPr>
            <w:r w:rsidRPr="00131EED">
              <w:rPr>
                <w:color w:val="000000"/>
                <w:sz w:val="20"/>
                <w:szCs w:val="20"/>
                <w:lang w:eastAsia="en-US"/>
              </w:rPr>
              <w:t>699.4062</w:t>
            </w:r>
          </w:p>
        </w:tc>
        <w:tc>
          <w:tcPr>
            <w:tcW w:w="2127" w:type="dxa"/>
            <w:tcBorders>
              <w:top w:val="nil"/>
              <w:left w:val="nil"/>
              <w:bottom w:val="single" w:sz="4" w:space="0" w:color="auto"/>
              <w:right w:val="single" w:sz="4" w:space="0" w:color="auto"/>
            </w:tcBorders>
            <w:noWrap/>
            <w:vAlign w:val="center"/>
            <w:hideMark/>
          </w:tcPr>
          <w:p w14:paraId="74A78BE3" w14:textId="77777777" w:rsidR="00486A29" w:rsidRPr="00131EED" w:rsidRDefault="00486A29" w:rsidP="00486A29">
            <w:pPr>
              <w:jc w:val="center"/>
              <w:rPr>
                <w:color w:val="000000"/>
                <w:sz w:val="20"/>
                <w:szCs w:val="20"/>
                <w:lang w:eastAsia="en-US"/>
              </w:rPr>
            </w:pPr>
            <w:r w:rsidRPr="00131EED">
              <w:rPr>
                <w:color w:val="000000"/>
                <w:sz w:val="20"/>
                <w:szCs w:val="20"/>
                <w:lang w:eastAsia="en-US"/>
              </w:rPr>
              <w:t>6.60%</w:t>
            </w:r>
          </w:p>
        </w:tc>
      </w:tr>
      <w:tr w:rsidR="00486A29" w:rsidRPr="00131EED" w14:paraId="2C51222C"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7126C9A9"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Nemocón</w:t>
            </w:r>
          </w:p>
        </w:tc>
        <w:tc>
          <w:tcPr>
            <w:tcW w:w="1417" w:type="dxa"/>
            <w:tcBorders>
              <w:top w:val="nil"/>
              <w:left w:val="nil"/>
              <w:bottom w:val="single" w:sz="4" w:space="0" w:color="auto"/>
              <w:right w:val="single" w:sz="4" w:space="0" w:color="auto"/>
            </w:tcBorders>
            <w:noWrap/>
            <w:vAlign w:val="center"/>
            <w:hideMark/>
          </w:tcPr>
          <w:p w14:paraId="78134689" w14:textId="77777777" w:rsidR="00486A29" w:rsidRPr="00131EED" w:rsidRDefault="00486A29" w:rsidP="00486A29">
            <w:pPr>
              <w:jc w:val="center"/>
              <w:rPr>
                <w:color w:val="000000"/>
                <w:sz w:val="20"/>
                <w:szCs w:val="20"/>
                <w:lang w:eastAsia="en-US"/>
              </w:rPr>
            </w:pPr>
            <w:r w:rsidRPr="00131EED">
              <w:rPr>
                <w:color w:val="000000"/>
                <w:sz w:val="20"/>
                <w:szCs w:val="20"/>
                <w:lang w:eastAsia="en-US"/>
              </w:rPr>
              <w:t>14.9148</w:t>
            </w:r>
          </w:p>
        </w:tc>
        <w:tc>
          <w:tcPr>
            <w:tcW w:w="2127" w:type="dxa"/>
            <w:tcBorders>
              <w:top w:val="nil"/>
              <w:left w:val="nil"/>
              <w:bottom w:val="single" w:sz="4" w:space="0" w:color="auto"/>
              <w:right w:val="single" w:sz="4" w:space="0" w:color="auto"/>
            </w:tcBorders>
            <w:noWrap/>
            <w:vAlign w:val="center"/>
            <w:hideMark/>
          </w:tcPr>
          <w:p w14:paraId="1685F693" w14:textId="77777777" w:rsidR="00486A29" w:rsidRPr="00131EED" w:rsidRDefault="00486A29" w:rsidP="00486A29">
            <w:pPr>
              <w:jc w:val="center"/>
              <w:rPr>
                <w:color w:val="000000"/>
                <w:sz w:val="20"/>
                <w:szCs w:val="20"/>
                <w:lang w:eastAsia="en-US"/>
              </w:rPr>
            </w:pPr>
            <w:r w:rsidRPr="00131EED">
              <w:rPr>
                <w:color w:val="000000"/>
                <w:sz w:val="20"/>
                <w:szCs w:val="20"/>
                <w:lang w:eastAsia="en-US"/>
              </w:rPr>
              <w:t>0.15%</w:t>
            </w:r>
          </w:p>
        </w:tc>
      </w:tr>
      <w:tr w:rsidR="00486A29" w:rsidRPr="00131EED" w14:paraId="4A147725"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3F98B160"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Sesquilé</w:t>
            </w:r>
          </w:p>
        </w:tc>
        <w:tc>
          <w:tcPr>
            <w:tcW w:w="1417" w:type="dxa"/>
            <w:tcBorders>
              <w:top w:val="nil"/>
              <w:left w:val="nil"/>
              <w:bottom w:val="single" w:sz="4" w:space="0" w:color="auto"/>
              <w:right w:val="single" w:sz="4" w:space="0" w:color="auto"/>
            </w:tcBorders>
            <w:noWrap/>
            <w:vAlign w:val="center"/>
            <w:hideMark/>
          </w:tcPr>
          <w:p w14:paraId="5FD97CF9" w14:textId="77777777" w:rsidR="00486A29" w:rsidRPr="00131EED" w:rsidRDefault="00486A29" w:rsidP="00486A29">
            <w:pPr>
              <w:jc w:val="center"/>
              <w:rPr>
                <w:color w:val="000000"/>
                <w:sz w:val="20"/>
                <w:szCs w:val="20"/>
                <w:lang w:eastAsia="en-US"/>
              </w:rPr>
            </w:pPr>
            <w:r w:rsidRPr="00131EED">
              <w:rPr>
                <w:color w:val="000000"/>
                <w:sz w:val="20"/>
                <w:szCs w:val="20"/>
                <w:lang w:eastAsia="en-US"/>
              </w:rPr>
              <w:t>61.6127</w:t>
            </w:r>
          </w:p>
        </w:tc>
        <w:tc>
          <w:tcPr>
            <w:tcW w:w="2127" w:type="dxa"/>
            <w:tcBorders>
              <w:top w:val="nil"/>
              <w:left w:val="nil"/>
              <w:bottom w:val="single" w:sz="4" w:space="0" w:color="auto"/>
              <w:right w:val="single" w:sz="4" w:space="0" w:color="auto"/>
            </w:tcBorders>
            <w:noWrap/>
            <w:vAlign w:val="center"/>
            <w:hideMark/>
          </w:tcPr>
          <w:p w14:paraId="359C5923" w14:textId="77777777" w:rsidR="00486A29" w:rsidRPr="00131EED" w:rsidRDefault="00486A29" w:rsidP="00486A29">
            <w:pPr>
              <w:jc w:val="center"/>
              <w:rPr>
                <w:color w:val="000000"/>
                <w:sz w:val="20"/>
                <w:szCs w:val="20"/>
                <w:lang w:eastAsia="en-US"/>
              </w:rPr>
            </w:pPr>
            <w:r w:rsidRPr="00131EED">
              <w:rPr>
                <w:color w:val="000000"/>
                <w:sz w:val="20"/>
                <w:szCs w:val="20"/>
                <w:lang w:eastAsia="en-US"/>
              </w:rPr>
              <w:t>0.44%</w:t>
            </w:r>
          </w:p>
        </w:tc>
      </w:tr>
      <w:tr w:rsidR="00486A29" w:rsidRPr="00131EED" w14:paraId="6C4190DB"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0E2BA1B5"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Sibaté</w:t>
            </w:r>
          </w:p>
        </w:tc>
        <w:tc>
          <w:tcPr>
            <w:tcW w:w="1417" w:type="dxa"/>
            <w:tcBorders>
              <w:top w:val="nil"/>
              <w:left w:val="nil"/>
              <w:bottom w:val="single" w:sz="4" w:space="0" w:color="auto"/>
              <w:right w:val="single" w:sz="4" w:space="0" w:color="auto"/>
            </w:tcBorders>
            <w:noWrap/>
            <w:vAlign w:val="center"/>
            <w:hideMark/>
          </w:tcPr>
          <w:p w14:paraId="3AE7595F" w14:textId="77777777" w:rsidR="00486A29" w:rsidRPr="00131EED" w:rsidRDefault="00486A29" w:rsidP="00486A29">
            <w:pPr>
              <w:jc w:val="center"/>
              <w:rPr>
                <w:color w:val="000000"/>
                <w:sz w:val="20"/>
                <w:szCs w:val="20"/>
                <w:lang w:eastAsia="en-US"/>
              </w:rPr>
            </w:pPr>
            <w:r w:rsidRPr="00131EED">
              <w:rPr>
                <w:color w:val="000000"/>
                <w:sz w:val="20"/>
                <w:szCs w:val="20"/>
                <w:lang w:eastAsia="en-US"/>
              </w:rPr>
              <w:t>170.1113</w:t>
            </w:r>
          </w:p>
        </w:tc>
        <w:tc>
          <w:tcPr>
            <w:tcW w:w="2127" w:type="dxa"/>
            <w:tcBorders>
              <w:top w:val="nil"/>
              <w:left w:val="nil"/>
              <w:bottom w:val="single" w:sz="4" w:space="0" w:color="auto"/>
              <w:right w:val="single" w:sz="4" w:space="0" w:color="auto"/>
            </w:tcBorders>
            <w:noWrap/>
            <w:vAlign w:val="center"/>
            <w:hideMark/>
          </w:tcPr>
          <w:p w14:paraId="585C6954" w14:textId="77777777" w:rsidR="00486A29" w:rsidRPr="00131EED" w:rsidRDefault="00486A29" w:rsidP="00486A29">
            <w:pPr>
              <w:jc w:val="center"/>
              <w:rPr>
                <w:color w:val="000000"/>
                <w:sz w:val="20"/>
                <w:szCs w:val="20"/>
                <w:lang w:eastAsia="en-US"/>
              </w:rPr>
            </w:pPr>
            <w:r w:rsidRPr="00131EED">
              <w:rPr>
                <w:color w:val="000000"/>
                <w:sz w:val="20"/>
                <w:szCs w:val="20"/>
                <w:lang w:eastAsia="en-US"/>
              </w:rPr>
              <w:t>1.80%</w:t>
            </w:r>
          </w:p>
        </w:tc>
      </w:tr>
      <w:tr w:rsidR="00486A29" w:rsidRPr="00131EED" w14:paraId="14B134A3"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2A5F1D7E"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Soacha</w:t>
            </w:r>
          </w:p>
        </w:tc>
        <w:tc>
          <w:tcPr>
            <w:tcW w:w="1417" w:type="dxa"/>
            <w:tcBorders>
              <w:top w:val="nil"/>
              <w:left w:val="nil"/>
              <w:bottom w:val="single" w:sz="4" w:space="0" w:color="auto"/>
              <w:right w:val="single" w:sz="4" w:space="0" w:color="auto"/>
            </w:tcBorders>
            <w:noWrap/>
            <w:vAlign w:val="center"/>
            <w:hideMark/>
          </w:tcPr>
          <w:p w14:paraId="1DFB2F09" w14:textId="77777777" w:rsidR="00486A29" w:rsidRPr="00131EED" w:rsidRDefault="00486A29" w:rsidP="00486A29">
            <w:pPr>
              <w:jc w:val="center"/>
              <w:rPr>
                <w:color w:val="000000"/>
                <w:sz w:val="20"/>
                <w:szCs w:val="20"/>
                <w:lang w:eastAsia="en-US"/>
              </w:rPr>
            </w:pPr>
            <w:r w:rsidRPr="00131EED">
              <w:rPr>
                <w:color w:val="000000"/>
                <w:sz w:val="20"/>
                <w:szCs w:val="20"/>
                <w:lang w:eastAsia="en-US"/>
              </w:rPr>
              <w:t>298.2110</w:t>
            </w:r>
          </w:p>
        </w:tc>
        <w:tc>
          <w:tcPr>
            <w:tcW w:w="2127" w:type="dxa"/>
            <w:tcBorders>
              <w:top w:val="nil"/>
              <w:left w:val="nil"/>
              <w:bottom w:val="single" w:sz="4" w:space="0" w:color="auto"/>
              <w:right w:val="single" w:sz="4" w:space="0" w:color="auto"/>
            </w:tcBorders>
            <w:noWrap/>
            <w:vAlign w:val="center"/>
            <w:hideMark/>
          </w:tcPr>
          <w:p w14:paraId="484831F4" w14:textId="77777777" w:rsidR="00486A29" w:rsidRPr="00131EED" w:rsidRDefault="00486A29" w:rsidP="00486A29">
            <w:pPr>
              <w:jc w:val="center"/>
              <w:rPr>
                <w:color w:val="000000"/>
                <w:sz w:val="20"/>
                <w:szCs w:val="20"/>
                <w:lang w:eastAsia="en-US"/>
              </w:rPr>
            </w:pPr>
            <w:r w:rsidRPr="00131EED">
              <w:rPr>
                <w:color w:val="000000"/>
                <w:sz w:val="20"/>
                <w:szCs w:val="20"/>
                <w:lang w:eastAsia="en-US"/>
              </w:rPr>
              <w:t>1.68%</w:t>
            </w:r>
          </w:p>
        </w:tc>
      </w:tr>
      <w:tr w:rsidR="00486A29" w:rsidRPr="00131EED" w14:paraId="0B57FEF8"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6D3D0044"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Sopó</w:t>
            </w:r>
          </w:p>
        </w:tc>
        <w:tc>
          <w:tcPr>
            <w:tcW w:w="1417" w:type="dxa"/>
            <w:tcBorders>
              <w:top w:val="nil"/>
              <w:left w:val="nil"/>
              <w:bottom w:val="single" w:sz="4" w:space="0" w:color="auto"/>
              <w:right w:val="single" w:sz="4" w:space="0" w:color="auto"/>
            </w:tcBorders>
            <w:noWrap/>
            <w:vAlign w:val="center"/>
            <w:hideMark/>
          </w:tcPr>
          <w:p w14:paraId="5840339A" w14:textId="77777777" w:rsidR="00486A29" w:rsidRPr="00131EED" w:rsidRDefault="00486A29" w:rsidP="00486A29">
            <w:pPr>
              <w:jc w:val="center"/>
              <w:rPr>
                <w:color w:val="000000"/>
                <w:sz w:val="20"/>
                <w:szCs w:val="20"/>
                <w:lang w:eastAsia="en-US"/>
              </w:rPr>
            </w:pPr>
            <w:r w:rsidRPr="00131EED">
              <w:rPr>
                <w:color w:val="000000"/>
                <w:sz w:val="20"/>
                <w:szCs w:val="20"/>
                <w:lang w:eastAsia="en-US"/>
              </w:rPr>
              <w:t>431.9414</w:t>
            </w:r>
          </w:p>
        </w:tc>
        <w:tc>
          <w:tcPr>
            <w:tcW w:w="2127" w:type="dxa"/>
            <w:tcBorders>
              <w:top w:val="nil"/>
              <w:left w:val="nil"/>
              <w:bottom w:val="single" w:sz="4" w:space="0" w:color="auto"/>
              <w:right w:val="single" w:sz="4" w:space="0" w:color="auto"/>
            </w:tcBorders>
            <w:noWrap/>
            <w:vAlign w:val="center"/>
            <w:hideMark/>
          </w:tcPr>
          <w:p w14:paraId="32088160" w14:textId="77777777" w:rsidR="00486A29" w:rsidRPr="00131EED" w:rsidRDefault="00486A29" w:rsidP="00486A29">
            <w:pPr>
              <w:jc w:val="center"/>
              <w:rPr>
                <w:color w:val="000000"/>
                <w:sz w:val="20"/>
                <w:szCs w:val="20"/>
                <w:lang w:eastAsia="en-US"/>
              </w:rPr>
            </w:pPr>
            <w:r w:rsidRPr="00131EED">
              <w:rPr>
                <w:color w:val="000000"/>
                <w:sz w:val="20"/>
                <w:szCs w:val="20"/>
                <w:lang w:eastAsia="en-US"/>
              </w:rPr>
              <w:t>3.90%</w:t>
            </w:r>
          </w:p>
        </w:tc>
      </w:tr>
      <w:tr w:rsidR="00486A29" w:rsidRPr="00131EED" w14:paraId="51AD975E"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49DD2152"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Subachoque</w:t>
            </w:r>
          </w:p>
        </w:tc>
        <w:tc>
          <w:tcPr>
            <w:tcW w:w="1417" w:type="dxa"/>
            <w:tcBorders>
              <w:top w:val="nil"/>
              <w:left w:val="nil"/>
              <w:bottom w:val="single" w:sz="4" w:space="0" w:color="auto"/>
              <w:right w:val="single" w:sz="4" w:space="0" w:color="auto"/>
            </w:tcBorders>
            <w:noWrap/>
            <w:vAlign w:val="center"/>
            <w:hideMark/>
          </w:tcPr>
          <w:p w14:paraId="43542D97" w14:textId="77777777" w:rsidR="00486A29" w:rsidRPr="00131EED" w:rsidRDefault="00486A29" w:rsidP="00486A29">
            <w:pPr>
              <w:jc w:val="center"/>
              <w:rPr>
                <w:color w:val="000000"/>
                <w:sz w:val="20"/>
                <w:szCs w:val="20"/>
                <w:lang w:eastAsia="en-US"/>
              </w:rPr>
            </w:pPr>
            <w:r w:rsidRPr="00131EED">
              <w:rPr>
                <w:color w:val="000000"/>
                <w:sz w:val="20"/>
                <w:szCs w:val="20"/>
                <w:lang w:eastAsia="en-US"/>
              </w:rPr>
              <w:t>17.2529</w:t>
            </w:r>
          </w:p>
        </w:tc>
        <w:tc>
          <w:tcPr>
            <w:tcW w:w="2127" w:type="dxa"/>
            <w:tcBorders>
              <w:top w:val="nil"/>
              <w:left w:val="nil"/>
              <w:bottom w:val="single" w:sz="4" w:space="0" w:color="auto"/>
              <w:right w:val="single" w:sz="4" w:space="0" w:color="auto"/>
            </w:tcBorders>
            <w:noWrap/>
            <w:vAlign w:val="center"/>
            <w:hideMark/>
          </w:tcPr>
          <w:p w14:paraId="0F65DBCA" w14:textId="77777777" w:rsidR="00486A29" w:rsidRPr="00131EED" w:rsidRDefault="00486A29" w:rsidP="00486A29">
            <w:pPr>
              <w:jc w:val="center"/>
              <w:rPr>
                <w:color w:val="000000"/>
                <w:sz w:val="20"/>
                <w:szCs w:val="20"/>
                <w:lang w:eastAsia="en-US"/>
              </w:rPr>
            </w:pPr>
            <w:r w:rsidRPr="00131EED">
              <w:rPr>
                <w:color w:val="000000"/>
                <w:sz w:val="20"/>
                <w:szCs w:val="20"/>
                <w:lang w:eastAsia="en-US"/>
              </w:rPr>
              <w:t>0.09%</w:t>
            </w:r>
          </w:p>
        </w:tc>
      </w:tr>
      <w:tr w:rsidR="00486A29" w:rsidRPr="00131EED" w14:paraId="0637E2B1"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0B94D9D4"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Tabio</w:t>
            </w:r>
          </w:p>
        </w:tc>
        <w:tc>
          <w:tcPr>
            <w:tcW w:w="1417" w:type="dxa"/>
            <w:tcBorders>
              <w:top w:val="nil"/>
              <w:left w:val="nil"/>
              <w:bottom w:val="single" w:sz="4" w:space="0" w:color="auto"/>
              <w:right w:val="single" w:sz="4" w:space="0" w:color="auto"/>
            </w:tcBorders>
            <w:noWrap/>
            <w:vAlign w:val="center"/>
            <w:hideMark/>
          </w:tcPr>
          <w:p w14:paraId="687543F9" w14:textId="77777777" w:rsidR="00486A29" w:rsidRPr="00131EED" w:rsidRDefault="00486A29" w:rsidP="00486A29">
            <w:pPr>
              <w:jc w:val="center"/>
              <w:rPr>
                <w:color w:val="000000"/>
                <w:sz w:val="20"/>
                <w:szCs w:val="20"/>
                <w:lang w:eastAsia="en-US"/>
              </w:rPr>
            </w:pPr>
            <w:r w:rsidRPr="00131EED">
              <w:rPr>
                <w:color w:val="000000"/>
                <w:sz w:val="20"/>
                <w:szCs w:val="20"/>
                <w:lang w:eastAsia="en-US"/>
              </w:rPr>
              <w:t>230.4243</w:t>
            </w:r>
          </w:p>
        </w:tc>
        <w:tc>
          <w:tcPr>
            <w:tcW w:w="2127" w:type="dxa"/>
            <w:tcBorders>
              <w:top w:val="nil"/>
              <w:left w:val="nil"/>
              <w:bottom w:val="single" w:sz="4" w:space="0" w:color="auto"/>
              <w:right w:val="single" w:sz="4" w:space="0" w:color="auto"/>
            </w:tcBorders>
            <w:noWrap/>
            <w:vAlign w:val="center"/>
            <w:hideMark/>
          </w:tcPr>
          <w:p w14:paraId="75BD9CDE" w14:textId="77777777" w:rsidR="00486A29" w:rsidRPr="00131EED" w:rsidRDefault="00486A29" w:rsidP="00486A29">
            <w:pPr>
              <w:jc w:val="center"/>
              <w:rPr>
                <w:color w:val="000000"/>
                <w:sz w:val="20"/>
                <w:szCs w:val="20"/>
                <w:lang w:eastAsia="en-US"/>
              </w:rPr>
            </w:pPr>
            <w:r w:rsidRPr="00131EED">
              <w:rPr>
                <w:color w:val="000000"/>
                <w:sz w:val="20"/>
                <w:szCs w:val="20"/>
                <w:lang w:eastAsia="en-US"/>
              </w:rPr>
              <w:t>3.07%</w:t>
            </w:r>
          </w:p>
        </w:tc>
      </w:tr>
      <w:tr w:rsidR="00486A29" w:rsidRPr="00131EED" w14:paraId="50014657"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29006576"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Tenjo</w:t>
            </w:r>
          </w:p>
        </w:tc>
        <w:tc>
          <w:tcPr>
            <w:tcW w:w="1417" w:type="dxa"/>
            <w:tcBorders>
              <w:top w:val="nil"/>
              <w:left w:val="nil"/>
              <w:bottom w:val="single" w:sz="4" w:space="0" w:color="auto"/>
              <w:right w:val="single" w:sz="4" w:space="0" w:color="auto"/>
            </w:tcBorders>
            <w:noWrap/>
            <w:vAlign w:val="center"/>
            <w:hideMark/>
          </w:tcPr>
          <w:p w14:paraId="0F412C72" w14:textId="77777777" w:rsidR="00486A29" w:rsidRPr="00131EED" w:rsidRDefault="00486A29" w:rsidP="00486A29">
            <w:pPr>
              <w:jc w:val="center"/>
              <w:rPr>
                <w:color w:val="000000"/>
                <w:sz w:val="20"/>
                <w:szCs w:val="20"/>
                <w:lang w:eastAsia="en-US"/>
              </w:rPr>
            </w:pPr>
            <w:r w:rsidRPr="00131EED">
              <w:rPr>
                <w:color w:val="000000"/>
                <w:sz w:val="20"/>
                <w:szCs w:val="20"/>
                <w:lang w:eastAsia="en-US"/>
              </w:rPr>
              <w:t>292.9534</w:t>
            </w:r>
          </w:p>
        </w:tc>
        <w:tc>
          <w:tcPr>
            <w:tcW w:w="2127" w:type="dxa"/>
            <w:tcBorders>
              <w:top w:val="nil"/>
              <w:left w:val="nil"/>
              <w:bottom w:val="single" w:sz="4" w:space="0" w:color="auto"/>
              <w:right w:val="single" w:sz="4" w:space="0" w:color="auto"/>
            </w:tcBorders>
            <w:noWrap/>
            <w:vAlign w:val="center"/>
            <w:hideMark/>
          </w:tcPr>
          <w:p w14:paraId="5252DD51" w14:textId="77777777" w:rsidR="00486A29" w:rsidRPr="00131EED" w:rsidRDefault="00486A29" w:rsidP="00486A29">
            <w:pPr>
              <w:jc w:val="center"/>
              <w:rPr>
                <w:color w:val="000000"/>
                <w:sz w:val="20"/>
                <w:szCs w:val="20"/>
                <w:lang w:eastAsia="en-US"/>
              </w:rPr>
            </w:pPr>
            <w:r w:rsidRPr="00131EED">
              <w:rPr>
                <w:color w:val="000000"/>
                <w:sz w:val="20"/>
                <w:szCs w:val="20"/>
                <w:lang w:eastAsia="en-US"/>
              </w:rPr>
              <w:t>2.57%</w:t>
            </w:r>
          </w:p>
        </w:tc>
      </w:tr>
      <w:tr w:rsidR="00486A29" w:rsidRPr="00131EED" w14:paraId="45C4DF95"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5BF4503F"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Tocancipá</w:t>
            </w:r>
          </w:p>
        </w:tc>
        <w:tc>
          <w:tcPr>
            <w:tcW w:w="1417" w:type="dxa"/>
            <w:tcBorders>
              <w:top w:val="nil"/>
              <w:left w:val="nil"/>
              <w:bottom w:val="single" w:sz="4" w:space="0" w:color="auto"/>
              <w:right w:val="single" w:sz="4" w:space="0" w:color="auto"/>
            </w:tcBorders>
            <w:noWrap/>
            <w:vAlign w:val="center"/>
            <w:hideMark/>
          </w:tcPr>
          <w:p w14:paraId="46B75628" w14:textId="77777777" w:rsidR="00486A29" w:rsidRPr="00131EED" w:rsidRDefault="00486A29" w:rsidP="00486A29">
            <w:pPr>
              <w:jc w:val="center"/>
              <w:rPr>
                <w:color w:val="000000"/>
                <w:sz w:val="20"/>
                <w:szCs w:val="20"/>
                <w:lang w:eastAsia="en-US"/>
              </w:rPr>
            </w:pPr>
            <w:r w:rsidRPr="00131EED">
              <w:rPr>
                <w:color w:val="000000"/>
                <w:sz w:val="20"/>
                <w:szCs w:val="20"/>
                <w:lang w:eastAsia="en-US"/>
              </w:rPr>
              <w:t>821.2280</w:t>
            </w:r>
          </w:p>
        </w:tc>
        <w:tc>
          <w:tcPr>
            <w:tcW w:w="2127" w:type="dxa"/>
            <w:tcBorders>
              <w:top w:val="nil"/>
              <w:left w:val="nil"/>
              <w:bottom w:val="single" w:sz="4" w:space="0" w:color="auto"/>
              <w:right w:val="single" w:sz="4" w:space="0" w:color="auto"/>
            </w:tcBorders>
            <w:noWrap/>
            <w:vAlign w:val="center"/>
            <w:hideMark/>
          </w:tcPr>
          <w:p w14:paraId="02710B23" w14:textId="77777777" w:rsidR="00486A29" w:rsidRPr="00131EED" w:rsidRDefault="00486A29" w:rsidP="00486A29">
            <w:pPr>
              <w:jc w:val="center"/>
              <w:rPr>
                <w:color w:val="000000"/>
                <w:sz w:val="20"/>
                <w:szCs w:val="20"/>
                <w:lang w:eastAsia="en-US"/>
              </w:rPr>
            </w:pPr>
            <w:r w:rsidRPr="00131EED">
              <w:rPr>
                <w:color w:val="000000"/>
                <w:sz w:val="20"/>
                <w:szCs w:val="20"/>
                <w:lang w:eastAsia="en-US"/>
              </w:rPr>
              <w:t>11.23%</w:t>
            </w:r>
          </w:p>
        </w:tc>
      </w:tr>
      <w:tr w:rsidR="00486A29" w:rsidRPr="00131EED" w14:paraId="5293376C"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2CC234DE"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Villapinzon</w:t>
            </w:r>
          </w:p>
        </w:tc>
        <w:tc>
          <w:tcPr>
            <w:tcW w:w="1417" w:type="dxa"/>
            <w:tcBorders>
              <w:top w:val="nil"/>
              <w:left w:val="nil"/>
              <w:bottom w:val="single" w:sz="4" w:space="0" w:color="auto"/>
              <w:right w:val="single" w:sz="4" w:space="0" w:color="auto"/>
            </w:tcBorders>
            <w:noWrap/>
            <w:vAlign w:val="center"/>
            <w:hideMark/>
          </w:tcPr>
          <w:p w14:paraId="3172FC0B" w14:textId="77777777" w:rsidR="00486A29" w:rsidRPr="00131EED" w:rsidRDefault="00486A29" w:rsidP="00486A29">
            <w:pPr>
              <w:jc w:val="center"/>
              <w:rPr>
                <w:color w:val="000000"/>
                <w:sz w:val="20"/>
                <w:szCs w:val="20"/>
                <w:lang w:eastAsia="en-US"/>
              </w:rPr>
            </w:pPr>
            <w:r w:rsidRPr="00131EED">
              <w:rPr>
                <w:color w:val="000000"/>
                <w:sz w:val="20"/>
                <w:szCs w:val="20"/>
                <w:lang w:eastAsia="en-US"/>
              </w:rPr>
              <w:t>20.5334</w:t>
            </w:r>
          </w:p>
        </w:tc>
        <w:tc>
          <w:tcPr>
            <w:tcW w:w="2127" w:type="dxa"/>
            <w:tcBorders>
              <w:top w:val="nil"/>
              <w:left w:val="nil"/>
              <w:bottom w:val="single" w:sz="4" w:space="0" w:color="auto"/>
              <w:right w:val="single" w:sz="4" w:space="0" w:color="auto"/>
            </w:tcBorders>
            <w:noWrap/>
            <w:vAlign w:val="center"/>
            <w:hideMark/>
          </w:tcPr>
          <w:p w14:paraId="233C1235" w14:textId="77777777" w:rsidR="00486A29" w:rsidRPr="00131EED" w:rsidRDefault="00486A29" w:rsidP="00486A29">
            <w:pPr>
              <w:jc w:val="center"/>
              <w:rPr>
                <w:color w:val="000000"/>
                <w:sz w:val="20"/>
                <w:szCs w:val="20"/>
                <w:lang w:eastAsia="en-US"/>
              </w:rPr>
            </w:pPr>
            <w:r w:rsidRPr="00131EED">
              <w:rPr>
                <w:color w:val="000000"/>
                <w:sz w:val="20"/>
                <w:szCs w:val="20"/>
                <w:lang w:eastAsia="en-US"/>
              </w:rPr>
              <w:t>0.16%</w:t>
            </w:r>
          </w:p>
        </w:tc>
      </w:tr>
      <w:tr w:rsidR="00486A29" w:rsidRPr="00131EED" w14:paraId="000F290B" w14:textId="77777777" w:rsidTr="00F425D1">
        <w:trPr>
          <w:trHeight w:val="288"/>
        </w:trPr>
        <w:tc>
          <w:tcPr>
            <w:tcW w:w="2268" w:type="dxa"/>
            <w:tcBorders>
              <w:top w:val="nil"/>
              <w:left w:val="single" w:sz="4" w:space="0" w:color="auto"/>
              <w:bottom w:val="single" w:sz="4" w:space="0" w:color="auto"/>
              <w:right w:val="single" w:sz="4" w:space="0" w:color="auto"/>
            </w:tcBorders>
            <w:noWrap/>
            <w:vAlign w:val="center"/>
            <w:hideMark/>
          </w:tcPr>
          <w:p w14:paraId="74C1FE9A" w14:textId="77777777" w:rsidR="00486A29" w:rsidRPr="00131EED" w:rsidRDefault="00486A29" w:rsidP="00F425D1">
            <w:pPr>
              <w:jc w:val="left"/>
              <w:rPr>
                <w:b/>
                <w:color w:val="000000"/>
                <w:sz w:val="20"/>
                <w:szCs w:val="20"/>
                <w:lang w:eastAsia="en-US"/>
              </w:rPr>
            </w:pPr>
            <w:r w:rsidRPr="00131EED">
              <w:rPr>
                <w:b/>
                <w:color w:val="000000"/>
                <w:sz w:val="20"/>
                <w:szCs w:val="20"/>
                <w:lang w:eastAsia="en-US"/>
              </w:rPr>
              <w:t>Zipaquirá</w:t>
            </w:r>
          </w:p>
        </w:tc>
        <w:tc>
          <w:tcPr>
            <w:tcW w:w="1417" w:type="dxa"/>
            <w:tcBorders>
              <w:top w:val="nil"/>
              <w:left w:val="nil"/>
              <w:bottom w:val="single" w:sz="4" w:space="0" w:color="auto"/>
              <w:right w:val="single" w:sz="4" w:space="0" w:color="auto"/>
            </w:tcBorders>
            <w:noWrap/>
            <w:vAlign w:val="center"/>
            <w:hideMark/>
          </w:tcPr>
          <w:p w14:paraId="51514804" w14:textId="77777777" w:rsidR="00486A29" w:rsidRPr="00131EED" w:rsidRDefault="00486A29" w:rsidP="00486A29">
            <w:pPr>
              <w:jc w:val="center"/>
              <w:rPr>
                <w:color w:val="000000"/>
                <w:sz w:val="20"/>
                <w:szCs w:val="20"/>
                <w:lang w:eastAsia="en-US"/>
              </w:rPr>
            </w:pPr>
            <w:r w:rsidRPr="00131EED">
              <w:rPr>
                <w:color w:val="000000"/>
                <w:sz w:val="20"/>
                <w:szCs w:val="20"/>
                <w:lang w:eastAsia="en-US"/>
              </w:rPr>
              <w:t>349.7677</w:t>
            </w:r>
          </w:p>
        </w:tc>
        <w:tc>
          <w:tcPr>
            <w:tcW w:w="2127" w:type="dxa"/>
            <w:tcBorders>
              <w:top w:val="nil"/>
              <w:left w:val="nil"/>
              <w:bottom w:val="single" w:sz="4" w:space="0" w:color="auto"/>
              <w:right w:val="single" w:sz="4" w:space="0" w:color="auto"/>
            </w:tcBorders>
            <w:noWrap/>
            <w:vAlign w:val="center"/>
            <w:hideMark/>
          </w:tcPr>
          <w:p w14:paraId="364494D9" w14:textId="77777777" w:rsidR="00486A29" w:rsidRPr="00131EED" w:rsidRDefault="00486A29" w:rsidP="00486A29">
            <w:pPr>
              <w:jc w:val="center"/>
              <w:rPr>
                <w:color w:val="000000"/>
                <w:sz w:val="20"/>
                <w:szCs w:val="20"/>
                <w:lang w:eastAsia="en-US"/>
              </w:rPr>
            </w:pPr>
            <w:r w:rsidRPr="00131EED">
              <w:rPr>
                <w:color w:val="000000"/>
                <w:sz w:val="20"/>
                <w:szCs w:val="20"/>
                <w:lang w:eastAsia="en-US"/>
              </w:rPr>
              <w:t>1.93%</w:t>
            </w:r>
          </w:p>
        </w:tc>
      </w:tr>
      <w:tr w:rsidR="00486A29" w:rsidRPr="00131EED" w14:paraId="65A9F7D4" w14:textId="77777777" w:rsidTr="00F425D1">
        <w:trPr>
          <w:trHeight w:val="288"/>
        </w:trPr>
        <w:tc>
          <w:tcPr>
            <w:tcW w:w="2268" w:type="dxa"/>
            <w:tcBorders>
              <w:top w:val="nil"/>
              <w:left w:val="single" w:sz="4" w:space="0" w:color="auto"/>
              <w:bottom w:val="single" w:sz="4" w:space="0" w:color="auto"/>
              <w:right w:val="single" w:sz="4" w:space="0" w:color="auto"/>
            </w:tcBorders>
            <w:noWrap/>
            <w:vAlign w:val="bottom"/>
            <w:hideMark/>
          </w:tcPr>
          <w:p w14:paraId="60A64729" w14:textId="77777777" w:rsidR="00486A29" w:rsidRPr="00131EED" w:rsidRDefault="00486A29" w:rsidP="00D65CF0">
            <w:pPr>
              <w:jc w:val="right"/>
              <w:rPr>
                <w:b/>
                <w:color w:val="000000"/>
                <w:sz w:val="20"/>
                <w:szCs w:val="20"/>
                <w:lang w:eastAsia="en-US"/>
              </w:rPr>
            </w:pPr>
            <w:r w:rsidRPr="00131EED">
              <w:rPr>
                <w:b/>
                <w:color w:val="000000"/>
                <w:sz w:val="20"/>
                <w:szCs w:val="20"/>
                <w:lang w:eastAsia="en-US"/>
              </w:rPr>
              <w:t>Total</w:t>
            </w:r>
          </w:p>
        </w:tc>
        <w:tc>
          <w:tcPr>
            <w:tcW w:w="3544" w:type="dxa"/>
            <w:gridSpan w:val="2"/>
            <w:tcBorders>
              <w:top w:val="single" w:sz="4" w:space="0" w:color="auto"/>
              <w:left w:val="nil"/>
              <w:bottom w:val="single" w:sz="4" w:space="0" w:color="auto"/>
              <w:right w:val="single" w:sz="4" w:space="0" w:color="auto"/>
            </w:tcBorders>
            <w:noWrap/>
            <w:vAlign w:val="bottom"/>
            <w:hideMark/>
          </w:tcPr>
          <w:p w14:paraId="6604EAA0" w14:textId="77777777" w:rsidR="00486A29" w:rsidRPr="00131EED" w:rsidRDefault="00486A29" w:rsidP="00486A29">
            <w:pPr>
              <w:jc w:val="right"/>
              <w:rPr>
                <w:color w:val="000000"/>
                <w:sz w:val="20"/>
                <w:szCs w:val="20"/>
                <w:lang w:eastAsia="en-US"/>
              </w:rPr>
            </w:pPr>
            <w:r w:rsidRPr="00131EED">
              <w:rPr>
                <w:color w:val="000000"/>
                <w:sz w:val="20"/>
                <w:szCs w:val="20"/>
                <w:lang w:eastAsia="en-US"/>
              </w:rPr>
              <w:t>9959.512042</w:t>
            </w:r>
          </w:p>
        </w:tc>
      </w:tr>
    </w:tbl>
    <w:p w14:paraId="557D1317" w14:textId="77777777" w:rsidR="00286E89" w:rsidRPr="00131EED" w:rsidRDefault="00286E89" w:rsidP="00286E89">
      <w:pPr>
        <w:jc w:val="center"/>
        <w:rPr>
          <w:sz w:val="20"/>
          <w:szCs w:val="20"/>
        </w:rPr>
      </w:pPr>
      <w:r w:rsidRPr="00131EED">
        <w:rPr>
          <w:sz w:val="20"/>
          <w:szCs w:val="20"/>
        </w:rPr>
        <w:t>Fuente: MinAmbiente (2025)</w:t>
      </w:r>
    </w:p>
    <w:p w14:paraId="6C305B8C" w14:textId="77777777" w:rsidR="00286E89" w:rsidRPr="00131EED" w:rsidRDefault="00286E89" w:rsidP="00E41256">
      <w:pPr>
        <w:rPr>
          <w:rFonts w:cs="Arial"/>
        </w:rPr>
      </w:pPr>
    </w:p>
    <w:p w14:paraId="217C2A62" w14:textId="6D4E3411" w:rsidR="00E41256" w:rsidRPr="00131EED" w:rsidRDefault="00E41256" w:rsidP="00E41256">
      <w:pPr>
        <w:rPr>
          <w:rFonts w:cs="Arial"/>
        </w:rPr>
      </w:pPr>
      <w:r w:rsidRPr="00131EED">
        <w:rPr>
          <w:rFonts w:cs="Arial"/>
        </w:rPr>
        <w:t>En el caso de la clase III para el 2018, 134 ha + 4940m2 de áreas artificializadas se concentraron en esta clase, así mismo los entes territoriales con mayor área artificializada sobre suelo de clase III son Chocontá, Facatativá y Suesca.</w:t>
      </w:r>
    </w:p>
    <w:p w14:paraId="6F86DC0D" w14:textId="77777777" w:rsidR="00D65CF0" w:rsidRPr="00131EED" w:rsidRDefault="00D65CF0" w:rsidP="00E41256">
      <w:pPr>
        <w:rPr>
          <w:rFonts w:cs="Arial"/>
        </w:rPr>
      </w:pPr>
    </w:p>
    <w:p w14:paraId="661278BE" w14:textId="6AF6F0EC" w:rsidR="003A3BE0" w:rsidRPr="00131EED" w:rsidRDefault="003A3BE0" w:rsidP="003A3BE0">
      <w:pPr>
        <w:pStyle w:val="Caption"/>
        <w:keepNext/>
        <w:jc w:val="center"/>
      </w:pPr>
      <w:bookmarkStart w:id="362" w:name="_Toc216468978"/>
      <w:r w:rsidRPr="00131EED">
        <w:t xml:space="preserve">Tabla </w:t>
      </w:r>
      <w:fldSimple w:instr=" SEQ Tabla \* ARABIC ">
        <w:r w:rsidR="00CE096F">
          <w:rPr>
            <w:noProof/>
          </w:rPr>
          <w:t>68</w:t>
        </w:r>
      </w:fldSimple>
      <w:r w:rsidRPr="00131EED">
        <w:t>. Áreas artificializadas en suelos de clase III durante el año 2018.</w:t>
      </w:r>
      <w:bookmarkEnd w:id="362"/>
    </w:p>
    <w:tbl>
      <w:tblPr>
        <w:tblW w:w="5807" w:type="dxa"/>
        <w:jc w:val="center"/>
        <w:tblLook w:val="04A0" w:firstRow="1" w:lastRow="0" w:firstColumn="1" w:lastColumn="0" w:noHBand="0" w:noVBand="1"/>
      </w:tblPr>
      <w:tblGrid>
        <w:gridCol w:w="2122"/>
        <w:gridCol w:w="1701"/>
        <w:gridCol w:w="1984"/>
      </w:tblGrid>
      <w:tr w:rsidR="00E41256" w:rsidRPr="00131EED" w14:paraId="1D402EA8" w14:textId="77777777" w:rsidTr="00D65CF0">
        <w:trPr>
          <w:trHeight w:val="288"/>
          <w:jc w:val="center"/>
        </w:trPr>
        <w:tc>
          <w:tcPr>
            <w:tcW w:w="5807" w:type="dxa"/>
            <w:gridSpan w:val="3"/>
            <w:tcBorders>
              <w:top w:val="single" w:sz="4" w:space="0" w:color="auto"/>
              <w:left w:val="single" w:sz="4" w:space="0" w:color="auto"/>
              <w:bottom w:val="single" w:sz="4" w:space="0" w:color="auto"/>
              <w:right w:val="single" w:sz="4" w:space="0" w:color="auto"/>
            </w:tcBorders>
            <w:noWrap/>
            <w:vAlign w:val="center"/>
            <w:hideMark/>
          </w:tcPr>
          <w:p w14:paraId="16F70324" w14:textId="77777777" w:rsidR="00E41256" w:rsidRPr="00131EED" w:rsidRDefault="00E41256" w:rsidP="00E41256">
            <w:pPr>
              <w:jc w:val="center"/>
              <w:rPr>
                <w:b/>
                <w:color w:val="000000"/>
                <w:sz w:val="20"/>
                <w:szCs w:val="20"/>
                <w:lang w:eastAsia="en-US"/>
              </w:rPr>
            </w:pPr>
            <w:r w:rsidRPr="00131EED">
              <w:rPr>
                <w:b/>
                <w:color w:val="000000"/>
                <w:sz w:val="20"/>
                <w:szCs w:val="20"/>
                <w:lang w:eastAsia="en-US"/>
              </w:rPr>
              <w:t>Clase III - 2018</w:t>
            </w:r>
          </w:p>
        </w:tc>
      </w:tr>
      <w:tr w:rsidR="00E41256" w:rsidRPr="00131EED" w14:paraId="0E132B34" w14:textId="77777777" w:rsidTr="00D65CF0">
        <w:trPr>
          <w:trHeight w:val="288"/>
          <w:jc w:val="center"/>
        </w:trPr>
        <w:tc>
          <w:tcPr>
            <w:tcW w:w="2122" w:type="dxa"/>
            <w:tcBorders>
              <w:top w:val="nil"/>
              <w:left w:val="single" w:sz="4" w:space="0" w:color="auto"/>
              <w:bottom w:val="single" w:sz="4" w:space="0" w:color="auto"/>
              <w:right w:val="single" w:sz="4" w:space="0" w:color="auto"/>
            </w:tcBorders>
            <w:noWrap/>
            <w:vAlign w:val="center"/>
            <w:hideMark/>
          </w:tcPr>
          <w:p w14:paraId="424AADCF" w14:textId="77777777" w:rsidR="00E41256" w:rsidRPr="00131EED" w:rsidRDefault="00E41256" w:rsidP="00E41256">
            <w:pPr>
              <w:jc w:val="center"/>
              <w:rPr>
                <w:b/>
                <w:color w:val="000000"/>
                <w:sz w:val="20"/>
                <w:szCs w:val="20"/>
                <w:lang w:eastAsia="en-US"/>
              </w:rPr>
            </w:pPr>
            <w:r w:rsidRPr="00131EED">
              <w:rPr>
                <w:b/>
                <w:color w:val="000000"/>
                <w:sz w:val="20"/>
                <w:szCs w:val="20"/>
                <w:lang w:eastAsia="en-US"/>
              </w:rPr>
              <w:t>Municipio</w:t>
            </w:r>
          </w:p>
        </w:tc>
        <w:tc>
          <w:tcPr>
            <w:tcW w:w="1701" w:type="dxa"/>
            <w:tcBorders>
              <w:top w:val="nil"/>
              <w:left w:val="nil"/>
              <w:bottom w:val="single" w:sz="4" w:space="0" w:color="auto"/>
              <w:right w:val="single" w:sz="4" w:space="0" w:color="auto"/>
            </w:tcBorders>
            <w:noWrap/>
            <w:vAlign w:val="center"/>
            <w:hideMark/>
          </w:tcPr>
          <w:p w14:paraId="45FAC2AE" w14:textId="77777777" w:rsidR="00E41256" w:rsidRPr="00131EED" w:rsidRDefault="00E41256" w:rsidP="00E41256">
            <w:pPr>
              <w:jc w:val="center"/>
              <w:rPr>
                <w:b/>
                <w:color w:val="000000"/>
                <w:sz w:val="20"/>
                <w:szCs w:val="20"/>
                <w:lang w:eastAsia="en-US"/>
              </w:rPr>
            </w:pPr>
            <w:r w:rsidRPr="00131EED">
              <w:rPr>
                <w:b/>
                <w:color w:val="000000"/>
                <w:sz w:val="20"/>
                <w:szCs w:val="20"/>
                <w:lang w:eastAsia="en-US"/>
              </w:rPr>
              <w:t>Porcentaje del Municipio</w:t>
            </w:r>
          </w:p>
        </w:tc>
        <w:tc>
          <w:tcPr>
            <w:tcW w:w="1984" w:type="dxa"/>
            <w:tcBorders>
              <w:top w:val="nil"/>
              <w:left w:val="nil"/>
              <w:bottom w:val="single" w:sz="4" w:space="0" w:color="auto"/>
              <w:right w:val="single" w:sz="4" w:space="0" w:color="auto"/>
            </w:tcBorders>
            <w:noWrap/>
            <w:vAlign w:val="center"/>
            <w:hideMark/>
          </w:tcPr>
          <w:p w14:paraId="400B56F1" w14:textId="77777777" w:rsidR="00E41256" w:rsidRPr="00131EED" w:rsidRDefault="00E41256" w:rsidP="00E41256">
            <w:pPr>
              <w:jc w:val="center"/>
              <w:rPr>
                <w:b/>
                <w:color w:val="000000"/>
                <w:sz w:val="20"/>
                <w:szCs w:val="20"/>
                <w:lang w:eastAsia="en-US"/>
              </w:rPr>
            </w:pPr>
            <w:r w:rsidRPr="00131EED">
              <w:rPr>
                <w:b/>
                <w:color w:val="000000"/>
                <w:sz w:val="20"/>
                <w:szCs w:val="20"/>
                <w:lang w:eastAsia="en-US"/>
              </w:rPr>
              <w:t>Área Artificializada (ha) Clase III</w:t>
            </w:r>
          </w:p>
        </w:tc>
      </w:tr>
      <w:tr w:rsidR="00E41256" w:rsidRPr="00131EED" w14:paraId="118BB728" w14:textId="77777777" w:rsidTr="00D65CF0">
        <w:trPr>
          <w:trHeight w:val="288"/>
          <w:jc w:val="center"/>
        </w:trPr>
        <w:tc>
          <w:tcPr>
            <w:tcW w:w="2122" w:type="dxa"/>
            <w:tcBorders>
              <w:top w:val="nil"/>
              <w:left w:val="single" w:sz="4" w:space="0" w:color="auto"/>
              <w:bottom w:val="single" w:sz="4" w:space="0" w:color="auto"/>
              <w:right w:val="single" w:sz="4" w:space="0" w:color="auto"/>
            </w:tcBorders>
            <w:noWrap/>
            <w:vAlign w:val="center"/>
            <w:hideMark/>
          </w:tcPr>
          <w:p w14:paraId="106D2097" w14:textId="77777777" w:rsidR="00E41256" w:rsidRPr="00131EED" w:rsidRDefault="00E41256" w:rsidP="00D65CF0">
            <w:pPr>
              <w:jc w:val="left"/>
              <w:rPr>
                <w:b/>
                <w:color w:val="000000"/>
                <w:sz w:val="20"/>
                <w:szCs w:val="20"/>
                <w:lang w:eastAsia="en-US"/>
              </w:rPr>
            </w:pPr>
            <w:r w:rsidRPr="00131EED">
              <w:rPr>
                <w:b/>
                <w:color w:val="000000"/>
                <w:sz w:val="20"/>
                <w:szCs w:val="20"/>
                <w:lang w:eastAsia="en-US"/>
              </w:rPr>
              <w:t>Chocontá</w:t>
            </w:r>
          </w:p>
        </w:tc>
        <w:tc>
          <w:tcPr>
            <w:tcW w:w="1701" w:type="dxa"/>
            <w:tcBorders>
              <w:top w:val="nil"/>
              <w:left w:val="nil"/>
              <w:bottom w:val="single" w:sz="4" w:space="0" w:color="auto"/>
              <w:right w:val="single" w:sz="4" w:space="0" w:color="auto"/>
            </w:tcBorders>
            <w:noWrap/>
            <w:vAlign w:val="center"/>
            <w:hideMark/>
          </w:tcPr>
          <w:p w14:paraId="45880B42" w14:textId="77777777" w:rsidR="00E41256" w:rsidRPr="00131EED" w:rsidRDefault="00E41256" w:rsidP="00E41256">
            <w:pPr>
              <w:jc w:val="center"/>
              <w:rPr>
                <w:color w:val="000000"/>
                <w:sz w:val="20"/>
                <w:szCs w:val="20"/>
                <w:lang w:eastAsia="en-US"/>
              </w:rPr>
            </w:pPr>
            <w:r w:rsidRPr="00131EED">
              <w:rPr>
                <w:color w:val="000000"/>
                <w:sz w:val="20"/>
                <w:szCs w:val="20"/>
                <w:lang w:eastAsia="en-US"/>
              </w:rPr>
              <w:t>0.0537</w:t>
            </w:r>
          </w:p>
        </w:tc>
        <w:tc>
          <w:tcPr>
            <w:tcW w:w="1984" w:type="dxa"/>
            <w:tcBorders>
              <w:top w:val="nil"/>
              <w:left w:val="nil"/>
              <w:bottom w:val="single" w:sz="4" w:space="0" w:color="auto"/>
              <w:right w:val="single" w:sz="4" w:space="0" w:color="auto"/>
            </w:tcBorders>
            <w:noWrap/>
            <w:vAlign w:val="center"/>
            <w:hideMark/>
          </w:tcPr>
          <w:p w14:paraId="0F24CAFB" w14:textId="77777777" w:rsidR="00E41256" w:rsidRPr="00131EED" w:rsidRDefault="00E41256" w:rsidP="00E41256">
            <w:pPr>
              <w:jc w:val="center"/>
              <w:rPr>
                <w:color w:val="000000"/>
                <w:sz w:val="20"/>
                <w:szCs w:val="20"/>
                <w:lang w:eastAsia="en-US"/>
              </w:rPr>
            </w:pPr>
            <w:r w:rsidRPr="00131EED">
              <w:rPr>
                <w:color w:val="000000"/>
                <w:sz w:val="20"/>
                <w:szCs w:val="20"/>
                <w:lang w:eastAsia="en-US"/>
              </w:rPr>
              <w:t>0.0002%</w:t>
            </w:r>
          </w:p>
        </w:tc>
      </w:tr>
      <w:tr w:rsidR="00E41256" w:rsidRPr="00131EED" w14:paraId="3795A3D0" w14:textId="77777777" w:rsidTr="00D65CF0">
        <w:trPr>
          <w:trHeight w:val="288"/>
          <w:jc w:val="center"/>
        </w:trPr>
        <w:tc>
          <w:tcPr>
            <w:tcW w:w="2122" w:type="dxa"/>
            <w:tcBorders>
              <w:top w:val="nil"/>
              <w:left w:val="single" w:sz="4" w:space="0" w:color="auto"/>
              <w:bottom w:val="single" w:sz="4" w:space="0" w:color="auto"/>
              <w:right w:val="single" w:sz="4" w:space="0" w:color="auto"/>
            </w:tcBorders>
            <w:noWrap/>
            <w:vAlign w:val="center"/>
            <w:hideMark/>
          </w:tcPr>
          <w:p w14:paraId="37FE474F" w14:textId="77777777" w:rsidR="00E41256" w:rsidRPr="00131EED" w:rsidRDefault="00E41256" w:rsidP="00D65CF0">
            <w:pPr>
              <w:jc w:val="left"/>
              <w:rPr>
                <w:b/>
                <w:color w:val="000000"/>
                <w:sz w:val="20"/>
                <w:szCs w:val="20"/>
                <w:lang w:eastAsia="en-US"/>
              </w:rPr>
            </w:pPr>
            <w:r w:rsidRPr="00131EED">
              <w:rPr>
                <w:b/>
                <w:color w:val="000000"/>
                <w:sz w:val="20"/>
                <w:szCs w:val="20"/>
                <w:lang w:eastAsia="en-US"/>
              </w:rPr>
              <w:t>Facatativá</w:t>
            </w:r>
          </w:p>
        </w:tc>
        <w:tc>
          <w:tcPr>
            <w:tcW w:w="1701" w:type="dxa"/>
            <w:tcBorders>
              <w:top w:val="nil"/>
              <w:left w:val="nil"/>
              <w:bottom w:val="single" w:sz="4" w:space="0" w:color="auto"/>
              <w:right w:val="single" w:sz="4" w:space="0" w:color="auto"/>
            </w:tcBorders>
            <w:noWrap/>
            <w:vAlign w:val="center"/>
            <w:hideMark/>
          </w:tcPr>
          <w:p w14:paraId="31026A02" w14:textId="77777777" w:rsidR="00E41256" w:rsidRPr="00131EED" w:rsidRDefault="00E41256" w:rsidP="00E41256">
            <w:pPr>
              <w:jc w:val="center"/>
              <w:rPr>
                <w:color w:val="000000"/>
                <w:sz w:val="20"/>
                <w:szCs w:val="20"/>
                <w:lang w:eastAsia="en-US"/>
              </w:rPr>
            </w:pPr>
            <w:r w:rsidRPr="00131EED">
              <w:rPr>
                <w:color w:val="000000"/>
                <w:sz w:val="20"/>
                <w:szCs w:val="20"/>
                <w:lang w:eastAsia="en-US"/>
              </w:rPr>
              <w:t>129.7490</w:t>
            </w:r>
          </w:p>
        </w:tc>
        <w:tc>
          <w:tcPr>
            <w:tcW w:w="1984" w:type="dxa"/>
            <w:tcBorders>
              <w:top w:val="nil"/>
              <w:left w:val="nil"/>
              <w:bottom w:val="single" w:sz="4" w:space="0" w:color="auto"/>
              <w:right w:val="single" w:sz="4" w:space="0" w:color="auto"/>
            </w:tcBorders>
            <w:noWrap/>
            <w:vAlign w:val="center"/>
            <w:hideMark/>
          </w:tcPr>
          <w:p w14:paraId="44A98D11" w14:textId="77777777" w:rsidR="00E41256" w:rsidRPr="00131EED" w:rsidRDefault="00E41256" w:rsidP="00E41256">
            <w:pPr>
              <w:jc w:val="center"/>
              <w:rPr>
                <w:color w:val="000000"/>
                <w:sz w:val="20"/>
                <w:szCs w:val="20"/>
                <w:lang w:eastAsia="en-US"/>
              </w:rPr>
            </w:pPr>
            <w:r w:rsidRPr="00131EED">
              <w:rPr>
                <w:color w:val="000000"/>
                <w:sz w:val="20"/>
                <w:szCs w:val="20"/>
                <w:lang w:eastAsia="en-US"/>
              </w:rPr>
              <w:t>0.8348%</w:t>
            </w:r>
          </w:p>
        </w:tc>
      </w:tr>
      <w:tr w:rsidR="00E41256" w:rsidRPr="00131EED" w14:paraId="1F2BAB96" w14:textId="77777777" w:rsidTr="00D65CF0">
        <w:trPr>
          <w:trHeight w:val="288"/>
          <w:jc w:val="center"/>
        </w:trPr>
        <w:tc>
          <w:tcPr>
            <w:tcW w:w="2122" w:type="dxa"/>
            <w:tcBorders>
              <w:top w:val="nil"/>
              <w:left w:val="single" w:sz="4" w:space="0" w:color="auto"/>
              <w:bottom w:val="single" w:sz="4" w:space="0" w:color="auto"/>
              <w:right w:val="single" w:sz="4" w:space="0" w:color="auto"/>
            </w:tcBorders>
            <w:noWrap/>
            <w:vAlign w:val="center"/>
            <w:hideMark/>
          </w:tcPr>
          <w:p w14:paraId="02BA25DA" w14:textId="77777777" w:rsidR="00E41256" w:rsidRPr="00131EED" w:rsidRDefault="00E41256" w:rsidP="00D65CF0">
            <w:pPr>
              <w:jc w:val="left"/>
              <w:rPr>
                <w:b/>
                <w:color w:val="000000"/>
                <w:sz w:val="20"/>
                <w:szCs w:val="20"/>
                <w:lang w:eastAsia="en-US"/>
              </w:rPr>
            </w:pPr>
            <w:r w:rsidRPr="00131EED">
              <w:rPr>
                <w:b/>
                <w:color w:val="000000"/>
                <w:sz w:val="20"/>
                <w:szCs w:val="20"/>
                <w:lang w:eastAsia="en-US"/>
              </w:rPr>
              <w:t>Suesca</w:t>
            </w:r>
          </w:p>
        </w:tc>
        <w:tc>
          <w:tcPr>
            <w:tcW w:w="1701" w:type="dxa"/>
            <w:tcBorders>
              <w:top w:val="nil"/>
              <w:left w:val="nil"/>
              <w:bottom w:val="single" w:sz="4" w:space="0" w:color="auto"/>
              <w:right w:val="single" w:sz="4" w:space="0" w:color="auto"/>
            </w:tcBorders>
            <w:noWrap/>
            <w:vAlign w:val="center"/>
            <w:hideMark/>
          </w:tcPr>
          <w:p w14:paraId="3A4AD404" w14:textId="77777777" w:rsidR="00E41256" w:rsidRPr="00131EED" w:rsidRDefault="00E41256" w:rsidP="00E41256">
            <w:pPr>
              <w:jc w:val="center"/>
              <w:rPr>
                <w:color w:val="000000"/>
                <w:sz w:val="20"/>
                <w:szCs w:val="20"/>
                <w:lang w:eastAsia="en-US"/>
              </w:rPr>
            </w:pPr>
            <w:r w:rsidRPr="00131EED">
              <w:rPr>
                <w:color w:val="000000"/>
                <w:sz w:val="20"/>
                <w:szCs w:val="20"/>
                <w:lang w:eastAsia="en-US"/>
              </w:rPr>
              <w:t>4.6913</w:t>
            </w:r>
          </w:p>
        </w:tc>
        <w:tc>
          <w:tcPr>
            <w:tcW w:w="1984" w:type="dxa"/>
            <w:tcBorders>
              <w:top w:val="nil"/>
              <w:left w:val="nil"/>
              <w:bottom w:val="single" w:sz="4" w:space="0" w:color="auto"/>
              <w:right w:val="single" w:sz="4" w:space="0" w:color="auto"/>
            </w:tcBorders>
            <w:noWrap/>
            <w:vAlign w:val="center"/>
            <w:hideMark/>
          </w:tcPr>
          <w:p w14:paraId="63B483A8" w14:textId="77777777" w:rsidR="00E41256" w:rsidRPr="00131EED" w:rsidRDefault="00E41256" w:rsidP="00E41256">
            <w:pPr>
              <w:jc w:val="center"/>
              <w:rPr>
                <w:color w:val="000000"/>
                <w:sz w:val="20"/>
                <w:szCs w:val="20"/>
                <w:lang w:eastAsia="en-US"/>
              </w:rPr>
            </w:pPr>
            <w:r w:rsidRPr="00131EED">
              <w:rPr>
                <w:color w:val="000000"/>
                <w:sz w:val="20"/>
                <w:szCs w:val="20"/>
                <w:lang w:eastAsia="en-US"/>
              </w:rPr>
              <w:t>0.0408%</w:t>
            </w:r>
          </w:p>
        </w:tc>
      </w:tr>
      <w:tr w:rsidR="00EC5B71" w:rsidRPr="00131EED" w14:paraId="6FCEDF5B" w14:textId="77777777" w:rsidTr="00D65CF0">
        <w:trPr>
          <w:trHeight w:val="288"/>
          <w:jc w:val="center"/>
        </w:trPr>
        <w:tc>
          <w:tcPr>
            <w:tcW w:w="2122" w:type="dxa"/>
            <w:tcBorders>
              <w:top w:val="nil"/>
              <w:left w:val="single" w:sz="4" w:space="0" w:color="auto"/>
              <w:bottom w:val="single" w:sz="4" w:space="0" w:color="auto"/>
              <w:right w:val="single" w:sz="4" w:space="0" w:color="auto"/>
            </w:tcBorders>
            <w:noWrap/>
            <w:vAlign w:val="center"/>
            <w:hideMark/>
          </w:tcPr>
          <w:p w14:paraId="69624E04" w14:textId="77777777" w:rsidR="00EC5B71" w:rsidRPr="00131EED" w:rsidRDefault="00EC5B71" w:rsidP="00D65CF0">
            <w:pPr>
              <w:jc w:val="right"/>
              <w:rPr>
                <w:b/>
                <w:color w:val="000000"/>
                <w:sz w:val="20"/>
                <w:szCs w:val="20"/>
                <w:lang w:eastAsia="en-US"/>
              </w:rPr>
            </w:pPr>
            <w:r w:rsidRPr="00131EED">
              <w:rPr>
                <w:b/>
                <w:color w:val="000000"/>
                <w:sz w:val="20"/>
                <w:szCs w:val="20"/>
                <w:lang w:eastAsia="en-US"/>
              </w:rPr>
              <w:t>Total</w:t>
            </w:r>
          </w:p>
        </w:tc>
        <w:tc>
          <w:tcPr>
            <w:tcW w:w="3685" w:type="dxa"/>
            <w:gridSpan w:val="2"/>
            <w:tcBorders>
              <w:top w:val="nil"/>
              <w:left w:val="nil"/>
              <w:bottom w:val="single" w:sz="4" w:space="0" w:color="auto"/>
              <w:right w:val="single" w:sz="4" w:space="0" w:color="auto"/>
            </w:tcBorders>
            <w:noWrap/>
            <w:vAlign w:val="center"/>
            <w:hideMark/>
          </w:tcPr>
          <w:p w14:paraId="73B7DE0F" w14:textId="5088EDBE" w:rsidR="00EC5B71" w:rsidRPr="00131EED" w:rsidRDefault="00EC5B71" w:rsidP="00EC5B71">
            <w:pPr>
              <w:jc w:val="right"/>
              <w:rPr>
                <w:color w:val="000000"/>
                <w:sz w:val="20"/>
                <w:szCs w:val="20"/>
                <w:lang w:eastAsia="en-US"/>
              </w:rPr>
            </w:pPr>
            <w:r w:rsidRPr="00131EED">
              <w:rPr>
                <w:color w:val="000000"/>
                <w:sz w:val="20"/>
                <w:szCs w:val="20"/>
                <w:lang w:eastAsia="en-US"/>
              </w:rPr>
              <w:t>134.4940</w:t>
            </w:r>
          </w:p>
        </w:tc>
      </w:tr>
    </w:tbl>
    <w:p w14:paraId="1634EEF1" w14:textId="77777777" w:rsidR="00286E89" w:rsidRPr="00131EED" w:rsidRDefault="00286E89" w:rsidP="00286E89">
      <w:pPr>
        <w:jc w:val="center"/>
        <w:rPr>
          <w:sz w:val="20"/>
          <w:szCs w:val="20"/>
        </w:rPr>
      </w:pPr>
      <w:r w:rsidRPr="00131EED">
        <w:rPr>
          <w:sz w:val="20"/>
          <w:szCs w:val="20"/>
        </w:rPr>
        <w:t>Fuente: MinAmbiente (2025)</w:t>
      </w:r>
    </w:p>
    <w:p w14:paraId="412D475F" w14:textId="77777777" w:rsidR="00E41256" w:rsidRPr="00131EED" w:rsidRDefault="00E41256" w:rsidP="00565CA7">
      <w:pPr>
        <w:rPr>
          <w:rFonts w:cs="Arial"/>
        </w:rPr>
      </w:pPr>
    </w:p>
    <w:p w14:paraId="7BED0C51" w14:textId="7A50BF9D" w:rsidR="00E41256" w:rsidRPr="00131EED" w:rsidRDefault="00E41256" w:rsidP="00E41256">
      <w:pPr>
        <w:rPr>
          <w:rFonts w:cs="Arial"/>
        </w:rPr>
      </w:pPr>
      <w:r w:rsidRPr="00131EED">
        <w:rPr>
          <w:rFonts w:cs="Arial"/>
        </w:rPr>
        <w:t>En cuanto a las áreas artificializadas sobre suelo de clase IV, para el 20</w:t>
      </w:r>
      <w:r w:rsidR="006E2DDF" w:rsidRPr="00131EED">
        <w:rPr>
          <w:rFonts w:cs="Arial"/>
        </w:rPr>
        <w:t>18</w:t>
      </w:r>
      <w:r w:rsidRPr="00131EED">
        <w:rPr>
          <w:rFonts w:cs="Arial"/>
        </w:rPr>
        <w:t xml:space="preserve"> se tiene un total de </w:t>
      </w:r>
      <w:r w:rsidR="00B0614F" w:rsidRPr="00131EED">
        <w:rPr>
          <w:rFonts w:cs="Arial"/>
        </w:rPr>
        <w:t xml:space="preserve">6625 ha + 5962 </w:t>
      </w:r>
      <w:r w:rsidRPr="00131EED">
        <w:rPr>
          <w:rFonts w:cs="Arial"/>
        </w:rPr>
        <w:t xml:space="preserve">m2 de estos suelos tienen esta cobertura, entre los entes territoriales con mayor área artificializada sobre esta clase de suelo, se encuentran, Bogotá, </w:t>
      </w:r>
      <w:r w:rsidR="00314BAD" w:rsidRPr="00131EED">
        <w:rPr>
          <w:rFonts w:cs="Arial"/>
        </w:rPr>
        <w:t xml:space="preserve">Soacha y </w:t>
      </w:r>
      <w:r w:rsidRPr="00131EED">
        <w:rPr>
          <w:rFonts w:cs="Arial"/>
        </w:rPr>
        <w:t>Chía</w:t>
      </w:r>
      <w:r w:rsidR="00314BAD" w:rsidRPr="00131EED">
        <w:rPr>
          <w:rFonts w:cs="Arial"/>
        </w:rPr>
        <w:t>.</w:t>
      </w:r>
    </w:p>
    <w:p w14:paraId="16E92ED3" w14:textId="77777777" w:rsidR="00565CA7" w:rsidRPr="00131EED" w:rsidRDefault="00565CA7" w:rsidP="00565CA7">
      <w:pPr>
        <w:rPr>
          <w:rFonts w:ascii="Century Gothic" w:hAnsi="Century Gothic" w:cs="Arial"/>
        </w:rPr>
      </w:pPr>
    </w:p>
    <w:p w14:paraId="49949797" w14:textId="21E515D5" w:rsidR="003A3BE0" w:rsidRPr="00131EED" w:rsidRDefault="003A3BE0" w:rsidP="003A3BE0">
      <w:pPr>
        <w:pStyle w:val="Caption"/>
        <w:keepNext/>
        <w:jc w:val="center"/>
      </w:pPr>
      <w:bookmarkStart w:id="363" w:name="_Toc216468979"/>
      <w:r w:rsidRPr="00131EED">
        <w:t xml:space="preserve">Tabla </w:t>
      </w:r>
      <w:fldSimple w:instr=" SEQ Tabla \* ARABIC ">
        <w:r w:rsidR="00CE096F">
          <w:rPr>
            <w:noProof/>
          </w:rPr>
          <w:t>69</w:t>
        </w:r>
      </w:fldSimple>
      <w:r w:rsidRPr="00131EED">
        <w:t>. Áreas artificializadas en suelos de clase IV durante el año 2018.</w:t>
      </w:r>
      <w:bookmarkEnd w:id="363"/>
    </w:p>
    <w:tbl>
      <w:tblPr>
        <w:tblW w:w="5949" w:type="dxa"/>
        <w:jc w:val="center"/>
        <w:tblLook w:val="04A0" w:firstRow="1" w:lastRow="0" w:firstColumn="1" w:lastColumn="0" w:noHBand="0" w:noVBand="1"/>
      </w:tblPr>
      <w:tblGrid>
        <w:gridCol w:w="2405"/>
        <w:gridCol w:w="1701"/>
        <w:gridCol w:w="1843"/>
      </w:tblGrid>
      <w:tr w:rsidR="00B0614F" w:rsidRPr="00131EED" w14:paraId="3914E9AE" w14:textId="77777777" w:rsidTr="0051300C">
        <w:trPr>
          <w:trHeight w:val="288"/>
          <w:tblHeader/>
          <w:jc w:val="center"/>
        </w:trPr>
        <w:tc>
          <w:tcPr>
            <w:tcW w:w="5949" w:type="dxa"/>
            <w:gridSpan w:val="3"/>
            <w:tcBorders>
              <w:top w:val="single" w:sz="4" w:space="0" w:color="auto"/>
              <w:left w:val="single" w:sz="4" w:space="0" w:color="auto"/>
              <w:bottom w:val="single" w:sz="4" w:space="0" w:color="auto"/>
              <w:right w:val="single" w:sz="4" w:space="0" w:color="auto"/>
            </w:tcBorders>
            <w:noWrap/>
            <w:vAlign w:val="center"/>
            <w:hideMark/>
          </w:tcPr>
          <w:p w14:paraId="09DE8805" w14:textId="77777777" w:rsidR="00B0614F" w:rsidRPr="00131EED" w:rsidRDefault="00B0614F" w:rsidP="00B0614F">
            <w:pPr>
              <w:jc w:val="center"/>
              <w:rPr>
                <w:b/>
                <w:color w:val="000000"/>
                <w:sz w:val="20"/>
                <w:szCs w:val="20"/>
                <w:lang w:eastAsia="en-US"/>
              </w:rPr>
            </w:pPr>
            <w:r w:rsidRPr="00131EED">
              <w:rPr>
                <w:b/>
                <w:color w:val="000000"/>
                <w:sz w:val="20"/>
                <w:szCs w:val="20"/>
                <w:lang w:eastAsia="en-US"/>
              </w:rPr>
              <w:t>Clase IV - 2018</w:t>
            </w:r>
          </w:p>
        </w:tc>
      </w:tr>
      <w:tr w:rsidR="00B0614F" w:rsidRPr="00131EED" w14:paraId="2E1AEAA6" w14:textId="77777777" w:rsidTr="0051300C">
        <w:trPr>
          <w:trHeight w:val="288"/>
          <w:tblHeader/>
          <w:jc w:val="center"/>
        </w:trPr>
        <w:tc>
          <w:tcPr>
            <w:tcW w:w="2405" w:type="dxa"/>
            <w:tcBorders>
              <w:top w:val="nil"/>
              <w:left w:val="single" w:sz="4" w:space="0" w:color="auto"/>
              <w:bottom w:val="single" w:sz="4" w:space="0" w:color="auto"/>
              <w:right w:val="single" w:sz="4" w:space="0" w:color="auto"/>
            </w:tcBorders>
            <w:noWrap/>
            <w:vAlign w:val="center"/>
            <w:hideMark/>
          </w:tcPr>
          <w:p w14:paraId="72558516" w14:textId="77777777" w:rsidR="00B0614F" w:rsidRPr="00131EED" w:rsidRDefault="00B0614F" w:rsidP="00B0614F">
            <w:pPr>
              <w:jc w:val="center"/>
              <w:rPr>
                <w:b/>
                <w:color w:val="000000"/>
                <w:sz w:val="20"/>
                <w:szCs w:val="20"/>
                <w:lang w:eastAsia="en-US"/>
              </w:rPr>
            </w:pPr>
            <w:r w:rsidRPr="00131EED">
              <w:rPr>
                <w:b/>
                <w:color w:val="000000"/>
                <w:sz w:val="20"/>
                <w:szCs w:val="20"/>
                <w:lang w:eastAsia="en-US"/>
              </w:rPr>
              <w:t>Municipio</w:t>
            </w:r>
          </w:p>
        </w:tc>
        <w:tc>
          <w:tcPr>
            <w:tcW w:w="1701" w:type="dxa"/>
            <w:tcBorders>
              <w:top w:val="nil"/>
              <w:left w:val="nil"/>
              <w:bottom w:val="single" w:sz="4" w:space="0" w:color="auto"/>
              <w:right w:val="single" w:sz="4" w:space="0" w:color="auto"/>
            </w:tcBorders>
            <w:noWrap/>
            <w:vAlign w:val="center"/>
            <w:hideMark/>
          </w:tcPr>
          <w:p w14:paraId="55DF84C4" w14:textId="77777777" w:rsidR="00B0614F" w:rsidRPr="00131EED" w:rsidRDefault="00B0614F" w:rsidP="00B0614F">
            <w:pPr>
              <w:jc w:val="center"/>
              <w:rPr>
                <w:b/>
                <w:color w:val="000000"/>
                <w:sz w:val="20"/>
                <w:szCs w:val="20"/>
                <w:lang w:eastAsia="en-US"/>
              </w:rPr>
            </w:pPr>
            <w:r w:rsidRPr="00131EED">
              <w:rPr>
                <w:b/>
                <w:color w:val="000000"/>
                <w:sz w:val="20"/>
                <w:szCs w:val="20"/>
                <w:lang w:eastAsia="en-US"/>
              </w:rPr>
              <w:t>Porcentaje del Municipio</w:t>
            </w:r>
          </w:p>
        </w:tc>
        <w:tc>
          <w:tcPr>
            <w:tcW w:w="1843" w:type="dxa"/>
            <w:tcBorders>
              <w:top w:val="nil"/>
              <w:left w:val="nil"/>
              <w:bottom w:val="single" w:sz="4" w:space="0" w:color="auto"/>
              <w:right w:val="single" w:sz="4" w:space="0" w:color="auto"/>
            </w:tcBorders>
            <w:noWrap/>
            <w:vAlign w:val="center"/>
            <w:hideMark/>
          </w:tcPr>
          <w:p w14:paraId="7AF54311" w14:textId="77777777" w:rsidR="00B0614F" w:rsidRPr="00131EED" w:rsidRDefault="00B0614F" w:rsidP="00B0614F">
            <w:pPr>
              <w:jc w:val="center"/>
              <w:rPr>
                <w:b/>
                <w:color w:val="000000"/>
                <w:sz w:val="20"/>
                <w:szCs w:val="20"/>
                <w:lang w:eastAsia="en-US"/>
              </w:rPr>
            </w:pPr>
            <w:r w:rsidRPr="00131EED">
              <w:rPr>
                <w:b/>
                <w:color w:val="000000"/>
                <w:sz w:val="20"/>
                <w:szCs w:val="20"/>
                <w:lang w:eastAsia="en-US"/>
              </w:rPr>
              <w:t>Área Artificializada (ha) Clase IV</w:t>
            </w:r>
          </w:p>
        </w:tc>
      </w:tr>
      <w:tr w:rsidR="00B0614F" w:rsidRPr="00131EED" w14:paraId="4D5592AE"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59A8A55D"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Bogotá D.C.</w:t>
            </w:r>
          </w:p>
        </w:tc>
        <w:tc>
          <w:tcPr>
            <w:tcW w:w="1701" w:type="dxa"/>
            <w:tcBorders>
              <w:top w:val="nil"/>
              <w:left w:val="nil"/>
              <w:bottom w:val="single" w:sz="4" w:space="0" w:color="auto"/>
              <w:right w:val="single" w:sz="4" w:space="0" w:color="auto"/>
            </w:tcBorders>
            <w:noWrap/>
            <w:vAlign w:val="center"/>
            <w:hideMark/>
          </w:tcPr>
          <w:p w14:paraId="35DCD06E" w14:textId="77777777" w:rsidR="00B0614F" w:rsidRPr="00131EED" w:rsidRDefault="00B0614F" w:rsidP="00B0614F">
            <w:pPr>
              <w:jc w:val="center"/>
              <w:rPr>
                <w:color w:val="000000"/>
                <w:sz w:val="20"/>
                <w:szCs w:val="20"/>
                <w:lang w:eastAsia="en-US"/>
              </w:rPr>
            </w:pPr>
            <w:r w:rsidRPr="00131EED">
              <w:rPr>
                <w:color w:val="000000"/>
                <w:sz w:val="20"/>
                <w:szCs w:val="20"/>
                <w:lang w:eastAsia="en-US"/>
              </w:rPr>
              <w:t>3101.6724</w:t>
            </w:r>
          </w:p>
        </w:tc>
        <w:tc>
          <w:tcPr>
            <w:tcW w:w="1843" w:type="dxa"/>
            <w:tcBorders>
              <w:top w:val="nil"/>
              <w:left w:val="nil"/>
              <w:bottom w:val="single" w:sz="4" w:space="0" w:color="auto"/>
              <w:right w:val="single" w:sz="4" w:space="0" w:color="auto"/>
            </w:tcBorders>
            <w:noWrap/>
            <w:vAlign w:val="center"/>
            <w:hideMark/>
          </w:tcPr>
          <w:p w14:paraId="7334D829" w14:textId="77777777" w:rsidR="00B0614F" w:rsidRPr="00131EED" w:rsidRDefault="00B0614F" w:rsidP="00B0614F">
            <w:pPr>
              <w:jc w:val="center"/>
              <w:rPr>
                <w:color w:val="000000"/>
                <w:sz w:val="20"/>
                <w:szCs w:val="20"/>
                <w:lang w:eastAsia="en-US"/>
              </w:rPr>
            </w:pPr>
            <w:r w:rsidRPr="00131EED">
              <w:rPr>
                <w:color w:val="000000"/>
                <w:sz w:val="20"/>
                <w:szCs w:val="20"/>
                <w:lang w:eastAsia="en-US"/>
              </w:rPr>
              <w:t>3.6698%</w:t>
            </w:r>
          </w:p>
        </w:tc>
      </w:tr>
      <w:tr w:rsidR="00B0614F" w:rsidRPr="00131EED" w14:paraId="23B9AED2"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66E90BBA"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Bojacá</w:t>
            </w:r>
          </w:p>
        </w:tc>
        <w:tc>
          <w:tcPr>
            <w:tcW w:w="1701" w:type="dxa"/>
            <w:tcBorders>
              <w:top w:val="nil"/>
              <w:left w:val="nil"/>
              <w:bottom w:val="single" w:sz="4" w:space="0" w:color="auto"/>
              <w:right w:val="single" w:sz="4" w:space="0" w:color="auto"/>
            </w:tcBorders>
            <w:noWrap/>
            <w:vAlign w:val="center"/>
            <w:hideMark/>
          </w:tcPr>
          <w:p w14:paraId="1573DBB4" w14:textId="77777777" w:rsidR="00B0614F" w:rsidRPr="00131EED" w:rsidRDefault="00B0614F" w:rsidP="00B0614F">
            <w:pPr>
              <w:jc w:val="center"/>
              <w:rPr>
                <w:color w:val="000000"/>
                <w:sz w:val="20"/>
                <w:szCs w:val="20"/>
                <w:lang w:eastAsia="en-US"/>
              </w:rPr>
            </w:pPr>
            <w:r w:rsidRPr="00131EED">
              <w:rPr>
                <w:color w:val="000000"/>
                <w:sz w:val="20"/>
                <w:szCs w:val="20"/>
                <w:lang w:eastAsia="en-US"/>
              </w:rPr>
              <w:t>41.3813</w:t>
            </w:r>
          </w:p>
        </w:tc>
        <w:tc>
          <w:tcPr>
            <w:tcW w:w="1843" w:type="dxa"/>
            <w:tcBorders>
              <w:top w:val="nil"/>
              <w:left w:val="nil"/>
              <w:bottom w:val="single" w:sz="4" w:space="0" w:color="auto"/>
              <w:right w:val="single" w:sz="4" w:space="0" w:color="auto"/>
            </w:tcBorders>
            <w:noWrap/>
            <w:vAlign w:val="center"/>
            <w:hideMark/>
          </w:tcPr>
          <w:p w14:paraId="18C048E8" w14:textId="77777777" w:rsidR="00B0614F" w:rsidRPr="00131EED" w:rsidRDefault="00B0614F" w:rsidP="00B0614F">
            <w:pPr>
              <w:jc w:val="center"/>
              <w:rPr>
                <w:color w:val="000000"/>
                <w:sz w:val="20"/>
                <w:szCs w:val="20"/>
                <w:lang w:eastAsia="en-US"/>
              </w:rPr>
            </w:pPr>
            <w:r w:rsidRPr="00131EED">
              <w:rPr>
                <w:color w:val="000000"/>
                <w:sz w:val="20"/>
                <w:szCs w:val="20"/>
                <w:lang w:eastAsia="en-US"/>
              </w:rPr>
              <w:t>0.4049%</w:t>
            </w:r>
          </w:p>
        </w:tc>
      </w:tr>
      <w:tr w:rsidR="00B0614F" w:rsidRPr="00131EED" w14:paraId="37AFE353"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25746D28"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Cajicá</w:t>
            </w:r>
          </w:p>
        </w:tc>
        <w:tc>
          <w:tcPr>
            <w:tcW w:w="1701" w:type="dxa"/>
            <w:tcBorders>
              <w:top w:val="nil"/>
              <w:left w:val="nil"/>
              <w:bottom w:val="single" w:sz="4" w:space="0" w:color="auto"/>
              <w:right w:val="single" w:sz="4" w:space="0" w:color="auto"/>
            </w:tcBorders>
            <w:noWrap/>
            <w:vAlign w:val="center"/>
            <w:hideMark/>
          </w:tcPr>
          <w:p w14:paraId="7E8C5A37" w14:textId="77777777" w:rsidR="00B0614F" w:rsidRPr="00131EED" w:rsidRDefault="00B0614F" w:rsidP="00B0614F">
            <w:pPr>
              <w:jc w:val="center"/>
              <w:rPr>
                <w:color w:val="000000"/>
                <w:sz w:val="20"/>
                <w:szCs w:val="20"/>
                <w:lang w:eastAsia="en-US"/>
              </w:rPr>
            </w:pPr>
            <w:r w:rsidRPr="00131EED">
              <w:rPr>
                <w:color w:val="000000"/>
                <w:sz w:val="20"/>
                <w:szCs w:val="20"/>
                <w:lang w:eastAsia="en-US"/>
              </w:rPr>
              <w:t>137.7956</w:t>
            </w:r>
          </w:p>
        </w:tc>
        <w:tc>
          <w:tcPr>
            <w:tcW w:w="1843" w:type="dxa"/>
            <w:tcBorders>
              <w:top w:val="nil"/>
              <w:left w:val="nil"/>
              <w:bottom w:val="single" w:sz="4" w:space="0" w:color="auto"/>
              <w:right w:val="single" w:sz="4" w:space="0" w:color="auto"/>
            </w:tcBorders>
            <w:noWrap/>
            <w:vAlign w:val="center"/>
            <w:hideMark/>
          </w:tcPr>
          <w:p w14:paraId="696DE325" w14:textId="77777777" w:rsidR="00B0614F" w:rsidRPr="00131EED" w:rsidRDefault="00B0614F" w:rsidP="00B0614F">
            <w:pPr>
              <w:jc w:val="center"/>
              <w:rPr>
                <w:color w:val="000000"/>
                <w:sz w:val="20"/>
                <w:szCs w:val="20"/>
                <w:lang w:eastAsia="en-US"/>
              </w:rPr>
            </w:pPr>
            <w:r w:rsidRPr="00131EED">
              <w:rPr>
                <w:color w:val="000000"/>
                <w:sz w:val="20"/>
                <w:szCs w:val="20"/>
                <w:lang w:eastAsia="en-US"/>
              </w:rPr>
              <w:t>2.6884%</w:t>
            </w:r>
          </w:p>
        </w:tc>
      </w:tr>
      <w:tr w:rsidR="00B0614F" w:rsidRPr="00131EED" w14:paraId="349A1209"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71B0BBAB"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Chía</w:t>
            </w:r>
          </w:p>
        </w:tc>
        <w:tc>
          <w:tcPr>
            <w:tcW w:w="1701" w:type="dxa"/>
            <w:tcBorders>
              <w:top w:val="nil"/>
              <w:left w:val="nil"/>
              <w:bottom w:val="single" w:sz="4" w:space="0" w:color="auto"/>
              <w:right w:val="single" w:sz="4" w:space="0" w:color="auto"/>
            </w:tcBorders>
            <w:noWrap/>
            <w:vAlign w:val="center"/>
            <w:hideMark/>
          </w:tcPr>
          <w:p w14:paraId="241C8B21" w14:textId="77777777" w:rsidR="00B0614F" w:rsidRPr="00131EED" w:rsidRDefault="00B0614F" w:rsidP="00B0614F">
            <w:pPr>
              <w:jc w:val="center"/>
              <w:rPr>
                <w:color w:val="000000"/>
                <w:sz w:val="20"/>
                <w:szCs w:val="20"/>
                <w:lang w:eastAsia="en-US"/>
              </w:rPr>
            </w:pPr>
            <w:r w:rsidRPr="00131EED">
              <w:rPr>
                <w:color w:val="000000"/>
                <w:sz w:val="20"/>
                <w:szCs w:val="20"/>
                <w:lang w:eastAsia="en-US"/>
              </w:rPr>
              <w:t>533.2195</w:t>
            </w:r>
          </w:p>
        </w:tc>
        <w:tc>
          <w:tcPr>
            <w:tcW w:w="1843" w:type="dxa"/>
            <w:tcBorders>
              <w:top w:val="nil"/>
              <w:left w:val="nil"/>
              <w:bottom w:val="single" w:sz="4" w:space="0" w:color="auto"/>
              <w:right w:val="single" w:sz="4" w:space="0" w:color="auto"/>
            </w:tcBorders>
            <w:noWrap/>
            <w:vAlign w:val="center"/>
            <w:hideMark/>
          </w:tcPr>
          <w:p w14:paraId="76123C23" w14:textId="77777777" w:rsidR="00B0614F" w:rsidRPr="00131EED" w:rsidRDefault="00B0614F" w:rsidP="00B0614F">
            <w:pPr>
              <w:jc w:val="center"/>
              <w:rPr>
                <w:color w:val="000000"/>
                <w:sz w:val="20"/>
                <w:szCs w:val="20"/>
                <w:lang w:eastAsia="en-US"/>
              </w:rPr>
            </w:pPr>
            <w:r w:rsidRPr="00131EED">
              <w:rPr>
                <w:color w:val="000000"/>
                <w:sz w:val="20"/>
                <w:szCs w:val="20"/>
                <w:lang w:eastAsia="en-US"/>
              </w:rPr>
              <w:t>6.6809%</w:t>
            </w:r>
          </w:p>
        </w:tc>
      </w:tr>
      <w:tr w:rsidR="00B0614F" w:rsidRPr="00131EED" w14:paraId="63A45203"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15B2BEE9"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Chocontá</w:t>
            </w:r>
          </w:p>
        </w:tc>
        <w:tc>
          <w:tcPr>
            <w:tcW w:w="1701" w:type="dxa"/>
            <w:tcBorders>
              <w:top w:val="nil"/>
              <w:left w:val="nil"/>
              <w:bottom w:val="single" w:sz="4" w:space="0" w:color="auto"/>
              <w:right w:val="single" w:sz="4" w:space="0" w:color="auto"/>
            </w:tcBorders>
            <w:noWrap/>
            <w:vAlign w:val="center"/>
            <w:hideMark/>
          </w:tcPr>
          <w:p w14:paraId="0552A9BE" w14:textId="77777777" w:rsidR="00B0614F" w:rsidRPr="00131EED" w:rsidRDefault="00B0614F" w:rsidP="00B0614F">
            <w:pPr>
              <w:jc w:val="center"/>
              <w:rPr>
                <w:color w:val="000000"/>
                <w:sz w:val="20"/>
                <w:szCs w:val="20"/>
                <w:lang w:eastAsia="en-US"/>
              </w:rPr>
            </w:pPr>
            <w:r w:rsidRPr="00131EED">
              <w:rPr>
                <w:color w:val="000000"/>
                <w:sz w:val="20"/>
                <w:szCs w:val="20"/>
                <w:lang w:eastAsia="en-US"/>
              </w:rPr>
              <w:t>30.6586</w:t>
            </w:r>
          </w:p>
        </w:tc>
        <w:tc>
          <w:tcPr>
            <w:tcW w:w="1843" w:type="dxa"/>
            <w:tcBorders>
              <w:top w:val="nil"/>
              <w:left w:val="nil"/>
              <w:bottom w:val="single" w:sz="4" w:space="0" w:color="auto"/>
              <w:right w:val="single" w:sz="4" w:space="0" w:color="auto"/>
            </w:tcBorders>
            <w:noWrap/>
            <w:vAlign w:val="center"/>
            <w:hideMark/>
          </w:tcPr>
          <w:p w14:paraId="4F46A13C" w14:textId="77777777" w:rsidR="00B0614F" w:rsidRPr="00131EED" w:rsidRDefault="00B0614F" w:rsidP="00B0614F">
            <w:pPr>
              <w:jc w:val="center"/>
              <w:rPr>
                <w:color w:val="000000"/>
                <w:sz w:val="20"/>
                <w:szCs w:val="20"/>
                <w:lang w:eastAsia="en-US"/>
              </w:rPr>
            </w:pPr>
            <w:r w:rsidRPr="00131EED">
              <w:rPr>
                <w:color w:val="000000"/>
                <w:sz w:val="20"/>
                <w:szCs w:val="20"/>
                <w:lang w:eastAsia="en-US"/>
              </w:rPr>
              <w:t>0.1228%</w:t>
            </w:r>
          </w:p>
        </w:tc>
      </w:tr>
      <w:tr w:rsidR="00B0614F" w:rsidRPr="00131EED" w14:paraId="5D6D8ADB"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31EB276A"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Cogua</w:t>
            </w:r>
          </w:p>
        </w:tc>
        <w:tc>
          <w:tcPr>
            <w:tcW w:w="1701" w:type="dxa"/>
            <w:tcBorders>
              <w:top w:val="nil"/>
              <w:left w:val="nil"/>
              <w:bottom w:val="single" w:sz="4" w:space="0" w:color="auto"/>
              <w:right w:val="single" w:sz="4" w:space="0" w:color="auto"/>
            </w:tcBorders>
            <w:noWrap/>
            <w:vAlign w:val="center"/>
            <w:hideMark/>
          </w:tcPr>
          <w:p w14:paraId="2553DDAF" w14:textId="77777777" w:rsidR="00B0614F" w:rsidRPr="00131EED" w:rsidRDefault="00B0614F" w:rsidP="00B0614F">
            <w:pPr>
              <w:jc w:val="center"/>
              <w:rPr>
                <w:color w:val="000000"/>
                <w:sz w:val="20"/>
                <w:szCs w:val="20"/>
                <w:lang w:eastAsia="en-US"/>
              </w:rPr>
            </w:pPr>
            <w:r w:rsidRPr="00131EED">
              <w:rPr>
                <w:color w:val="000000"/>
                <w:sz w:val="20"/>
                <w:szCs w:val="20"/>
                <w:lang w:eastAsia="en-US"/>
              </w:rPr>
              <w:t>189.7590</w:t>
            </w:r>
          </w:p>
        </w:tc>
        <w:tc>
          <w:tcPr>
            <w:tcW w:w="1843" w:type="dxa"/>
            <w:tcBorders>
              <w:top w:val="nil"/>
              <w:left w:val="nil"/>
              <w:bottom w:val="single" w:sz="4" w:space="0" w:color="auto"/>
              <w:right w:val="single" w:sz="4" w:space="0" w:color="auto"/>
            </w:tcBorders>
            <w:noWrap/>
            <w:vAlign w:val="center"/>
            <w:hideMark/>
          </w:tcPr>
          <w:p w14:paraId="1D6C43B0" w14:textId="77777777" w:rsidR="00B0614F" w:rsidRPr="00131EED" w:rsidRDefault="00B0614F" w:rsidP="00B0614F">
            <w:pPr>
              <w:jc w:val="center"/>
              <w:rPr>
                <w:color w:val="000000"/>
                <w:sz w:val="20"/>
                <w:szCs w:val="20"/>
                <w:lang w:eastAsia="en-US"/>
              </w:rPr>
            </w:pPr>
            <w:r w:rsidRPr="00131EED">
              <w:rPr>
                <w:color w:val="000000"/>
                <w:sz w:val="20"/>
                <w:szCs w:val="20"/>
                <w:lang w:eastAsia="en-US"/>
              </w:rPr>
              <w:t>1.4301%</w:t>
            </w:r>
          </w:p>
        </w:tc>
      </w:tr>
      <w:tr w:rsidR="00B0614F" w:rsidRPr="00131EED" w14:paraId="14C51C17"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4E74DE2E"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Cota</w:t>
            </w:r>
          </w:p>
        </w:tc>
        <w:tc>
          <w:tcPr>
            <w:tcW w:w="1701" w:type="dxa"/>
            <w:tcBorders>
              <w:top w:val="nil"/>
              <w:left w:val="nil"/>
              <w:bottom w:val="single" w:sz="4" w:space="0" w:color="auto"/>
              <w:right w:val="single" w:sz="4" w:space="0" w:color="auto"/>
            </w:tcBorders>
            <w:noWrap/>
            <w:vAlign w:val="center"/>
            <w:hideMark/>
          </w:tcPr>
          <w:p w14:paraId="747C76C1" w14:textId="77777777" w:rsidR="00B0614F" w:rsidRPr="00131EED" w:rsidRDefault="00B0614F" w:rsidP="00B0614F">
            <w:pPr>
              <w:jc w:val="center"/>
              <w:rPr>
                <w:color w:val="000000"/>
                <w:sz w:val="20"/>
                <w:szCs w:val="20"/>
                <w:lang w:eastAsia="en-US"/>
              </w:rPr>
            </w:pPr>
            <w:r w:rsidRPr="00131EED">
              <w:rPr>
                <w:color w:val="000000"/>
                <w:sz w:val="20"/>
                <w:szCs w:val="20"/>
                <w:lang w:eastAsia="en-US"/>
              </w:rPr>
              <w:t>304.2784</w:t>
            </w:r>
          </w:p>
        </w:tc>
        <w:tc>
          <w:tcPr>
            <w:tcW w:w="1843" w:type="dxa"/>
            <w:tcBorders>
              <w:top w:val="nil"/>
              <w:left w:val="nil"/>
              <w:bottom w:val="single" w:sz="4" w:space="0" w:color="auto"/>
              <w:right w:val="single" w:sz="4" w:space="0" w:color="auto"/>
            </w:tcBorders>
            <w:noWrap/>
            <w:vAlign w:val="center"/>
            <w:hideMark/>
          </w:tcPr>
          <w:p w14:paraId="65E4C777" w14:textId="77777777" w:rsidR="00B0614F" w:rsidRPr="00131EED" w:rsidRDefault="00B0614F" w:rsidP="00B0614F">
            <w:pPr>
              <w:jc w:val="center"/>
              <w:rPr>
                <w:color w:val="000000"/>
                <w:sz w:val="20"/>
                <w:szCs w:val="20"/>
                <w:lang w:eastAsia="en-US"/>
              </w:rPr>
            </w:pPr>
            <w:r w:rsidRPr="00131EED">
              <w:rPr>
                <w:color w:val="000000"/>
                <w:sz w:val="20"/>
                <w:szCs w:val="20"/>
                <w:lang w:eastAsia="en-US"/>
              </w:rPr>
              <w:t>5.6684%</w:t>
            </w:r>
          </w:p>
        </w:tc>
      </w:tr>
      <w:tr w:rsidR="00B0614F" w:rsidRPr="00131EED" w14:paraId="123FA6EC"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68D35B7F"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El Rosal</w:t>
            </w:r>
          </w:p>
        </w:tc>
        <w:tc>
          <w:tcPr>
            <w:tcW w:w="1701" w:type="dxa"/>
            <w:tcBorders>
              <w:top w:val="nil"/>
              <w:left w:val="nil"/>
              <w:bottom w:val="single" w:sz="4" w:space="0" w:color="auto"/>
              <w:right w:val="single" w:sz="4" w:space="0" w:color="auto"/>
            </w:tcBorders>
            <w:noWrap/>
            <w:vAlign w:val="center"/>
            <w:hideMark/>
          </w:tcPr>
          <w:p w14:paraId="0F69F95F" w14:textId="77777777" w:rsidR="00B0614F" w:rsidRPr="00131EED" w:rsidRDefault="00B0614F" w:rsidP="00B0614F">
            <w:pPr>
              <w:jc w:val="center"/>
              <w:rPr>
                <w:color w:val="000000"/>
                <w:sz w:val="20"/>
                <w:szCs w:val="20"/>
                <w:lang w:eastAsia="en-US"/>
              </w:rPr>
            </w:pPr>
            <w:r w:rsidRPr="00131EED">
              <w:rPr>
                <w:color w:val="000000"/>
                <w:sz w:val="20"/>
                <w:szCs w:val="20"/>
                <w:lang w:eastAsia="en-US"/>
              </w:rPr>
              <w:t>16.1802</w:t>
            </w:r>
          </w:p>
        </w:tc>
        <w:tc>
          <w:tcPr>
            <w:tcW w:w="1843" w:type="dxa"/>
            <w:tcBorders>
              <w:top w:val="nil"/>
              <w:left w:val="nil"/>
              <w:bottom w:val="single" w:sz="4" w:space="0" w:color="auto"/>
              <w:right w:val="single" w:sz="4" w:space="0" w:color="auto"/>
            </w:tcBorders>
            <w:noWrap/>
            <w:vAlign w:val="center"/>
            <w:hideMark/>
          </w:tcPr>
          <w:p w14:paraId="6F906A01" w14:textId="77777777" w:rsidR="00B0614F" w:rsidRPr="00131EED" w:rsidRDefault="00B0614F" w:rsidP="00B0614F">
            <w:pPr>
              <w:jc w:val="center"/>
              <w:rPr>
                <w:color w:val="000000"/>
                <w:sz w:val="20"/>
                <w:szCs w:val="20"/>
                <w:lang w:eastAsia="en-US"/>
              </w:rPr>
            </w:pPr>
            <w:r w:rsidRPr="00131EED">
              <w:rPr>
                <w:color w:val="000000"/>
                <w:sz w:val="20"/>
                <w:szCs w:val="20"/>
                <w:lang w:eastAsia="en-US"/>
              </w:rPr>
              <w:t>0.2355%</w:t>
            </w:r>
          </w:p>
        </w:tc>
      </w:tr>
      <w:tr w:rsidR="00B0614F" w:rsidRPr="00131EED" w14:paraId="0739122A"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2EF35745"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Facatativá</w:t>
            </w:r>
          </w:p>
        </w:tc>
        <w:tc>
          <w:tcPr>
            <w:tcW w:w="1701" w:type="dxa"/>
            <w:tcBorders>
              <w:top w:val="nil"/>
              <w:left w:val="nil"/>
              <w:bottom w:val="single" w:sz="4" w:space="0" w:color="auto"/>
              <w:right w:val="single" w:sz="4" w:space="0" w:color="auto"/>
            </w:tcBorders>
            <w:noWrap/>
            <w:vAlign w:val="center"/>
            <w:hideMark/>
          </w:tcPr>
          <w:p w14:paraId="4867B9FF" w14:textId="77777777" w:rsidR="00B0614F" w:rsidRPr="00131EED" w:rsidRDefault="00B0614F" w:rsidP="00B0614F">
            <w:pPr>
              <w:jc w:val="center"/>
              <w:rPr>
                <w:color w:val="000000"/>
                <w:sz w:val="20"/>
                <w:szCs w:val="20"/>
                <w:lang w:eastAsia="en-US"/>
              </w:rPr>
            </w:pPr>
            <w:r w:rsidRPr="00131EED">
              <w:rPr>
                <w:color w:val="000000"/>
                <w:sz w:val="20"/>
                <w:szCs w:val="20"/>
                <w:lang w:eastAsia="en-US"/>
              </w:rPr>
              <w:t>46.6268</w:t>
            </w:r>
          </w:p>
        </w:tc>
        <w:tc>
          <w:tcPr>
            <w:tcW w:w="1843" w:type="dxa"/>
            <w:tcBorders>
              <w:top w:val="nil"/>
              <w:left w:val="nil"/>
              <w:bottom w:val="single" w:sz="4" w:space="0" w:color="auto"/>
              <w:right w:val="single" w:sz="4" w:space="0" w:color="auto"/>
            </w:tcBorders>
            <w:noWrap/>
            <w:vAlign w:val="center"/>
            <w:hideMark/>
          </w:tcPr>
          <w:p w14:paraId="4E5753DD" w14:textId="77777777" w:rsidR="00B0614F" w:rsidRPr="00131EED" w:rsidRDefault="00B0614F" w:rsidP="00B0614F">
            <w:pPr>
              <w:jc w:val="center"/>
              <w:rPr>
                <w:color w:val="000000"/>
                <w:sz w:val="20"/>
                <w:szCs w:val="20"/>
                <w:lang w:eastAsia="en-US"/>
              </w:rPr>
            </w:pPr>
            <w:r w:rsidRPr="00131EED">
              <w:rPr>
                <w:color w:val="000000"/>
                <w:sz w:val="20"/>
                <w:szCs w:val="20"/>
                <w:lang w:eastAsia="en-US"/>
              </w:rPr>
              <w:t>0.3000%</w:t>
            </w:r>
          </w:p>
        </w:tc>
      </w:tr>
      <w:tr w:rsidR="00B0614F" w:rsidRPr="00131EED" w14:paraId="7ACB0CFC"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337A96AC"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Funza</w:t>
            </w:r>
          </w:p>
        </w:tc>
        <w:tc>
          <w:tcPr>
            <w:tcW w:w="1701" w:type="dxa"/>
            <w:tcBorders>
              <w:top w:val="nil"/>
              <w:left w:val="nil"/>
              <w:bottom w:val="single" w:sz="4" w:space="0" w:color="auto"/>
              <w:right w:val="single" w:sz="4" w:space="0" w:color="auto"/>
            </w:tcBorders>
            <w:noWrap/>
            <w:vAlign w:val="center"/>
            <w:hideMark/>
          </w:tcPr>
          <w:p w14:paraId="00F30DEB" w14:textId="77777777" w:rsidR="00B0614F" w:rsidRPr="00131EED" w:rsidRDefault="00B0614F" w:rsidP="00B0614F">
            <w:pPr>
              <w:jc w:val="center"/>
              <w:rPr>
                <w:color w:val="000000"/>
                <w:sz w:val="20"/>
                <w:szCs w:val="20"/>
                <w:lang w:eastAsia="en-US"/>
              </w:rPr>
            </w:pPr>
            <w:r w:rsidRPr="00131EED">
              <w:rPr>
                <w:color w:val="000000"/>
                <w:sz w:val="20"/>
                <w:szCs w:val="20"/>
                <w:lang w:eastAsia="en-US"/>
              </w:rPr>
              <w:t>237.4143</w:t>
            </w:r>
          </w:p>
        </w:tc>
        <w:tc>
          <w:tcPr>
            <w:tcW w:w="1843" w:type="dxa"/>
            <w:tcBorders>
              <w:top w:val="nil"/>
              <w:left w:val="nil"/>
              <w:bottom w:val="single" w:sz="4" w:space="0" w:color="auto"/>
              <w:right w:val="single" w:sz="4" w:space="0" w:color="auto"/>
            </w:tcBorders>
            <w:noWrap/>
            <w:vAlign w:val="center"/>
            <w:hideMark/>
          </w:tcPr>
          <w:p w14:paraId="0769A426" w14:textId="77777777" w:rsidR="00B0614F" w:rsidRPr="00131EED" w:rsidRDefault="00B0614F" w:rsidP="00B0614F">
            <w:pPr>
              <w:jc w:val="center"/>
              <w:rPr>
                <w:color w:val="000000"/>
                <w:sz w:val="20"/>
                <w:szCs w:val="20"/>
                <w:lang w:eastAsia="en-US"/>
              </w:rPr>
            </w:pPr>
            <w:r w:rsidRPr="00131EED">
              <w:rPr>
                <w:color w:val="000000"/>
                <w:sz w:val="20"/>
                <w:szCs w:val="20"/>
                <w:lang w:eastAsia="en-US"/>
              </w:rPr>
              <w:t>3.3930%</w:t>
            </w:r>
          </w:p>
        </w:tc>
      </w:tr>
      <w:tr w:rsidR="00B0614F" w:rsidRPr="00131EED" w14:paraId="463EC27C"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5ABE1A51"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Gachancipá</w:t>
            </w:r>
          </w:p>
        </w:tc>
        <w:tc>
          <w:tcPr>
            <w:tcW w:w="1701" w:type="dxa"/>
            <w:tcBorders>
              <w:top w:val="nil"/>
              <w:left w:val="nil"/>
              <w:bottom w:val="single" w:sz="4" w:space="0" w:color="auto"/>
              <w:right w:val="single" w:sz="4" w:space="0" w:color="auto"/>
            </w:tcBorders>
            <w:noWrap/>
            <w:vAlign w:val="center"/>
            <w:hideMark/>
          </w:tcPr>
          <w:p w14:paraId="4A0473E9" w14:textId="77777777" w:rsidR="00B0614F" w:rsidRPr="00131EED" w:rsidRDefault="00B0614F" w:rsidP="00B0614F">
            <w:pPr>
              <w:jc w:val="center"/>
              <w:rPr>
                <w:color w:val="000000"/>
                <w:sz w:val="20"/>
                <w:szCs w:val="20"/>
                <w:lang w:eastAsia="en-US"/>
              </w:rPr>
            </w:pPr>
            <w:r w:rsidRPr="00131EED">
              <w:rPr>
                <w:color w:val="000000"/>
                <w:sz w:val="20"/>
                <w:szCs w:val="20"/>
                <w:lang w:eastAsia="en-US"/>
              </w:rPr>
              <w:t>0.0121</w:t>
            </w:r>
          </w:p>
        </w:tc>
        <w:tc>
          <w:tcPr>
            <w:tcW w:w="1843" w:type="dxa"/>
            <w:tcBorders>
              <w:top w:val="nil"/>
              <w:left w:val="nil"/>
              <w:bottom w:val="single" w:sz="4" w:space="0" w:color="auto"/>
              <w:right w:val="single" w:sz="4" w:space="0" w:color="auto"/>
            </w:tcBorders>
            <w:noWrap/>
            <w:vAlign w:val="center"/>
            <w:hideMark/>
          </w:tcPr>
          <w:p w14:paraId="27DF8D5C" w14:textId="77777777" w:rsidR="00B0614F" w:rsidRPr="00131EED" w:rsidRDefault="00B0614F" w:rsidP="00B0614F">
            <w:pPr>
              <w:jc w:val="center"/>
              <w:rPr>
                <w:color w:val="000000"/>
                <w:sz w:val="20"/>
                <w:szCs w:val="20"/>
                <w:lang w:eastAsia="en-US"/>
              </w:rPr>
            </w:pPr>
            <w:r w:rsidRPr="00131EED">
              <w:rPr>
                <w:color w:val="000000"/>
                <w:sz w:val="20"/>
                <w:szCs w:val="20"/>
                <w:lang w:eastAsia="en-US"/>
              </w:rPr>
              <w:t>0.0003%</w:t>
            </w:r>
          </w:p>
        </w:tc>
      </w:tr>
      <w:tr w:rsidR="00B0614F" w:rsidRPr="00131EED" w14:paraId="4E068F55"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70B7F47F"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Guasca</w:t>
            </w:r>
          </w:p>
        </w:tc>
        <w:tc>
          <w:tcPr>
            <w:tcW w:w="1701" w:type="dxa"/>
            <w:tcBorders>
              <w:top w:val="nil"/>
              <w:left w:val="nil"/>
              <w:bottom w:val="single" w:sz="4" w:space="0" w:color="auto"/>
              <w:right w:val="single" w:sz="4" w:space="0" w:color="auto"/>
            </w:tcBorders>
            <w:noWrap/>
            <w:vAlign w:val="center"/>
            <w:hideMark/>
          </w:tcPr>
          <w:p w14:paraId="5C2BAA17" w14:textId="77777777" w:rsidR="00B0614F" w:rsidRPr="00131EED" w:rsidRDefault="00B0614F" w:rsidP="00B0614F">
            <w:pPr>
              <w:jc w:val="center"/>
              <w:rPr>
                <w:color w:val="000000"/>
                <w:sz w:val="20"/>
                <w:szCs w:val="20"/>
                <w:lang w:eastAsia="en-US"/>
              </w:rPr>
            </w:pPr>
            <w:r w:rsidRPr="00131EED">
              <w:rPr>
                <w:color w:val="000000"/>
                <w:sz w:val="20"/>
                <w:szCs w:val="20"/>
                <w:lang w:eastAsia="en-US"/>
              </w:rPr>
              <w:t>40.4109</w:t>
            </w:r>
          </w:p>
        </w:tc>
        <w:tc>
          <w:tcPr>
            <w:tcW w:w="1843" w:type="dxa"/>
            <w:tcBorders>
              <w:top w:val="nil"/>
              <w:left w:val="nil"/>
              <w:bottom w:val="single" w:sz="4" w:space="0" w:color="auto"/>
              <w:right w:val="single" w:sz="4" w:space="0" w:color="auto"/>
            </w:tcBorders>
            <w:noWrap/>
            <w:vAlign w:val="center"/>
            <w:hideMark/>
          </w:tcPr>
          <w:p w14:paraId="12291B3C" w14:textId="77777777" w:rsidR="00B0614F" w:rsidRPr="00131EED" w:rsidRDefault="00B0614F" w:rsidP="00B0614F">
            <w:pPr>
              <w:jc w:val="center"/>
              <w:rPr>
                <w:color w:val="000000"/>
                <w:sz w:val="20"/>
                <w:szCs w:val="20"/>
                <w:lang w:eastAsia="en-US"/>
              </w:rPr>
            </w:pPr>
            <w:r w:rsidRPr="00131EED">
              <w:rPr>
                <w:color w:val="000000"/>
                <w:sz w:val="20"/>
                <w:szCs w:val="20"/>
                <w:lang w:eastAsia="en-US"/>
              </w:rPr>
              <w:t>0.1940%</w:t>
            </w:r>
          </w:p>
        </w:tc>
      </w:tr>
      <w:tr w:rsidR="00B0614F" w:rsidRPr="00131EED" w14:paraId="614E0AC1"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6CB5951B"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Guatavita</w:t>
            </w:r>
          </w:p>
        </w:tc>
        <w:tc>
          <w:tcPr>
            <w:tcW w:w="1701" w:type="dxa"/>
            <w:tcBorders>
              <w:top w:val="nil"/>
              <w:left w:val="nil"/>
              <w:bottom w:val="single" w:sz="4" w:space="0" w:color="auto"/>
              <w:right w:val="single" w:sz="4" w:space="0" w:color="auto"/>
            </w:tcBorders>
            <w:noWrap/>
            <w:vAlign w:val="center"/>
            <w:hideMark/>
          </w:tcPr>
          <w:p w14:paraId="0D2615DD" w14:textId="77777777" w:rsidR="00B0614F" w:rsidRPr="00131EED" w:rsidRDefault="00B0614F" w:rsidP="00B0614F">
            <w:pPr>
              <w:jc w:val="center"/>
              <w:rPr>
                <w:color w:val="000000"/>
                <w:sz w:val="20"/>
                <w:szCs w:val="20"/>
                <w:lang w:eastAsia="en-US"/>
              </w:rPr>
            </w:pPr>
            <w:r w:rsidRPr="00131EED">
              <w:rPr>
                <w:color w:val="000000"/>
                <w:sz w:val="20"/>
                <w:szCs w:val="20"/>
                <w:lang w:eastAsia="en-US"/>
              </w:rPr>
              <w:t>4.5009</w:t>
            </w:r>
          </w:p>
        </w:tc>
        <w:tc>
          <w:tcPr>
            <w:tcW w:w="1843" w:type="dxa"/>
            <w:tcBorders>
              <w:top w:val="nil"/>
              <w:left w:val="nil"/>
              <w:bottom w:val="single" w:sz="4" w:space="0" w:color="auto"/>
              <w:right w:val="single" w:sz="4" w:space="0" w:color="auto"/>
            </w:tcBorders>
            <w:noWrap/>
            <w:vAlign w:val="center"/>
            <w:hideMark/>
          </w:tcPr>
          <w:p w14:paraId="092165E0" w14:textId="77777777" w:rsidR="00B0614F" w:rsidRPr="00131EED" w:rsidRDefault="00B0614F" w:rsidP="00B0614F">
            <w:pPr>
              <w:jc w:val="center"/>
              <w:rPr>
                <w:color w:val="000000"/>
                <w:sz w:val="20"/>
                <w:szCs w:val="20"/>
                <w:lang w:eastAsia="en-US"/>
              </w:rPr>
            </w:pPr>
            <w:r w:rsidRPr="00131EED">
              <w:rPr>
                <w:color w:val="000000"/>
                <w:sz w:val="20"/>
                <w:szCs w:val="20"/>
                <w:lang w:eastAsia="en-US"/>
              </w:rPr>
              <w:t>0.0294%</w:t>
            </w:r>
          </w:p>
        </w:tc>
      </w:tr>
      <w:tr w:rsidR="00B0614F" w:rsidRPr="00131EED" w14:paraId="406F73A0"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09FF79CA"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La Calera</w:t>
            </w:r>
          </w:p>
        </w:tc>
        <w:tc>
          <w:tcPr>
            <w:tcW w:w="1701" w:type="dxa"/>
            <w:tcBorders>
              <w:top w:val="nil"/>
              <w:left w:val="nil"/>
              <w:bottom w:val="single" w:sz="4" w:space="0" w:color="auto"/>
              <w:right w:val="single" w:sz="4" w:space="0" w:color="auto"/>
            </w:tcBorders>
            <w:noWrap/>
            <w:vAlign w:val="center"/>
            <w:hideMark/>
          </w:tcPr>
          <w:p w14:paraId="28EFEE89" w14:textId="77777777" w:rsidR="00B0614F" w:rsidRPr="00131EED" w:rsidRDefault="00B0614F" w:rsidP="00B0614F">
            <w:pPr>
              <w:jc w:val="center"/>
              <w:rPr>
                <w:color w:val="000000"/>
                <w:sz w:val="20"/>
                <w:szCs w:val="20"/>
                <w:lang w:eastAsia="en-US"/>
              </w:rPr>
            </w:pPr>
            <w:r w:rsidRPr="00131EED">
              <w:rPr>
                <w:color w:val="000000"/>
                <w:sz w:val="20"/>
                <w:szCs w:val="20"/>
                <w:lang w:eastAsia="en-US"/>
              </w:rPr>
              <w:t>269.4597</w:t>
            </w:r>
          </w:p>
        </w:tc>
        <w:tc>
          <w:tcPr>
            <w:tcW w:w="1843" w:type="dxa"/>
            <w:tcBorders>
              <w:top w:val="nil"/>
              <w:left w:val="nil"/>
              <w:bottom w:val="single" w:sz="4" w:space="0" w:color="auto"/>
              <w:right w:val="single" w:sz="4" w:space="0" w:color="auto"/>
            </w:tcBorders>
            <w:noWrap/>
            <w:vAlign w:val="center"/>
            <w:hideMark/>
          </w:tcPr>
          <w:p w14:paraId="179EC16F" w14:textId="77777777" w:rsidR="00B0614F" w:rsidRPr="00131EED" w:rsidRDefault="00B0614F" w:rsidP="00B0614F">
            <w:pPr>
              <w:jc w:val="center"/>
              <w:rPr>
                <w:color w:val="000000"/>
                <w:sz w:val="20"/>
                <w:szCs w:val="20"/>
                <w:lang w:eastAsia="en-US"/>
              </w:rPr>
            </w:pPr>
            <w:r w:rsidRPr="00131EED">
              <w:rPr>
                <w:color w:val="000000"/>
                <w:sz w:val="20"/>
                <w:szCs w:val="20"/>
                <w:lang w:eastAsia="en-US"/>
              </w:rPr>
              <w:t>1.4329%</w:t>
            </w:r>
          </w:p>
        </w:tc>
      </w:tr>
      <w:tr w:rsidR="00B0614F" w:rsidRPr="00131EED" w14:paraId="538AC41F"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0EB392BA"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Madrid</w:t>
            </w:r>
          </w:p>
        </w:tc>
        <w:tc>
          <w:tcPr>
            <w:tcW w:w="1701" w:type="dxa"/>
            <w:tcBorders>
              <w:top w:val="nil"/>
              <w:left w:val="nil"/>
              <w:bottom w:val="single" w:sz="4" w:space="0" w:color="auto"/>
              <w:right w:val="single" w:sz="4" w:space="0" w:color="auto"/>
            </w:tcBorders>
            <w:noWrap/>
            <w:vAlign w:val="center"/>
            <w:hideMark/>
          </w:tcPr>
          <w:p w14:paraId="1A1095A1" w14:textId="77777777" w:rsidR="00B0614F" w:rsidRPr="00131EED" w:rsidRDefault="00B0614F" w:rsidP="00B0614F">
            <w:pPr>
              <w:jc w:val="center"/>
              <w:rPr>
                <w:color w:val="000000"/>
                <w:sz w:val="20"/>
                <w:szCs w:val="20"/>
                <w:lang w:eastAsia="en-US"/>
              </w:rPr>
            </w:pPr>
            <w:r w:rsidRPr="00131EED">
              <w:rPr>
                <w:color w:val="000000"/>
                <w:sz w:val="20"/>
                <w:szCs w:val="20"/>
                <w:lang w:eastAsia="en-US"/>
              </w:rPr>
              <w:t>71.2612</w:t>
            </w:r>
          </w:p>
        </w:tc>
        <w:tc>
          <w:tcPr>
            <w:tcW w:w="1843" w:type="dxa"/>
            <w:tcBorders>
              <w:top w:val="nil"/>
              <w:left w:val="nil"/>
              <w:bottom w:val="single" w:sz="4" w:space="0" w:color="auto"/>
              <w:right w:val="single" w:sz="4" w:space="0" w:color="auto"/>
            </w:tcBorders>
            <w:noWrap/>
            <w:vAlign w:val="center"/>
            <w:hideMark/>
          </w:tcPr>
          <w:p w14:paraId="094913D7" w14:textId="77777777" w:rsidR="00B0614F" w:rsidRPr="00131EED" w:rsidRDefault="00B0614F" w:rsidP="00B0614F">
            <w:pPr>
              <w:jc w:val="center"/>
              <w:rPr>
                <w:color w:val="000000"/>
                <w:sz w:val="20"/>
                <w:szCs w:val="20"/>
                <w:lang w:eastAsia="en-US"/>
              </w:rPr>
            </w:pPr>
            <w:r w:rsidRPr="00131EED">
              <w:rPr>
                <w:color w:val="000000"/>
                <w:sz w:val="20"/>
                <w:szCs w:val="20"/>
                <w:lang w:eastAsia="en-US"/>
              </w:rPr>
              <w:t>0.5966%</w:t>
            </w:r>
          </w:p>
        </w:tc>
      </w:tr>
      <w:tr w:rsidR="00B0614F" w:rsidRPr="00131EED" w14:paraId="4541CF20"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0D92A8C4"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Mosquera</w:t>
            </w:r>
          </w:p>
        </w:tc>
        <w:tc>
          <w:tcPr>
            <w:tcW w:w="1701" w:type="dxa"/>
            <w:tcBorders>
              <w:top w:val="nil"/>
              <w:left w:val="nil"/>
              <w:bottom w:val="single" w:sz="4" w:space="0" w:color="auto"/>
              <w:right w:val="single" w:sz="4" w:space="0" w:color="auto"/>
            </w:tcBorders>
            <w:noWrap/>
            <w:vAlign w:val="center"/>
            <w:hideMark/>
          </w:tcPr>
          <w:p w14:paraId="4E610FF7" w14:textId="77777777" w:rsidR="00B0614F" w:rsidRPr="00131EED" w:rsidRDefault="00B0614F" w:rsidP="00B0614F">
            <w:pPr>
              <w:jc w:val="center"/>
              <w:rPr>
                <w:color w:val="000000"/>
                <w:sz w:val="20"/>
                <w:szCs w:val="20"/>
                <w:lang w:eastAsia="en-US"/>
              </w:rPr>
            </w:pPr>
            <w:r w:rsidRPr="00131EED">
              <w:rPr>
                <w:color w:val="000000"/>
                <w:sz w:val="20"/>
                <w:szCs w:val="20"/>
                <w:lang w:eastAsia="en-US"/>
              </w:rPr>
              <w:t>316.7374</w:t>
            </w:r>
          </w:p>
        </w:tc>
        <w:tc>
          <w:tcPr>
            <w:tcW w:w="1843" w:type="dxa"/>
            <w:tcBorders>
              <w:top w:val="nil"/>
              <w:left w:val="nil"/>
              <w:bottom w:val="single" w:sz="4" w:space="0" w:color="auto"/>
              <w:right w:val="single" w:sz="4" w:space="0" w:color="auto"/>
            </w:tcBorders>
            <w:noWrap/>
            <w:vAlign w:val="center"/>
            <w:hideMark/>
          </w:tcPr>
          <w:p w14:paraId="7CAE495F" w14:textId="77777777" w:rsidR="00B0614F" w:rsidRPr="00131EED" w:rsidRDefault="00B0614F" w:rsidP="00B0614F">
            <w:pPr>
              <w:jc w:val="center"/>
              <w:rPr>
                <w:color w:val="000000"/>
                <w:sz w:val="20"/>
                <w:szCs w:val="20"/>
                <w:lang w:eastAsia="en-US"/>
              </w:rPr>
            </w:pPr>
            <w:r w:rsidRPr="00131EED">
              <w:rPr>
                <w:color w:val="000000"/>
                <w:sz w:val="20"/>
                <w:szCs w:val="20"/>
                <w:lang w:eastAsia="en-US"/>
              </w:rPr>
              <w:t>2.9878%</w:t>
            </w:r>
          </w:p>
        </w:tc>
      </w:tr>
      <w:tr w:rsidR="00B0614F" w:rsidRPr="00131EED" w14:paraId="03634DA3"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08B3E428"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Nemocón</w:t>
            </w:r>
          </w:p>
        </w:tc>
        <w:tc>
          <w:tcPr>
            <w:tcW w:w="1701" w:type="dxa"/>
            <w:tcBorders>
              <w:top w:val="nil"/>
              <w:left w:val="nil"/>
              <w:bottom w:val="single" w:sz="4" w:space="0" w:color="auto"/>
              <w:right w:val="single" w:sz="4" w:space="0" w:color="auto"/>
            </w:tcBorders>
            <w:noWrap/>
            <w:vAlign w:val="center"/>
            <w:hideMark/>
          </w:tcPr>
          <w:p w14:paraId="78448AB9" w14:textId="77777777" w:rsidR="00B0614F" w:rsidRPr="00131EED" w:rsidRDefault="00B0614F" w:rsidP="00B0614F">
            <w:pPr>
              <w:jc w:val="center"/>
              <w:rPr>
                <w:color w:val="000000"/>
                <w:sz w:val="20"/>
                <w:szCs w:val="20"/>
                <w:lang w:eastAsia="en-US"/>
              </w:rPr>
            </w:pPr>
            <w:r w:rsidRPr="00131EED">
              <w:rPr>
                <w:color w:val="000000"/>
                <w:sz w:val="20"/>
                <w:szCs w:val="20"/>
                <w:lang w:eastAsia="en-US"/>
              </w:rPr>
              <w:t>36.0997</w:t>
            </w:r>
          </w:p>
        </w:tc>
        <w:tc>
          <w:tcPr>
            <w:tcW w:w="1843" w:type="dxa"/>
            <w:tcBorders>
              <w:top w:val="nil"/>
              <w:left w:val="nil"/>
              <w:bottom w:val="single" w:sz="4" w:space="0" w:color="auto"/>
              <w:right w:val="single" w:sz="4" w:space="0" w:color="auto"/>
            </w:tcBorders>
            <w:noWrap/>
            <w:vAlign w:val="center"/>
            <w:hideMark/>
          </w:tcPr>
          <w:p w14:paraId="788AE43F" w14:textId="77777777" w:rsidR="00B0614F" w:rsidRPr="00131EED" w:rsidRDefault="00B0614F" w:rsidP="00B0614F">
            <w:pPr>
              <w:jc w:val="center"/>
              <w:rPr>
                <w:color w:val="000000"/>
                <w:sz w:val="20"/>
                <w:szCs w:val="20"/>
                <w:lang w:eastAsia="en-US"/>
              </w:rPr>
            </w:pPr>
            <w:r w:rsidRPr="00131EED">
              <w:rPr>
                <w:color w:val="000000"/>
                <w:sz w:val="20"/>
                <w:szCs w:val="20"/>
                <w:lang w:eastAsia="en-US"/>
              </w:rPr>
              <w:t>0.3675%</w:t>
            </w:r>
          </w:p>
        </w:tc>
      </w:tr>
      <w:tr w:rsidR="00B0614F" w:rsidRPr="00131EED" w14:paraId="22782FBF"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13A6065D"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Sesquilé</w:t>
            </w:r>
          </w:p>
        </w:tc>
        <w:tc>
          <w:tcPr>
            <w:tcW w:w="1701" w:type="dxa"/>
            <w:tcBorders>
              <w:top w:val="nil"/>
              <w:left w:val="nil"/>
              <w:bottom w:val="single" w:sz="4" w:space="0" w:color="auto"/>
              <w:right w:val="single" w:sz="4" w:space="0" w:color="auto"/>
            </w:tcBorders>
            <w:noWrap/>
            <w:vAlign w:val="center"/>
            <w:hideMark/>
          </w:tcPr>
          <w:p w14:paraId="634ECE56" w14:textId="77777777" w:rsidR="00B0614F" w:rsidRPr="00131EED" w:rsidRDefault="00B0614F" w:rsidP="00B0614F">
            <w:pPr>
              <w:jc w:val="center"/>
              <w:rPr>
                <w:color w:val="000000"/>
                <w:sz w:val="20"/>
                <w:szCs w:val="20"/>
                <w:lang w:eastAsia="en-US"/>
              </w:rPr>
            </w:pPr>
            <w:r w:rsidRPr="00131EED">
              <w:rPr>
                <w:color w:val="000000"/>
                <w:sz w:val="20"/>
                <w:szCs w:val="20"/>
                <w:lang w:eastAsia="en-US"/>
              </w:rPr>
              <w:t>7.4395</w:t>
            </w:r>
          </w:p>
        </w:tc>
        <w:tc>
          <w:tcPr>
            <w:tcW w:w="1843" w:type="dxa"/>
            <w:tcBorders>
              <w:top w:val="nil"/>
              <w:left w:val="nil"/>
              <w:bottom w:val="single" w:sz="4" w:space="0" w:color="auto"/>
              <w:right w:val="single" w:sz="4" w:space="0" w:color="auto"/>
            </w:tcBorders>
            <w:noWrap/>
            <w:vAlign w:val="center"/>
            <w:hideMark/>
          </w:tcPr>
          <w:p w14:paraId="614EAE0E" w14:textId="77777777" w:rsidR="00B0614F" w:rsidRPr="00131EED" w:rsidRDefault="00B0614F" w:rsidP="00B0614F">
            <w:pPr>
              <w:jc w:val="center"/>
              <w:rPr>
                <w:color w:val="000000"/>
                <w:sz w:val="20"/>
                <w:szCs w:val="20"/>
                <w:lang w:eastAsia="en-US"/>
              </w:rPr>
            </w:pPr>
            <w:r w:rsidRPr="00131EED">
              <w:rPr>
                <w:color w:val="000000"/>
                <w:sz w:val="20"/>
                <w:szCs w:val="20"/>
                <w:lang w:eastAsia="en-US"/>
              </w:rPr>
              <w:t>0.0528%</w:t>
            </w:r>
          </w:p>
        </w:tc>
      </w:tr>
      <w:tr w:rsidR="00B0614F" w:rsidRPr="00131EED" w14:paraId="4431A1D7"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77CC71FF"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Sibaté</w:t>
            </w:r>
          </w:p>
        </w:tc>
        <w:tc>
          <w:tcPr>
            <w:tcW w:w="1701" w:type="dxa"/>
            <w:tcBorders>
              <w:top w:val="nil"/>
              <w:left w:val="nil"/>
              <w:bottom w:val="single" w:sz="4" w:space="0" w:color="auto"/>
              <w:right w:val="single" w:sz="4" w:space="0" w:color="auto"/>
            </w:tcBorders>
            <w:noWrap/>
            <w:vAlign w:val="center"/>
            <w:hideMark/>
          </w:tcPr>
          <w:p w14:paraId="793E4C01" w14:textId="77777777" w:rsidR="00B0614F" w:rsidRPr="00131EED" w:rsidRDefault="00B0614F" w:rsidP="00B0614F">
            <w:pPr>
              <w:jc w:val="center"/>
              <w:rPr>
                <w:color w:val="000000"/>
                <w:sz w:val="20"/>
                <w:szCs w:val="20"/>
                <w:lang w:eastAsia="en-US"/>
              </w:rPr>
            </w:pPr>
            <w:r w:rsidRPr="00131EED">
              <w:rPr>
                <w:color w:val="000000"/>
                <w:sz w:val="20"/>
                <w:szCs w:val="20"/>
                <w:lang w:eastAsia="en-US"/>
              </w:rPr>
              <w:t>40.0415</w:t>
            </w:r>
          </w:p>
        </w:tc>
        <w:tc>
          <w:tcPr>
            <w:tcW w:w="1843" w:type="dxa"/>
            <w:tcBorders>
              <w:top w:val="nil"/>
              <w:left w:val="nil"/>
              <w:bottom w:val="single" w:sz="4" w:space="0" w:color="auto"/>
              <w:right w:val="single" w:sz="4" w:space="0" w:color="auto"/>
            </w:tcBorders>
            <w:noWrap/>
            <w:vAlign w:val="center"/>
            <w:hideMark/>
          </w:tcPr>
          <w:p w14:paraId="65F6B2AE" w14:textId="77777777" w:rsidR="00B0614F" w:rsidRPr="00131EED" w:rsidRDefault="00B0614F" w:rsidP="00B0614F">
            <w:pPr>
              <w:jc w:val="center"/>
              <w:rPr>
                <w:color w:val="000000"/>
                <w:sz w:val="20"/>
                <w:szCs w:val="20"/>
                <w:lang w:eastAsia="en-US"/>
              </w:rPr>
            </w:pPr>
            <w:r w:rsidRPr="00131EED">
              <w:rPr>
                <w:color w:val="000000"/>
                <w:sz w:val="20"/>
                <w:szCs w:val="20"/>
                <w:lang w:eastAsia="en-US"/>
              </w:rPr>
              <w:t>0.4232%</w:t>
            </w:r>
          </w:p>
        </w:tc>
      </w:tr>
      <w:tr w:rsidR="00B0614F" w:rsidRPr="00131EED" w14:paraId="1B300073"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3F1A8CC6"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Soacha</w:t>
            </w:r>
          </w:p>
        </w:tc>
        <w:tc>
          <w:tcPr>
            <w:tcW w:w="1701" w:type="dxa"/>
            <w:tcBorders>
              <w:top w:val="nil"/>
              <w:left w:val="nil"/>
              <w:bottom w:val="single" w:sz="4" w:space="0" w:color="auto"/>
              <w:right w:val="single" w:sz="4" w:space="0" w:color="auto"/>
            </w:tcBorders>
            <w:noWrap/>
            <w:vAlign w:val="center"/>
            <w:hideMark/>
          </w:tcPr>
          <w:p w14:paraId="78974F55" w14:textId="77777777" w:rsidR="00B0614F" w:rsidRPr="00131EED" w:rsidRDefault="00B0614F" w:rsidP="00B0614F">
            <w:pPr>
              <w:jc w:val="center"/>
              <w:rPr>
                <w:color w:val="000000"/>
                <w:sz w:val="20"/>
                <w:szCs w:val="20"/>
                <w:lang w:eastAsia="en-US"/>
              </w:rPr>
            </w:pPr>
            <w:r w:rsidRPr="00131EED">
              <w:rPr>
                <w:color w:val="000000"/>
                <w:sz w:val="20"/>
                <w:szCs w:val="20"/>
                <w:lang w:eastAsia="en-US"/>
              </w:rPr>
              <w:t>533.8752</w:t>
            </w:r>
          </w:p>
        </w:tc>
        <w:tc>
          <w:tcPr>
            <w:tcW w:w="1843" w:type="dxa"/>
            <w:tcBorders>
              <w:top w:val="nil"/>
              <w:left w:val="nil"/>
              <w:bottom w:val="single" w:sz="4" w:space="0" w:color="auto"/>
              <w:right w:val="single" w:sz="4" w:space="0" w:color="auto"/>
            </w:tcBorders>
            <w:noWrap/>
            <w:vAlign w:val="center"/>
            <w:hideMark/>
          </w:tcPr>
          <w:p w14:paraId="5FCB740D" w14:textId="77777777" w:rsidR="00B0614F" w:rsidRPr="00131EED" w:rsidRDefault="00B0614F" w:rsidP="00B0614F">
            <w:pPr>
              <w:jc w:val="center"/>
              <w:rPr>
                <w:color w:val="000000"/>
                <w:sz w:val="20"/>
                <w:szCs w:val="20"/>
                <w:lang w:eastAsia="en-US"/>
              </w:rPr>
            </w:pPr>
            <w:r w:rsidRPr="00131EED">
              <w:rPr>
                <w:color w:val="000000"/>
                <w:sz w:val="20"/>
                <w:szCs w:val="20"/>
                <w:lang w:eastAsia="en-US"/>
              </w:rPr>
              <w:t>3.0156%</w:t>
            </w:r>
          </w:p>
        </w:tc>
      </w:tr>
      <w:tr w:rsidR="00B0614F" w:rsidRPr="00131EED" w14:paraId="7373FE7C"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1B8DFA92"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Sopó</w:t>
            </w:r>
          </w:p>
        </w:tc>
        <w:tc>
          <w:tcPr>
            <w:tcW w:w="1701" w:type="dxa"/>
            <w:tcBorders>
              <w:top w:val="nil"/>
              <w:left w:val="nil"/>
              <w:bottom w:val="single" w:sz="4" w:space="0" w:color="auto"/>
              <w:right w:val="single" w:sz="4" w:space="0" w:color="auto"/>
            </w:tcBorders>
            <w:noWrap/>
            <w:vAlign w:val="center"/>
            <w:hideMark/>
          </w:tcPr>
          <w:p w14:paraId="30D26EC2" w14:textId="77777777" w:rsidR="00B0614F" w:rsidRPr="00131EED" w:rsidRDefault="00B0614F" w:rsidP="00B0614F">
            <w:pPr>
              <w:jc w:val="center"/>
              <w:rPr>
                <w:color w:val="000000"/>
                <w:sz w:val="20"/>
                <w:szCs w:val="20"/>
                <w:lang w:eastAsia="en-US"/>
              </w:rPr>
            </w:pPr>
            <w:r w:rsidRPr="00131EED">
              <w:rPr>
                <w:color w:val="000000"/>
                <w:sz w:val="20"/>
                <w:szCs w:val="20"/>
                <w:lang w:eastAsia="en-US"/>
              </w:rPr>
              <w:t>218.2076</w:t>
            </w:r>
          </w:p>
        </w:tc>
        <w:tc>
          <w:tcPr>
            <w:tcW w:w="1843" w:type="dxa"/>
            <w:tcBorders>
              <w:top w:val="nil"/>
              <w:left w:val="nil"/>
              <w:bottom w:val="single" w:sz="4" w:space="0" w:color="auto"/>
              <w:right w:val="single" w:sz="4" w:space="0" w:color="auto"/>
            </w:tcBorders>
            <w:noWrap/>
            <w:vAlign w:val="center"/>
            <w:hideMark/>
          </w:tcPr>
          <w:p w14:paraId="13EFD967" w14:textId="77777777" w:rsidR="00B0614F" w:rsidRPr="00131EED" w:rsidRDefault="00B0614F" w:rsidP="00B0614F">
            <w:pPr>
              <w:jc w:val="center"/>
              <w:rPr>
                <w:color w:val="000000"/>
                <w:sz w:val="20"/>
                <w:szCs w:val="20"/>
                <w:lang w:eastAsia="en-US"/>
              </w:rPr>
            </w:pPr>
            <w:r w:rsidRPr="00131EED">
              <w:rPr>
                <w:color w:val="000000"/>
                <w:sz w:val="20"/>
                <w:szCs w:val="20"/>
                <w:lang w:eastAsia="en-US"/>
              </w:rPr>
              <w:t>1.9678%</w:t>
            </w:r>
          </w:p>
        </w:tc>
      </w:tr>
      <w:tr w:rsidR="00B0614F" w:rsidRPr="00131EED" w14:paraId="15B5B010"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43F6D27C"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Subachoque</w:t>
            </w:r>
          </w:p>
        </w:tc>
        <w:tc>
          <w:tcPr>
            <w:tcW w:w="1701" w:type="dxa"/>
            <w:tcBorders>
              <w:top w:val="nil"/>
              <w:left w:val="nil"/>
              <w:bottom w:val="single" w:sz="4" w:space="0" w:color="auto"/>
              <w:right w:val="single" w:sz="4" w:space="0" w:color="auto"/>
            </w:tcBorders>
            <w:noWrap/>
            <w:vAlign w:val="center"/>
            <w:hideMark/>
          </w:tcPr>
          <w:p w14:paraId="6EF5A733" w14:textId="77777777" w:rsidR="00B0614F" w:rsidRPr="00131EED" w:rsidRDefault="00B0614F" w:rsidP="00B0614F">
            <w:pPr>
              <w:jc w:val="center"/>
              <w:rPr>
                <w:color w:val="000000"/>
                <w:sz w:val="20"/>
                <w:szCs w:val="20"/>
                <w:lang w:eastAsia="en-US"/>
              </w:rPr>
            </w:pPr>
            <w:r w:rsidRPr="00131EED">
              <w:rPr>
                <w:color w:val="000000"/>
                <w:sz w:val="20"/>
                <w:szCs w:val="20"/>
                <w:lang w:eastAsia="en-US"/>
              </w:rPr>
              <w:t>15.4595</w:t>
            </w:r>
          </w:p>
        </w:tc>
        <w:tc>
          <w:tcPr>
            <w:tcW w:w="1843" w:type="dxa"/>
            <w:tcBorders>
              <w:top w:val="nil"/>
              <w:left w:val="nil"/>
              <w:bottom w:val="single" w:sz="4" w:space="0" w:color="auto"/>
              <w:right w:val="single" w:sz="4" w:space="0" w:color="auto"/>
            </w:tcBorders>
            <w:noWrap/>
            <w:vAlign w:val="center"/>
            <w:hideMark/>
          </w:tcPr>
          <w:p w14:paraId="611C4CA8" w14:textId="77777777" w:rsidR="00B0614F" w:rsidRPr="00131EED" w:rsidRDefault="00B0614F" w:rsidP="00B0614F">
            <w:pPr>
              <w:jc w:val="center"/>
              <w:rPr>
                <w:color w:val="000000"/>
                <w:sz w:val="20"/>
                <w:szCs w:val="20"/>
                <w:lang w:eastAsia="en-US"/>
              </w:rPr>
            </w:pPr>
            <w:r w:rsidRPr="00131EED">
              <w:rPr>
                <w:color w:val="000000"/>
                <w:sz w:val="20"/>
                <w:szCs w:val="20"/>
                <w:lang w:eastAsia="en-US"/>
              </w:rPr>
              <w:t>0.0828%</w:t>
            </w:r>
          </w:p>
        </w:tc>
      </w:tr>
      <w:tr w:rsidR="00B0614F" w:rsidRPr="00131EED" w14:paraId="301CF092"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762FFFEB"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Suesca</w:t>
            </w:r>
          </w:p>
        </w:tc>
        <w:tc>
          <w:tcPr>
            <w:tcW w:w="1701" w:type="dxa"/>
            <w:tcBorders>
              <w:top w:val="nil"/>
              <w:left w:val="nil"/>
              <w:bottom w:val="single" w:sz="4" w:space="0" w:color="auto"/>
              <w:right w:val="single" w:sz="4" w:space="0" w:color="auto"/>
            </w:tcBorders>
            <w:noWrap/>
            <w:vAlign w:val="center"/>
            <w:hideMark/>
          </w:tcPr>
          <w:p w14:paraId="2A79DDB9" w14:textId="77777777" w:rsidR="00B0614F" w:rsidRPr="00131EED" w:rsidRDefault="00B0614F" w:rsidP="00B0614F">
            <w:pPr>
              <w:jc w:val="center"/>
              <w:rPr>
                <w:color w:val="000000"/>
                <w:sz w:val="20"/>
                <w:szCs w:val="20"/>
                <w:lang w:eastAsia="en-US"/>
              </w:rPr>
            </w:pPr>
            <w:r w:rsidRPr="00131EED">
              <w:rPr>
                <w:color w:val="000000"/>
                <w:sz w:val="20"/>
                <w:szCs w:val="20"/>
                <w:lang w:eastAsia="en-US"/>
              </w:rPr>
              <w:t>59.0028</w:t>
            </w:r>
          </w:p>
        </w:tc>
        <w:tc>
          <w:tcPr>
            <w:tcW w:w="1843" w:type="dxa"/>
            <w:tcBorders>
              <w:top w:val="nil"/>
              <w:left w:val="nil"/>
              <w:bottom w:val="single" w:sz="4" w:space="0" w:color="auto"/>
              <w:right w:val="single" w:sz="4" w:space="0" w:color="auto"/>
            </w:tcBorders>
            <w:noWrap/>
            <w:vAlign w:val="center"/>
            <w:hideMark/>
          </w:tcPr>
          <w:p w14:paraId="203BC5B8" w14:textId="77777777" w:rsidR="00B0614F" w:rsidRPr="00131EED" w:rsidRDefault="00B0614F" w:rsidP="00B0614F">
            <w:pPr>
              <w:jc w:val="center"/>
              <w:rPr>
                <w:color w:val="000000"/>
                <w:sz w:val="20"/>
                <w:szCs w:val="20"/>
                <w:lang w:eastAsia="en-US"/>
              </w:rPr>
            </w:pPr>
            <w:r w:rsidRPr="00131EED">
              <w:rPr>
                <w:color w:val="000000"/>
                <w:sz w:val="20"/>
                <w:szCs w:val="20"/>
                <w:lang w:eastAsia="en-US"/>
              </w:rPr>
              <w:t>0.5129%</w:t>
            </w:r>
          </w:p>
        </w:tc>
      </w:tr>
      <w:tr w:rsidR="00B0614F" w:rsidRPr="00131EED" w14:paraId="7F7D99FE"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6145EAE0"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Tabio</w:t>
            </w:r>
          </w:p>
        </w:tc>
        <w:tc>
          <w:tcPr>
            <w:tcW w:w="1701" w:type="dxa"/>
            <w:tcBorders>
              <w:top w:val="nil"/>
              <w:left w:val="nil"/>
              <w:bottom w:val="single" w:sz="4" w:space="0" w:color="auto"/>
              <w:right w:val="single" w:sz="4" w:space="0" w:color="auto"/>
            </w:tcBorders>
            <w:noWrap/>
            <w:vAlign w:val="center"/>
            <w:hideMark/>
          </w:tcPr>
          <w:p w14:paraId="52508B69" w14:textId="77777777" w:rsidR="00B0614F" w:rsidRPr="00131EED" w:rsidRDefault="00B0614F" w:rsidP="00B0614F">
            <w:pPr>
              <w:jc w:val="center"/>
              <w:rPr>
                <w:color w:val="000000"/>
                <w:sz w:val="20"/>
                <w:szCs w:val="20"/>
                <w:lang w:eastAsia="en-US"/>
              </w:rPr>
            </w:pPr>
            <w:r w:rsidRPr="00131EED">
              <w:rPr>
                <w:color w:val="000000"/>
                <w:sz w:val="20"/>
                <w:szCs w:val="20"/>
                <w:lang w:eastAsia="en-US"/>
              </w:rPr>
              <w:t>46.4546</w:t>
            </w:r>
          </w:p>
        </w:tc>
        <w:tc>
          <w:tcPr>
            <w:tcW w:w="1843" w:type="dxa"/>
            <w:tcBorders>
              <w:top w:val="nil"/>
              <w:left w:val="nil"/>
              <w:bottom w:val="single" w:sz="4" w:space="0" w:color="auto"/>
              <w:right w:val="single" w:sz="4" w:space="0" w:color="auto"/>
            </w:tcBorders>
            <w:noWrap/>
            <w:vAlign w:val="center"/>
            <w:hideMark/>
          </w:tcPr>
          <w:p w14:paraId="77011488" w14:textId="77777777" w:rsidR="00B0614F" w:rsidRPr="00131EED" w:rsidRDefault="00B0614F" w:rsidP="00B0614F">
            <w:pPr>
              <w:jc w:val="center"/>
              <w:rPr>
                <w:color w:val="000000"/>
                <w:sz w:val="20"/>
                <w:szCs w:val="20"/>
                <w:lang w:eastAsia="en-US"/>
              </w:rPr>
            </w:pPr>
            <w:r w:rsidRPr="00131EED">
              <w:rPr>
                <w:color w:val="000000"/>
                <w:sz w:val="20"/>
                <w:szCs w:val="20"/>
                <w:lang w:eastAsia="en-US"/>
              </w:rPr>
              <w:t>0.6183%</w:t>
            </w:r>
          </w:p>
        </w:tc>
      </w:tr>
      <w:tr w:rsidR="00B0614F" w:rsidRPr="00131EED" w14:paraId="4FEE4AC1"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10899764"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Tausa</w:t>
            </w:r>
          </w:p>
        </w:tc>
        <w:tc>
          <w:tcPr>
            <w:tcW w:w="1701" w:type="dxa"/>
            <w:tcBorders>
              <w:top w:val="nil"/>
              <w:left w:val="nil"/>
              <w:bottom w:val="single" w:sz="4" w:space="0" w:color="auto"/>
              <w:right w:val="single" w:sz="4" w:space="0" w:color="auto"/>
            </w:tcBorders>
            <w:noWrap/>
            <w:vAlign w:val="center"/>
            <w:hideMark/>
          </w:tcPr>
          <w:p w14:paraId="0981A362" w14:textId="77777777" w:rsidR="00B0614F" w:rsidRPr="00131EED" w:rsidRDefault="00B0614F" w:rsidP="00B0614F">
            <w:pPr>
              <w:jc w:val="center"/>
              <w:rPr>
                <w:color w:val="000000"/>
                <w:sz w:val="20"/>
                <w:szCs w:val="20"/>
                <w:lang w:eastAsia="en-US"/>
              </w:rPr>
            </w:pPr>
            <w:r w:rsidRPr="00131EED">
              <w:rPr>
                <w:color w:val="000000"/>
                <w:sz w:val="20"/>
                <w:szCs w:val="20"/>
                <w:lang w:eastAsia="en-US"/>
              </w:rPr>
              <w:t>7.9448</w:t>
            </w:r>
          </w:p>
        </w:tc>
        <w:tc>
          <w:tcPr>
            <w:tcW w:w="1843" w:type="dxa"/>
            <w:tcBorders>
              <w:top w:val="nil"/>
              <w:left w:val="nil"/>
              <w:bottom w:val="single" w:sz="4" w:space="0" w:color="auto"/>
              <w:right w:val="single" w:sz="4" w:space="0" w:color="auto"/>
            </w:tcBorders>
            <w:noWrap/>
            <w:vAlign w:val="center"/>
            <w:hideMark/>
          </w:tcPr>
          <w:p w14:paraId="4D65A817" w14:textId="77777777" w:rsidR="00B0614F" w:rsidRPr="00131EED" w:rsidRDefault="00B0614F" w:rsidP="00B0614F">
            <w:pPr>
              <w:jc w:val="center"/>
              <w:rPr>
                <w:color w:val="000000"/>
                <w:sz w:val="20"/>
                <w:szCs w:val="20"/>
                <w:lang w:eastAsia="en-US"/>
              </w:rPr>
            </w:pPr>
            <w:r w:rsidRPr="00131EED">
              <w:rPr>
                <w:color w:val="000000"/>
                <w:sz w:val="20"/>
                <w:szCs w:val="20"/>
                <w:lang w:eastAsia="en-US"/>
              </w:rPr>
              <w:t>0.0572%</w:t>
            </w:r>
          </w:p>
        </w:tc>
      </w:tr>
      <w:tr w:rsidR="00B0614F" w:rsidRPr="00131EED" w14:paraId="51DD2906"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03B6A423"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Tenjo</w:t>
            </w:r>
          </w:p>
        </w:tc>
        <w:tc>
          <w:tcPr>
            <w:tcW w:w="1701" w:type="dxa"/>
            <w:tcBorders>
              <w:top w:val="nil"/>
              <w:left w:val="nil"/>
              <w:bottom w:val="single" w:sz="4" w:space="0" w:color="auto"/>
              <w:right w:val="single" w:sz="4" w:space="0" w:color="auto"/>
            </w:tcBorders>
            <w:noWrap/>
            <w:vAlign w:val="center"/>
            <w:hideMark/>
          </w:tcPr>
          <w:p w14:paraId="10C373E9" w14:textId="77777777" w:rsidR="00B0614F" w:rsidRPr="00131EED" w:rsidRDefault="00B0614F" w:rsidP="00B0614F">
            <w:pPr>
              <w:jc w:val="center"/>
              <w:rPr>
                <w:color w:val="000000"/>
                <w:sz w:val="20"/>
                <w:szCs w:val="20"/>
                <w:lang w:eastAsia="en-US"/>
              </w:rPr>
            </w:pPr>
            <w:r w:rsidRPr="00131EED">
              <w:rPr>
                <w:color w:val="000000"/>
                <w:sz w:val="20"/>
                <w:szCs w:val="20"/>
                <w:lang w:eastAsia="en-US"/>
              </w:rPr>
              <w:t>12.9264</w:t>
            </w:r>
          </w:p>
        </w:tc>
        <w:tc>
          <w:tcPr>
            <w:tcW w:w="1843" w:type="dxa"/>
            <w:tcBorders>
              <w:top w:val="nil"/>
              <w:left w:val="nil"/>
              <w:bottom w:val="single" w:sz="4" w:space="0" w:color="auto"/>
              <w:right w:val="single" w:sz="4" w:space="0" w:color="auto"/>
            </w:tcBorders>
            <w:noWrap/>
            <w:vAlign w:val="center"/>
            <w:hideMark/>
          </w:tcPr>
          <w:p w14:paraId="35427707" w14:textId="77777777" w:rsidR="00B0614F" w:rsidRPr="00131EED" w:rsidRDefault="00B0614F" w:rsidP="00B0614F">
            <w:pPr>
              <w:jc w:val="center"/>
              <w:rPr>
                <w:color w:val="000000"/>
                <w:sz w:val="20"/>
                <w:szCs w:val="20"/>
                <w:lang w:eastAsia="en-US"/>
              </w:rPr>
            </w:pPr>
            <w:r w:rsidRPr="00131EED">
              <w:rPr>
                <w:color w:val="000000"/>
                <w:sz w:val="20"/>
                <w:szCs w:val="20"/>
                <w:lang w:eastAsia="en-US"/>
              </w:rPr>
              <w:t>0.1134%</w:t>
            </w:r>
          </w:p>
        </w:tc>
      </w:tr>
      <w:tr w:rsidR="00B0614F" w:rsidRPr="00131EED" w14:paraId="1FA0CD58"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2C7BB115"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Tocancipá</w:t>
            </w:r>
          </w:p>
        </w:tc>
        <w:tc>
          <w:tcPr>
            <w:tcW w:w="1701" w:type="dxa"/>
            <w:tcBorders>
              <w:top w:val="nil"/>
              <w:left w:val="nil"/>
              <w:bottom w:val="single" w:sz="4" w:space="0" w:color="auto"/>
              <w:right w:val="single" w:sz="4" w:space="0" w:color="auto"/>
            </w:tcBorders>
            <w:noWrap/>
            <w:vAlign w:val="center"/>
            <w:hideMark/>
          </w:tcPr>
          <w:p w14:paraId="20454DAB" w14:textId="77777777" w:rsidR="00B0614F" w:rsidRPr="00131EED" w:rsidRDefault="00B0614F" w:rsidP="00B0614F">
            <w:pPr>
              <w:jc w:val="center"/>
              <w:rPr>
                <w:color w:val="000000"/>
                <w:sz w:val="20"/>
                <w:szCs w:val="20"/>
                <w:lang w:eastAsia="en-US"/>
              </w:rPr>
            </w:pPr>
            <w:r w:rsidRPr="00131EED">
              <w:rPr>
                <w:color w:val="000000"/>
                <w:sz w:val="20"/>
                <w:szCs w:val="20"/>
                <w:lang w:eastAsia="en-US"/>
              </w:rPr>
              <w:t>141.3979</w:t>
            </w:r>
          </w:p>
        </w:tc>
        <w:tc>
          <w:tcPr>
            <w:tcW w:w="1843" w:type="dxa"/>
            <w:tcBorders>
              <w:top w:val="nil"/>
              <w:left w:val="nil"/>
              <w:bottom w:val="single" w:sz="4" w:space="0" w:color="auto"/>
              <w:right w:val="single" w:sz="4" w:space="0" w:color="auto"/>
            </w:tcBorders>
            <w:noWrap/>
            <w:vAlign w:val="center"/>
            <w:hideMark/>
          </w:tcPr>
          <w:p w14:paraId="1DC16733" w14:textId="77777777" w:rsidR="00B0614F" w:rsidRPr="00131EED" w:rsidRDefault="00B0614F" w:rsidP="00B0614F">
            <w:pPr>
              <w:jc w:val="center"/>
              <w:rPr>
                <w:color w:val="000000"/>
                <w:sz w:val="20"/>
                <w:szCs w:val="20"/>
                <w:lang w:eastAsia="en-US"/>
              </w:rPr>
            </w:pPr>
            <w:r w:rsidRPr="00131EED">
              <w:rPr>
                <w:color w:val="000000"/>
                <w:sz w:val="20"/>
                <w:szCs w:val="20"/>
                <w:lang w:eastAsia="en-US"/>
              </w:rPr>
              <w:t>1.9330%</w:t>
            </w:r>
          </w:p>
        </w:tc>
      </w:tr>
      <w:tr w:rsidR="00B0614F" w:rsidRPr="00131EED" w14:paraId="2C5FE24F"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76F27D2F"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Villapinzon</w:t>
            </w:r>
          </w:p>
        </w:tc>
        <w:tc>
          <w:tcPr>
            <w:tcW w:w="1701" w:type="dxa"/>
            <w:tcBorders>
              <w:top w:val="nil"/>
              <w:left w:val="nil"/>
              <w:bottom w:val="single" w:sz="4" w:space="0" w:color="auto"/>
              <w:right w:val="single" w:sz="4" w:space="0" w:color="auto"/>
            </w:tcBorders>
            <w:noWrap/>
            <w:vAlign w:val="center"/>
            <w:hideMark/>
          </w:tcPr>
          <w:p w14:paraId="4FB97A92" w14:textId="77777777" w:rsidR="00B0614F" w:rsidRPr="00131EED" w:rsidRDefault="00B0614F" w:rsidP="00B0614F">
            <w:pPr>
              <w:jc w:val="center"/>
              <w:rPr>
                <w:color w:val="000000"/>
                <w:sz w:val="20"/>
                <w:szCs w:val="20"/>
                <w:lang w:eastAsia="en-US"/>
              </w:rPr>
            </w:pPr>
            <w:r w:rsidRPr="00131EED">
              <w:rPr>
                <w:color w:val="000000"/>
                <w:sz w:val="20"/>
                <w:szCs w:val="20"/>
                <w:lang w:eastAsia="en-US"/>
              </w:rPr>
              <w:t>49.1836</w:t>
            </w:r>
          </w:p>
        </w:tc>
        <w:tc>
          <w:tcPr>
            <w:tcW w:w="1843" w:type="dxa"/>
            <w:tcBorders>
              <w:top w:val="nil"/>
              <w:left w:val="nil"/>
              <w:bottom w:val="single" w:sz="4" w:space="0" w:color="auto"/>
              <w:right w:val="single" w:sz="4" w:space="0" w:color="auto"/>
            </w:tcBorders>
            <w:noWrap/>
            <w:vAlign w:val="center"/>
            <w:hideMark/>
          </w:tcPr>
          <w:p w14:paraId="19A00EAE" w14:textId="77777777" w:rsidR="00B0614F" w:rsidRPr="00131EED" w:rsidRDefault="00B0614F" w:rsidP="00B0614F">
            <w:pPr>
              <w:jc w:val="center"/>
              <w:rPr>
                <w:color w:val="000000"/>
                <w:sz w:val="20"/>
                <w:szCs w:val="20"/>
                <w:lang w:eastAsia="en-US"/>
              </w:rPr>
            </w:pPr>
            <w:r w:rsidRPr="00131EED">
              <w:rPr>
                <w:color w:val="000000"/>
                <w:sz w:val="20"/>
                <w:szCs w:val="20"/>
                <w:lang w:eastAsia="en-US"/>
              </w:rPr>
              <w:t>0.3909%</w:t>
            </w:r>
          </w:p>
        </w:tc>
      </w:tr>
      <w:tr w:rsidR="00B0614F" w:rsidRPr="00131EED" w14:paraId="4B81630F"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7579B3E8" w14:textId="77777777" w:rsidR="00B0614F" w:rsidRPr="00131EED" w:rsidRDefault="00B0614F" w:rsidP="00D65CF0">
            <w:pPr>
              <w:jc w:val="left"/>
              <w:rPr>
                <w:b/>
                <w:color w:val="000000"/>
                <w:sz w:val="20"/>
                <w:szCs w:val="20"/>
                <w:lang w:eastAsia="en-US"/>
              </w:rPr>
            </w:pPr>
            <w:r w:rsidRPr="00131EED">
              <w:rPr>
                <w:b/>
                <w:color w:val="000000"/>
                <w:sz w:val="20"/>
                <w:szCs w:val="20"/>
                <w:lang w:eastAsia="en-US"/>
              </w:rPr>
              <w:t>Zipaquirá</w:t>
            </w:r>
          </w:p>
        </w:tc>
        <w:tc>
          <w:tcPr>
            <w:tcW w:w="1701" w:type="dxa"/>
            <w:tcBorders>
              <w:top w:val="nil"/>
              <w:left w:val="nil"/>
              <w:bottom w:val="single" w:sz="4" w:space="0" w:color="auto"/>
              <w:right w:val="single" w:sz="4" w:space="0" w:color="auto"/>
            </w:tcBorders>
            <w:noWrap/>
            <w:vAlign w:val="center"/>
            <w:hideMark/>
          </w:tcPr>
          <w:p w14:paraId="58F7C8DC" w14:textId="77777777" w:rsidR="00B0614F" w:rsidRPr="00131EED" w:rsidRDefault="00B0614F" w:rsidP="00B0614F">
            <w:pPr>
              <w:jc w:val="center"/>
              <w:rPr>
                <w:color w:val="000000"/>
                <w:sz w:val="20"/>
                <w:szCs w:val="20"/>
                <w:lang w:eastAsia="en-US"/>
              </w:rPr>
            </w:pPr>
            <w:r w:rsidRPr="00131EED">
              <w:rPr>
                <w:color w:val="000000"/>
                <w:sz w:val="20"/>
                <w:szCs w:val="20"/>
                <w:lang w:eastAsia="en-US"/>
              </w:rPr>
              <w:t>116.1952</w:t>
            </w:r>
          </w:p>
        </w:tc>
        <w:tc>
          <w:tcPr>
            <w:tcW w:w="1843" w:type="dxa"/>
            <w:tcBorders>
              <w:top w:val="nil"/>
              <w:left w:val="nil"/>
              <w:bottom w:val="single" w:sz="4" w:space="0" w:color="auto"/>
              <w:right w:val="single" w:sz="4" w:space="0" w:color="auto"/>
            </w:tcBorders>
            <w:noWrap/>
            <w:vAlign w:val="center"/>
            <w:hideMark/>
          </w:tcPr>
          <w:p w14:paraId="34E18A3F" w14:textId="77777777" w:rsidR="00B0614F" w:rsidRPr="00131EED" w:rsidRDefault="00B0614F" w:rsidP="00B0614F">
            <w:pPr>
              <w:jc w:val="center"/>
              <w:rPr>
                <w:color w:val="000000"/>
                <w:sz w:val="20"/>
                <w:szCs w:val="20"/>
                <w:lang w:eastAsia="en-US"/>
              </w:rPr>
            </w:pPr>
            <w:r w:rsidRPr="00131EED">
              <w:rPr>
                <w:color w:val="000000"/>
                <w:sz w:val="20"/>
                <w:szCs w:val="20"/>
                <w:lang w:eastAsia="en-US"/>
              </w:rPr>
              <w:t>0.6408%</w:t>
            </w:r>
          </w:p>
        </w:tc>
      </w:tr>
      <w:tr w:rsidR="00B0614F" w:rsidRPr="00131EED" w14:paraId="187F4114" w14:textId="77777777" w:rsidTr="00D65CF0">
        <w:trPr>
          <w:trHeight w:val="288"/>
          <w:jc w:val="center"/>
        </w:trPr>
        <w:tc>
          <w:tcPr>
            <w:tcW w:w="2405" w:type="dxa"/>
            <w:tcBorders>
              <w:top w:val="nil"/>
              <w:left w:val="single" w:sz="4" w:space="0" w:color="auto"/>
              <w:bottom w:val="single" w:sz="4" w:space="0" w:color="auto"/>
              <w:right w:val="single" w:sz="4" w:space="0" w:color="auto"/>
            </w:tcBorders>
            <w:noWrap/>
            <w:vAlign w:val="center"/>
            <w:hideMark/>
          </w:tcPr>
          <w:p w14:paraId="3DC21DED" w14:textId="77777777" w:rsidR="00B0614F" w:rsidRPr="00131EED" w:rsidRDefault="00B0614F" w:rsidP="00D65CF0">
            <w:pPr>
              <w:jc w:val="right"/>
              <w:rPr>
                <w:color w:val="000000"/>
                <w:sz w:val="20"/>
                <w:szCs w:val="20"/>
                <w:lang w:eastAsia="en-US"/>
              </w:rPr>
            </w:pPr>
            <w:r w:rsidRPr="00131EED">
              <w:rPr>
                <w:b/>
                <w:color w:val="000000"/>
                <w:sz w:val="20"/>
                <w:szCs w:val="20"/>
                <w:lang w:eastAsia="en-US"/>
              </w:rPr>
              <w:t>Total</w:t>
            </w:r>
          </w:p>
        </w:tc>
        <w:tc>
          <w:tcPr>
            <w:tcW w:w="3544" w:type="dxa"/>
            <w:gridSpan w:val="2"/>
            <w:tcBorders>
              <w:top w:val="single" w:sz="4" w:space="0" w:color="auto"/>
              <w:left w:val="nil"/>
              <w:bottom w:val="single" w:sz="4" w:space="0" w:color="auto"/>
              <w:right w:val="single" w:sz="4" w:space="0" w:color="auto"/>
            </w:tcBorders>
            <w:noWrap/>
            <w:vAlign w:val="center"/>
            <w:hideMark/>
          </w:tcPr>
          <w:p w14:paraId="5B02E104" w14:textId="77777777" w:rsidR="00B0614F" w:rsidRPr="00131EED" w:rsidRDefault="00B0614F" w:rsidP="00D65CF0">
            <w:pPr>
              <w:jc w:val="right"/>
              <w:rPr>
                <w:color w:val="000000"/>
                <w:sz w:val="20"/>
                <w:szCs w:val="20"/>
                <w:lang w:eastAsia="en-US"/>
              </w:rPr>
            </w:pPr>
            <w:r w:rsidRPr="00131EED">
              <w:rPr>
                <w:color w:val="000000"/>
                <w:sz w:val="20"/>
                <w:szCs w:val="20"/>
                <w:lang w:eastAsia="en-US"/>
              </w:rPr>
              <w:t>6625.596261</w:t>
            </w:r>
          </w:p>
        </w:tc>
      </w:tr>
    </w:tbl>
    <w:p w14:paraId="0174964F" w14:textId="77777777" w:rsidR="00286E89" w:rsidRPr="00131EED" w:rsidRDefault="00286E89" w:rsidP="00286E89">
      <w:pPr>
        <w:jc w:val="center"/>
        <w:rPr>
          <w:sz w:val="20"/>
          <w:szCs w:val="20"/>
        </w:rPr>
      </w:pPr>
      <w:r w:rsidRPr="00131EED">
        <w:rPr>
          <w:sz w:val="20"/>
          <w:szCs w:val="20"/>
        </w:rPr>
        <w:t>Fuente: MinAmbiente (2025)</w:t>
      </w:r>
    </w:p>
    <w:p w14:paraId="60F2ACCE" w14:textId="77777777" w:rsidR="00401469" w:rsidRPr="00131EED" w:rsidRDefault="00401469" w:rsidP="00565CA7">
      <w:pPr>
        <w:rPr>
          <w:rFonts w:cs="Arial"/>
        </w:rPr>
      </w:pPr>
    </w:p>
    <w:p w14:paraId="1AAAA897" w14:textId="17B12AD2" w:rsidR="00AD315B" w:rsidRPr="00131EED" w:rsidRDefault="00AD315B" w:rsidP="00565CA7">
      <w:pPr>
        <w:rPr>
          <w:rFonts w:cs="Arial"/>
        </w:rPr>
      </w:pPr>
      <w:r w:rsidRPr="00131EED">
        <w:rPr>
          <w:rFonts w:cs="Arial"/>
        </w:rPr>
        <w:t>De acuerdo con lo anterior, se durante el periodo de 2018 a 2002 hubo un incremento de 14.167 ha + 8910 m</w:t>
      </w:r>
      <w:r w:rsidRPr="00131EED">
        <w:rPr>
          <w:rFonts w:cs="Arial"/>
          <w:vertAlign w:val="superscript"/>
        </w:rPr>
        <w:t>2</w:t>
      </w:r>
      <w:r w:rsidRPr="00131EED">
        <w:rPr>
          <w:rFonts w:cs="Arial"/>
        </w:rPr>
        <w:t xml:space="preserve"> de áreas artificializadas en suelos de clase II, III</w:t>
      </w:r>
      <w:r w:rsidR="007856D9" w:rsidRPr="00131EED">
        <w:rPr>
          <w:rFonts w:cs="Arial"/>
        </w:rPr>
        <w:t xml:space="preserve"> y</w:t>
      </w:r>
      <w:r w:rsidRPr="00131EED">
        <w:rPr>
          <w:rFonts w:cs="Arial"/>
        </w:rPr>
        <w:t xml:space="preserve"> IV al interior del ámbito de aplicación de la propuesta de resolución de directrices de ordenamiento ambiental de la Sabana de Bogotá. Entre los entes territoriales con mayor incremento se encuentran</w:t>
      </w:r>
      <w:r w:rsidR="00577807" w:rsidRPr="00131EED">
        <w:rPr>
          <w:rFonts w:cs="Arial"/>
        </w:rPr>
        <w:t xml:space="preserve"> Bogotá, Chía y Cota.</w:t>
      </w:r>
    </w:p>
    <w:p w14:paraId="5042D488" w14:textId="24C2A83F" w:rsidR="003A3BE0" w:rsidRPr="00131EED" w:rsidRDefault="003A3BE0" w:rsidP="003A3BE0">
      <w:pPr>
        <w:pStyle w:val="Caption"/>
        <w:keepNext/>
        <w:jc w:val="center"/>
      </w:pPr>
      <w:bookmarkStart w:id="364" w:name="_Toc216468980"/>
      <w:r w:rsidRPr="00131EED">
        <w:t xml:space="preserve">Tabla </w:t>
      </w:r>
      <w:fldSimple w:instr=" SEQ Tabla \* ARABIC ">
        <w:r w:rsidR="00CE096F">
          <w:rPr>
            <w:noProof/>
          </w:rPr>
          <w:t>70</w:t>
        </w:r>
      </w:fldSimple>
      <w:r w:rsidRPr="00131EED">
        <w:t>. Crecimiento entre 2018 - 2002 de áreas artificializadas en suelos de clase II, III</w:t>
      </w:r>
      <w:r w:rsidR="007856D9" w:rsidRPr="00131EED">
        <w:t xml:space="preserve"> y</w:t>
      </w:r>
      <w:r w:rsidRPr="00131EED">
        <w:t xml:space="preserve"> IV.</w:t>
      </w:r>
      <w:bookmarkEnd w:id="364"/>
    </w:p>
    <w:tbl>
      <w:tblPr>
        <w:tblW w:w="5953" w:type="dxa"/>
        <w:tblInd w:w="1413" w:type="dxa"/>
        <w:tblLook w:val="04A0" w:firstRow="1" w:lastRow="0" w:firstColumn="1" w:lastColumn="0" w:noHBand="0" w:noVBand="1"/>
      </w:tblPr>
      <w:tblGrid>
        <w:gridCol w:w="2410"/>
        <w:gridCol w:w="1701"/>
        <w:gridCol w:w="1842"/>
      </w:tblGrid>
      <w:tr w:rsidR="00AD315B" w:rsidRPr="00131EED" w14:paraId="05DB4676" w14:textId="77777777" w:rsidTr="0051300C">
        <w:trPr>
          <w:trHeight w:val="288"/>
          <w:tblHeader/>
        </w:trPr>
        <w:tc>
          <w:tcPr>
            <w:tcW w:w="5953" w:type="dxa"/>
            <w:gridSpan w:val="3"/>
            <w:tcBorders>
              <w:top w:val="single" w:sz="4" w:space="0" w:color="auto"/>
              <w:left w:val="single" w:sz="4" w:space="0" w:color="auto"/>
              <w:bottom w:val="single" w:sz="4" w:space="0" w:color="auto"/>
              <w:right w:val="single" w:sz="4" w:space="0" w:color="auto"/>
            </w:tcBorders>
            <w:noWrap/>
            <w:vAlign w:val="center"/>
            <w:hideMark/>
          </w:tcPr>
          <w:p w14:paraId="55ADC13E" w14:textId="4D608745" w:rsidR="00AD315B" w:rsidRPr="00131EED" w:rsidRDefault="00AD315B" w:rsidP="00AD315B">
            <w:pPr>
              <w:jc w:val="center"/>
              <w:rPr>
                <w:b/>
                <w:color w:val="000000"/>
                <w:sz w:val="20"/>
                <w:szCs w:val="20"/>
                <w:lang w:eastAsia="en-US"/>
              </w:rPr>
            </w:pPr>
            <w:r w:rsidRPr="00131EED">
              <w:rPr>
                <w:b/>
                <w:color w:val="000000"/>
                <w:sz w:val="20"/>
                <w:szCs w:val="20"/>
                <w:lang w:eastAsia="en-US"/>
              </w:rPr>
              <w:t>Crecimiento entre 2018 - 2002 de áreas artificializadas en suelos de clase II, III</w:t>
            </w:r>
            <w:r w:rsidR="007856D9" w:rsidRPr="00131EED">
              <w:rPr>
                <w:b/>
                <w:color w:val="000000"/>
                <w:sz w:val="20"/>
                <w:szCs w:val="20"/>
                <w:lang w:eastAsia="en-US"/>
              </w:rPr>
              <w:t xml:space="preserve"> y</w:t>
            </w:r>
            <w:r w:rsidRPr="00131EED">
              <w:rPr>
                <w:b/>
                <w:color w:val="000000"/>
                <w:sz w:val="20"/>
                <w:szCs w:val="20"/>
                <w:lang w:eastAsia="en-US"/>
              </w:rPr>
              <w:t xml:space="preserve"> IV</w:t>
            </w:r>
          </w:p>
        </w:tc>
      </w:tr>
      <w:tr w:rsidR="00AD315B" w:rsidRPr="00131EED" w14:paraId="747A4BB6" w14:textId="77777777" w:rsidTr="0051300C">
        <w:trPr>
          <w:trHeight w:val="288"/>
          <w:tblHeader/>
        </w:trPr>
        <w:tc>
          <w:tcPr>
            <w:tcW w:w="2410" w:type="dxa"/>
            <w:tcBorders>
              <w:top w:val="nil"/>
              <w:left w:val="single" w:sz="4" w:space="0" w:color="auto"/>
              <w:bottom w:val="single" w:sz="4" w:space="0" w:color="auto"/>
              <w:right w:val="single" w:sz="4" w:space="0" w:color="auto"/>
            </w:tcBorders>
            <w:noWrap/>
            <w:vAlign w:val="center"/>
            <w:hideMark/>
          </w:tcPr>
          <w:p w14:paraId="482AD5AA" w14:textId="77777777" w:rsidR="00AD315B" w:rsidRPr="00131EED" w:rsidRDefault="00AD315B" w:rsidP="00AD315B">
            <w:pPr>
              <w:jc w:val="center"/>
              <w:rPr>
                <w:b/>
                <w:color w:val="000000"/>
                <w:sz w:val="20"/>
                <w:szCs w:val="20"/>
                <w:lang w:eastAsia="en-US"/>
              </w:rPr>
            </w:pPr>
            <w:r w:rsidRPr="00131EED">
              <w:rPr>
                <w:b/>
                <w:color w:val="000000"/>
                <w:sz w:val="20"/>
                <w:szCs w:val="20"/>
                <w:lang w:eastAsia="en-US"/>
              </w:rPr>
              <w:t>Municipio</w:t>
            </w:r>
          </w:p>
        </w:tc>
        <w:tc>
          <w:tcPr>
            <w:tcW w:w="1701" w:type="dxa"/>
            <w:tcBorders>
              <w:top w:val="nil"/>
              <w:left w:val="nil"/>
              <w:bottom w:val="single" w:sz="4" w:space="0" w:color="auto"/>
              <w:right w:val="single" w:sz="4" w:space="0" w:color="auto"/>
            </w:tcBorders>
            <w:noWrap/>
            <w:vAlign w:val="center"/>
            <w:hideMark/>
          </w:tcPr>
          <w:p w14:paraId="2E53A876" w14:textId="77777777" w:rsidR="00AD315B" w:rsidRPr="00131EED" w:rsidRDefault="00AD315B" w:rsidP="00AD315B">
            <w:pPr>
              <w:jc w:val="center"/>
              <w:rPr>
                <w:b/>
                <w:color w:val="000000"/>
                <w:sz w:val="20"/>
                <w:szCs w:val="20"/>
                <w:lang w:eastAsia="en-US"/>
              </w:rPr>
            </w:pPr>
            <w:r w:rsidRPr="00131EED">
              <w:rPr>
                <w:b/>
                <w:color w:val="000000"/>
                <w:sz w:val="20"/>
                <w:szCs w:val="20"/>
                <w:lang w:eastAsia="en-US"/>
              </w:rPr>
              <w:t>Crecimiento de Área Artificializada (ha)</w:t>
            </w:r>
          </w:p>
        </w:tc>
        <w:tc>
          <w:tcPr>
            <w:tcW w:w="1842" w:type="dxa"/>
            <w:tcBorders>
              <w:top w:val="nil"/>
              <w:left w:val="nil"/>
              <w:bottom w:val="single" w:sz="4" w:space="0" w:color="auto"/>
              <w:right w:val="single" w:sz="4" w:space="0" w:color="auto"/>
            </w:tcBorders>
            <w:noWrap/>
            <w:vAlign w:val="center"/>
            <w:hideMark/>
          </w:tcPr>
          <w:p w14:paraId="5A727834" w14:textId="77777777" w:rsidR="00AD315B" w:rsidRPr="00131EED" w:rsidRDefault="00AD315B" w:rsidP="00AD315B">
            <w:pPr>
              <w:jc w:val="center"/>
              <w:rPr>
                <w:b/>
                <w:color w:val="000000"/>
                <w:sz w:val="20"/>
                <w:szCs w:val="20"/>
                <w:lang w:eastAsia="en-US"/>
              </w:rPr>
            </w:pPr>
            <w:r w:rsidRPr="00131EED">
              <w:rPr>
                <w:b/>
                <w:color w:val="000000"/>
                <w:sz w:val="20"/>
                <w:szCs w:val="20"/>
                <w:lang w:eastAsia="en-US"/>
              </w:rPr>
              <w:t>Porcentaje artificializado del municipio dentro del ámbito</w:t>
            </w:r>
          </w:p>
        </w:tc>
      </w:tr>
      <w:tr w:rsidR="00AD315B" w:rsidRPr="00131EED" w14:paraId="6DA435F2"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12B789BE"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Bogotá D.C.</w:t>
            </w:r>
          </w:p>
        </w:tc>
        <w:tc>
          <w:tcPr>
            <w:tcW w:w="1701" w:type="dxa"/>
            <w:tcBorders>
              <w:top w:val="nil"/>
              <w:left w:val="nil"/>
              <w:bottom w:val="single" w:sz="4" w:space="0" w:color="auto"/>
              <w:right w:val="single" w:sz="4" w:space="0" w:color="auto"/>
            </w:tcBorders>
            <w:noWrap/>
            <w:vAlign w:val="center"/>
            <w:hideMark/>
          </w:tcPr>
          <w:p w14:paraId="262C04FC" w14:textId="77777777" w:rsidR="00AD315B" w:rsidRPr="00131EED" w:rsidRDefault="00AD315B" w:rsidP="00AD315B">
            <w:pPr>
              <w:jc w:val="center"/>
              <w:rPr>
                <w:color w:val="000000"/>
                <w:sz w:val="20"/>
                <w:szCs w:val="20"/>
                <w:lang w:eastAsia="en-US"/>
              </w:rPr>
            </w:pPr>
            <w:r w:rsidRPr="00131EED">
              <w:rPr>
                <w:color w:val="000000"/>
                <w:sz w:val="20"/>
                <w:szCs w:val="20"/>
                <w:lang w:eastAsia="en-US"/>
              </w:rPr>
              <w:t>3942.5209</w:t>
            </w:r>
          </w:p>
        </w:tc>
        <w:tc>
          <w:tcPr>
            <w:tcW w:w="1842" w:type="dxa"/>
            <w:tcBorders>
              <w:top w:val="nil"/>
              <w:left w:val="nil"/>
              <w:bottom w:val="single" w:sz="4" w:space="0" w:color="auto"/>
              <w:right w:val="single" w:sz="4" w:space="0" w:color="auto"/>
            </w:tcBorders>
            <w:noWrap/>
            <w:vAlign w:val="center"/>
            <w:hideMark/>
          </w:tcPr>
          <w:p w14:paraId="01C7EB8D" w14:textId="77777777" w:rsidR="00AD315B" w:rsidRPr="00131EED" w:rsidRDefault="00AD315B" w:rsidP="00AD315B">
            <w:pPr>
              <w:jc w:val="center"/>
              <w:rPr>
                <w:color w:val="000000"/>
                <w:sz w:val="20"/>
                <w:szCs w:val="20"/>
                <w:lang w:eastAsia="en-US"/>
              </w:rPr>
            </w:pPr>
            <w:r w:rsidRPr="00131EED">
              <w:rPr>
                <w:color w:val="000000"/>
                <w:sz w:val="20"/>
                <w:szCs w:val="20"/>
                <w:lang w:eastAsia="en-US"/>
              </w:rPr>
              <w:t>4.66%</w:t>
            </w:r>
          </w:p>
        </w:tc>
      </w:tr>
      <w:tr w:rsidR="00AD315B" w:rsidRPr="00131EED" w14:paraId="3FA02C3B"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4FB667D2"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Bojacá</w:t>
            </w:r>
          </w:p>
        </w:tc>
        <w:tc>
          <w:tcPr>
            <w:tcW w:w="1701" w:type="dxa"/>
            <w:tcBorders>
              <w:top w:val="nil"/>
              <w:left w:val="nil"/>
              <w:bottom w:val="single" w:sz="4" w:space="0" w:color="auto"/>
              <w:right w:val="single" w:sz="4" w:space="0" w:color="auto"/>
            </w:tcBorders>
            <w:noWrap/>
            <w:vAlign w:val="center"/>
            <w:hideMark/>
          </w:tcPr>
          <w:p w14:paraId="23B9CB37" w14:textId="77777777" w:rsidR="00AD315B" w:rsidRPr="00131EED" w:rsidRDefault="00AD315B" w:rsidP="00AD315B">
            <w:pPr>
              <w:jc w:val="center"/>
              <w:rPr>
                <w:color w:val="000000"/>
                <w:sz w:val="20"/>
                <w:szCs w:val="20"/>
                <w:lang w:eastAsia="en-US"/>
              </w:rPr>
            </w:pPr>
            <w:r w:rsidRPr="00131EED">
              <w:rPr>
                <w:color w:val="000000"/>
                <w:sz w:val="20"/>
                <w:szCs w:val="20"/>
                <w:lang w:eastAsia="en-US"/>
              </w:rPr>
              <w:t>89.6409</w:t>
            </w:r>
          </w:p>
        </w:tc>
        <w:tc>
          <w:tcPr>
            <w:tcW w:w="1842" w:type="dxa"/>
            <w:tcBorders>
              <w:top w:val="nil"/>
              <w:left w:val="nil"/>
              <w:bottom w:val="single" w:sz="4" w:space="0" w:color="auto"/>
              <w:right w:val="single" w:sz="4" w:space="0" w:color="auto"/>
            </w:tcBorders>
            <w:noWrap/>
            <w:vAlign w:val="center"/>
            <w:hideMark/>
          </w:tcPr>
          <w:p w14:paraId="29B5D459" w14:textId="77777777" w:rsidR="00AD315B" w:rsidRPr="00131EED" w:rsidRDefault="00AD315B" w:rsidP="00AD315B">
            <w:pPr>
              <w:jc w:val="center"/>
              <w:rPr>
                <w:color w:val="000000"/>
                <w:sz w:val="20"/>
                <w:szCs w:val="20"/>
                <w:lang w:eastAsia="en-US"/>
              </w:rPr>
            </w:pPr>
            <w:r w:rsidRPr="00131EED">
              <w:rPr>
                <w:color w:val="000000"/>
                <w:sz w:val="20"/>
                <w:szCs w:val="20"/>
                <w:lang w:eastAsia="en-US"/>
              </w:rPr>
              <w:t>0.88%</w:t>
            </w:r>
          </w:p>
        </w:tc>
      </w:tr>
      <w:tr w:rsidR="00AD315B" w:rsidRPr="00131EED" w14:paraId="04064D61"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7ECD9B5C"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Cajicá</w:t>
            </w:r>
          </w:p>
        </w:tc>
        <w:tc>
          <w:tcPr>
            <w:tcW w:w="1701" w:type="dxa"/>
            <w:tcBorders>
              <w:top w:val="nil"/>
              <w:left w:val="nil"/>
              <w:bottom w:val="single" w:sz="4" w:space="0" w:color="auto"/>
              <w:right w:val="single" w:sz="4" w:space="0" w:color="auto"/>
            </w:tcBorders>
            <w:noWrap/>
            <w:vAlign w:val="center"/>
            <w:hideMark/>
          </w:tcPr>
          <w:p w14:paraId="30CE2703" w14:textId="77777777" w:rsidR="00AD315B" w:rsidRPr="00131EED" w:rsidRDefault="00AD315B" w:rsidP="00AD315B">
            <w:pPr>
              <w:jc w:val="center"/>
              <w:rPr>
                <w:color w:val="000000"/>
                <w:sz w:val="20"/>
                <w:szCs w:val="20"/>
                <w:lang w:eastAsia="en-US"/>
              </w:rPr>
            </w:pPr>
            <w:r w:rsidRPr="00131EED">
              <w:rPr>
                <w:color w:val="000000"/>
                <w:sz w:val="20"/>
                <w:szCs w:val="20"/>
                <w:lang w:eastAsia="en-US"/>
              </w:rPr>
              <w:t>764.1425</w:t>
            </w:r>
          </w:p>
        </w:tc>
        <w:tc>
          <w:tcPr>
            <w:tcW w:w="1842" w:type="dxa"/>
            <w:tcBorders>
              <w:top w:val="nil"/>
              <w:left w:val="nil"/>
              <w:bottom w:val="single" w:sz="4" w:space="0" w:color="auto"/>
              <w:right w:val="single" w:sz="4" w:space="0" w:color="auto"/>
            </w:tcBorders>
            <w:noWrap/>
            <w:vAlign w:val="center"/>
            <w:hideMark/>
          </w:tcPr>
          <w:p w14:paraId="6FBB6B0A" w14:textId="77777777" w:rsidR="00AD315B" w:rsidRPr="00131EED" w:rsidRDefault="00AD315B" w:rsidP="00AD315B">
            <w:pPr>
              <w:jc w:val="center"/>
              <w:rPr>
                <w:color w:val="000000"/>
                <w:sz w:val="20"/>
                <w:szCs w:val="20"/>
                <w:lang w:eastAsia="en-US"/>
              </w:rPr>
            </w:pPr>
            <w:r w:rsidRPr="00131EED">
              <w:rPr>
                <w:color w:val="000000"/>
                <w:sz w:val="20"/>
                <w:szCs w:val="20"/>
                <w:lang w:eastAsia="en-US"/>
              </w:rPr>
              <w:t>14.91%</w:t>
            </w:r>
          </w:p>
        </w:tc>
      </w:tr>
      <w:tr w:rsidR="00AD315B" w:rsidRPr="00131EED" w14:paraId="4DA47C4D"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00D347B3"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Chía</w:t>
            </w:r>
          </w:p>
        </w:tc>
        <w:tc>
          <w:tcPr>
            <w:tcW w:w="1701" w:type="dxa"/>
            <w:tcBorders>
              <w:top w:val="nil"/>
              <w:left w:val="nil"/>
              <w:bottom w:val="single" w:sz="4" w:space="0" w:color="auto"/>
              <w:right w:val="single" w:sz="4" w:space="0" w:color="auto"/>
            </w:tcBorders>
            <w:noWrap/>
            <w:vAlign w:val="center"/>
            <w:hideMark/>
          </w:tcPr>
          <w:p w14:paraId="4472601D" w14:textId="77777777" w:rsidR="00AD315B" w:rsidRPr="00131EED" w:rsidRDefault="00AD315B" w:rsidP="00AD315B">
            <w:pPr>
              <w:jc w:val="center"/>
              <w:rPr>
                <w:color w:val="000000"/>
                <w:sz w:val="20"/>
                <w:szCs w:val="20"/>
                <w:lang w:eastAsia="en-US"/>
              </w:rPr>
            </w:pPr>
            <w:r w:rsidRPr="00131EED">
              <w:rPr>
                <w:color w:val="000000"/>
                <w:sz w:val="20"/>
                <w:szCs w:val="20"/>
                <w:lang w:eastAsia="en-US"/>
              </w:rPr>
              <w:t>1382.2131</w:t>
            </w:r>
          </w:p>
        </w:tc>
        <w:tc>
          <w:tcPr>
            <w:tcW w:w="1842" w:type="dxa"/>
            <w:tcBorders>
              <w:top w:val="nil"/>
              <w:left w:val="nil"/>
              <w:bottom w:val="single" w:sz="4" w:space="0" w:color="auto"/>
              <w:right w:val="single" w:sz="4" w:space="0" w:color="auto"/>
            </w:tcBorders>
            <w:noWrap/>
            <w:vAlign w:val="center"/>
            <w:hideMark/>
          </w:tcPr>
          <w:p w14:paraId="72DE1A51" w14:textId="77777777" w:rsidR="00AD315B" w:rsidRPr="00131EED" w:rsidRDefault="00AD315B" w:rsidP="00AD315B">
            <w:pPr>
              <w:jc w:val="center"/>
              <w:rPr>
                <w:color w:val="000000"/>
                <w:sz w:val="20"/>
                <w:szCs w:val="20"/>
                <w:lang w:eastAsia="en-US"/>
              </w:rPr>
            </w:pPr>
            <w:r w:rsidRPr="00131EED">
              <w:rPr>
                <w:color w:val="000000"/>
                <w:sz w:val="20"/>
                <w:szCs w:val="20"/>
                <w:lang w:eastAsia="en-US"/>
              </w:rPr>
              <w:t>17.32%</w:t>
            </w:r>
          </w:p>
        </w:tc>
      </w:tr>
      <w:tr w:rsidR="00AD315B" w:rsidRPr="00131EED" w14:paraId="1B7633B3"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3A417EF3"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Chocontá</w:t>
            </w:r>
          </w:p>
        </w:tc>
        <w:tc>
          <w:tcPr>
            <w:tcW w:w="1701" w:type="dxa"/>
            <w:tcBorders>
              <w:top w:val="nil"/>
              <w:left w:val="nil"/>
              <w:bottom w:val="single" w:sz="4" w:space="0" w:color="auto"/>
              <w:right w:val="single" w:sz="4" w:space="0" w:color="auto"/>
            </w:tcBorders>
            <w:noWrap/>
            <w:vAlign w:val="center"/>
            <w:hideMark/>
          </w:tcPr>
          <w:p w14:paraId="7DAFF61B" w14:textId="77777777" w:rsidR="00AD315B" w:rsidRPr="00131EED" w:rsidRDefault="00AD315B" w:rsidP="00AD315B">
            <w:pPr>
              <w:jc w:val="center"/>
              <w:rPr>
                <w:color w:val="000000"/>
                <w:sz w:val="20"/>
                <w:szCs w:val="20"/>
                <w:lang w:eastAsia="en-US"/>
              </w:rPr>
            </w:pPr>
            <w:r w:rsidRPr="00131EED">
              <w:rPr>
                <w:color w:val="000000"/>
                <w:sz w:val="20"/>
                <w:szCs w:val="20"/>
                <w:lang w:eastAsia="en-US"/>
              </w:rPr>
              <w:t>29.4545</w:t>
            </w:r>
          </w:p>
        </w:tc>
        <w:tc>
          <w:tcPr>
            <w:tcW w:w="1842" w:type="dxa"/>
            <w:tcBorders>
              <w:top w:val="nil"/>
              <w:left w:val="nil"/>
              <w:bottom w:val="single" w:sz="4" w:space="0" w:color="auto"/>
              <w:right w:val="single" w:sz="4" w:space="0" w:color="auto"/>
            </w:tcBorders>
            <w:noWrap/>
            <w:vAlign w:val="center"/>
            <w:hideMark/>
          </w:tcPr>
          <w:p w14:paraId="62817519" w14:textId="77777777" w:rsidR="00AD315B" w:rsidRPr="00131EED" w:rsidRDefault="00AD315B" w:rsidP="00AD315B">
            <w:pPr>
              <w:jc w:val="center"/>
              <w:rPr>
                <w:color w:val="000000"/>
                <w:sz w:val="20"/>
                <w:szCs w:val="20"/>
                <w:lang w:eastAsia="en-US"/>
              </w:rPr>
            </w:pPr>
            <w:r w:rsidRPr="00131EED">
              <w:rPr>
                <w:color w:val="000000"/>
                <w:sz w:val="20"/>
                <w:szCs w:val="20"/>
                <w:lang w:eastAsia="en-US"/>
              </w:rPr>
              <w:t>0.12%</w:t>
            </w:r>
          </w:p>
        </w:tc>
      </w:tr>
      <w:tr w:rsidR="00AD315B" w:rsidRPr="00131EED" w14:paraId="4BCED34E"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20AA17EC"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Cogua</w:t>
            </w:r>
          </w:p>
        </w:tc>
        <w:tc>
          <w:tcPr>
            <w:tcW w:w="1701" w:type="dxa"/>
            <w:tcBorders>
              <w:top w:val="nil"/>
              <w:left w:val="nil"/>
              <w:bottom w:val="single" w:sz="4" w:space="0" w:color="auto"/>
              <w:right w:val="single" w:sz="4" w:space="0" w:color="auto"/>
            </w:tcBorders>
            <w:noWrap/>
            <w:vAlign w:val="center"/>
            <w:hideMark/>
          </w:tcPr>
          <w:p w14:paraId="38646D8F" w14:textId="77777777" w:rsidR="00AD315B" w:rsidRPr="00131EED" w:rsidRDefault="00AD315B" w:rsidP="00AD315B">
            <w:pPr>
              <w:jc w:val="center"/>
              <w:rPr>
                <w:color w:val="000000"/>
                <w:sz w:val="20"/>
                <w:szCs w:val="20"/>
                <w:lang w:eastAsia="en-US"/>
              </w:rPr>
            </w:pPr>
            <w:r w:rsidRPr="00131EED">
              <w:rPr>
                <w:color w:val="000000"/>
                <w:sz w:val="20"/>
                <w:szCs w:val="20"/>
                <w:lang w:eastAsia="en-US"/>
              </w:rPr>
              <w:t>302.8068</w:t>
            </w:r>
          </w:p>
        </w:tc>
        <w:tc>
          <w:tcPr>
            <w:tcW w:w="1842" w:type="dxa"/>
            <w:tcBorders>
              <w:top w:val="nil"/>
              <w:left w:val="nil"/>
              <w:bottom w:val="single" w:sz="4" w:space="0" w:color="auto"/>
              <w:right w:val="single" w:sz="4" w:space="0" w:color="auto"/>
            </w:tcBorders>
            <w:noWrap/>
            <w:vAlign w:val="center"/>
            <w:hideMark/>
          </w:tcPr>
          <w:p w14:paraId="7FCBE2F5" w14:textId="77777777" w:rsidR="00AD315B" w:rsidRPr="00131EED" w:rsidRDefault="00AD315B" w:rsidP="00AD315B">
            <w:pPr>
              <w:jc w:val="center"/>
              <w:rPr>
                <w:color w:val="000000"/>
                <w:sz w:val="20"/>
                <w:szCs w:val="20"/>
                <w:lang w:eastAsia="en-US"/>
              </w:rPr>
            </w:pPr>
            <w:r w:rsidRPr="00131EED">
              <w:rPr>
                <w:color w:val="000000"/>
                <w:sz w:val="20"/>
                <w:szCs w:val="20"/>
                <w:lang w:eastAsia="en-US"/>
              </w:rPr>
              <w:t>2.28%</w:t>
            </w:r>
          </w:p>
        </w:tc>
      </w:tr>
      <w:tr w:rsidR="00AD315B" w:rsidRPr="00131EED" w14:paraId="305D4C81"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588D2C61"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Cota</w:t>
            </w:r>
          </w:p>
        </w:tc>
        <w:tc>
          <w:tcPr>
            <w:tcW w:w="1701" w:type="dxa"/>
            <w:tcBorders>
              <w:top w:val="nil"/>
              <w:left w:val="nil"/>
              <w:bottom w:val="single" w:sz="4" w:space="0" w:color="auto"/>
              <w:right w:val="single" w:sz="4" w:space="0" w:color="auto"/>
            </w:tcBorders>
            <w:noWrap/>
            <w:vAlign w:val="center"/>
            <w:hideMark/>
          </w:tcPr>
          <w:p w14:paraId="3AEC654C" w14:textId="77777777" w:rsidR="00AD315B" w:rsidRPr="00131EED" w:rsidRDefault="00AD315B" w:rsidP="00AD315B">
            <w:pPr>
              <w:jc w:val="center"/>
              <w:rPr>
                <w:color w:val="000000"/>
                <w:sz w:val="20"/>
                <w:szCs w:val="20"/>
                <w:lang w:eastAsia="en-US"/>
              </w:rPr>
            </w:pPr>
            <w:r w:rsidRPr="00131EED">
              <w:rPr>
                <w:color w:val="000000"/>
                <w:sz w:val="20"/>
                <w:szCs w:val="20"/>
                <w:lang w:eastAsia="en-US"/>
              </w:rPr>
              <w:t>1138.3634</w:t>
            </w:r>
          </w:p>
        </w:tc>
        <w:tc>
          <w:tcPr>
            <w:tcW w:w="1842" w:type="dxa"/>
            <w:tcBorders>
              <w:top w:val="nil"/>
              <w:left w:val="nil"/>
              <w:bottom w:val="single" w:sz="4" w:space="0" w:color="auto"/>
              <w:right w:val="single" w:sz="4" w:space="0" w:color="auto"/>
            </w:tcBorders>
            <w:noWrap/>
            <w:vAlign w:val="center"/>
            <w:hideMark/>
          </w:tcPr>
          <w:p w14:paraId="19F6E935" w14:textId="77777777" w:rsidR="00AD315B" w:rsidRPr="00131EED" w:rsidRDefault="00AD315B" w:rsidP="00AD315B">
            <w:pPr>
              <w:jc w:val="center"/>
              <w:rPr>
                <w:color w:val="000000"/>
                <w:sz w:val="20"/>
                <w:szCs w:val="20"/>
                <w:lang w:eastAsia="en-US"/>
              </w:rPr>
            </w:pPr>
            <w:r w:rsidRPr="00131EED">
              <w:rPr>
                <w:color w:val="000000"/>
                <w:sz w:val="20"/>
                <w:szCs w:val="20"/>
                <w:lang w:eastAsia="en-US"/>
              </w:rPr>
              <w:t>21.21%</w:t>
            </w:r>
          </w:p>
        </w:tc>
      </w:tr>
      <w:tr w:rsidR="00AD315B" w:rsidRPr="00131EED" w14:paraId="3746DE05"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064CB7D3"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El Rosal</w:t>
            </w:r>
          </w:p>
        </w:tc>
        <w:tc>
          <w:tcPr>
            <w:tcW w:w="1701" w:type="dxa"/>
            <w:tcBorders>
              <w:top w:val="nil"/>
              <w:left w:val="nil"/>
              <w:bottom w:val="single" w:sz="4" w:space="0" w:color="auto"/>
              <w:right w:val="single" w:sz="4" w:space="0" w:color="auto"/>
            </w:tcBorders>
            <w:noWrap/>
            <w:vAlign w:val="center"/>
            <w:hideMark/>
          </w:tcPr>
          <w:p w14:paraId="4834CDA7" w14:textId="77777777" w:rsidR="00AD315B" w:rsidRPr="00131EED" w:rsidRDefault="00AD315B" w:rsidP="00AD315B">
            <w:pPr>
              <w:jc w:val="center"/>
              <w:rPr>
                <w:color w:val="000000"/>
                <w:sz w:val="20"/>
                <w:szCs w:val="20"/>
                <w:lang w:eastAsia="en-US"/>
              </w:rPr>
            </w:pPr>
            <w:r w:rsidRPr="00131EED">
              <w:rPr>
                <w:color w:val="000000"/>
                <w:sz w:val="20"/>
                <w:szCs w:val="20"/>
                <w:lang w:eastAsia="en-US"/>
              </w:rPr>
              <w:t>52.8651</w:t>
            </w:r>
          </w:p>
        </w:tc>
        <w:tc>
          <w:tcPr>
            <w:tcW w:w="1842" w:type="dxa"/>
            <w:tcBorders>
              <w:top w:val="nil"/>
              <w:left w:val="nil"/>
              <w:bottom w:val="single" w:sz="4" w:space="0" w:color="auto"/>
              <w:right w:val="single" w:sz="4" w:space="0" w:color="auto"/>
            </w:tcBorders>
            <w:noWrap/>
            <w:vAlign w:val="center"/>
            <w:hideMark/>
          </w:tcPr>
          <w:p w14:paraId="2CC25BC2" w14:textId="77777777" w:rsidR="00AD315B" w:rsidRPr="00131EED" w:rsidRDefault="00AD315B" w:rsidP="00AD315B">
            <w:pPr>
              <w:jc w:val="center"/>
              <w:rPr>
                <w:color w:val="000000"/>
                <w:sz w:val="20"/>
                <w:szCs w:val="20"/>
                <w:lang w:eastAsia="en-US"/>
              </w:rPr>
            </w:pPr>
            <w:r w:rsidRPr="00131EED">
              <w:rPr>
                <w:color w:val="000000"/>
                <w:sz w:val="20"/>
                <w:szCs w:val="20"/>
                <w:lang w:eastAsia="en-US"/>
              </w:rPr>
              <w:t>0.77%</w:t>
            </w:r>
          </w:p>
        </w:tc>
      </w:tr>
      <w:tr w:rsidR="00AD315B" w:rsidRPr="00131EED" w14:paraId="5B5C218C"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34C036AA"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Facatativá</w:t>
            </w:r>
          </w:p>
        </w:tc>
        <w:tc>
          <w:tcPr>
            <w:tcW w:w="1701" w:type="dxa"/>
            <w:tcBorders>
              <w:top w:val="nil"/>
              <w:left w:val="nil"/>
              <w:bottom w:val="single" w:sz="4" w:space="0" w:color="auto"/>
              <w:right w:val="single" w:sz="4" w:space="0" w:color="auto"/>
            </w:tcBorders>
            <w:noWrap/>
            <w:vAlign w:val="center"/>
            <w:hideMark/>
          </w:tcPr>
          <w:p w14:paraId="4CFDF139" w14:textId="77777777" w:rsidR="00AD315B" w:rsidRPr="00131EED" w:rsidRDefault="00AD315B" w:rsidP="00AD315B">
            <w:pPr>
              <w:jc w:val="center"/>
              <w:rPr>
                <w:color w:val="000000"/>
                <w:sz w:val="20"/>
                <w:szCs w:val="20"/>
                <w:lang w:eastAsia="en-US"/>
              </w:rPr>
            </w:pPr>
            <w:r w:rsidRPr="00131EED">
              <w:rPr>
                <w:color w:val="000000"/>
                <w:sz w:val="20"/>
                <w:szCs w:val="20"/>
                <w:lang w:eastAsia="en-US"/>
              </w:rPr>
              <w:t>229.4070</w:t>
            </w:r>
          </w:p>
        </w:tc>
        <w:tc>
          <w:tcPr>
            <w:tcW w:w="1842" w:type="dxa"/>
            <w:tcBorders>
              <w:top w:val="nil"/>
              <w:left w:val="nil"/>
              <w:bottom w:val="single" w:sz="4" w:space="0" w:color="auto"/>
              <w:right w:val="single" w:sz="4" w:space="0" w:color="auto"/>
            </w:tcBorders>
            <w:noWrap/>
            <w:vAlign w:val="center"/>
            <w:hideMark/>
          </w:tcPr>
          <w:p w14:paraId="451BECE7" w14:textId="77777777" w:rsidR="00AD315B" w:rsidRPr="00131EED" w:rsidRDefault="00AD315B" w:rsidP="00AD315B">
            <w:pPr>
              <w:jc w:val="center"/>
              <w:rPr>
                <w:color w:val="000000"/>
                <w:sz w:val="20"/>
                <w:szCs w:val="20"/>
                <w:lang w:eastAsia="en-US"/>
              </w:rPr>
            </w:pPr>
            <w:r w:rsidRPr="00131EED">
              <w:rPr>
                <w:color w:val="000000"/>
                <w:sz w:val="20"/>
                <w:szCs w:val="20"/>
                <w:lang w:eastAsia="en-US"/>
              </w:rPr>
              <w:t>1.48%</w:t>
            </w:r>
          </w:p>
        </w:tc>
      </w:tr>
      <w:tr w:rsidR="00AD315B" w:rsidRPr="00131EED" w14:paraId="0E06EF29"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787FEA92"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Funza</w:t>
            </w:r>
          </w:p>
        </w:tc>
        <w:tc>
          <w:tcPr>
            <w:tcW w:w="1701" w:type="dxa"/>
            <w:tcBorders>
              <w:top w:val="nil"/>
              <w:left w:val="nil"/>
              <w:bottom w:val="single" w:sz="4" w:space="0" w:color="auto"/>
              <w:right w:val="single" w:sz="4" w:space="0" w:color="auto"/>
            </w:tcBorders>
            <w:noWrap/>
            <w:vAlign w:val="center"/>
            <w:hideMark/>
          </w:tcPr>
          <w:p w14:paraId="5E56E6C3" w14:textId="77777777" w:rsidR="00AD315B" w:rsidRPr="00131EED" w:rsidRDefault="00AD315B" w:rsidP="00AD315B">
            <w:pPr>
              <w:jc w:val="center"/>
              <w:rPr>
                <w:color w:val="000000"/>
                <w:sz w:val="20"/>
                <w:szCs w:val="20"/>
                <w:lang w:eastAsia="en-US"/>
              </w:rPr>
            </w:pPr>
            <w:r w:rsidRPr="00131EED">
              <w:rPr>
                <w:color w:val="000000"/>
                <w:sz w:val="20"/>
                <w:szCs w:val="20"/>
                <w:lang w:eastAsia="en-US"/>
              </w:rPr>
              <w:t>887.5010</w:t>
            </w:r>
          </w:p>
        </w:tc>
        <w:tc>
          <w:tcPr>
            <w:tcW w:w="1842" w:type="dxa"/>
            <w:tcBorders>
              <w:top w:val="nil"/>
              <w:left w:val="nil"/>
              <w:bottom w:val="single" w:sz="4" w:space="0" w:color="auto"/>
              <w:right w:val="single" w:sz="4" w:space="0" w:color="auto"/>
            </w:tcBorders>
            <w:noWrap/>
            <w:vAlign w:val="center"/>
            <w:hideMark/>
          </w:tcPr>
          <w:p w14:paraId="46DFAD44" w14:textId="77777777" w:rsidR="00AD315B" w:rsidRPr="00131EED" w:rsidRDefault="00AD315B" w:rsidP="00AD315B">
            <w:pPr>
              <w:jc w:val="center"/>
              <w:rPr>
                <w:color w:val="000000"/>
                <w:sz w:val="20"/>
                <w:szCs w:val="20"/>
                <w:lang w:eastAsia="en-US"/>
              </w:rPr>
            </w:pPr>
            <w:r w:rsidRPr="00131EED">
              <w:rPr>
                <w:color w:val="000000"/>
                <w:sz w:val="20"/>
                <w:szCs w:val="20"/>
                <w:lang w:eastAsia="en-US"/>
              </w:rPr>
              <w:t>12.68%</w:t>
            </w:r>
          </w:p>
        </w:tc>
      </w:tr>
      <w:tr w:rsidR="00AD315B" w:rsidRPr="00131EED" w14:paraId="1BC36660"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3B11A920"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Gachancipá</w:t>
            </w:r>
          </w:p>
        </w:tc>
        <w:tc>
          <w:tcPr>
            <w:tcW w:w="1701" w:type="dxa"/>
            <w:tcBorders>
              <w:top w:val="nil"/>
              <w:left w:val="nil"/>
              <w:bottom w:val="single" w:sz="4" w:space="0" w:color="auto"/>
              <w:right w:val="single" w:sz="4" w:space="0" w:color="auto"/>
            </w:tcBorders>
            <w:noWrap/>
            <w:vAlign w:val="center"/>
            <w:hideMark/>
          </w:tcPr>
          <w:p w14:paraId="2F91F111" w14:textId="77777777" w:rsidR="00AD315B" w:rsidRPr="00131EED" w:rsidRDefault="00AD315B" w:rsidP="00AD315B">
            <w:pPr>
              <w:jc w:val="center"/>
              <w:rPr>
                <w:color w:val="000000"/>
                <w:sz w:val="20"/>
                <w:szCs w:val="20"/>
                <w:lang w:eastAsia="en-US"/>
              </w:rPr>
            </w:pPr>
            <w:r w:rsidRPr="00131EED">
              <w:rPr>
                <w:color w:val="000000"/>
                <w:sz w:val="20"/>
                <w:szCs w:val="20"/>
                <w:lang w:eastAsia="en-US"/>
              </w:rPr>
              <w:t>103.2841</w:t>
            </w:r>
          </w:p>
        </w:tc>
        <w:tc>
          <w:tcPr>
            <w:tcW w:w="1842" w:type="dxa"/>
            <w:tcBorders>
              <w:top w:val="nil"/>
              <w:left w:val="nil"/>
              <w:bottom w:val="single" w:sz="4" w:space="0" w:color="auto"/>
              <w:right w:val="single" w:sz="4" w:space="0" w:color="auto"/>
            </w:tcBorders>
            <w:noWrap/>
            <w:vAlign w:val="center"/>
            <w:hideMark/>
          </w:tcPr>
          <w:p w14:paraId="0CD9D4BF" w14:textId="77777777" w:rsidR="00AD315B" w:rsidRPr="00131EED" w:rsidRDefault="00AD315B" w:rsidP="00AD315B">
            <w:pPr>
              <w:jc w:val="center"/>
              <w:rPr>
                <w:color w:val="000000"/>
                <w:sz w:val="20"/>
                <w:szCs w:val="20"/>
                <w:lang w:eastAsia="en-US"/>
              </w:rPr>
            </w:pPr>
            <w:r w:rsidRPr="00131EED">
              <w:rPr>
                <w:color w:val="000000"/>
                <w:sz w:val="20"/>
                <w:szCs w:val="20"/>
                <w:lang w:eastAsia="en-US"/>
              </w:rPr>
              <w:t>2.41%</w:t>
            </w:r>
          </w:p>
        </w:tc>
      </w:tr>
      <w:tr w:rsidR="00AD315B" w:rsidRPr="00131EED" w14:paraId="40EF4982"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323B3330"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Guasca</w:t>
            </w:r>
          </w:p>
        </w:tc>
        <w:tc>
          <w:tcPr>
            <w:tcW w:w="1701" w:type="dxa"/>
            <w:tcBorders>
              <w:top w:val="nil"/>
              <w:left w:val="nil"/>
              <w:bottom w:val="single" w:sz="4" w:space="0" w:color="auto"/>
              <w:right w:val="single" w:sz="4" w:space="0" w:color="auto"/>
            </w:tcBorders>
            <w:noWrap/>
            <w:vAlign w:val="center"/>
            <w:hideMark/>
          </w:tcPr>
          <w:p w14:paraId="242788C3" w14:textId="77777777" w:rsidR="00AD315B" w:rsidRPr="00131EED" w:rsidRDefault="00AD315B" w:rsidP="00AD315B">
            <w:pPr>
              <w:jc w:val="center"/>
              <w:rPr>
                <w:color w:val="000000"/>
                <w:sz w:val="20"/>
                <w:szCs w:val="20"/>
                <w:lang w:eastAsia="en-US"/>
              </w:rPr>
            </w:pPr>
            <w:r w:rsidRPr="00131EED">
              <w:rPr>
                <w:color w:val="000000"/>
                <w:sz w:val="20"/>
                <w:szCs w:val="20"/>
                <w:lang w:eastAsia="en-US"/>
              </w:rPr>
              <w:t>40.5099</w:t>
            </w:r>
          </w:p>
        </w:tc>
        <w:tc>
          <w:tcPr>
            <w:tcW w:w="1842" w:type="dxa"/>
            <w:tcBorders>
              <w:top w:val="nil"/>
              <w:left w:val="nil"/>
              <w:bottom w:val="single" w:sz="4" w:space="0" w:color="auto"/>
              <w:right w:val="single" w:sz="4" w:space="0" w:color="auto"/>
            </w:tcBorders>
            <w:noWrap/>
            <w:vAlign w:val="center"/>
            <w:hideMark/>
          </w:tcPr>
          <w:p w14:paraId="1BB66FE4" w14:textId="77777777" w:rsidR="00AD315B" w:rsidRPr="00131EED" w:rsidRDefault="00AD315B" w:rsidP="00AD315B">
            <w:pPr>
              <w:jc w:val="center"/>
              <w:rPr>
                <w:color w:val="000000"/>
                <w:sz w:val="20"/>
                <w:szCs w:val="20"/>
                <w:lang w:eastAsia="en-US"/>
              </w:rPr>
            </w:pPr>
            <w:r w:rsidRPr="00131EED">
              <w:rPr>
                <w:color w:val="000000"/>
                <w:sz w:val="20"/>
                <w:szCs w:val="20"/>
                <w:lang w:eastAsia="en-US"/>
              </w:rPr>
              <w:t>0.19%</w:t>
            </w:r>
          </w:p>
        </w:tc>
      </w:tr>
      <w:tr w:rsidR="00AD315B" w:rsidRPr="00131EED" w14:paraId="5E21AD90"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36E3C53D"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Guatavita</w:t>
            </w:r>
          </w:p>
        </w:tc>
        <w:tc>
          <w:tcPr>
            <w:tcW w:w="1701" w:type="dxa"/>
            <w:tcBorders>
              <w:top w:val="nil"/>
              <w:left w:val="nil"/>
              <w:bottom w:val="single" w:sz="4" w:space="0" w:color="auto"/>
              <w:right w:val="single" w:sz="4" w:space="0" w:color="auto"/>
            </w:tcBorders>
            <w:noWrap/>
            <w:vAlign w:val="center"/>
            <w:hideMark/>
          </w:tcPr>
          <w:p w14:paraId="5B1273CD" w14:textId="77777777" w:rsidR="00AD315B" w:rsidRPr="00131EED" w:rsidRDefault="00AD315B" w:rsidP="00AD315B">
            <w:pPr>
              <w:jc w:val="center"/>
              <w:rPr>
                <w:color w:val="000000"/>
                <w:sz w:val="20"/>
                <w:szCs w:val="20"/>
                <w:lang w:eastAsia="en-US"/>
              </w:rPr>
            </w:pPr>
            <w:r w:rsidRPr="00131EED">
              <w:rPr>
                <w:color w:val="000000"/>
                <w:sz w:val="20"/>
                <w:szCs w:val="20"/>
                <w:lang w:eastAsia="en-US"/>
              </w:rPr>
              <w:t>4.5009</w:t>
            </w:r>
          </w:p>
        </w:tc>
        <w:tc>
          <w:tcPr>
            <w:tcW w:w="1842" w:type="dxa"/>
            <w:tcBorders>
              <w:top w:val="nil"/>
              <w:left w:val="nil"/>
              <w:bottom w:val="single" w:sz="4" w:space="0" w:color="auto"/>
              <w:right w:val="single" w:sz="4" w:space="0" w:color="auto"/>
            </w:tcBorders>
            <w:noWrap/>
            <w:vAlign w:val="center"/>
            <w:hideMark/>
          </w:tcPr>
          <w:p w14:paraId="6DF1539D" w14:textId="77777777" w:rsidR="00AD315B" w:rsidRPr="00131EED" w:rsidRDefault="00AD315B" w:rsidP="00AD315B">
            <w:pPr>
              <w:jc w:val="center"/>
              <w:rPr>
                <w:color w:val="000000"/>
                <w:sz w:val="20"/>
                <w:szCs w:val="20"/>
                <w:lang w:eastAsia="en-US"/>
              </w:rPr>
            </w:pPr>
            <w:r w:rsidRPr="00131EED">
              <w:rPr>
                <w:color w:val="000000"/>
                <w:sz w:val="20"/>
                <w:szCs w:val="20"/>
                <w:lang w:eastAsia="en-US"/>
              </w:rPr>
              <w:t>0.03%</w:t>
            </w:r>
          </w:p>
        </w:tc>
      </w:tr>
      <w:tr w:rsidR="00AD315B" w:rsidRPr="00131EED" w14:paraId="6FFF27A8"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4D0C4D25"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La Calera</w:t>
            </w:r>
          </w:p>
        </w:tc>
        <w:tc>
          <w:tcPr>
            <w:tcW w:w="1701" w:type="dxa"/>
            <w:tcBorders>
              <w:top w:val="nil"/>
              <w:left w:val="nil"/>
              <w:bottom w:val="single" w:sz="4" w:space="0" w:color="auto"/>
              <w:right w:val="single" w:sz="4" w:space="0" w:color="auto"/>
            </w:tcBorders>
            <w:noWrap/>
            <w:vAlign w:val="center"/>
            <w:hideMark/>
          </w:tcPr>
          <w:p w14:paraId="6BF86A7E" w14:textId="77777777" w:rsidR="00AD315B" w:rsidRPr="00131EED" w:rsidRDefault="00AD315B" w:rsidP="00AD315B">
            <w:pPr>
              <w:jc w:val="center"/>
              <w:rPr>
                <w:color w:val="000000"/>
                <w:sz w:val="20"/>
                <w:szCs w:val="20"/>
                <w:lang w:eastAsia="en-US"/>
              </w:rPr>
            </w:pPr>
            <w:r w:rsidRPr="00131EED">
              <w:rPr>
                <w:color w:val="000000"/>
                <w:sz w:val="20"/>
                <w:szCs w:val="20"/>
                <w:lang w:eastAsia="en-US"/>
              </w:rPr>
              <w:t>353.1462</w:t>
            </w:r>
          </w:p>
        </w:tc>
        <w:tc>
          <w:tcPr>
            <w:tcW w:w="1842" w:type="dxa"/>
            <w:tcBorders>
              <w:top w:val="nil"/>
              <w:left w:val="nil"/>
              <w:bottom w:val="single" w:sz="4" w:space="0" w:color="auto"/>
              <w:right w:val="single" w:sz="4" w:space="0" w:color="auto"/>
            </w:tcBorders>
            <w:noWrap/>
            <w:vAlign w:val="center"/>
            <w:hideMark/>
          </w:tcPr>
          <w:p w14:paraId="341A4CC0" w14:textId="77777777" w:rsidR="00AD315B" w:rsidRPr="00131EED" w:rsidRDefault="00AD315B" w:rsidP="00AD315B">
            <w:pPr>
              <w:jc w:val="center"/>
              <w:rPr>
                <w:color w:val="000000"/>
                <w:sz w:val="20"/>
                <w:szCs w:val="20"/>
                <w:lang w:eastAsia="en-US"/>
              </w:rPr>
            </w:pPr>
            <w:r w:rsidRPr="00131EED">
              <w:rPr>
                <w:color w:val="000000"/>
                <w:sz w:val="20"/>
                <w:szCs w:val="20"/>
                <w:lang w:eastAsia="en-US"/>
              </w:rPr>
              <w:t>1.88%</w:t>
            </w:r>
          </w:p>
        </w:tc>
      </w:tr>
      <w:tr w:rsidR="00AD315B" w:rsidRPr="00131EED" w14:paraId="43EDEDD3"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2AA143EE"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Madrid</w:t>
            </w:r>
          </w:p>
        </w:tc>
        <w:tc>
          <w:tcPr>
            <w:tcW w:w="1701" w:type="dxa"/>
            <w:tcBorders>
              <w:top w:val="nil"/>
              <w:left w:val="nil"/>
              <w:bottom w:val="single" w:sz="4" w:space="0" w:color="auto"/>
              <w:right w:val="single" w:sz="4" w:space="0" w:color="auto"/>
            </w:tcBorders>
            <w:noWrap/>
            <w:vAlign w:val="center"/>
            <w:hideMark/>
          </w:tcPr>
          <w:p w14:paraId="07B7CA85" w14:textId="77777777" w:rsidR="00AD315B" w:rsidRPr="00131EED" w:rsidRDefault="00AD315B" w:rsidP="00AD315B">
            <w:pPr>
              <w:jc w:val="center"/>
              <w:rPr>
                <w:color w:val="000000"/>
                <w:sz w:val="20"/>
                <w:szCs w:val="20"/>
                <w:lang w:eastAsia="en-US"/>
              </w:rPr>
            </w:pPr>
            <w:r w:rsidRPr="00131EED">
              <w:rPr>
                <w:color w:val="000000"/>
                <w:sz w:val="20"/>
                <w:szCs w:val="20"/>
                <w:lang w:eastAsia="en-US"/>
              </w:rPr>
              <w:t>477.1861</w:t>
            </w:r>
          </w:p>
        </w:tc>
        <w:tc>
          <w:tcPr>
            <w:tcW w:w="1842" w:type="dxa"/>
            <w:tcBorders>
              <w:top w:val="nil"/>
              <w:left w:val="nil"/>
              <w:bottom w:val="single" w:sz="4" w:space="0" w:color="auto"/>
              <w:right w:val="single" w:sz="4" w:space="0" w:color="auto"/>
            </w:tcBorders>
            <w:noWrap/>
            <w:vAlign w:val="center"/>
            <w:hideMark/>
          </w:tcPr>
          <w:p w14:paraId="30E1079D" w14:textId="77777777" w:rsidR="00AD315B" w:rsidRPr="00131EED" w:rsidRDefault="00AD315B" w:rsidP="00AD315B">
            <w:pPr>
              <w:jc w:val="center"/>
              <w:rPr>
                <w:color w:val="000000"/>
                <w:sz w:val="20"/>
                <w:szCs w:val="20"/>
                <w:lang w:eastAsia="en-US"/>
              </w:rPr>
            </w:pPr>
            <w:r w:rsidRPr="00131EED">
              <w:rPr>
                <w:color w:val="000000"/>
                <w:sz w:val="20"/>
                <w:szCs w:val="20"/>
                <w:lang w:eastAsia="en-US"/>
              </w:rPr>
              <w:t>4.00%</w:t>
            </w:r>
          </w:p>
        </w:tc>
      </w:tr>
      <w:tr w:rsidR="00AD315B" w:rsidRPr="00131EED" w14:paraId="67CEE02A"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19C97EB0"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Mosquera</w:t>
            </w:r>
          </w:p>
        </w:tc>
        <w:tc>
          <w:tcPr>
            <w:tcW w:w="1701" w:type="dxa"/>
            <w:tcBorders>
              <w:top w:val="nil"/>
              <w:left w:val="nil"/>
              <w:bottom w:val="single" w:sz="4" w:space="0" w:color="auto"/>
              <w:right w:val="single" w:sz="4" w:space="0" w:color="auto"/>
            </w:tcBorders>
            <w:noWrap/>
            <w:vAlign w:val="center"/>
            <w:hideMark/>
          </w:tcPr>
          <w:p w14:paraId="620DE0E8" w14:textId="77777777" w:rsidR="00AD315B" w:rsidRPr="00131EED" w:rsidRDefault="00AD315B" w:rsidP="00AD315B">
            <w:pPr>
              <w:jc w:val="center"/>
              <w:rPr>
                <w:color w:val="000000"/>
                <w:sz w:val="20"/>
                <w:szCs w:val="20"/>
                <w:lang w:eastAsia="en-US"/>
              </w:rPr>
            </w:pPr>
            <w:r w:rsidRPr="00131EED">
              <w:rPr>
                <w:color w:val="000000"/>
                <w:sz w:val="20"/>
                <w:szCs w:val="20"/>
                <w:lang w:eastAsia="en-US"/>
              </w:rPr>
              <w:t>993.5583</w:t>
            </w:r>
          </w:p>
        </w:tc>
        <w:tc>
          <w:tcPr>
            <w:tcW w:w="1842" w:type="dxa"/>
            <w:tcBorders>
              <w:top w:val="nil"/>
              <w:left w:val="nil"/>
              <w:bottom w:val="single" w:sz="4" w:space="0" w:color="auto"/>
              <w:right w:val="single" w:sz="4" w:space="0" w:color="auto"/>
            </w:tcBorders>
            <w:noWrap/>
            <w:vAlign w:val="center"/>
            <w:hideMark/>
          </w:tcPr>
          <w:p w14:paraId="4979FC3F" w14:textId="77777777" w:rsidR="00AD315B" w:rsidRPr="00131EED" w:rsidRDefault="00AD315B" w:rsidP="00AD315B">
            <w:pPr>
              <w:jc w:val="center"/>
              <w:rPr>
                <w:color w:val="000000"/>
                <w:sz w:val="20"/>
                <w:szCs w:val="20"/>
                <w:lang w:eastAsia="en-US"/>
              </w:rPr>
            </w:pPr>
            <w:r w:rsidRPr="00131EED">
              <w:rPr>
                <w:color w:val="000000"/>
                <w:sz w:val="20"/>
                <w:szCs w:val="20"/>
                <w:lang w:eastAsia="en-US"/>
              </w:rPr>
              <w:t>9.37%</w:t>
            </w:r>
          </w:p>
        </w:tc>
      </w:tr>
      <w:tr w:rsidR="00AD315B" w:rsidRPr="00131EED" w14:paraId="0000730C"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067A9EF3"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Nemocón</w:t>
            </w:r>
          </w:p>
        </w:tc>
        <w:tc>
          <w:tcPr>
            <w:tcW w:w="1701" w:type="dxa"/>
            <w:tcBorders>
              <w:top w:val="nil"/>
              <w:left w:val="nil"/>
              <w:bottom w:val="single" w:sz="4" w:space="0" w:color="auto"/>
              <w:right w:val="single" w:sz="4" w:space="0" w:color="auto"/>
            </w:tcBorders>
            <w:noWrap/>
            <w:vAlign w:val="center"/>
            <w:hideMark/>
          </w:tcPr>
          <w:p w14:paraId="29309523" w14:textId="77777777" w:rsidR="00AD315B" w:rsidRPr="00131EED" w:rsidRDefault="00AD315B" w:rsidP="00AD315B">
            <w:pPr>
              <w:jc w:val="center"/>
              <w:rPr>
                <w:color w:val="000000"/>
                <w:sz w:val="20"/>
                <w:szCs w:val="20"/>
                <w:lang w:eastAsia="en-US"/>
              </w:rPr>
            </w:pPr>
            <w:r w:rsidRPr="00131EED">
              <w:rPr>
                <w:color w:val="000000"/>
                <w:sz w:val="20"/>
                <w:szCs w:val="20"/>
                <w:lang w:eastAsia="en-US"/>
              </w:rPr>
              <w:t>46.9279</w:t>
            </w:r>
          </w:p>
        </w:tc>
        <w:tc>
          <w:tcPr>
            <w:tcW w:w="1842" w:type="dxa"/>
            <w:tcBorders>
              <w:top w:val="nil"/>
              <w:left w:val="nil"/>
              <w:bottom w:val="single" w:sz="4" w:space="0" w:color="auto"/>
              <w:right w:val="single" w:sz="4" w:space="0" w:color="auto"/>
            </w:tcBorders>
            <w:noWrap/>
            <w:vAlign w:val="center"/>
            <w:hideMark/>
          </w:tcPr>
          <w:p w14:paraId="47D636C8" w14:textId="77777777" w:rsidR="00AD315B" w:rsidRPr="00131EED" w:rsidRDefault="00AD315B" w:rsidP="00AD315B">
            <w:pPr>
              <w:jc w:val="center"/>
              <w:rPr>
                <w:color w:val="000000"/>
                <w:sz w:val="20"/>
                <w:szCs w:val="20"/>
                <w:lang w:eastAsia="en-US"/>
              </w:rPr>
            </w:pPr>
            <w:r w:rsidRPr="00131EED">
              <w:rPr>
                <w:color w:val="000000"/>
                <w:sz w:val="20"/>
                <w:szCs w:val="20"/>
                <w:lang w:eastAsia="en-US"/>
              </w:rPr>
              <w:t>0.48%</w:t>
            </w:r>
          </w:p>
        </w:tc>
      </w:tr>
      <w:tr w:rsidR="00AD315B" w:rsidRPr="00131EED" w14:paraId="68C0C221"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2C4A456A"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Sesquilé</w:t>
            </w:r>
          </w:p>
        </w:tc>
        <w:tc>
          <w:tcPr>
            <w:tcW w:w="1701" w:type="dxa"/>
            <w:tcBorders>
              <w:top w:val="nil"/>
              <w:left w:val="nil"/>
              <w:bottom w:val="single" w:sz="4" w:space="0" w:color="auto"/>
              <w:right w:val="single" w:sz="4" w:space="0" w:color="auto"/>
            </w:tcBorders>
            <w:noWrap/>
            <w:vAlign w:val="center"/>
            <w:hideMark/>
          </w:tcPr>
          <w:p w14:paraId="3855B3E0" w14:textId="77777777" w:rsidR="00AD315B" w:rsidRPr="00131EED" w:rsidRDefault="00AD315B" w:rsidP="00AD315B">
            <w:pPr>
              <w:jc w:val="center"/>
              <w:rPr>
                <w:color w:val="000000"/>
                <w:sz w:val="20"/>
                <w:szCs w:val="20"/>
                <w:lang w:eastAsia="en-US"/>
              </w:rPr>
            </w:pPr>
            <w:r w:rsidRPr="00131EED">
              <w:rPr>
                <w:color w:val="000000"/>
                <w:sz w:val="20"/>
                <w:szCs w:val="20"/>
                <w:lang w:eastAsia="en-US"/>
              </w:rPr>
              <w:t>51.0892</w:t>
            </w:r>
          </w:p>
        </w:tc>
        <w:tc>
          <w:tcPr>
            <w:tcW w:w="1842" w:type="dxa"/>
            <w:tcBorders>
              <w:top w:val="nil"/>
              <w:left w:val="nil"/>
              <w:bottom w:val="single" w:sz="4" w:space="0" w:color="auto"/>
              <w:right w:val="single" w:sz="4" w:space="0" w:color="auto"/>
            </w:tcBorders>
            <w:noWrap/>
            <w:vAlign w:val="center"/>
            <w:hideMark/>
          </w:tcPr>
          <w:p w14:paraId="4AE25AC3" w14:textId="77777777" w:rsidR="00AD315B" w:rsidRPr="00131EED" w:rsidRDefault="00AD315B" w:rsidP="00AD315B">
            <w:pPr>
              <w:jc w:val="center"/>
              <w:rPr>
                <w:color w:val="000000"/>
                <w:sz w:val="20"/>
                <w:szCs w:val="20"/>
                <w:lang w:eastAsia="en-US"/>
              </w:rPr>
            </w:pPr>
            <w:r w:rsidRPr="00131EED">
              <w:rPr>
                <w:color w:val="000000"/>
                <w:sz w:val="20"/>
                <w:szCs w:val="20"/>
                <w:lang w:eastAsia="en-US"/>
              </w:rPr>
              <w:t>0.36%</w:t>
            </w:r>
          </w:p>
        </w:tc>
      </w:tr>
      <w:tr w:rsidR="00AD315B" w:rsidRPr="00131EED" w14:paraId="103A4836"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45E45D48"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Sibaté</w:t>
            </w:r>
          </w:p>
        </w:tc>
        <w:tc>
          <w:tcPr>
            <w:tcW w:w="1701" w:type="dxa"/>
            <w:tcBorders>
              <w:top w:val="nil"/>
              <w:left w:val="nil"/>
              <w:bottom w:val="single" w:sz="4" w:space="0" w:color="auto"/>
              <w:right w:val="single" w:sz="4" w:space="0" w:color="auto"/>
            </w:tcBorders>
            <w:noWrap/>
            <w:vAlign w:val="center"/>
            <w:hideMark/>
          </w:tcPr>
          <w:p w14:paraId="64DB5F35" w14:textId="77777777" w:rsidR="00AD315B" w:rsidRPr="00131EED" w:rsidRDefault="00AD315B" w:rsidP="00AD315B">
            <w:pPr>
              <w:jc w:val="center"/>
              <w:rPr>
                <w:color w:val="000000"/>
                <w:sz w:val="20"/>
                <w:szCs w:val="20"/>
                <w:lang w:eastAsia="en-US"/>
              </w:rPr>
            </w:pPr>
            <w:r w:rsidRPr="00131EED">
              <w:rPr>
                <w:color w:val="000000"/>
                <w:sz w:val="20"/>
                <w:szCs w:val="20"/>
                <w:lang w:eastAsia="en-US"/>
              </w:rPr>
              <w:t>141.4170</w:t>
            </w:r>
          </w:p>
        </w:tc>
        <w:tc>
          <w:tcPr>
            <w:tcW w:w="1842" w:type="dxa"/>
            <w:tcBorders>
              <w:top w:val="nil"/>
              <w:left w:val="nil"/>
              <w:bottom w:val="single" w:sz="4" w:space="0" w:color="auto"/>
              <w:right w:val="single" w:sz="4" w:space="0" w:color="auto"/>
            </w:tcBorders>
            <w:noWrap/>
            <w:vAlign w:val="center"/>
            <w:hideMark/>
          </w:tcPr>
          <w:p w14:paraId="4EE05C1B" w14:textId="77777777" w:rsidR="00AD315B" w:rsidRPr="00131EED" w:rsidRDefault="00AD315B" w:rsidP="00AD315B">
            <w:pPr>
              <w:jc w:val="center"/>
              <w:rPr>
                <w:color w:val="000000"/>
                <w:sz w:val="20"/>
                <w:szCs w:val="20"/>
                <w:lang w:eastAsia="en-US"/>
              </w:rPr>
            </w:pPr>
            <w:r w:rsidRPr="00131EED">
              <w:rPr>
                <w:color w:val="000000"/>
                <w:sz w:val="20"/>
                <w:szCs w:val="20"/>
                <w:lang w:eastAsia="en-US"/>
              </w:rPr>
              <w:t>1.49%</w:t>
            </w:r>
          </w:p>
        </w:tc>
      </w:tr>
      <w:tr w:rsidR="00AD315B" w:rsidRPr="00131EED" w14:paraId="2B60C0BB"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26F0EF46"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Soacha</w:t>
            </w:r>
          </w:p>
        </w:tc>
        <w:tc>
          <w:tcPr>
            <w:tcW w:w="1701" w:type="dxa"/>
            <w:tcBorders>
              <w:top w:val="nil"/>
              <w:left w:val="nil"/>
              <w:bottom w:val="single" w:sz="4" w:space="0" w:color="auto"/>
              <w:right w:val="single" w:sz="4" w:space="0" w:color="auto"/>
            </w:tcBorders>
            <w:noWrap/>
            <w:vAlign w:val="center"/>
            <w:hideMark/>
          </w:tcPr>
          <w:p w14:paraId="041817FD" w14:textId="77777777" w:rsidR="00AD315B" w:rsidRPr="00131EED" w:rsidRDefault="00AD315B" w:rsidP="00AD315B">
            <w:pPr>
              <w:jc w:val="center"/>
              <w:rPr>
                <w:color w:val="000000"/>
                <w:sz w:val="20"/>
                <w:szCs w:val="20"/>
                <w:lang w:eastAsia="en-US"/>
              </w:rPr>
            </w:pPr>
            <w:r w:rsidRPr="00131EED">
              <w:rPr>
                <w:color w:val="000000"/>
                <w:sz w:val="20"/>
                <w:szCs w:val="20"/>
                <w:lang w:eastAsia="en-US"/>
              </w:rPr>
              <w:t>774.8606</w:t>
            </w:r>
          </w:p>
        </w:tc>
        <w:tc>
          <w:tcPr>
            <w:tcW w:w="1842" w:type="dxa"/>
            <w:tcBorders>
              <w:top w:val="nil"/>
              <w:left w:val="nil"/>
              <w:bottom w:val="single" w:sz="4" w:space="0" w:color="auto"/>
              <w:right w:val="single" w:sz="4" w:space="0" w:color="auto"/>
            </w:tcBorders>
            <w:noWrap/>
            <w:vAlign w:val="center"/>
            <w:hideMark/>
          </w:tcPr>
          <w:p w14:paraId="2B5D0A4C" w14:textId="77777777" w:rsidR="00AD315B" w:rsidRPr="00131EED" w:rsidRDefault="00AD315B" w:rsidP="00AD315B">
            <w:pPr>
              <w:jc w:val="center"/>
              <w:rPr>
                <w:color w:val="000000"/>
                <w:sz w:val="20"/>
                <w:szCs w:val="20"/>
                <w:lang w:eastAsia="en-US"/>
              </w:rPr>
            </w:pPr>
            <w:r w:rsidRPr="00131EED">
              <w:rPr>
                <w:color w:val="000000"/>
                <w:sz w:val="20"/>
                <w:szCs w:val="20"/>
                <w:lang w:eastAsia="en-US"/>
              </w:rPr>
              <w:t>4.38%</w:t>
            </w:r>
          </w:p>
        </w:tc>
      </w:tr>
      <w:tr w:rsidR="00AD315B" w:rsidRPr="00131EED" w14:paraId="5699134C"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39CE8579"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Sopó</w:t>
            </w:r>
          </w:p>
        </w:tc>
        <w:tc>
          <w:tcPr>
            <w:tcW w:w="1701" w:type="dxa"/>
            <w:tcBorders>
              <w:top w:val="nil"/>
              <w:left w:val="nil"/>
              <w:bottom w:val="single" w:sz="4" w:space="0" w:color="auto"/>
              <w:right w:val="single" w:sz="4" w:space="0" w:color="auto"/>
            </w:tcBorders>
            <w:noWrap/>
            <w:vAlign w:val="center"/>
            <w:hideMark/>
          </w:tcPr>
          <w:p w14:paraId="42E34DFF" w14:textId="77777777" w:rsidR="00AD315B" w:rsidRPr="00131EED" w:rsidRDefault="00AD315B" w:rsidP="00AD315B">
            <w:pPr>
              <w:jc w:val="center"/>
              <w:rPr>
                <w:color w:val="000000"/>
                <w:sz w:val="20"/>
                <w:szCs w:val="20"/>
                <w:lang w:eastAsia="en-US"/>
              </w:rPr>
            </w:pPr>
            <w:r w:rsidRPr="00131EED">
              <w:rPr>
                <w:color w:val="000000"/>
                <w:sz w:val="20"/>
                <w:szCs w:val="20"/>
                <w:lang w:eastAsia="en-US"/>
              </w:rPr>
              <w:t>543.5781</w:t>
            </w:r>
          </w:p>
        </w:tc>
        <w:tc>
          <w:tcPr>
            <w:tcW w:w="1842" w:type="dxa"/>
            <w:tcBorders>
              <w:top w:val="nil"/>
              <w:left w:val="nil"/>
              <w:bottom w:val="single" w:sz="4" w:space="0" w:color="auto"/>
              <w:right w:val="single" w:sz="4" w:space="0" w:color="auto"/>
            </w:tcBorders>
            <w:noWrap/>
            <w:vAlign w:val="center"/>
            <w:hideMark/>
          </w:tcPr>
          <w:p w14:paraId="2533FDB7" w14:textId="77777777" w:rsidR="00AD315B" w:rsidRPr="00131EED" w:rsidRDefault="00AD315B" w:rsidP="00AD315B">
            <w:pPr>
              <w:jc w:val="center"/>
              <w:rPr>
                <w:color w:val="000000"/>
                <w:sz w:val="20"/>
                <w:szCs w:val="20"/>
                <w:lang w:eastAsia="en-US"/>
              </w:rPr>
            </w:pPr>
            <w:r w:rsidRPr="00131EED">
              <w:rPr>
                <w:color w:val="000000"/>
                <w:sz w:val="20"/>
                <w:szCs w:val="20"/>
                <w:lang w:eastAsia="en-US"/>
              </w:rPr>
              <w:t>4.90%</w:t>
            </w:r>
          </w:p>
        </w:tc>
      </w:tr>
      <w:tr w:rsidR="00AD315B" w:rsidRPr="00131EED" w14:paraId="09B34AA4"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49861ED4"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Subachoque</w:t>
            </w:r>
          </w:p>
        </w:tc>
        <w:tc>
          <w:tcPr>
            <w:tcW w:w="1701" w:type="dxa"/>
            <w:tcBorders>
              <w:top w:val="nil"/>
              <w:left w:val="nil"/>
              <w:bottom w:val="single" w:sz="4" w:space="0" w:color="auto"/>
              <w:right w:val="single" w:sz="4" w:space="0" w:color="auto"/>
            </w:tcBorders>
            <w:noWrap/>
            <w:vAlign w:val="center"/>
            <w:hideMark/>
          </w:tcPr>
          <w:p w14:paraId="39598B26" w14:textId="77777777" w:rsidR="00AD315B" w:rsidRPr="00131EED" w:rsidRDefault="00AD315B" w:rsidP="00AD315B">
            <w:pPr>
              <w:jc w:val="center"/>
              <w:rPr>
                <w:color w:val="000000"/>
                <w:sz w:val="20"/>
                <w:szCs w:val="20"/>
                <w:lang w:eastAsia="en-US"/>
              </w:rPr>
            </w:pPr>
            <w:r w:rsidRPr="00131EED">
              <w:rPr>
                <w:color w:val="000000"/>
                <w:sz w:val="20"/>
                <w:szCs w:val="20"/>
                <w:lang w:eastAsia="en-US"/>
              </w:rPr>
              <w:t>30.5200</w:t>
            </w:r>
          </w:p>
        </w:tc>
        <w:tc>
          <w:tcPr>
            <w:tcW w:w="1842" w:type="dxa"/>
            <w:tcBorders>
              <w:top w:val="nil"/>
              <w:left w:val="nil"/>
              <w:bottom w:val="single" w:sz="4" w:space="0" w:color="auto"/>
              <w:right w:val="single" w:sz="4" w:space="0" w:color="auto"/>
            </w:tcBorders>
            <w:noWrap/>
            <w:vAlign w:val="center"/>
            <w:hideMark/>
          </w:tcPr>
          <w:p w14:paraId="3B3C0C5E" w14:textId="77777777" w:rsidR="00AD315B" w:rsidRPr="00131EED" w:rsidRDefault="00AD315B" w:rsidP="00AD315B">
            <w:pPr>
              <w:jc w:val="center"/>
              <w:rPr>
                <w:color w:val="000000"/>
                <w:sz w:val="20"/>
                <w:szCs w:val="20"/>
                <w:lang w:eastAsia="en-US"/>
              </w:rPr>
            </w:pPr>
            <w:r w:rsidRPr="00131EED">
              <w:rPr>
                <w:color w:val="000000"/>
                <w:sz w:val="20"/>
                <w:szCs w:val="20"/>
                <w:lang w:eastAsia="en-US"/>
              </w:rPr>
              <w:t>0.16%</w:t>
            </w:r>
          </w:p>
        </w:tc>
      </w:tr>
      <w:tr w:rsidR="00AD315B" w:rsidRPr="00131EED" w14:paraId="6E18FE9B"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3E433CE9"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Suesca</w:t>
            </w:r>
          </w:p>
        </w:tc>
        <w:tc>
          <w:tcPr>
            <w:tcW w:w="1701" w:type="dxa"/>
            <w:tcBorders>
              <w:top w:val="nil"/>
              <w:left w:val="nil"/>
              <w:bottom w:val="single" w:sz="4" w:space="0" w:color="auto"/>
              <w:right w:val="single" w:sz="4" w:space="0" w:color="auto"/>
            </w:tcBorders>
            <w:noWrap/>
            <w:vAlign w:val="center"/>
            <w:hideMark/>
          </w:tcPr>
          <w:p w14:paraId="34848D7D" w14:textId="77777777" w:rsidR="00AD315B" w:rsidRPr="00131EED" w:rsidRDefault="00AD315B" w:rsidP="00AD315B">
            <w:pPr>
              <w:jc w:val="center"/>
              <w:rPr>
                <w:color w:val="000000"/>
                <w:sz w:val="20"/>
                <w:szCs w:val="20"/>
                <w:lang w:eastAsia="en-US"/>
              </w:rPr>
            </w:pPr>
            <w:r w:rsidRPr="00131EED">
              <w:rPr>
                <w:color w:val="000000"/>
                <w:sz w:val="20"/>
                <w:szCs w:val="20"/>
                <w:lang w:eastAsia="en-US"/>
              </w:rPr>
              <w:t>50.1217</w:t>
            </w:r>
          </w:p>
        </w:tc>
        <w:tc>
          <w:tcPr>
            <w:tcW w:w="1842" w:type="dxa"/>
            <w:tcBorders>
              <w:top w:val="nil"/>
              <w:left w:val="nil"/>
              <w:bottom w:val="single" w:sz="4" w:space="0" w:color="auto"/>
              <w:right w:val="single" w:sz="4" w:space="0" w:color="auto"/>
            </w:tcBorders>
            <w:noWrap/>
            <w:vAlign w:val="center"/>
            <w:hideMark/>
          </w:tcPr>
          <w:p w14:paraId="5C34BBE4" w14:textId="77777777" w:rsidR="00AD315B" w:rsidRPr="00131EED" w:rsidRDefault="00AD315B" w:rsidP="00AD315B">
            <w:pPr>
              <w:jc w:val="center"/>
              <w:rPr>
                <w:color w:val="000000"/>
                <w:sz w:val="20"/>
                <w:szCs w:val="20"/>
                <w:lang w:eastAsia="en-US"/>
              </w:rPr>
            </w:pPr>
            <w:r w:rsidRPr="00131EED">
              <w:rPr>
                <w:color w:val="000000"/>
                <w:sz w:val="20"/>
                <w:szCs w:val="20"/>
                <w:lang w:eastAsia="en-US"/>
              </w:rPr>
              <w:t>0.44%</w:t>
            </w:r>
          </w:p>
        </w:tc>
      </w:tr>
      <w:tr w:rsidR="00AD315B" w:rsidRPr="00131EED" w14:paraId="2757DE2E"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4FEC65E9"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Tabio</w:t>
            </w:r>
          </w:p>
        </w:tc>
        <w:tc>
          <w:tcPr>
            <w:tcW w:w="1701" w:type="dxa"/>
            <w:tcBorders>
              <w:top w:val="nil"/>
              <w:left w:val="nil"/>
              <w:bottom w:val="single" w:sz="4" w:space="0" w:color="auto"/>
              <w:right w:val="single" w:sz="4" w:space="0" w:color="auto"/>
            </w:tcBorders>
            <w:noWrap/>
            <w:vAlign w:val="center"/>
            <w:hideMark/>
          </w:tcPr>
          <w:p w14:paraId="3B0E812C" w14:textId="77777777" w:rsidR="00AD315B" w:rsidRPr="00131EED" w:rsidRDefault="00AD315B" w:rsidP="00AD315B">
            <w:pPr>
              <w:jc w:val="center"/>
              <w:rPr>
                <w:color w:val="000000"/>
                <w:sz w:val="20"/>
                <w:szCs w:val="20"/>
                <w:lang w:eastAsia="en-US"/>
              </w:rPr>
            </w:pPr>
            <w:r w:rsidRPr="00131EED">
              <w:rPr>
                <w:color w:val="000000"/>
                <w:sz w:val="20"/>
                <w:szCs w:val="20"/>
                <w:lang w:eastAsia="en-US"/>
              </w:rPr>
              <w:t>180.9316</w:t>
            </w:r>
          </w:p>
        </w:tc>
        <w:tc>
          <w:tcPr>
            <w:tcW w:w="1842" w:type="dxa"/>
            <w:tcBorders>
              <w:top w:val="nil"/>
              <w:left w:val="nil"/>
              <w:bottom w:val="single" w:sz="4" w:space="0" w:color="auto"/>
              <w:right w:val="single" w:sz="4" w:space="0" w:color="auto"/>
            </w:tcBorders>
            <w:noWrap/>
            <w:vAlign w:val="center"/>
            <w:hideMark/>
          </w:tcPr>
          <w:p w14:paraId="367E538B" w14:textId="77777777" w:rsidR="00AD315B" w:rsidRPr="00131EED" w:rsidRDefault="00AD315B" w:rsidP="00AD315B">
            <w:pPr>
              <w:jc w:val="center"/>
              <w:rPr>
                <w:color w:val="000000"/>
                <w:sz w:val="20"/>
                <w:szCs w:val="20"/>
                <w:lang w:eastAsia="en-US"/>
              </w:rPr>
            </w:pPr>
            <w:r w:rsidRPr="00131EED">
              <w:rPr>
                <w:color w:val="000000"/>
                <w:sz w:val="20"/>
                <w:szCs w:val="20"/>
                <w:lang w:eastAsia="en-US"/>
              </w:rPr>
              <w:t>2.41%</w:t>
            </w:r>
          </w:p>
        </w:tc>
      </w:tr>
      <w:tr w:rsidR="00AD315B" w:rsidRPr="00131EED" w14:paraId="09C53953"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70F346A7"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Tausa</w:t>
            </w:r>
          </w:p>
        </w:tc>
        <w:tc>
          <w:tcPr>
            <w:tcW w:w="1701" w:type="dxa"/>
            <w:tcBorders>
              <w:top w:val="nil"/>
              <w:left w:val="nil"/>
              <w:bottom w:val="single" w:sz="4" w:space="0" w:color="auto"/>
              <w:right w:val="single" w:sz="4" w:space="0" w:color="auto"/>
            </w:tcBorders>
            <w:noWrap/>
            <w:vAlign w:val="center"/>
            <w:hideMark/>
          </w:tcPr>
          <w:p w14:paraId="3FEA5A7F" w14:textId="77777777" w:rsidR="00AD315B" w:rsidRPr="00131EED" w:rsidRDefault="00AD315B" w:rsidP="00AD315B">
            <w:pPr>
              <w:jc w:val="center"/>
              <w:rPr>
                <w:color w:val="000000"/>
                <w:sz w:val="20"/>
                <w:szCs w:val="20"/>
                <w:lang w:eastAsia="en-US"/>
              </w:rPr>
            </w:pPr>
            <w:r w:rsidRPr="00131EED">
              <w:rPr>
                <w:color w:val="000000"/>
                <w:sz w:val="20"/>
                <w:szCs w:val="20"/>
                <w:lang w:eastAsia="en-US"/>
              </w:rPr>
              <w:t>7.9448</w:t>
            </w:r>
          </w:p>
        </w:tc>
        <w:tc>
          <w:tcPr>
            <w:tcW w:w="1842" w:type="dxa"/>
            <w:tcBorders>
              <w:top w:val="nil"/>
              <w:left w:val="nil"/>
              <w:bottom w:val="single" w:sz="4" w:space="0" w:color="auto"/>
              <w:right w:val="single" w:sz="4" w:space="0" w:color="auto"/>
            </w:tcBorders>
            <w:noWrap/>
            <w:vAlign w:val="center"/>
            <w:hideMark/>
          </w:tcPr>
          <w:p w14:paraId="1C9E8E49" w14:textId="77777777" w:rsidR="00AD315B" w:rsidRPr="00131EED" w:rsidRDefault="00AD315B" w:rsidP="00AD315B">
            <w:pPr>
              <w:jc w:val="center"/>
              <w:rPr>
                <w:color w:val="000000"/>
                <w:sz w:val="20"/>
                <w:szCs w:val="20"/>
                <w:lang w:eastAsia="en-US"/>
              </w:rPr>
            </w:pPr>
            <w:r w:rsidRPr="00131EED">
              <w:rPr>
                <w:color w:val="000000"/>
                <w:sz w:val="20"/>
                <w:szCs w:val="20"/>
                <w:lang w:eastAsia="en-US"/>
              </w:rPr>
              <w:t>0.06%</w:t>
            </w:r>
          </w:p>
        </w:tc>
      </w:tr>
      <w:tr w:rsidR="00AD315B" w:rsidRPr="00131EED" w14:paraId="6066AEA2"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6E34DE78"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Tenjo</w:t>
            </w:r>
          </w:p>
        </w:tc>
        <w:tc>
          <w:tcPr>
            <w:tcW w:w="1701" w:type="dxa"/>
            <w:tcBorders>
              <w:top w:val="nil"/>
              <w:left w:val="nil"/>
              <w:bottom w:val="single" w:sz="4" w:space="0" w:color="auto"/>
              <w:right w:val="single" w:sz="4" w:space="0" w:color="auto"/>
            </w:tcBorders>
            <w:noWrap/>
            <w:vAlign w:val="center"/>
            <w:hideMark/>
          </w:tcPr>
          <w:p w14:paraId="7D47A012" w14:textId="77777777" w:rsidR="00AD315B" w:rsidRPr="00131EED" w:rsidRDefault="00AD315B" w:rsidP="00AD315B">
            <w:pPr>
              <w:jc w:val="center"/>
              <w:rPr>
                <w:color w:val="000000"/>
                <w:sz w:val="20"/>
                <w:szCs w:val="20"/>
                <w:lang w:eastAsia="en-US"/>
              </w:rPr>
            </w:pPr>
            <w:r w:rsidRPr="00131EED">
              <w:rPr>
                <w:color w:val="000000"/>
                <w:sz w:val="20"/>
                <w:szCs w:val="20"/>
                <w:lang w:eastAsia="en-US"/>
              </w:rPr>
              <w:t>298.3951</w:t>
            </w:r>
          </w:p>
        </w:tc>
        <w:tc>
          <w:tcPr>
            <w:tcW w:w="1842" w:type="dxa"/>
            <w:tcBorders>
              <w:top w:val="nil"/>
              <w:left w:val="nil"/>
              <w:bottom w:val="single" w:sz="4" w:space="0" w:color="auto"/>
              <w:right w:val="single" w:sz="4" w:space="0" w:color="auto"/>
            </w:tcBorders>
            <w:noWrap/>
            <w:vAlign w:val="center"/>
            <w:hideMark/>
          </w:tcPr>
          <w:p w14:paraId="3FD4C3C2" w14:textId="77777777" w:rsidR="00AD315B" w:rsidRPr="00131EED" w:rsidRDefault="00AD315B" w:rsidP="00AD315B">
            <w:pPr>
              <w:jc w:val="center"/>
              <w:rPr>
                <w:color w:val="000000"/>
                <w:sz w:val="20"/>
                <w:szCs w:val="20"/>
                <w:lang w:eastAsia="en-US"/>
              </w:rPr>
            </w:pPr>
            <w:r w:rsidRPr="00131EED">
              <w:rPr>
                <w:color w:val="000000"/>
                <w:sz w:val="20"/>
                <w:szCs w:val="20"/>
                <w:lang w:eastAsia="en-US"/>
              </w:rPr>
              <w:t>2.62%</w:t>
            </w:r>
          </w:p>
        </w:tc>
      </w:tr>
      <w:tr w:rsidR="00AD315B" w:rsidRPr="00131EED" w14:paraId="320728FC"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5E466FCA"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Tocancipá</w:t>
            </w:r>
          </w:p>
        </w:tc>
        <w:tc>
          <w:tcPr>
            <w:tcW w:w="1701" w:type="dxa"/>
            <w:tcBorders>
              <w:top w:val="nil"/>
              <w:left w:val="nil"/>
              <w:bottom w:val="single" w:sz="4" w:space="0" w:color="auto"/>
              <w:right w:val="single" w:sz="4" w:space="0" w:color="auto"/>
            </w:tcBorders>
            <w:noWrap/>
            <w:vAlign w:val="center"/>
            <w:hideMark/>
          </w:tcPr>
          <w:p w14:paraId="4F3B8AA6" w14:textId="77777777" w:rsidR="00AD315B" w:rsidRPr="00131EED" w:rsidRDefault="00AD315B" w:rsidP="00AD315B">
            <w:pPr>
              <w:jc w:val="center"/>
              <w:rPr>
                <w:color w:val="000000"/>
                <w:sz w:val="20"/>
                <w:szCs w:val="20"/>
                <w:lang w:eastAsia="en-US"/>
              </w:rPr>
            </w:pPr>
            <w:r w:rsidRPr="00131EED">
              <w:rPr>
                <w:color w:val="000000"/>
                <w:sz w:val="20"/>
                <w:szCs w:val="20"/>
                <w:lang w:eastAsia="en-US"/>
              </w:rPr>
              <w:t>815.8330</w:t>
            </w:r>
          </w:p>
        </w:tc>
        <w:tc>
          <w:tcPr>
            <w:tcW w:w="1842" w:type="dxa"/>
            <w:tcBorders>
              <w:top w:val="nil"/>
              <w:left w:val="nil"/>
              <w:bottom w:val="single" w:sz="4" w:space="0" w:color="auto"/>
              <w:right w:val="single" w:sz="4" w:space="0" w:color="auto"/>
            </w:tcBorders>
            <w:noWrap/>
            <w:vAlign w:val="center"/>
            <w:hideMark/>
          </w:tcPr>
          <w:p w14:paraId="3A42DC38" w14:textId="77777777" w:rsidR="00AD315B" w:rsidRPr="00131EED" w:rsidRDefault="00AD315B" w:rsidP="00AD315B">
            <w:pPr>
              <w:jc w:val="center"/>
              <w:rPr>
                <w:color w:val="000000"/>
                <w:sz w:val="20"/>
                <w:szCs w:val="20"/>
                <w:lang w:eastAsia="en-US"/>
              </w:rPr>
            </w:pPr>
            <w:r w:rsidRPr="00131EED">
              <w:rPr>
                <w:color w:val="000000"/>
                <w:sz w:val="20"/>
                <w:szCs w:val="20"/>
                <w:lang w:eastAsia="en-US"/>
              </w:rPr>
              <w:t>11.15%</w:t>
            </w:r>
          </w:p>
        </w:tc>
      </w:tr>
      <w:tr w:rsidR="00AD315B" w:rsidRPr="00131EED" w14:paraId="3579322A"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57BC20D0"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Villapinzon</w:t>
            </w:r>
          </w:p>
        </w:tc>
        <w:tc>
          <w:tcPr>
            <w:tcW w:w="1701" w:type="dxa"/>
            <w:tcBorders>
              <w:top w:val="nil"/>
              <w:left w:val="nil"/>
              <w:bottom w:val="single" w:sz="4" w:space="0" w:color="auto"/>
              <w:right w:val="single" w:sz="4" w:space="0" w:color="auto"/>
            </w:tcBorders>
            <w:noWrap/>
            <w:vAlign w:val="center"/>
            <w:hideMark/>
          </w:tcPr>
          <w:p w14:paraId="6743C086" w14:textId="77777777" w:rsidR="00AD315B" w:rsidRPr="00131EED" w:rsidRDefault="00AD315B" w:rsidP="00AD315B">
            <w:pPr>
              <w:jc w:val="center"/>
              <w:rPr>
                <w:color w:val="000000"/>
                <w:sz w:val="20"/>
                <w:szCs w:val="20"/>
                <w:lang w:eastAsia="en-US"/>
              </w:rPr>
            </w:pPr>
            <w:r w:rsidRPr="00131EED">
              <w:rPr>
                <w:color w:val="000000"/>
                <w:sz w:val="20"/>
                <w:szCs w:val="20"/>
                <w:lang w:eastAsia="en-US"/>
              </w:rPr>
              <w:t>42.8690</w:t>
            </w:r>
          </w:p>
        </w:tc>
        <w:tc>
          <w:tcPr>
            <w:tcW w:w="1842" w:type="dxa"/>
            <w:tcBorders>
              <w:top w:val="nil"/>
              <w:left w:val="nil"/>
              <w:bottom w:val="single" w:sz="4" w:space="0" w:color="auto"/>
              <w:right w:val="single" w:sz="4" w:space="0" w:color="auto"/>
            </w:tcBorders>
            <w:noWrap/>
            <w:vAlign w:val="center"/>
            <w:hideMark/>
          </w:tcPr>
          <w:p w14:paraId="2D3DC346" w14:textId="77777777" w:rsidR="00AD315B" w:rsidRPr="00131EED" w:rsidRDefault="00AD315B" w:rsidP="00AD315B">
            <w:pPr>
              <w:jc w:val="center"/>
              <w:rPr>
                <w:color w:val="000000"/>
                <w:sz w:val="20"/>
                <w:szCs w:val="20"/>
                <w:lang w:eastAsia="en-US"/>
              </w:rPr>
            </w:pPr>
            <w:r w:rsidRPr="00131EED">
              <w:rPr>
                <w:color w:val="000000"/>
                <w:sz w:val="20"/>
                <w:szCs w:val="20"/>
                <w:lang w:eastAsia="en-US"/>
              </w:rPr>
              <w:t>0.34%</w:t>
            </w:r>
          </w:p>
        </w:tc>
      </w:tr>
      <w:tr w:rsidR="00AD315B" w:rsidRPr="00131EED" w14:paraId="45AC9738"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05865804" w14:textId="77777777" w:rsidR="00AD315B" w:rsidRPr="00131EED" w:rsidRDefault="00AD315B" w:rsidP="00401469">
            <w:pPr>
              <w:jc w:val="left"/>
              <w:rPr>
                <w:b/>
                <w:color w:val="000000"/>
                <w:sz w:val="20"/>
                <w:szCs w:val="20"/>
                <w:lang w:eastAsia="en-US"/>
              </w:rPr>
            </w:pPr>
            <w:r w:rsidRPr="00131EED">
              <w:rPr>
                <w:b/>
                <w:color w:val="000000"/>
                <w:sz w:val="20"/>
                <w:szCs w:val="20"/>
                <w:lang w:eastAsia="en-US"/>
              </w:rPr>
              <w:t>Zipaquirá</w:t>
            </w:r>
          </w:p>
        </w:tc>
        <w:tc>
          <w:tcPr>
            <w:tcW w:w="1701" w:type="dxa"/>
            <w:tcBorders>
              <w:top w:val="nil"/>
              <w:left w:val="nil"/>
              <w:bottom w:val="single" w:sz="4" w:space="0" w:color="auto"/>
              <w:right w:val="single" w:sz="4" w:space="0" w:color="auto"/>
            </w:tcBorders>
            <w:noWrap/>
            <w:vAlign w:val="center"/>
            <w:hideMark/>
          </w:tcPr>
          <w:p w14:paraId="0DEB545E" w14:textId="77777777" w:rsidR="00AD315B" w:rsidRPr="00131EED" w:rsidRDefault="00AD315B" w:rsidP="00AD315B">
            <w:pPr>
              <w:jc w:val="center"/>
              <w:rPr>
                <w:color w:val="000000"/>
                <w:sz w:val="20"/>
                <w:szCs w:val="20"/>
                <w:lang w:eastAsia="en-US"/>
              </w:rPr>
            </w:pPr>
            <w:r w:rsidRPr="00131EED">
              <w:rPr>
                <w:color w:val="000000"/>
                <w:sz w:val="20"/>
                <w:szCs w:val="20"/>
                <w:lang w:eastAsia="en-US"/>
              </w:rPr>
              <w:t>392.3024</w:t>
            </w:r>
          </w:p>
        </w:tc>
        <w:tc>
          <w:tcPr>
            <w:tcW w:w="1842" w:type="dxa"/>
            <w:tcBorders>
              <w:top w:val="nil"/>
              <w:left w:val="nil"/>
              <w:bottom w:val="single" w:sz="4" w:space="0" w:color="auto"/>
              <w:right w:val="single" w:sz="4" w:space="0" w:color="auto"/>
            </w:tcBorders>
            <w:noWrap/>
            <w:vAlign w:val="center"/>
            <w:hideMark/>
          </w:tcPr>
          <w:p w14:paraId="1810557F" w14:textId="77777777" w:rsidR="00AD315B" w:rsidRPr="00131EED" w:rsidRDefault="00AD315B" w:rsidP="00AD315B">
            <w:pPr>
              <w:jc w:val="center"/>
              <w:rPr>
                <w:color w:val="000000"/>
                <w:sz w:val="20"/>
                <w:szCs w:val="20"/>
                <w:lang w:eastAsia="en-US"/>
              </w:rPr>
            </w:pPr>
            <w:r w:rsidRPr="00131EED">
              <w:rPr>
                <w:color w:val="000000"/>
                <w:sz w:val="20"/>
                <w:szCs w:val="20"/>
                <w:lang w:eastAsia="en-US"/>
              </w:rPr>
              <w:t>2.16%</w:t>
            </w:r>
          </w:p>
        </w:tc>
      </w:tr>
      <w:tr w:rsidR="00AD315B" w:rsidRPr="00131EED" w14:paraId="10D76412" w14:textId="77777777" w:rsidTr="00401469">
        <w:trPr>
          <w:trHeight w:val="288"/>
        </w:trPr>
        <w:tc>
          <w:tcPr>
            <w:tcW w:w="2410" w:type="dxa"/>
            <w:tcBorders>
              <w:top w:val="nil"/>
              <w:left w:val="single" w:sz="4" w:space="0" w:color="auto"/>
              <w:bottom w:val="single" w:sz="4" w:space="0" w:color="auto"/>
              <w:right w:val="single" w:sz="4" w:space="0" w:color="auto"/>
            </w:tcBorders>
            <w:noWrap/>
            <w:vAlign w:val="center"/>
            <w:hideMark/>
          </w:tcPr>
          <w:p w14:paraId="09320E06" w14:textId="77777777" w:rsidR="00AD315B" w:rsidRPr="00131EED" w:rsidRDefault="00AD315B" w:rsidP="00401469">
            <w:pPr>
              <w:jc w:val="right"/>
              <w:rPr>
                <w:b/>
                <w:color w:val="000000"/>
                <w:sz w:val="20"/>
                <w:szCs w:val="20"/>
                <w:lang w:eastAsia="en-US"/>
              </w:rPr>
            </w:pPr>
            <w:r w:rsidRPr="00131EED">
              <w:rPr>
                <w:b/>
                <w:color w:val="000000"/>
                <w:sz w:val="20"/>
                <w:szCs w:val="20"/>
                <w:lang w:eastAsia="en-US"/>
              </w:rPr>
              <w:t>Total</w:t>
            </w:r>
          </w:p>
        </w:tc>
        <w:tc>
          <w:tcPr>
            <w:tcW w:w="3543" w:type="dxa"/>
            <w:gridSpan w:val="2"/>
            <w:tcBorders>
              <w:top w:val="single" w:sz="4" w:space="0" w:color="auto"/>
              <w:left w:val="nil"/>
              <w:bottom w:val="single" w:sz="4" w:space="0" w:color="auto"/>
              <w:right w:val="single" w:sz="4" w:space="0" w:color="auto"/>
            </w:tcBorders>
            <w:noWrap/>
            <w:vAlign w:val="center"/>
            <w:hideMark/>
          </w:tcPr>
          <w:p w14:paraId="6050A504" w14:textId="77777777" w:rsidR="00AD315B" w:rsidRPr="00131EED" w:rsidRDefault="00AD315B" w:rsidP="00401469">
            <w:pPr>
              <w:jc w:val="right"/>
              <w:rPr>
                <w:color w:val="000000"/>
                <w:sz w:val="20"/>
                <w:szCs w:val="20"/>
                <w:lang w:eastAsia="en-US"/>
              </w:rPr>
            </w:pPr>
            <w:r w:rsidRPr="00131EED">
              <w:rPr>
                <w:color w:val="000000"/>
                <w:sz w:val="20"/>
                <w:szCs w:val="20"/>
                <w:lang w:eastAsia="en-US"/>
              </w:rPr>
              <w:t>14167.8910</w:t>
            </w:r>
          </w:p>
        </w:tc>
      </w:tr>
    </w:tbl>
    <w:p w14:paraId="10202CF4" w14:textId="77777777" w:rsidR="00286E89" w:rsidRPr="00131EED" w:rsidRDefault="00286E89" w:rsidP="00286E89">
      <w:pPr>
        <w:jc w:val="center"/>
        <w:rPr>
          <w:sz w:val="20"/>
          <w:szCs w:val="20"/>
        </w:rPr>
      </w:pPr>
      <w:r w:rsidRPr="00131EED">
        <w:rPr>
          <w:sz w:val="20"/>
          <w:szCs w:val="20"/>
        </w:rPr>
        <w:t>Fuente: MinAmbiente (2025)</w:t>
      </w:r>
    </w:p>
    <w:p w14:paraId="0AB6255B" w14:textId="77777777" w:rsidR="00565CA7" w:rsidRPr="00131EED" w:rsidRDefault="00565CA7" w:rsidP="00410194">
      <w:pPr>
        <w:pStyle w:val="Heading3"/>
        <w:numPr>
          <w:ilvl w:val="3"/>
          <w:numId w:val="31"/>
        </w:numPr>
        <w:rPr>
          <w:i/>
        </w:rPr>
      </w:pPr>
      <w:bookmarkStart w:id="365" w:name="_Toc216468743"/>
      <w:r w:rsidRPr="00131EED">
        <w:rPr>
          <w:rFonts w:eastAsia="Century Gothic"/>
          <w:i/>
        </w:rPr>
        <w:t>La pérdida de suelo sobre la actual estructura ecológica regional</w:t>
      </w:r>
      <w:bookmarkEnd w:id="365"/>
      <w:r w:rsidRPr="00131EED">
        <w:rPr>
          <w:rFonts w:eastAsia="Century Gothic"/>
          <w:i/>
        </w:rPr>
        <w:t xml:space="preserve"> </w:t>
      </w:r>
    </w:p>
    <w:p w14:paraId="08C3B93A" w14:textId="77777777" w:rsidR="00565CA7" w:rsidRPr="00131EED" w:rsidRDefault="00565CA7" w:rsidP="00565CA7">
      <w:pPr>
        <w:rPr>
          <w:rFonts w:ascii="Baskerville" w:hAnsi="Baskerville" w:cs="Arial"/>
        </w:rPr>
      </w:pPr>
    </w:p>
    <w:p w14:paraId="57A59D24" w14:textId="77777777" w:rsidR="00565CA7" w:rsidRPr="00131EED" w:rsidRDefault="00565CA7" w:rsidP="00565CA7">
      <w:pPr>
        <w:rPr>
          <w:rFonts w:cs="Arial"/>
        </w:rPr>
      </w:pPr>
      <w:r w:rsidRPr="00131EED">
        <w:rPr>
          <w:rFonts w:cs="Arial"/>
        </w:rPr>
        <w:t>En el mismo sentido, teniendo en cuenta que mediante la Resolución No. 20217000599 del 7 de diciembre de 2021, la Corporación Autónoma Regional de Bogotá-Cundinamarca adoptó la Estructura Ecológica Principal del ámbito de su jurisdicción, fue posible identificar la superposición de la huella de ocupación con los principales componentes de la estructura. El resultado del análisis evidencia un total de 1.846,1 ha de Estructura Ecológica Principal en superposición con la huella de ocupación, de las cuales el 64,8% corresponden a elementos núcleo, es decir, a espacios con alto grado de conservación, relacionados con páramos delimitados, áreas protegidas declaradas y biocorredores, mientras que el 31,5% corresponde a superposiciones con conectores, es decir, con elementos de carácter lineal que facilitan la conexión entre zonas de núcleo, nodos y macrocorredores, siendo los drenajes sencillos y dobles los mejores elementos para representar este componente.</w:t>
      </w:r>
    </w:p>
    <w:p w14:paraId="078A5B54" w14:textId="77777777" w:rsidR="00565CA7" w:rsidRPr="00131EED" w:rsidRDefault="00565CA7" w:rsidP="00565CA7">
      <w:pPr>
        <w:rPr>
          <w:rFonts w:ascii="Baskerville" w:hAnsi="Baskerville" w:cs="Arial"/>
        </w:rPr>
      </w:pPr>
    </w:p>
    <w:p w14:paraId="61DE528C" w14:textId="375D8B37" w:rsidR="00565CA7" w:rsidRPr="00131EED" w:rsidRDefault="00565CA7" w:rsidP="008823DB">
      <w:pPr>
        <w:pStyle w:val="Caption"/>
        <w:jc w:val="center"/>
        <w:rPr>
          <w:rStyle w:val="SubtleReference"/>
          <w:smallCaps w:val="0"/>
          <w:color w:val="44546A"/>
        </w:rPr>
      </w:pPr>
      <w:bookmarkStart w:id="366" w:name="_Toc216468981"/>
      <w:r w:rsidRPr="00131EED">
        <w:t xml:space="preserve">Tabla </w:t>
      </w:r>
      <w:fldSimple w:instr=" SEQ Tabla \* ARABIC ">
        <w:r w:rsidR="00CE096F">
          <w:rPr>
            <w:noProof/>
          </w:rPr>
          <w:t>71</w:t>
        </w:r>
      </w:fldSimple>
      <w:r w:rsidRPr="00131EED">
        <w:t xml:space="preserve"> </w:t>
      </w:r>
      <w:r w:rsidRPr="00131EED">
        <w:rPr>
          <w:rStyle w:val="SubtleReference"/>
          <w:smallCaps w:val="0"/>
          <w:color w:val="44546A"/>
        </w:rPr>
        <w:t xml:space="preserve"> Superposiciones de huella de ocupación con Estructura Ecológica Principal Regional</w:t>
      </w:r>
      <w:bookmarkEnd w:id="366"/>
    </w:p>
    <w:tbl>
      <w:tblPr>
        <w:tblW w:w="4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52"/>
        <w:gridCol w:w="2221"/>
      </w:tblGrid>
      <w:tr w:rsidR="00565CA7" w:rsidRPr="00131EED" w14:paraId="24F65FB5" w14:textId="77777777" w:rsidTr="006A01CD">
        <w:trPr>
          <w:trHeight w:val="550"/>
          <w:jc w:val="center"/>
        </w:trPr>
        <w:tc>
          <w:tcPr>
            <w:tcW w:w="4673" w:type="dxa"/>
            <w:gridSpan w:val="2"/>
            <w:vMerge w:val="restart"/>
            <w:shd w:val="clear" w:color="000000" w:fill="B5E6A2"/>
            <w:vAlign w:val="center"/>
            <w:hideMark/>
          </w:tcPr>
          <w:p w14:paraId="2911A512" w14:textId="77777777" w:rsidR="00565CA7" w:rsidRPr="00131EED" w:rsidRDefault="00565CA7" w:rsidP="006A01CD">
            <w:pPr>
              <w:jc w:val="center"/>
              <w:rPr>
                <w:rFonts w:cs="Arial"/>
                <w:b/>
                <w:color w:val="000000"/>
                <w:sz w:val="20"/>
                <w:szCs w:val="20"/>
                <w:lang w:eastAsia="es-CO"/>
              </w:rPr>
            </w:pPr>
            <w:r w:rsidRPr="00131EED">
              <w:rPr>
                <w:rFonts w:cs="Arial"/>
                <w:b/>
                <w:color w:val="000000"/>
                <w:sz w:val="20"/>
                <w:szCs w:val="20"/>
                <w:lang w:eastAsia="es-CO"/>
              </w:rPr>
              <w:t>Superposiciones con Estructura Ecológica Principal Regional</w:t>
            </w:r>
          </w:p>
        </w:tc>
      </w:tr>
      <w:tr w:rsidR="00565CA7" w:rsidRPr="00131EED" w14:paraId="69D86632" w14:textId="77777777" w:rsidTr="006A01CD">
        <w:trPr>
          <w:trHeight w:val="519"/>
          <w:jc w:val="center"/>
        </w:trPr>
        <w:tc>
          <w:tcPr>
            <w:tcW w:w="4673" w:type="dxa"/>
            <w:gridSpan w:val="2"/>
            <w:vMerge/>
            <w:vAlign w:val="center"/>
            <w:hideMark/>
          </w:tcPr>
          <w:p w14:paraId="1AC27720" w14:textId="77777777" w:rsidR="00565CA7" w:rsidRPr="00131EED" w:rsidRDefault="00565CA7" w:rsidP="00B60DA2">
            <w:pPr>
              <w:rPr>
                <w:rFonts w:cs="Arial"/>
                <w:b/>
                <w:color w:val="000000"/>
                <w:sz w:val="20"/>
                <w:szCs w:val="20"/>
                <w:lang w:eastAsia="es-CO"/>
              </w:rPr>
            </w:pPr>
          </w:p>
        </w:tc>
      </w:tr>
      <w:tr w:rsidR="00565CA7" w:rsidRPr="00131EED" w14:paraId="1019E7E4" w14:textId="77777777" w:rsidTr="006A01CD">
        <w:trPr>
          <w:trHeight w:val="217"/>
          <w:jc w:val="center"/>
        </w:trPr>
        <w:tc>
          <w:tcPr>
            <w:tcW w:w="2452" w:type="dxa"/>
            <w:shd w:val="clear" w:color="000000" w:fill="DAF2D0"/>
            <w:noWrap/>
            <w:vAlign w:val="bottom"/>
            <w:hideMark/>
          </w:tcPr>
          <w:p w14:paraId="2DD58BC5" w14:textId="77777777" w:rsidR="00565CA7" w:rsidRPr="00131EED" w:rsidRDefault="00565CA7" w:rsidP="00B60DA2">
            <w:pPr>
              <w:rPr>
                <w:rFonts w:cs="Arial"/>
                <w:b/>
                <w:color w:val="000000"/>
                <w:sz w:val="20"/>
                <w:szCs w:val="20"/>
                <w:lang w:eastAsia="es-CO"/>
              </w:rPr>
            </w:pPr>
            <w:r w:rsidRPr="00131EED">
              <w:rPr>
                <w:rFonts w:cs="Arial"/>
                <w:b/>
                <w:color w:val="000000"/>
                <w:sz w:val="20"/>
                <w:szCs w:val="20"/>
                <w:lang w:eastAsia="es-CO"/>
              </w:rPr>
              <w:t>Componente</w:t>
            </w:r>
          </w:p>
        </w:tc>
        <w:tc>
          <w:tcPr>
            <w:tcW w:w="2221" w:type="dxa"/>
            <w:shd w:val="clear" w:color="000000" w:fill="DAF2D0"/>
            <w:noWrap/>
            <w:vAlign w:val="bottom"/>
            <w:hideMark/>
          </w:tcPr>
          <w:p w14:paraId="745FC4DA" w14:textId="77777777" w:rsidR="00565CA7" w:rsidRPr="00131EED" w:rsidRDefault="00565CA7" w:rsidP="006A01CD">
            <w:pPr>
              <w:jc w:val="center"/>
              <w:rPr>
                <w:rFonts w:cs="Arial"/>
                <w:b/>
                <w:color w:val="000000"/>
                <w:sz w:val="20"/>
                <w:szCs w:val="20"/>
                <w:lang w:eastAsia="es-CO"/>
              </w:rPr>
            </w:pPr>
            <w:r w:rsidRPr="00131EED">
              <w:rPr>
                <w:rFonts w:cs="Arial"/>
                <w:b/>
                <w:color w:val="000000"/>
                <w:sz w:val="20"/>
                <w:szCs w:val="20"/>
                <w:lang w:eastAsia="es-CO"/>
              </w:rPr>
              <w:t>Área ha</w:t>
            </w:r>
          </w:p>
        </w:tc>
      </w:tr>
      <w:tr w:rsidR="00565CA7" w:rsidRPr="00131EED" w14:paraId="6DE92319" w14:textId="77777777" w:rsidTr="006A01CD">
        <w:trPr>
          <w:trHeight w:val="217"/>
          <w:jc w:val="center"/>
        </w:trPr>
        <w:tc>
          <w:tcPr>
            <w:tcW w:w="2452" w:type="dxa"/>
            <w:noWrap/>
            <w:vAlign w:val="bottom"/>
            <w:hideMark/>
          </w:tcPr>
          <w:p w14:paraId="4CE1DE5C" w14:textId="77777777" w:rsidR="00565CA7" w:rsidRPr="00131EED" w:rsidRDefault="00565CA7" w:rsidP="00B60DA2">
            <w:pPr>
              <w:rPr>
                <w:rFonts w:cs="Arial"/>
                <w:color w:val="000000"/>
                <w:sz w:val="20"/>
                <w:szCs w:val="20"/>
                <w:lang w:eastAsia="es-CO"/>
              </w:rPr>
            </w:pPr>
            <w:r w:rsidRPr="00131EED">
              <w:rPr>
                <w:rFonts w:cs="Arial"/>
                <w:color w:val="000000"/>
                <w:sz w:val="20"/>
                <w:szCs w:val="20"/>
                <w:lang w:eastAsia="es-CO"/>
              </w:rPr>
              <w:t>Conectores</w:t>
            </w:r>
          </w:p>
        </w:tc>
        <w:tc>
          <w:tcPr>
            <w:tcW w:w="2221" w:type="dxa"/>
            <w:noWrap/>
            <w:vAlign w:val="bottom"/>
            <w:hideMark/>
          </w:tcPr>
          <w:p w14:paraId="101C42AC" w14:textId="77777777" w:rsidR="00565CA7" w:rsidRPr="00131EED" w:rsidRDefault="00565CA7" w:rsidP="006A01CD">
            <w:pPr>
              <w:jc w:val="center"/>
              <w:rPr>
                <w:rFonts w:cs="Arial"/>
                <w:color w:val="000000"/>
                <w:sz w:val="20"/>
                <w:szCs w:val="20"/>
                <w:lang w:eastAsia="es-CO"/>
              </w:rPr>
            </w:pPr>
            <w:r w:rsidRPr="00131EED">
              <w:rPr>
                <w:rFonts w:cs="Arial"/>
                <w:color w:val="000000"/>
                <w:sz w:val="20"/>
                <w:szCs w:val="20"/>
                <w:lang w:eastAsia="es-CO"/>
              </w:rPr>
              <w:t>582,3</w:t>
            </w:r>
          </w:p>
        </w:tc>
      </w:tr>
      <w:tr w:rsidR="00565CA7" w:rsidRPr="00131EED" w14:paraId="5EC99258" w14:textId="77777777" w:rsidTr="006A01CD">
        <w:trPr>
          <w:trHeight w:val="217"/>
          <w:jc w:val="center"/>
        </w:trPr>
        <w:tc>
          <w:tcPr>
            <w:tcW w:w="2452" w:type="dxa"/>
            <w:noWrap/>
            <w:vAlign w:val="bottom"/>
            <w:hideMark/>
          </w:tcPr>
          <w:p w14:paraId="23F47011" w14:textId="77777777" w:rsidR="00565CA7" w:rsidRPr="00131EED" w:rsidRDefault="00565CA7" w:rsidP="00B60DA2">
            <w:pPr>
              <w:rPr>
                <w:rFonts w:cs="Arial"/>
                <w:color w:val="000000"/>
                <w:sz w:val="20"/>
                <w:szCs w:val="20"/>
                <w:lang w:eastAsia="es-CO"/>
              </w:rPr>
            </w:pPr>
            <w:r w:rsidRPr="00131EED">
              <w:rPr>
                <w:rFonts w:cs="Arial"/>
                <w:color w:val="000000"/>
                <w:sz w:val="20"/>
                <w:szCs w:val="20"/>
                <w:lang w:eastAsia="es-CO"/>
              </w:rPr>
              <w:t>Nodos</w:t>
            </w:r>
          </w:p>
        </w:tc>
        <w:tc>
          <w:tcPr>
            <w:tcW w:w="2221" w:type="dxa"/>
            <w:noWrap/>
            <w:vAlign w:val="bottom"/>
            <w:hideMark/>
          </w:tcPr>
          <w:p w14:paraId="737C0AEC" w14:textId="77777777" w:rsidR="00565CA7" w:rsidRPr="00131EED" w:rsidRDefault="00565CA7" w:rsidP="006A01CD">
            <w:pPr>
              <w:jc w:val="center"/>
              <w:rPr>
                <w:rFonts w:cs="Arial"/>
                <w:color w:val="000000"/>
                <w:sz w:val="20"/>
                <w:szCs w:val="20"/>
                <w:lang w:eastAsia="es-CO"/>
              </w:rPr>
            </w:pPr>
            <w:r w:rsidRPr="00131EED">
              <w:rPr>
                <w:rFonts w:cs="Arial"/>
                <w:color w:val="000000"/>
                <w:sz w:val="20"/>
                <w:szCs w:val="20"/>
                <w:lang w:eastAsia="es-CO"/>
              </w:rPr>
              <w:t>68,2</w:t>
            </w:r>
          </w:p>
        </w:tc>
      </w:tr>
      <w:tr w:rsidR="00565CA7" w:rsidRPr="00131EED" w14:paraId="4D7D1688" w14:textId="77777777" w:rsidTr="006A01CD">
        <w:trPr>
          <w:trHeight w:val="217"/>
          <w:jc w:val="center"/>
        </w:trPr>
        <w:tc>
          <w:tcPr>
            <w:tcW w:w="2452" w:type="dxa"/>
            <w:noWrap/>
            <w:vAlign w:val="bottom"/>
            <w:hideMark/>
          </w:tcPr>
          <w:p w14:paraId="76002B7B" w14:textId="77777777" w:rsidR="00565CA7" w:rsidRPr="00131EED" w:rsidRDefault="00565CA7" w:rsidP="00B60DA2">
            <w:pPr>
              <w:rPr>
                <w:rFonts w:cs="Arial"/>
                <w:color w:val="000000"/>
                <w:sz w:val="20"/>
                <w:szCs w:val="20"/>
                <w:lang w:eastAsia="es-CO"/>
              </w:rPr>
            </w:pPr>
            <w:r w:rsidRPr="00131EED">
              <w:rPr>
                <w:rFonts w:cs="Arial"/>
                <w:color w:val="000000"/>
                <w:sz w:val="20"/>
                <w:szCs w:val="20"/>
                <w:lang w:eastAsia="es-CO"/>
              </w:rPr>
              <w:t>Elementos Núcleo</w:t>
            </w:r>
          </w:p>
        </w:tc>
        <w:tc>
          <w:tcPr>
            <w:tcW w:w="2221" w:type="dxa"/>
            <w:noWrap/>
            <w:vAlign w:val="bottom"/>
            <w:hideMark/>
          </w:tcPr>
          <w:p w14:paraId="7F911500" w14:textId="77777777" w:rsidR="00565CA7" w:rsidRPr="00131EED" w:rsidRDefault="00565CA7" w:rsidP="006A01CD">
            <w:pPr>
              <w:jc w:val="center"/>
              <w:rPr>
                <w:rFonts w:cs="Arial"/>
                <w:color w:val="000000"/>
                <w:sz w:val="20"/>
                <w:szCs w:val="20"/>
                <w:lang w:eastAsia="es-CO"/>
              </w:rPr>
            </w:pPr>
            <w:r w:rsidRPr="00131EED">
              <w:rPr>
                <w:rFonts w:cs="Arial"/>
                <w:color w:val="000000"/>
                <w:sz w:val="20"/>
                <w:szCs w:val="20"/>
                <w:lang w:eastAsia="es-CO"/>
              </w:rPr>
              <w:t>1195,5</w:t>
            </w:r>
          </w:p>
        </w:tc>
      </w:tr>
      <w:tr w:rsidR="00565CA7" w:rsidRPr="00131EED" w14:paraId="5EA1CF79" w14:textId="77777777" w:rsidTr="006A01CD">
        <w:trPr>
          <w:trHeight w:val="217"/>
          <w:jc w:val="center"/>
        </w:trPr>
        <w:tc>
          <w:tcPr>
            <w:tcW w:w="2452" w:type="dxa"/>
            <w:shd w:val="clear" w:color="000000" w:fill="DAF2D0"/>
            <w:noWrap/>
            <w:vAlign w:val="bottom"/>
            <w:hideMark/>
          </w:tcPr>
          <w:p w14:paraId="52D65006" w14:textId="77777777" w:rsidR="00565CA7" w:rsidRPr="00131EED" w:rsidRDefault="00565CA7" w:rsidP="00B60DA2">
            <w:pPr>
              <w:rPr>
                <w:rFonts w:cs="Arial"/>
                <w:b/>
                <w:color w:val="000000"/>
                <w:sz w:val="20"/>
                <w:szCs w:val="20"/>
                <w:lang w:eastAsia="es-CO"/>
              </w:rPr>
            </w:pPr>
            <w:r w:rsidRPr="00131EED">
              <w:rPr>
                <w:rFonts w:cs="Arial"/>
                <w:b/>
                <w:color w:val="000000"/>
                <w:sz w:val="20"/>
                <w:szCs w:val="20"/>
                <w:lang w:eastAsia="es-CO"/>
              </w:rPr>
              <w:t>Total</w:t>
            </w:r>
          </w:p>
        </w:tc>
        <w:tc>
          <w:tcPr>
            <w:tcW w:w="2221" w:type="dxa"/>
            <w:shd w:val="clear" w:color="000000" w:fill="DAF2D0"/>
            <w:noWrap/>
            <w:vAlign w:val="bottom"/>
            <w:hideMark/>
          </w:tcPr>
          <w:p w14:paraId="02C8D03F" w14:textId="77777777" w:rsidR="00565CA7" w:rsidRPr="00131EED" w:rsidRDefault="00565CA7" w:rsidP="006A01CD">
            <w:pPr>
              <w:jc w:val="center"/>
              <w:rPr>
                <w:rFonts w:cs="Arial"/>
                <w:b/>
                <w:color w:val="000000"/>
                <w:sz w:val="20"/>
                <w:szCs w:val="20"/>
                <w:lang w:eastAsia="es-CO"/>
              </w:rPr>
            </w:pPr>
            <w:r w:rsidRPr="00131EED">
              <w:rPr>
                <w:rFonts w:cs="Arial"/>
                <w:b/>
                <w:color w:val="000000"/>
                <w:sz w:val="20"/>
                <w:szCs w:val="20"/>
                <w:lang w:eastAsia="es-CO"/>
              </w:rPr>
              <w:t>1846,1</w:t>
            </w:r>
          </w:p>
        </w:tc>
      </w:tr>
    </w:tbl>
    <w:p w14:paraId="2B33B774" w14:textId="77777777" w:rsidR="0003793B" w:rsidRPr="00131EED" w:rsidRDefault="0003793B" w:rsidP="00565CA7">
      <w:pPr>
        <w:rPr>
          <w:rFonts w:cs="Arial"/>
          <w:sz w:val="20"/>
          <w:szCs w:val="20"/>
        </w:rPr>
      </w:pPr>
    </w:p>
    <w:p w14:paraId="00A13B63" w14:textId="77777777" w:rsidR="00565CA7" w:rsidRPr="00131EED" w:rsidRDefault="00565CA7" w:rsidP="0003793B">
      <w:pPr>
        <w:jc w:val="center"/>
        <w:rPr>
          <w:rFonts w:cs="Arial"/>
          <w:sz w:val="20"/>
          <w:szCs w:val="20"/>
        </w:rPr>
      </w:pPr>
      <w:r w:rsidRPr="00131EED">
        <w:rPr>
          <w:rFonts w:cs="Arial"/>
          <w:sz w:val="20"/>
          <w:szCs w:val="20"/>
        </w:rPr>
        <w:t>Fuente: Elaboración propia a partir de cartografía de la Estructura Ecológica Principal de la CAR, adoptada mediante Resolución CAR 20217000599 del 7 de diciembre de 2021</w:t>
      </w:r>
    </w:p>
    <w:p w14:paraId="4470040E" w14:textId="77777777" w:rsidR="00565CA7" w:rsidRPr="00131EED" w:rsidRDefault="00565CA7" w:rsidP="00565CA7">
      <w:pPr>
        <w:rPr>
          <w:rFonts w:cs="Arial"/>
        </w:rPr>
      </w:pPr>
    </w:p>
    <w:p w14:paraId="6A459153" w14:textId="77777777" w:rsidR="00401469" w:rsidRPr="00131EED" w:rsidRDefault="00401469" w:rsidP="00565CA7">
      <w:pPr>
        <w:rPr>
          <w:rFonts w:cs="Arial"/>
        </w:rPr>
      </w:pPr>
    </w:p>
    <w:p w14:paraId="185864AE" w14:textId="77777777" w:rsidR="00565CA7" w:rsidRPr="00131EED" w:rsidRDefault="00565CA7" w:rsidP="00565CA7">
      <w:pPr>
        <w:rPr>
          <w:rFonts w:cs="Arial"/>
        </w:rPr>
      </w:pPr>
      <w:r w:rsidRPr="00131EED">
        <w:rPr>
          <w:rFonts w:cs="Arial"/>
        </w:rPr>
        <w:t>En términos de las superposiciones con Estructura Ecológica Principal Regional a nivel municipal, se pudo determinar que 5 municipios del ámbito Sabana representan el 83.4% del total, correspondientes a Bogotá, La Calera, Mosquera, Funza y Chía.</w:t>
      </w:r>
    </w:p>
    <w:p w14:paraId="34EEDFA0" w14:textId="77777777" w:rsidR="0003793B" w:rsidRPr="00131EED" w:rsidRDefault="0003793B" w:rsidP="00565CA7">
      <w:pPr>
        <w:rPr>
          <w:rFonts w:ascii="Arial" w:hAnsi="Arial" w:cs="Arial"/>
          <w:sz w:val="18"/>
          <w:szCs w:val="18"/>
        </w:rPr>
      </w:pPr>
    </w:p>
    <w:p w14:paraId="2FC7D76B" w14:textId="2D7A1CF9" w:rsidR="0003793B" w:rsidRPr="00131EED" w:rsidRDefault="00565CA7" w:rsidP="00764F79">
      <w:pPr>
        <w:pStyle w:val="Caption"/>
      </w:pPr>
      <w:r w:rsidRPr="00131EED">
        <w:t>Tabla 15. Superposición con Estructura Ecológica Principal Regional a nivel municipal en el ámbito Sabana</w:t>
      </w:r>
    </w:p>
    <w:tbl>
      <w:tblPr>
        <w:tblW w:w="7631" w:type="dxa"/>
        <w:jc w:val="center"/>
        <w:tblCellMar>
          <w:left w:w="70" w:type="dxa"/>
          <w:right w:w="70" w:type="dxa"/>
        </w:tblCellMar>
        <w:tblLook w:val="04A0" w:firstRow="1" w:lastRow="0" w:firstColumn="1" w:lastColumn="0" w:noHBand="0" w:noVBand="1"/>
      </w:tblPr>
      <w:tblGrid>
        <w:gridCol w:w="1991"/>
        <w:gridCol w:w="1793"/>
        <w:gridCol w:w="1281"/>
        <w:gridCol w:w="1285"/>
        <w:gridCol w:w="1281"/>
      </w:tblGrid>
      <w:tr w:rsidR="00565CA7" w:rsidRPr="00131EED" w14:paraId="0DE61D72" w14:textId="77777777" w:rsidTr="00053167">
        <w:trPr>
          <w:trHeight w:val="182"/>
          <w:tblHeader/>
          <w:jc w:val="center"/>
        </w:trPr>
        <w:tc>
          <w:tcPr>
            <w:tcW w:w="1991" w:type="dxa"/>
            <w:vMerge w:val="restart"/>
            <w:tcBorders>
              <w:top w:val="single" w:sz="8" w:space="0" w:color="auto"/>
              <w:left w:val="single" w:sz="8" w:space="0" w:color="auto"/>
              <w:bottom w:val="single" w:sz="8" w:space="0" w:color="000000"/>
              <w:right w:val="single" w:sz="8" w:space="0" w:color="auto"/>
            </w:tcBorders>
            <w:shd w:val="clear" w:color="000000" w:fill="B5E6A2"/>
            <w:noWrap/>
            <w:vAlign w:val="center"/>
            <w:hideMark/>
          </w:tcPr>
          <w:p w14:paraId="56CB496B" w14:textId="77777777" w:rsidR="00565CA7" w:rsidRPr="00131EED" w:rsidRDefault="00565CA7" w:rsidP="00B60DA2">
            <w:pPr>
              <w:rPr>
                <w:rFonts w:cs="Arial"/>
                <w:b/>
                <w:color w:val="000000"/>
                <w:sz w:val="20"/>
                <w:szCs w:val="20"/>
              </w:rPr>
            </w:pPr>
            <w:r w:rsidRPr="00131EED">
              <w:rPr>
                <w:rFonts w:cs="Arial"/>
                <w:b/>
                <w:color w:val="000000"/>
                <w:sz w:val="20"/>
                <w:szCs w:val="20"/>
              </w:rPr>
              <w:t>Municipios</w:t>
            </w:r>
          </w:p>
        </w:tc>
        <w:tc>
          <w:tcPr>
            <w:tcW w:w="4359" w:type="dxa"/>
            <w:gridSpan w:val="3"/>
            <w:tcBorders>
              <w:top w:val="single" w:sz="8" w:space="0" w:color="auto"/>
              <w:left w:val="nil"/>
              <w:bottom w:val="single" w:sz="8" w:space="0" w:color="auto"/>
              <w:right w:val="single" w:sz="8" w:space="0" w:color="000000"/>
            </w:tcBorders>
            <w:shd w:val="clear" w:color="000000" w:fill="B5E6A2"/>
            <w:noWrap/>
            <w:vAlign w:val="center"/>
            <w:hideMark/>
          </w:tcPr>
          <w:p w14:paraId="4FCC6324" w14:textId="77777777" w:rsidR="00565CA7" w:rsidRPr="00131EED" w:rsidRDefault="00565CA7" w:rsidP="006A01CD">
            <w:pPr>
              <w:jc w:val="center"/>
              <w:rPr>
                <w:rFonts w:cs="Arial"/>
                <w:b/>
                <w:color w:val="000000"/>
                <w:sz w:val="20"/>
                <w:szCs w:val="20"/>
              </w:rPr>
            </w:pPr>
            <w:r w:rsidRPr="00131EED">
              <w:rPr>
                <w:rFonts w:cs="Arial"/>
                <w:b/>
                <w:color w:val="000000"/>
                <w:sz w:val="20"/>
                <w:szCs w:val="20"/>
              </w:rPr>
              <w:t>Componente EEP</w:t>
            </w:r>
          </w:p>
        </w:tc>
        <w:tc>
          <w:tcPr>
            <w:tcW w:w="1281" w:type="dxa"/>
            <w:vMerge w:val="restart"/>
            <w:tcBorders>
              <w:top w:val="single" w:sz="8" w:space="0" w:color="auto"/>
              <w:left w:val="single" w:sz="8" w:space="0" w:color="auto"/>
              <w:bottom w:val="single" w:sz="8" w:space="0" w:color="000000"/>
              <w:right w:val="single" w:sz="8" w:space="0" w:color="auto"/>
            </w:tcBorders>
            <w:shd w:val="clear" w:color="000000" w:fill="B5E6A2"/>
            <w:noWrap/>
            <w:vAlign w:val="center"/>
            <w:hideMark/>
          </w:tcPr>
          <w:p w14:paraId="6F042AAD" w14:textId="77777777" w:rsidR="00565CA7" w:rsidRPr="00131EED" w:rsidRDefault="00565CA7" w:rsidP="00B60DA2">
            <w:pPr>
              <w:rPr>
                <w:rFonts w:cs="Arial"/>
                <w:b/>
                <w:color w:val="000000"/>
                <w:sz w:val="20"/>
                <w:szCs w:val="20"/>
              </w:rPr>
            </w:pPr>
            <w:r w:rsidRPr="00131EED">
              <w:rPr>
                <w:rFonts w:cs="Arial"/>
                <w:b/>
                <w:color w:val="000000"/>
                <w:sz w:val="20"/>
                <w:szCs w:val="20"/>
              </w:rPr>
              <w:t>Total general</w:t>
            </w:r>
          </w:p>
        </w:tc>
      </w:tr>
      <w:tr w:rsidR="00565CA7" w:rsidRPr="00131EED" w14:paraId="5F3CCC37" w14:textId="77777777" w:rsidTr="00053167">
        <w:trPr>
          <w:trHeight w:val="333"/>
          <w:tblHeader/>
          <w:jc w:val="center"/>
        </w:trPr>
        <w:tc>
          <w:tcPr>
            <w:tcW w:w="1991" w:type="dxa"/>
            <w:vMerge/>
            <w:tcBorders>
              <w:top w:val="single" w:sz="8" w:space="0" w:color="auto"/>
              <w:left w:val="single" w:sz="8" w:space="0" w:color="auto"/>
              <w:bottom w:val="single" w:sz="8" w:space="0" w:color="000000"/>
              <w:right w:val="single" w:sz="8" w:space="0" w:color="auto"/>
            </w:tcBorders>
            <w:vAlign w:val="center"/>
            <w:hideMark/>
          </w:tcPr>
          <w:p w14:paraId="500455C9" w14:textId="77777777" w:rsidR="00565CA7" w:rsidRPr="00131EED" w:rsidRDefault="00565CA7" w:rsidP="00B60DA2">
            <w:pPr>
              <w:rPr>
                <w:rFonts w:cs="Arial"/>
                <w:b/>
                <w:color w:val="000000"/>
                <w:sz w:val="20"/>
                <w:szCs w:val="20"/>
              </w:rPr>
            </w:pPr>
          </w:p>
        </w:tc>
        <w:tc>
          <w:tcPr>
            <w:tcW w:w="1793" w:type="dxa"/>
            <w:tcBorders>
              <w:top w:val="nil"/>
              <w:left w:val="nil"/>
              <w:bottom w:val="single" w:sz="8" w:space="0" w:color="auto"/>
              <w:right w:val="single" w:sz="8" w:space="0" w:color="auto"/>
            </w:tcBorders>
            <w:shd w:val="clear" w:color="000000" w:fill="DAF2D0"/>
            <w:vAlign w:val="center"/>
            <w:hideMark/>
          </w:tcPr>
          <w:p w14:paraId="515BE2C6" w14:textId="77777777" w:rsidR="00565CA7" w:rsidRPr="00131EED" w:rsidRDefault="00565CA7" w:rsidP="006A01CD">
            <w:pPr>
              <w:jc w:val="center"/>
              <w:rPr>
                <w:rFonts w:cs="Arial"/>
                <w:b/>
                <w:color w:val="000000"/>
                <w:sz w:val="20"/>
                <w:szCs w:val="20"/>
              </w:rPr>
            </w:pPr>
            <w:r w:rsidRPr="00131EED">
              <w:rPr>
                <w:rFonts w:cs="Arial"/>
                <w:b/>
                <w:color w:val="000000"/>
                <w:sz w:val="20"/>
                <w:szCs w:val="20"/>
              </w:rPr>
              <w:t>Conectores</w:t>
            </w:r>
          </w:p>
        </w:tc>
        <w:tc>
          <w:tcPr>
            <w:tcW w:w="1281" w:type="dxa"/>
            <w:tcBorders>
              <w:top w:val="nil"/>
              <w:left w:val="nil"/>
              <w:bottom w:val="single" w:sz="8" w:space="0" w:color="auto"/>
              <w:right w:val="single" w:sz="8" w:space="0" w:color="auto"/>
            </w:tcBorders>
            <w:shd w:val="clear" w:color="000000" w:fill="DAF2D0"/>
            <w:vAlign w:val="center"/>
            <w:hideMark/>
          </w:tcPr>
          <w:p w14:paraId="4D17AF34" w14:textId="77777777" w:rsidR="00565CA7" w:rsidRPr="00131EED" w:rsidRDefault="00565CA7" w:rsidP="006A01CD">
            <w:pPr>
              <w:jc w:val="center"/>
              <w:rPr>
                <w:rFonts w:cs="Arial"/>
                <w:b/>
                <w:color w:val="000000"/>
                <w:sz w:val="20"/>
                <w:szCs w:val="20"/>
              </w:rPr>
            </w:pPr>
            <w:r w:rsidRPr="00131EED">
              <w:rPr>
                <w:rFonts w:cs="Arial"/>
                <w:b/>
                <w:color w:val="000000"/>
                <w:sz w:val="20"/>
                <w:szCs w:val="20"/>
              </w:rPr>
              <w:t>Elementos Núcleo</w:t>
            </w:r>
          </w:p>
        </w:tc>
        <w:tc>
          <w:tcPr>
            <w:tcW w:w="1284" w:type="dxa"/>
            <w:tcBorders>
              <w:top w:val="nil"/>
              <w:left w:val="nil"/>
              <w:bottom w:val="single" w:sz="8" w:space="0" w:color="auto"/>
              <w:right w:val="single" w:sz="8" w:space="0" w:color="auto"/>
            </w:tcBorders>
            <w:shd w:val="clear" w:color="000000" w:fill="DAF2D0"/>
            <w:vAlign w:val="center"/>
            <w:hideMark/>
          </w:tcPr>
          <w:p w14:paraId="20A93F99" w14:textId="77777777" w:rsidR="00565CA7" w:rsidRPr="00131EED" w:rsidRDefault="00565CA7" w:rsidP="006A01CD">
            <w:pPr>
              <w:jc w:val="center"/>
              <w:rPr>
                <w:rFonts w:cs="Arial"/>
                <w:b/>
                <w:color w:val="000000"/>
                <w:sz w:val="20"/>
                <w:szCs w:val="20"/>
              </w:rPr>
            </w:pPr>
            <w:r w:rsidRPr="00131EED">
              <w:rPr>
                <w:rFonts w:cs="Arial"/>
                <w:b/>
                <w:color w:val="000000"/>
                <w:sz w:val="20"/>
                <w:szCs w:val="20"/>
              </w:rPr>
              <w:t>Nodos</w:t>
            </w:r>
          </w:p>
        </w:tc>
        <w:tc>
          <w:tcPr>
            <w:tcW w:w="1281" w:type="dxa"/>
            <w:vMerge/>
            <w:tcBorders>
              <w:top w:val="single" w:sz="8" w:space="0" w:color="auto"/>
              <w:left w:val="single" w:sz="8" w:space="0" w:color="auto"/>
              <w:bottom w:val="single" w:sz="8" w:space="0" w:color="000000"/>
              <w:right w:val="single" w:sz="8" w:space="0" w:color="auto"/>
            </w:tcBorders>
            <w:vAlign w:val="center"/>
            <w:hideMark/>
          </w:tcPr>
          <w:p w14:paraId="17F9A507" w14:textId="77777777" w:rsidR="00565CA7" w:rsidRPr="00131EED" w:rsidRDefault="00565CA7" w:rsidP="00B60DA2">
            <w:pPr>
              <w:rPr>
                <w:rFonts w:cs="Arial"/>
                <w:b/>
                <w:color w:val="000000"/>
                <w:sz w:val="20"/>
                <w:szCs w:val="20"/>
              </w:rPr>
            </w:pPr>
          </w:p>
        </w:tc>
      </w:tr>
      <w:tr w:rsidR="00565CA7" w:rsidRPr="00131EED" w14:paraId="30E32390"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3A734F8B" w14:textId="77777777" w:rsidR="00565CA7" w:rsidRPr="00131EED" w:rsidRDefault="00565CA7" w:rsidP="00B60DA2">
            <w:pPr>
              <w:rPr>
                <w:rFonts w:cs="Arial"/>
                <w:b/>
                <w:color w:val="000000"/>
                <w:sz w:val="20"/>
                <w:szCs w:val="20"/>
              </w:rPr>
            </w:pPr>
            <w:r w:rsidRPr="00131EED">
              <w:rPr>
                <w:rFonts w:cs="Arial"/>
                <w:b/>
                <w:color w:val="000000"/>
                <w:sz w:val="20"/>
                <w:szCs w:val="20"/>
              </w:rPr>
              <w:t>Bogotá, D.C.</w:t>
            </w:r>
          </w:p>
        </w:tc>
        <w:tc>
          <w:tcPr>
            <w:tcW w:w="1793" w:type="dxa"/>
            <w:tcBorders>
              <w:top w:val="nil"/>
              <w:left w:val="nil"/>
              <w:bottom w:val="single" w:sz="8" w:space="0" w:color="auto"/>
              <w:right w:val="single" w:sz="8" w:space="0" w:color="auto"/>
            </w:tcBorders>
            <w:noWrap/>
            <w:vAlign w:val="center"/>
            <w:hideMark/>
          </w:tcPr>
          <w:p w14:paraId="74BF611C" w14:textId="77777777" w:rsidR="00565CA7" w:rsidRPr="00131EED" w:rsidRDefault="00565CA7" w:rsidP="006A01CD">
            <w:pPr>
              <w:jc w:val="center"/>
              <w:rPr>
                <w:rFonts w:cs="Arial"/>
                <w:color w:val="000000"/>
                <w:sz w:val="20"/>
                <w:szCs w:val="20"/>
              </w:rPr>
            </w:pPr>
            <w:r w:rsidRPr="00131EED">
              <w:rPr>
                <w:rFonts w:cs="Arial"/>
                <w:color w:val="000000"/>
                <w:sz w:val="20"/>
                <w:szCs w:val="20"/>
              </w:rPr>
              <w:t>246,6</w:t>
            </w:r>
          </w:p>
        </w:tc>
        <w:tc>
          <w:tcPr>
            <w:tcW w:w="1281" w:type="dxa"/>
            <w:tcBorders>
              <w:top w:val="nil"/>
              <w:left w:val="nil"/>
              <w:bottom w:val="single" w:sz="8" w:space="0" w:color="auto"/>
              <w:right w:val="single" w:sz="8" w:space="0" w:color="auto"/>
            </w:tcBorders>
            <w:noWrap/>
            <w:vAlign w:val="center"/>
            <w:hideMark/>
          </w:tcPr>
          <w:p w14:paraId="6CFD524D" w14:textId="77777777" w:rsidR="00565CA7" w:rsidRPr="00131EED" w:rsidRDefault="00565CA7" w:rsidP="006A01CD">
            <w:pPr>
              <w:jc w:val="center"/>
              <w:rPr>
                <w:rFonts w:cs="Arial"/>
                <w:color w:val="000000"/>
                <w:sz w:val="20"/>
                <w:szCs w:val="20"/>
              </w:rPr>
            </w:pPr>
            <w:r w:rsidRPr="00131EED">
              <w:rPr>
                <w:rFonts w:cs="Arial"/>
                <w:color w:val="000000"/>
                <w:sz w:val="20"/>
                <w:szCs w:val="20"/>
              </w:rPr>
              <w:t>696,5</w:t>
            </w:r>
          </w:p>
        </w:tc>
        <w:tc>
          <w:tcPr>
            <w:tcW w:w="1284" w:type="dxa"/>
            <w:tcBorders>
              <w:top w:val="nil"/>
              <w:left w:val="nil"/>
              <w:bottom w:val="single" w:sz="8" w:space="0" w:color="auto"/>
              <w:right w:val="single" w:sz="8" w:space="0" w:color="auto"/>
            </w:tcBorders>
            <w:noWrap/>
            <w:vAlign w:val="center"/>
            <w:hideMark/>
          </w:tcPr>
          <w:p w14:paraId="4D4B39CD" w14:textId="77777777" w:rsidR="00565CA7" w:rsidRPr="00131EED" w:rsidRDefault="00565CA7" w:rsidP="006A01CD">
            <w:pPr>
              <w:jc w:val="center"/>
              <w:rPr>
                <w:rFonts w:cs="Arial"/>
                <w:color w:val="000000"/>
                <w:sz w:val="20"/>
                <w:szCs w:val="20"/>
              </w:rPr>
            </w:pPr>
            <w:r w:rsidRPr="00131EED">
              <w:rPr>
                <w:rFonts w:cs="Arial"/>
                <w:color w:val="000000"/>
                <w:sz w:val="20"/>
                <w:szCs w:val="20"/>
              </w:rPr>
              <w:t>35,4</w:t>
            </w:r>
          </w:p>
        </w:tc>
        <w:tc>
          <w:tcPr>
            <w:tcW w:w="1281" w:type="dxa"/>
            <w:tcBorders>
              <w:top w:val="nil"/>
              <w:left w:val="nil"/>
              <w:bottom w:val="single" w:sz="8" w:space="0" w:color="auto"/>
              <w:right w:val="single" w:sz="8" w:space="0" w:color="auto"/>
            </w:tcBorders>
            <w:noWrap/>
            <w:vAlign w:val="center"/>
            <w:hideMark/>
          </w:tcPr>
          <w:p w14:paraId="59F5419E" w14:textId="77777777" w:rsidR="00565CA7" w:rsidRPr="00131EED" w:rsidRDefault="00565CA7" w:rsidP="006A01CD">
            <w:pPr>
              <w:jc w:val="right"/>
              <w:rPr>
                <w:rFonts w:cs="Arial"/>
                <w:color w:val="000000"/>
                <w:sz w:val="20"/>
                <w:szCs w:val="20"/>
              </w:rPr>
            </w:pPr>
            <w:r w:rsidRPr="00131EED">
              <w:rPr>
                <w:rFonts w:cs="Arial"/>
                <w:color w:val="000000"/>
                <w:sz w:val="20"/>
                <w:szCs w:val="20"/>
              </w:rPr>
              <w:t>978,4</w:t>
            </w:r>
          </w:p>
        </w:tc>
      </w:tr>
      <w:tr w:rsidR="00565CA7" w:rsidRPr="00131EED" w14:paraId="1B6960D1"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14D82B00" w14:textId="77777777" w:rsidR="00565CA7" w:rsidRPr="00131EED" w:rsidRDefault="00565CA7" w:rsidP="00B60DA2">
            <w:pPr>
              <w:rPr>
                <w:rFonts w:cs="Arial"/>
                <w:b/>
                <w:color w:val="000000"/>
                <w:sz w:val="20"/>
                <w:szCs w:val="20"/>
              </w:rPr>
            </w:pPr>
            <w:r w:rsidRPr="00131EED">
              <w:rPr>
                <w:rFonts w:cs="Arial"/>
                <w:b/>
                <w:color w:val="000000"/>
                <w:sz w:val="20"/>
                <w:szCs w:val="20"/>
              </w:rPr>
              <w:t>La Calera</w:t>
            </w:r>
          </w:p>
        </w:tc>
        <w:tc>
          <w:tcPr>
            <w:tcW w:w="1793" w:type="dxa"/>
            <w:tcBorders>
              <w:top w:val="nil"/>
              <w:left w:val="nil"/>
              <w:bottom w:val="single" w:sz="8" w:space="0" w:color="auto"/>
              <w:right w:val="single" w:sz="8" w:space="0" w:color="auto"/>
            </w:tcBorders>
            <w:noWrap/>
            <w:vAlign w:val="center"/>
            <w:hideMark/>
          </w:tcPr>
          <w:p w14:paraId="43F650C1" w14:textId="77777777" w:rsidR="00565CA7" w:rsidRPr="00131EED" w:rsidRDefault="00565CA7" w:rsidP="006A01CD">
            <w:pPr>
              <w:jc w:val="center"/>
              <w:rPr>
                <w:rFonts w:cs="Arial"/>
                <w:color w:val="000000"/>
                <w:sz w:val="20"/>
                <w:szCs w:val="20"/>
              </w:rPr>
            </w:pPr>
            <w:r w:rsidRPr="00131EED">
              <w:rPr>
                <w:rFonts w:cs="Arial"/>
                <w:color w:val="000000"/>
                <w:sz w:val="20"/>
                <w:szCs w:val="20"/>
              </w:rPr>
              <w:t>20,1</w:t>
            </w:r>
          </w:p>
        </w:tc>
        <w:tc>
          <w:tcPr>
            <w:tcW w:w="1281" w:type="dxa"/>
            <w:tcBorders>
              <w:top w:val="nil"/>
              <w:left w:val="nil"/>
              <w:bottom w:val="single" w:sz="8" w:space="0" w:color="auto"/>
              <w:right w:val="single" w:sz="8" w:space="0" w:color="auto"/>
            </w:tcBorders>
            <w:noWrap/>
            <w:vAlign w:val="center"/>
            <w:hideMark/>
          </w:tcPr>
          <w:p w14:paraId="5B84C6F7" w14:textId="77777777" w:rsidR="00565CA7" w:rsidRPr="00131EED" w:rsidRDefault="00565CA7" w:rsidP="006A01CD">
            <w:pPr>
              <w:jc w:val="center"/>
              <w:rPr>
                <w:rFonts w:cs="Arial"/>
                <w:color w:val="000000"/>
                <w:sz w:val="20"/>
                <w:szCs w:val="20"/>
              </w:rPr>
            </w:pPr>
            <w:r w:rsidRPr="00131EED">
              <w:rPr>
                <w:rFonts w:cs="Arial"/>
                <w:color w:val="000000"/>
                <w:sz w:val="20"/>
                <w:szCs w:val="20"/>
              </w:rPr>
              <w:t>241,5</w:t>
            </w:r>
          </w:p>
        </w:tc>
        <w:tc>
          <w:tcPr>
            <w:tcW w:w="1284" w:type="dxa"/>
            <w:tcBorders>
              <w:top w:val="nil"/>
              <w:left w:val="nil"/>
              <w:bottom w:val="single" w:sz="8" w:space="0" w:color="auto"/>
              <w:right w:val="single" w:sz="8" w:space="0" w:color="auto"/>
            </w:tcBorders>
            <w:noWrap/>
            <w:vAlign w:val="center"/>
            <w:hideMark/>
          </w:tcPr>
          <w:p w14:paraId="0FD1DD2E" w14:textId="40B45966"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011EF353" w14:textId="77777777" w:rsidR="00565CA7" w:rsidRPr="00131EED" w:rsidRDefault="00565CA7" w:rsidP="006A01CD">
            <w:pPr>
              <w:jc w:val="right"/>
              <w:rPr>
                <w:rFonts w:cs="Arial"/>
                <w:color w:val="000000"/>
                <w:sz w:val="20"/>
                <w:szCs w:val="20"/>
              </w:rPr>
            </w:pPr>
            <w:r w:rsidRPr="00131EED">
              <w:rPr>
                <w:rFonts w:cs="Arial"/>
                <w:color w:val="000000"/>
                <w:sz w:val="20"/>
                <w:szCs w:val="20"/>
              </w:rPr>
              <w:t>261,5</w:t>
            </w:r>
          </w:p>
        </w:tc>
      </w:tr>
      <w:tr w:rsidR="00565CA7" w:rsidRPr="00131EED" w14:paraId="54A58F95"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34B3E51B" w14:textId="77777777" w:rsidR="00565CA7" w:rsidRPr="00131EED" w:rsidRDefault="00565CA7" w:rsidP="00B60DA2">
            <w:pPr>
              <w:rPr>
                <w:rFonts w:cs="Arial"/>
                <w:b/>
                <w:color w:val="000000"/>
                <w:sz w:val="20"/>
                <w:szCs w:val="20"/>
              </w:rPr>
            </w:pPr>
            <w:r w:rsidRPr="00131EED">
              <w:rPr>
                <w:rFonts w:cs="Arial"/>
                <w:b/>
                <w:color w:val="000000"/>
                <w:sz w:val="20"/>
                <w:szCs w:val="20"/>
              </w:rPr>
              <w:t>Mosquera</w:t>
            </w:r>
          </w:p>
        </w:tc>
        <w:tc>
          <w:tcPr>
            <w:tcW w:w="1793" w:type="dxa"/>
            <w:tcBorders>
              <w:top w:val="nil"/>
              <w:left w:val="nil"/>
              <w:bottom w:val="single" w:sz="8" w:space="0" w:color="auto"/>
              <w:right w:val="single" w:sz="8" w:space="0" w:color="auto"/>
            </w:tcBorders>
            <w:noWrap/>
            <w:vAlign w:val="center"/>
            <w:hideMark/>
          </w:tcPr>
          <w:p w14:paraId="7468FE1B" w14:textId="77777777" w:rsidR="00565CA7" w:rsidRPr="00131EED" w:rsidRDefault="00565CA7" w:rsidP="006A01CD">
            <w:pPr>
              <w:jc w:val="center"/>
              <w:rPr>
                <w:rFonts w:cs="Arial"/>
                <w:color w:val="000000"/>
                <w:sz w:val="20"/>
                <w:szCs w:val="20"/>
              </w:rPr>
            </w:pPr>
            <w:r w:rsidRPr="00131EED">
              <w:rPr>
                <w:rFonts w:cs="Arial"/>
                <w:color w:val="000000"/>
                <w:sz w:val="20"/>
                <w:szCs w:val="20"/>
              </w:rPr>
              <w:t>39,5</w:t>
            </w:r>
          </w:p>
        </w:tc>
        <w:tc>
          <w:tcPr>
            <w:tcW w:w="1281" w:type="dxa"/>
            <w:tcBorders>
              <w:top w:val="nil"/>
              <w:left w:val="nil"/>
              <w:bottom w:val="single" w:sz="8" w:space="0" w:color="auto"/>
              <w:right w:val="single" w:sz="8" w:space="0" w:color="auto"/>
            </w:tcBorders>
            <w:noWrap/>
            <w:vAlign w:val="center"/>
            <w:hideMark/>
          </w:tcPr>
          <w:p w14:paraId="7AE94A54" w14:textId="77777777" w:rsidR="00565CA7" w:rsidRPr="00131EED" w:rsidRDefault="00565CA7" w:rsidP="006A01CD">
            <w:pPr>
              <w:jc w:val="center"/>
              <w:rPr>
                <w:rFonts w:cs="Arial"/>
                <w:color w:val="000000"/>
                <w:sz w:val="20"/>
                <w:szCs w:val="20"/>
              </w:rPr>
            </w:pPr>
            <w:r w:rsidRPr="00131EED">
              <w:rPr>
                <w:rFonts w:cs="Arial"/>
                <w:color w:val="000000"/>
                <w:sz w:val="20"/>
                <w:szCs w:val="20"/>
              </w:rPr>
              <w:t>85</w:t>
            </w:r>
          </w:p>
        </w:tc>
        <w:tc>
          <w:tcPr>
            <w:tcW w:w="1284" w:type="dxa"/>
            <w:tcBorders>
              <w:top w:val="nil"/>
              <w:left w:val="nil"/>
              <w:bottom w:val="single" w:sz="8" w:space="0" w:color="auto"/>
              <w:right w:val="single" w:sz="8" w:space="0" w:color="auto"/>
            </w:tcBorders>
            <w:noWrap/>
            <w:vAlign w:val="center"/>
            <w:hideMark/>
          </w:tcPr>
          <w:p w14:paraId="62D56C21" w14:textId="77777777" w:rsidR="00565CA7" w:rsidRPr="00131EED" w:rsidRDefault="00565CA7" w:rsidP="006A01CD">
            <w:pPr>
              <w:jc w:val="center"/>
              <w:rPr>
                <w:rFonts w:cs="Arial"/>
                <w:color w:val="000000"/>
                <w:sz w:val="20"/>
                <w:szCs w:val="20"/>
              </w:rPr>
            </w:pPr>
            <w:r w:rsidRPr="00131EED">
              <w:rPr>
                <w:rFonts w:cs="Arial"/>
                <w:color w:val="000000"/>
                <w:sz w:val="20"/>
                <w:szCs w:val="20"/>
              </w:rPr>
              <w:t>10,8</w:t>
            </w:r>
          </w:p>
        </w:tc>
        <w:tc>
          <w:tcPr>
            <w:tcW w:w="1281" w:type="dxa"/>
            <w:tcBorders>
              <w:top w:val="nil"/>
              <w:left w:val="nil"/>
              <w:bottom w:val="single" w:sz="8" w:space="0" w:color="auto"/>
              <w:right w:val="single" w:sz="8" w:space="0" w:color="auto"/>
            </w:tcBorders>
            <w:noWrap/>
            <w:vAlign w:val="center"/>
            <w:hideMark/>
          </w:tcPr>
          <w:p w14:paraId="30A21252" w14:textId="77777777" w:rsidR="00565CA7" w:rsidRPr="00131EED" w:rsidRDefault="00565CA7" w:rsidP="006A01CD">
            <w:pPr>
              <w:jc w:val="right"/>
              <w:rPr>
                <w:rFonts w:cs="Arial"/>
                <w:color w:val="000000"/>
                <w:sz w:val="20"/>
                <w:szCs w:val="20"/>
              </w:rPr>
            </w:pPr>
            <w:r w:rsidRPr="00131EED">
              <w:rPr>
                <w:rFonts w:cs="Arial"/>
                <w:color w:val="000000"/>
                <w:sz w:val="20"/>
                <w:szCs w:val="20"/>
              </w:rPr>
              <w:t>135,4</w:t>
            </w:r>
          </w:p>
        </w:tc>
      </w:tr>
      <w:tr w:rsidR="00565CA7" w:rsidRPr="00131EED" w14:paraId="4237CF08"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6E821F04" w14:textId="77777777" w:rsidR="00565CA7" w:rsidRPr="00131EED" w:rsidRDefault="00565CA7" w:rsidP="00B60DA2">
            <w:pPr>
              <w:rPr>
                <w:rFonts w:cs="Arial"/>
                <w:b/>
                <w:color w:val="000000"/>
                <w:sz w:val="20"/>
                <w:szCs w:val="20"/>
              </w:rPr>
            </w:pPr>
            <w:r w:rsidRPr="00131EED">
              <w:rPr>
                <w:rFonts w:cs="Arial"/>
                <w:b/>
                <w:color w:val="000000"/>
                <w:sz w:val="20"/>
                <w:szCs w:val="20"/>
              </w:rPr>
              <w:t>Funza</w:t>
            </w:r>
          </w:p>
        </w:tc>
        <w:tc>
          <w:tcPr>
            <w:tcW w:w="1793" w:type="dxa"/>
            <w:tcBorders>
              <w:top w:val="nil"/>
              <w:left w:val="nil"/>
              <w:bottom w:val="single" w:sz="8" w:space="0" w:color="auto"/>
              <w:right w:val="single" w:sz="8" w:space="0" w:color="auto"/>
            </w:tcBorders>
            <w:noWrap/>
            <w:vAlign w:val="center"/>
            <w:hideMark/>
          </w:tcPr>
          <w:p w14:paraId="10ECDF22" w14:textId="77777777" w:rsidR="00565CA7" w:rsidRPr="00131EED" w:rsidRDefault="00565CA7" w:rsidP="006A01CD">
            <w:pPr>
              <w:jc w:val="center"/>
              <w:rPr>
                <w:rFonts w:cs="Arial"/>
                <w:color w:val="000000"/>
                <w:sz w:val="20"/>
                <w:szCs w:val="20"/>
              </w:rPr>
            </w:pPr>
            <w:r w:rsidRPr="00131EED">
              <w:rPr>
                <w:rFonts w:cs="Arial"/>
                <w:color w:val="000000"/>
                <w:sz w:val="20"/>
                <w:szCs w:val="20"/>
              </w:rPr>
              <w:t>49,6</w:t>
            </w:r>
          </w:p>
        </w:tc>
        <w:tc>
          <w:tcPr>
            <w:tcW w:w="1281" w:type="dxa"/>
            <w:tcBorders>
              <w:top w:val="nil"/>
              <w:left w:val="nil"/>
              <w:bottom w:val="single" w:sz="8" w:space="0" w:color="auto"/>
              <w:right w:val="single" w:sz="8" w:space="0" w:color="auto"/>
            </w:tcBorders>
            <w:noWrap/>
            <w:vAlign w:val="center"/>
            <w:hideMark/>
          </w:tcPr>
          <w:p w14:paraId="6A38C66F" w14:textId="77777777" w:rsidR="00565CA7" w:rsidRPr="00131EED" w:rsidRDefault="00565CA7" w:rsidP="006A01CD">
            <w:pPr>
              <w:jc w:val="center"/>
              <w:rPr>
                <w:rFonts w:cs="Arial"/>
                <w:color w:val="000000"/>
                <w:sz w:val="20"/>
                <w:szCs w:val="20"/>
              </w:rPr>
            </w:pPr>
            <w:r w:rsidRPr="00131EED">
              <w:rPr>
                <w:rFonts w:cs="Arial"/>
                <w:color w:val="000000"/>
                <w:sz w:val="20"/>
                <w:szCs w:val="20"/>
              </w:rPr>
              <w:t>45,1</w:t>
            </w:r>
          </w:p>
        </w:tc>
        <w:tc>
          <w:tcPr>
            <w:tcW w:w="1284" w:type="dxa"/>
            <w:tcBorders>
              <w:top w:val="nil"/>
              <w:left w:val="nil"/>
              <w:bottom w:val="single" w:sz="8" w:space="0" w:color="auto"/>
              <w:right w:val="single" w:sz="8" w:space="0" w:color="auto"/>
            </w:tcBorders>
            <w:noWrap/>
            <w:vAlign w:val="center"/>
            <w:hideMark/>
          </w:tcPr>
          <w:p w14:paraId="1F217B2D" w14:textId="77777777" w:rsidR="00565CA7" w:rsidRPr="00131EED" w:rsidRDefault="00565CA7" w:rsidP="006A01CD">
            <w:pPr>
              <w:jc w:val="center"/>
              <w:rPr>
                <w:rFonts w:cs="Arial"/>
                <w:color w:val="000000"/>
                <w:sz w:val="20"/>
                <w:szCs w:val="20"/>
              </w:rPr>
            </w:pPr>
            <w:r w:rsidRPr="00131EED">
              <w:rPr>
                <w:rFonts w:cs="Arial"/>
                <w:color w:val="000000"/>
                <w:sz w:val="20"/>
                <w:szCs w:val="20"/>
              </w:rPr>
              <w:t>0</w:t>
            </w:r>
          </w:p>
        </w:tc>
        <w:tc>
          <w:tcPr>
            <w:tcW w:w="1281" w:type="dxa"/>
            <w:tcBorders>
              <w:top w:val="nil"/>
              <w:left w:val="nil"/>
              <w:bottom w:val="single" w:sz="8" w:space="0" w:color="auto"/>
              <w:right w:val="single" w:sz="8" w:space="0" w:color="auto"/>
            </w:tcBorders>
            <w:noWrap/>
            <w:vAlign w:val="center"/>
            <w:hideMark/>
          </w:tcPr>
          <w:p w14:paraId="627F2192" w14:textId="77777777" w:rsidR="00565CA7" w:rsidRPr="00131EED" w:rsidRDefault="00565CA7" w:rsidP="006A01CD">
            <w:pPr>
              <w:jc w:val="right"/>
              <w:rPr>
                <w:rFonts w:cs="Arial"/>
                <w:color w:val="000000"/>
                <w:sz w:val="20"/>
                <w:szCs w:val="20"/>
              </w:rPr>
            </w:pPr>
            <w:r w:rsidRPr="00131EED">
              <w:rPr>
                <w:rFonts w:cs="Arial"/>
                <w:color w:val="000000"/>
                <w:sz w:val="20"/>
                <w:szCs w:val="20"/>
              </w:rPr>
              <w:t>94,7</w:t>
            </w:r>
          </w:p>
        </w:tc>
      </w:tr>
      <w:tr w:rsidR="00565CA7" w:rsidRPr="00131EED" w14:paraId="53345D5A"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720E3C72" w14:textId="77777777" w:rsidR="00565CA7" w:rsidRPr="00131EED" w:rsidRDefault="00565CA7" w:rsidP="00B60DA2">
            <w:pPr>
              <w:rPr>
                <w:rFonts w:cs="Arial"/>
                <w:b/>
                <w:color w:val="000000"/>
                <w:sz w:val="20"/>
                <w:szCs w:val="20"/>
              </w:rPr>
            </w:pPr>
            <w:r w:rsidRPr="00131EED">
              <w:rPr>
                <w:rFonts w:cs="Arial"/>
                <w:b/>
                <w:color w:val="000000"/>
                <w:sz w:val="20"/>
                <w:szCs w:val="20"/>
              </w:rPr>
              <w:t>Chía</w:t>
            </w:r>
          </w:p>
        </w:tc>
        <w:tc>
          <w:tcPr>
            <w:tcW w:w="1793" w:type="dxa"/>
            <w:tcBorders>
              <w:top w:val="nil"/>
              <w:left w:val="nil"/>
              <w:bottom w:val="single" w:sz="8" w:space="0" w:color="auto"/>
              <w:right w:val="single" w:sz="8" w:space="0" w:color="auto"/>
            </w:tcBorders>
            <w:noWrap/>
            <w:vAlign w:val="center"/>
            <w:hideMark/>
          </w:tcPr>
          <w:p w14:paraId="2731D9C0" w14:textId="77777777" w:rsidR="00565CA7" w:rsidRPr="00131EED" w:rsidRDefault="00565CA7" w:rsidP="006A01CD">
            <w:pPr>
              <w:jc w:val="center"/>
              <w:rPr>
                <w:rFonts w:cs="Arial"/>
                <w:color w:val="000000"/>
                <w:sz w:val="20"/>
                <w:szCs w:val="20"/>
              </w:rPr>
            </w:pPr>
            <w:r w:rsidRPr="00131EED">
              <w:rPr>
                <w:rFonts w:cs="Arial"/>
                <w:color w:val="000000"/>
                <w:sz w:val="20"/>
                <w:szCs w:val="20"/>
              </w:rPr>
              <w:t>40</w:t>
            </w:r>
          </w:p>
        </w:tc>
        <w:tc>
          <w:tcPr>
            <w:tcW w:w="1281" w:type="dxa"/>
            <w:tcBorders>
              <w:top w:val="nil"/>
              <w:left w:val="nil"/>
              <w:bottom w:val="single" w:sz="8" w:space="0" w:color="auto"/>
              <w:right w:val="single" w:sz="8" w:space="0" w:color="auto"/>
            </w:tcBorders>
            <w:noWrap/>
            <w:vAlign w:val="center"/>
            <w:hideMark/>
          </w:tcPr>
          <w:p w14:paraId="3E7B69CD" w14:textId="77777777" w:rsidR="00565CA7" w:rsidRPr="00131EED" w:rsidRDefault="00565CA7" w:rsidP="006A01CD">
            <w:pPr>
              <w:jc w:val="center"/>
              <w:rPr>
                <w:rFonts w:cs="Arial"/>
                <w:color w:val="000000"/>
                <w:sz w:val="20"/>
                <w:szCs w:val="20"/>
              </w:rPr>
            </w:pPr>
            <w:r w:rsidRPr="00131EED">
              <w:rPr>
                <w:rFonts w:cs="Arial"/>
                <w:color w:val="000000"/>
                <w:sz w:val="20"/>
                <w:szCs w:val="20"/>
              </w:rPr>
              <w:t>15</w:t>
            </w:r>
          </w:p>
        </w:tc>
        <w:tc>
          <w:tcPr>
            <w:tcW w:w="1284" w:type="dxa"/>
            <w:tcBorders>
              <w:top w:val="nil"/>
              <w:left w:val="nil"/>
              <w:bottom w:val="single" w:sz="8" w:space="0" w:color="auto"/>
              <w:right w:val="single" w:sz="8" w:space="0" w:color="auto"/>
            </w:tcBorders>
            <w:noWrap/>
            <w:vAlign w:val="center"/>
            <w:hideMark/>
          </w:tcPr>
          <w:p w14:paraId="1F96A927" w14:textId="77777777" w:rsidR="00565CA7" w:rsidRPr="00131EED" w:rsidRDefault="00565CA7" w:rsidP="006A01CD">
            <w:pPr>
              <w:jc w:val="center"/>
              <w:rPr>
                <w:rFonts w:cs="Arial"/>
                <w:color w:val="000000"/>
                <w:sz w:val="20"/>
                <w:szCs w:val="20"/>
              </w:rPr>
            </w:pPr>
            <w:r w:rsidRPr="00131EED">
              <w:rPr>
                <w:rFonts w:cs="Arial"/>
                <w:color w:val="000000"/>
                <w:sz w:val="20"/>
                <w:szCs w:val="20"/>
              </w:rPr>
              <w:t>14,3</w:t>
            </w:r>
          </w:p>
        </w:tc>
        <w:tc>
          <w:tcPr>
            <w:tcW w:w="1281" w:type="dxa"/>
            <w:tcBorders>
              <w:top w:val="nil"/>
              <w:left w:val="nil"/>
              <w:bottom w:val="single" w:sz="8" w:space="0" w:color="auto"/>
              <w:right w:val="single" w:sz="8" w:space="0" w:color="auto"/>
            </w:tcBorders>
            <w:noWrap/>
            <w:vAlign w:val="center"/>
            <w:hideMark/>
          </w:tcPr>
          <w:p w14:paraId="71E4022D" w14:textId="77777777" w:rsidR="00565CA7" w:rsidRPr="00131EED" w:rsidRDefault="00565CA7" w:rsidP="006A01CD">
            <w:pPr>
              <w:jc w:val="right"/>
              <w:rPr>
                <w:rFonts w:cs="Arial"/>
                <w:color w:val="000000"/>
                <w:sz w:val="20"/>
                <w:szCs w:val="20"/>
              </w:rPr>
            </w:pPr>
            <w:r w:rsidRPr="00131EED">
              <w:rPr>
                <w:rFonts w:cs="Arial"/>
                <w:color w:val="000000"/>
                <w:sz w:val="20"/>
                <w:szCs w:val="20"/>
              </w:rPr>
              <w:t>69,3</w:t>
            </w:r>
          </w:p>
        </w:tc>
      </w:tr>
      <w:tr w:rsidR="00565CA7" w:rsidRPr="00131EED" w14:paraId="64B9E5F2"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1AEE19D8" w14:textId="77777777" w:rsidR="00565CA7" w:rsidRPr="00131EED" w:rsidRDefault="00565CA7" w:rsidP="00B60DA2">
            <w:pPr>
              <w:rPr>
                <w:rFonts w:cs="Arial"/>
                <w:b/>
                <w:color w:val="000000"/>
                <w:sz w:val="20"/>
                <w:szCs w:val="20"/>
              </w:rPr>
            </w:pPr>
            <w:r w:rsidRPr="00131EED">
              <w:rPr>
                <w:rFonts w:cs="Arial"/>
                <w:b/>
                <w:color w:val="000000"/>
                <w:sz w:val="20"/>
                <w:szCs w:val="20"/>
              </w:rPr>
              <w:t>Facatativá</w:t>
            </w:r>
          </w:p>
        </w:tc>
        <w:tc>
          <w:tcPr>
            <w:tcW w:w="1793" w:type="dxa"/>
            <w:tcBorders>
              <w:top w:val="nil"/>
              <w:left w:val="nil"/>
              <w:bottom w:val="single" w:sz="8" w:space="0" w:color="auto"/>
              <w:right w:val="single" w:sz="8" w:space="0" w:color="auto"/>
            </w:tcBorders>
            <w:noWrap/>
            <w:vAlign w:val="center"/>
            <w:hideMark/>
          </w:tcPr>
          <w:p w14:paraId="3B622645" w14:textId="77777777" w:rsidR="00565CA7" w:rsidRPr="00131EED" w:rsidRDefault="00565CA7" w:rsidP="006A01CD">
            <w:pPr>
              <w:jc w:val="center"/>
              <w:rPr>
                <w:rFonts w:cs="Arial"/>
                <w:color w:val="000000"/>
                <w:sz w:val="20"/>
                <w:szCs w:val="20"/>
              </w:rPr>
            </w:pPr>
            <w:r w:rsidRPr="00131EED">
              <w:rPr>
                <w:rFonts w:cs="Arial"/>
                <w:color w:val="000000"/>
                <w:sz w:val="20"/>
                <w:szCs w:val="20"/>
              </w:rPr>
              <w:t>8,6</w:t>
            </w:r>
          </w:p>
        </w:tc>
        <w:tc>
          <w:tcPr>
            <w:tcW w:w="1281" w:type="dxa"/>
            <w:tcBorders>
              <w:top w:val="nil"/>
              <w:left w:val="nil"/>
              <w:bottom w:val="single" w:sz="8" w:space="0" w:color="auto"/>
              <w:right w:val="single" w:sz="8" w:space="0" w:color="auto"/>
            </w:tcBorders>
            <w:noWrap/>
            <w:vAlign w:val="center"/>
            <w:hideMark/>
          </w:tcPr>
          <w:p w14:paraId="3F6304C0" w14:textId="77777777" w:rsidR="00565CA7" w:rsidRPr="00131EED" w:rsidRDefault="00565CA7" w:rsidP="006A01CD">
            <w:pPr>
              <w:jc w:val="center"/>
              <w:rPr>
                <w:rFonts w:cs="Arial"/>
                <w:color w:val="000000"/>
                <w:sz w:val="20"/>
                <w:szCs w:val="20"/>
              </w:rPr>
            </w:pPr>
            <w:r w:rsidRPr="00131EED">
              <w:rPr>
                <w:rFonts w:cs="Arial"/>
                <w:color w:val="000000"/>
                <w:sz w:val="20"/>
                <w:szCs w:val="20"/>
              </w:rPr>
              <w:t>46,6</w:t>
            </w:r>
          </w:p>
        </w:tc>
        <w:tc>
          <w:tcPr>
            <w:tcW w:w="1284" w:type="dxa"/>
            <w:tcBorders>
              <w:top w:val="nil"/>
              <w:left w:val="nil"/>
              <w:bottom w:val="single" w:sz="8" w:space="0" w:color="auto"/>
              <w:right w:val="single" w:sz="8" w:space="0" w:color="auto"/>
            </w:tcBorders>
            <w:noWrap/>
            <w:vAlign w:val="center"/>
            <w:hideMark/>
          </w:tcPr>
          <w:p w14:paraId="54BA11DD" w14:textId="77777777" w:rsidR="00565CA7" w:rsidRPr="00131EED" w:rsidRDefault="00565CA7" w:rsidP="006A01CD">
            <w:pPr>
              <w:jc w:val="center"/>
              <w:rPr>
                <w:rFonts w:cs="Arial"/>
                <w:color w:val="000000"/>
                <w:sz w:val="20"/>
                <w:szCs w:val="20"/>
              </w:rPr>
            </w:pPr>
            <w:r w:rsidRPr="00131EED">
              <w:rPr>
                <w:rFonts w:cs="Arial"/>
                <w:color w:val="000000"/>
                <w:sz w:val="20"/>
                <w:szCs w:val="20"/>
              </w:rPr>
              <w:t>0</w:t>
            </w:r>
          </w:p>
        </w:tc>
        <w:tc>
          <w:tcPr>
            <w:tcW w:w="1281" w:type="dxa"/>
            <w:tcBorders>
              <w:top w:val="nil"/>
              <w:left w:val="nil"/>
              <w:bottom w:val="single" w:sz="8" w:space="0" w:color="auto"/>
              <w:right w:val="single" w:sz="8" w:space="0" w:color="auto"/>
            </w:tcBorders>
            <w:noWrap/>
            <w:vAlign w:val="center"/>
            <w:hideMark/>
          </w:tcPr>
          <w:p w14:paraId="014C3C82" w14:textId="77777777" w:rsidR="00565CA7" w:rsidRPr="00131EED" w:rsidRDefault="00565CA7" w:rsidP="006A01CD">
            <w:pPr>
              <w:jc w:val="right"/>
              <w:rPr>
                <w:rFonts w:cs="Arial"/>
                <w:color w:val="000000"/>
                <w:sz w:val="20"/>
                <w:szCs w:val="20"/>
              </w:rPr>
            </w:pPr>
            <w:r w:rsidRPr="00131EED">
              <w:rPr>
                <w:rFonts w:cs="Arial"/>
                <w:color w:val="000000"/>
                <w:sz w:val="20"/>
                <w:szCs w:val="20"/>
              </w:rPr>
              <w:t>55,2</w:t>
            </w:r>
          </w:p>
        </w:tc>
      </w:tr>
      <w:tr w:rsidR="00565CA7" w:rsidRPr="00131EED" w14:paraId="15DF90A6"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4AB760E3" w14:textId="77777777" w:rsidR="00565CA7" w:rsidRPr="00131EED" w:rsidRDefault="00565CA7" w:rsidP="00B60DA2">
            <w:pPr>
              <w:rPr>
                <w:rFonts w:cs="Arial"/>
                <w:b/>
                <w:color w:val="000000"/>
                <w:sz w:val="20"/>
                <w:szCs w:val="20"/>
              </w:rPr>
            </w:pPr>
            <w:r w:rsidRPr="00131EED">
              <w:rPr>
                <w:rFonts w:cs="Arial"/>
                <w:b/>
                <w:color w:val="000000"/>
                <w:sz w:val="20"/>
                <w:szCs w:val="20"/>
              </w:rPr>
              <w:t>Soacha</w:t>
            </w:r>
          </w:p>
        </w:tc>
        <w:tc>
          <w:tcPr>
            <w:tcW w:w="1793" w:type="dxa"/>
            <w:tcBorders>
              <w:top w:val="nil"/>
              <w:left w:val="nil"/>
              <w:bottom w:val="single" w:sz="8" w:space="0" w:color="auto"/>
              <w:right w:val="single" w:sz="8" w:space="0" w:color="auto"/>
            </w:tcBorders>
            <w:noWrap/>
            <w:vAlign w:val="center"/>
            <w:hideMark/>
          </w:tcPr>
          <w:p w14:paraId="780CBFF3" w14:textId="77777777" w:rsidR="00565CA7" w:rsidRPr="00131EED" w:rsidRDefault="00565CA7" w:rsidP="006A01CD">
            <w:pPr>
              <w:jc w:val="center"/>
              <w:rPr>
                <w:rFonts w:cs="Arial"/>
                <w:color w:val="000000"/>
                <w:sz w:val="20"/>
                <w:szCs w:val="20"/>
              </w:rPr>
            </w:pPr>
            <w:r w:rsidRPr="00131EED">
              <w:rPr>
                <w:rFonts w:cs="Arial"/>
                <w:color w:val="000000"/>
                <w:sz w:val="20"/>
                <w:szCs w:val="20"/>
              </w:rPr>
              <w:t>5,4</w:t>
            </w:r>
          </w:p>
        </w:tc>
        <w:tc>
          <w:tcPr>
            <w:tcW w:w="1281" w:type="dxa"/>
            <w:tcBorders>
              <w:top w:val="nil"/>
              <w:left w:val="nil"/>
              <w:bottom w:val="single" w:sz="8" w:space="0" w:color="auto"/>
              <w:right w:val="single" w:sz="8" w:space="0" w:color="auto"/>
            </w:tcBorders>
            <w:noWrap/>
            <w:vAlign w:val="center"/>
            <w:hideMark/>
          </w:tcPr>
          <w:p w14:paraId="1C2CC52A" w14:textId="77777777" w:rsidR="00565CA7" w:rsidRPr="00131EED" w:rsidRDefault="00565CA7" w:rsidP="006A01CD">
            <w:pPr>
              <w:jc w:val="center"/>
              <w:rPr>
                <w:rFonts w:cs="Arial"/>
                <w:color w:val="000000"/>
                <w:sz w:val="20"/>
                <w:szCs w:val="20"/>
              </w:rPr>
            </w:pPr>
            <w:r w:rsidRPr="00131EED">
              <w:rPr>
                <w:rFonts w:cs="Arial"/>
                <w:color w:val="000000"/>
                <w:sz w:val="20"/>
                <w:szCs w:val="20"/>
              </w:rPr>
              <w:t>32,8</w:t>
            </w:r>
          </w:p>
        </w:tc>
        <w:tc>
          <w:tcPr>
            <w:tcW w:w="1284" w:type="dxa"/>
            <w:tcBorders>
              <w:top w:val="nil"/>
              <w:left w:val="nil"/>
              <w:bottom w:val="single" w:sz="8" w:space="0" w:color="auto"/>
              <w:right w:val="single" w:sz="8" w:space="0" w:color="auto"/>
            </w:tcBorders>
            <w:noWrap/>
            <w:vAlign w:val="center"/>
            <w:hideMark/>
          </w:tcPr>
          <w:p w14:paraId="7C94A7B5" w14:textId="7D1E2E36"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6DF2C795" w14:textId="77777777" w:rsidR="00565CA7" w:rsidRPr="00131EED" w:rsidRDefault="00565CA7" w:rsidP="006A01CD">
            <w:pPr>
              <w:jc w:val="right"/>
              <w:rPr>
                <w:rFonts w:cs="Arial"/>
                <w:color w:val="000000"/>
                <w:sz w:val="20"/>
                <w:szCs w:val="20"/>
              </w:rPr>
            </w:pPr>
            <w:r w:rsidRPr="00131EED">
              <w:rPr>
                <w:rFonts w:cs="Arial"/>
                <w:color w:val="000000"/>
                <w:sz w:val="20"/>
                <w:szCs w:val="20"/>
              </w:rPr>
              <w:t>38,2</w:t>
            </w:r>
          </w:p>
        </w:tc>
      </w:tr>
      <w:tr w:rsidR="00565CA7" w:rsidRPr="00131EED" w14:paraId="0FCACC42"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3CBCEAF9" w14:textId="77777777" w:rsidR="00565CA7" w:rsidRPr="00131EED" w:rsidRDefault="00565CA7" w:rsidP="00B60DA2">
            <w:pPr>
              <w:rPr>
                <w:rFonts w:cs="Arial"/>
                <w:b/>
                <w:color w:val="000000"/>
                <w:sz w:val="20"/>
                <w:szCs w:val="20"/>
              </w:rPr>
            </w:pPr>
            <w:r w:rsidRPr="00131EED">
              <w:rPr>
                <w:rFonts w:cs="Arial"/>
                <w:b/>
                <w:color w:val="000000"/>
                <w:sz w:val="20"/>
                <w:szCs w:val="20"/>
              </w:rPr>
              <w:t>Sibaté</w:t>
            </w:r>
          </w:p>
        </w:tc>
        <w:tc>
          <w:tcPr>
            <w:tcW w:w="1793" w:type="dxa"/>
            <w:tcBorders>
              <w:top w:val="nil"/>
              <w:left w:val="nil"/>
              <w:bottom w:val="single" w:sz="8" w:space="0" w:color="auto"/>
              <w:right w:val="single" w:sz="8" w:space="0" w:color="auto"/>
            </w:tcBorders>
            <w:noWrap/>
            <w:vAlign w:val="center"/>
            <w:hideMark/>
          </w:tcPr>
          <w:p w14:paraId="368F34EA" w14:textId="77777777" w:rsidR="00565CA7" w:rsidRPr="00131EED" w:rsidRDefault="00565CA7" w:rsidP="006A01CD">
            <w:pPr>
              <w:jc w:val="center"/>
              <w:rPr>
                <w:rFonts w:cs="Arial"/>
                <w:color w:val="000000"/>
                <w:sz w:val="20"/>
                <w:szCs w:val="20"/>
              </w:rPr>
            </w:pPr>
            <w:r w:rsidRPr="00131EED">
              <w:rPr>
                <w:rFonts w:cs="Arial"/>
                <w:color w:val="000000"/>
                <w:sz w:val="20"/>
                <w:szCs w:val="20"/>
              </w:rPr>
              <w:t>25,6</w:t>
            </w:r>
          </w:p>
        </w:tc>
        <w:tc>
          <w:tcPr>
            <w:tcW w:w="1281" w:type="dxa"/>
            <w:tcBorders>
              <w:top w:val="nil"/>
              <w:left w:val="nil"/>
              <w:bottom w:val="single" w:sz="8" w:space="0" w:color="auto"/>
              <w:right w:val="single" w:sz="8" w:space="0" w:color="auto"/>
            </w:tcBorders>
            <w:noWrap/>
            <w:vAlign w:val="center"/>
            <w:hideMark/>
          </w:tcPr>
          <w:p w14:paraId="2EEDC269" w14:textId="69D963C1"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4" w:type="dxa"/>
            <w:tcBorders>
              <w:top w:val="nil"/>
              <w:left w:val="nil"/>
              <w:bottom w:val="single" w:sz="8" w:space="0" w:color="auto"/>
              <w:right w:val="single" w:sz="8" w:space="0" w:color="auto"/>
            </w:tcBorders>
            <w:noWrap/>
            <w:vAlign w:val="center"/>
            <w:hideMark/>
          </w:tcPr>
          <w:p w14:paraId="724801F8" w14:textId="77777777" w:rsidR="00565CA7" w:rsidRPr="00131EED" w:rsidRDefault="00565CA7" w:rsidP="006A01CD">
            <w:pPr>
              <w:jc w:val="center"/>
              <w:rPr>
                <w:rFonts w:cs="Arial"/>
                <w:color w:val="000000"/>
                <w:sz w:val="20"/>
                <w:szCs w:val="20"/>
              </w:rPr>
            </w:pPr>
            <w:r w:rsidRPr="00131EED">
              <w:rPr>
                <w:rFonts w:cs="Arial"/>
                <w:color w:val="000000"/>
                <w:sz w:val="20"/>
                <w:szCs w:val="20"/>
              </w:rPr>
              <w:t>0</w:t>
            </w:r>
          </w:p>
        </w:tc>
        <w:tc>
          <w:tcPr>
            <w:tcW w:w="1281" w:type="dxa"/>
            <w:tcBorders>
              <w:top w:val="nil"/>
              <w:left w:val="nil"/>
              <w:bottom w:val="single" w:sz="8" w:space="0" w:color="auto"/>
              <w:right w:val="single" w:sz="8" w:space="0" w:color="auto"/>
            </w:tcBorders>
            <w:noWrap/>
            <w:vAlign w:val="center"/>
            <w:hideMark/>
          </w:tcPr>
          <w:p w14:paraId="4F808067" w14:textId="77777777" w:rsidR="00565CA7" w:rsidRPr="00131EED" w:rsidRDefault="00565CA7" w:rsidP="006A01CD">
            <w:pPr>
              <w:jc w:val="right"/>
              <w:rPr>
                <w:rFonts w:cs="Arial"/>
                <w:color w:val="000000"/>
                <w:sz w:val="20"/>
                <w:szCs w:val="20"/>
              </w:rPr>
            </w:pPr>
            <w:r w:rsidRPr="00131EED">
              <w:rPr>
                <w:rFonts w:cs="Arial"/>
                <w:color w:val="000000"/>
                <w:sz w:val="20"/>
                <w:szCs w:val="20"/>
              </w:rPr>
              <w:t>25,6</w:t>
            </w:r>
          </w:p>
        </w:tc>
      </w:tr>
      <w:tr w:rsidR="00565CA7" w:rsidRPr="00131EED" w14:paraId="5FFAA612"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720AB579" w14:textId="77777777" w:rsidR="00565CA7" w:rsidRPr="00131EED" w:rsidRDefault="00565CA7" w:rsidP="00B60DA2">
            <w:pPr>
              <w:rPr>
                <w:rFonts w:cs="Arial"/>
                <w:b/>
                <w:color w:val="000000"/>
                <w:sz w:val="20"/>
                <w:szCs w:val="20"/>
              </w:rPr>
            </w:pPr>
            <w:r w:rsidRPr="00131EED">
              <w:rPr>
                <w:rFonts w:cs="Arial"/>
                <w:b/>
                <w:color w:val="000000"/>
                <w:sz w:val="20"/>
                <w:szCs w:val="20"/>
              </w:rPr>
              <w:t>Cota</w:t>
            </w:r>
          </w:p>
        </w:tc>
        <w:tc>
          <w:tcPr>
            <w:tcW w:w="1793" w:type="dxa"/>
            <w:tcBorders>
              <w:top w:val="nil"/>
              <w:left w:val="nil"/>
              <w:bottom w:val="single" w:sz="8" w:space="0" w:color="auto"/>
              <w:right w:val="single" w:sz="8" w:space="0" w:color="auto"/>
            </w:tcBorders>
            <w:noWrap/>
            <w:vAlign w:val="center"/>
            <w:hideMark/>
          </w:tcPr>
          <w:p w14:paraId="1FE0D753" w14:textId="77777777" w:rsidR="00565CA7" w:rsidRPr="00131EED" w:rsidRDefault="00565CA7" w:rsidP="006A01CD">
            <w:pPr>
              <w:jc w:val="center"/>
              <w:rPr>
                <w:rFonts w:cs="Arial"/>
                <w:color w:val="000000"/>
                <w:sz w:val="20"/>
                <w:szCs w:val="20"/>
              </w:rPr>
            </w:pPr>
            <w:r w:rsidRPr="00131EED">
              <w:rPr>
                <w:rFonts w:cs="Arial"/>
                <w:color w:val="000000"/>
                <w:sz w:val="20"/>
                <w:szCs w:val="20"/>
              </w:rPr>
              <w:t>18,5</w:t>
            </w:r>
          </w:p>
        </w:tc>
        <w:tc>
          <w:tcPr>
            <w:tcW w:w="1281" w:type="dxa"/>
            <w:tcBorders>
              <w:top w:val="nil"/>
              <w:left w:val="nil"/>
              <w:bottom w:val="single" w:sz="8" w:space="0" w:color="auto"/>
              <w:right w:val="single" w:sz="8" w:space="0" w:color="auto"/>
            </w:tcBorders>
            <w:noWrap/>
            <w:vAlign w:val="center"/>
            <w:hideMark/>
          </w:tcPr>
          <w:p w14:paraId="0FB14214" w14:textId="77777777" w:rsidR="00565CA7" w:rsidRPr="00131EED" w:rsidRDefault="00565CA7" w:rsidP="006A01CD">
            <w:pPr>
              <w:jc w:val="center"/>
              <w:rPr>
                <w:rFonts w:cs="Arial"/>
                <w:color w:val="000000"/>
                <w:sz w:val="20"/>
                <w:szCs w:val="20"/>
              </w:rPr>
            </w:pPr>
            <w:r w:rsidRPr="00131EED">
              <w:rPr>
                <w:rFonts w:cs="Arial"/>
                <w:color w:val="000000"/>
                <w:sz w:val="20"/>
                <w:szCs w:val="20"/>
              </w:rPr>
              <w:t>0,1</w:t>
            </w:r>
          </w:p>
        </w:tc>
        <w:tc>
          <w:tcPr>
            <w:tcW w:w="1284" w:type="dxa"/>
            <w:tcBorders>
              <w:top w:val="nil"/>
              <w:left w:val="nil"/>
              <w:bottom w:val="single" w:sz="8" w:space="0" w:color="auto"/>
              <w:right w:val="single" w:sz="8" w:space="0" w:color="auto"/>
            </w:tcBorders>
            <w:noWrap/>
            <w:vAlign w:val="center"/>
            <w:hideMark/>
          </w:tcPr>
          <w:p w14:paraId="1E40B237" w14:textId="77777777" w:rsidR="00565CA7" w:rsidRPr="00131EED" w:rsidRDefault="00565CA7" w:rsidP="006A01CD">
            <w:pPr>
              <w:jc w:val="center"/>
              <w:rPr>
                <w:rFonts w:cs="Arial"/>
                <w:color w:val="000000"/>
                <w:sz w:val="20"/>
                <w:szCs w:val="20"/>
              </w:rPr>
            </w:pPr>
            <w:r w:rsidRPr="00131EED">
              <w:rPr>
                <w:rFonts w:cs="Arial"/>
                <w:color w:val="000000"/>
                <w:sz w:val="20"/>
                <w:szCs w:val="20"/>
              </w:rPr>
              <w:t>5,1</w:t>
            </w:r>
          </w:p>
        </w:tc>
        <w:tc>
          <w:tcPr>
            <w:tcW w:w="1281" w:type="dxa"/>
            <w:tcBorders>
              <w:top w:val="nil"/>
              <w:left w:val="nil"/>
              <w:bottom w:val="single" w:sz="8" w:space="0" w:color="auto"/>
              <w:right w:val="single" w:sz="8" w:space="0" w:color="auto"/>
            </w:tcBorders>
            <w:noWrap/>
            <w:vAlign w:val="center"/>
            <w:hideMark/>
          </w:tcPr>
          <w:p w14:paraId="33019D41" w14:textId="77777777" w:rsidR="00565CA7" w:rsidRPr="00131EED" w:rsidRDefault="00565CA7" w:rsidP="006A01CD">
            <w:pPr>
              <w:jc w:val="right"/>
              <w:rPr>
                <w:rFonts w:cs="Arial"/>
                <w:color w:val="000000"/>
                <w:sz w:val="20"/>
                <w:szCs w:val="20"/>
              </w:rPr>
            </w:pPr>
            <w:r w:rsidRPr="00131EED">
              <w:rPr>
                <w:rFonts w:cs="Arial"/>
                <w:color w:val="000000"/>
                <w:sz w:val="20"/>
                <w:szCs w:val="20"/>
              </w:rPr>
              <w:t>23,6</w:t>
            </w:r>
          </w:p>
        </w:tc>
      </w:tr>
      <w:tr w:rsidR="00565CA7" w:rsidRPr="00131EED" w14:paraId="0C75B775"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2DC1EA1D" w14:textId="77777777" w:rsidR="00565CA7" w:rsidRPr="00131EED" w:rsidRDefault="00565CA7" w:rsidP="00B60DA2">
            <w:pPr>
              <w:rPr>
                <w:rFonts w:cs="Arial"/>
                <w:b/>
                <w:color w:val="000000"/>
                <w:sz w:val="20"/>
                <w:szCs w:val="20"/>
              </w:rPr>
            </w:pPr>
            <w:r w:rsidRPr="00131EED">
              <w:rPr>
                <w:rFonts w:cs="Arial"/>
                <w:b/>
                <w:color w:val="000000"/>
                <w:sz w:val="20"/>
                <w:szCs w:val="20"/>
              </w:rPr>
              <w:t>Villapinzón</w:t>
            </w:r>
          </w:p>
        </w:tc>
        <w:tc>
          <w:tcPr>
            <w:tcW w:w="1793" w:type="dxa"/>
            <w:tcBorders>
              <w:top w:val="nil"/>
              <w:left w:val="nil"/>
              <w:bottom w:val="single" w:sz="8" w:space="0" w:color="auto"/>
              <w:right w:val="single" w:sz="8" w:space="0" w:color="auto"/>
            </w:tcBorders>
            <w:noWrap/>
            <w:vAlign w:val="center"/>
            <w:hideMark/>
          </w:tcPr>
          <w:p w14:paraId="033F31C1" w14:textId="77777777" w:rsidR="00565CA7" w:rsidRPr="00131EED" w:rsidRDefault="00565CA7" w:rsidP="006A01CD">
            <w:pPr>
              <w:jc w:val="center"/>
              <w:rPr>
                <w:rFonts w:cs="Arial"/>
                <w:color w:val="000000"/>
                <w:sz w:val="20"/>
                <w:szCs w:val="20"/>
              </w:rPr>
            </w:pPr>
            <w:r w:rsidRPr="00131EED">
              <w:rPr>
                <w:rFonts w:cs="Arial"/>
                <w:color w:val="000000"/>
                <w:sz w:val="20"/>
                <w:szCs w:val="20"/>
              </w:rPr>
              <w:t>14,9</w:t>
            </w:r>
          </w:p>
        </w:tc>
        <w:tc>
          <w:tcPr>
            <w:tcW w:w="1281" w:type="dxa"/>
            <w:tcBorders>
              <w:top w:val="nil"/>
              <w:left w:val="nil"/>
              <w:bottom w:val="single" w:sz="8" w:space="0" w:color="auto"/>
              <w:right w:val="single" w:sz="8" w:space="0" w:color="auto"/>
            </w:tcBorders>
            <w:noWrap/>
            <w:vAlign w:val="center"/>
            <w:hideMark/>
          </w:tcPr>
          <w:p w14:paraId="2A647D13" w14:textId="77777777" w:rsidR="00565CA7" w:rsidRPr="00131EED" w:rsidRDefault="00565CA7" w:rsidP="006A01CD">
            <w:pPr>
              <w:jc w:val="center"/>
              <w:rPr>
                <w:rFonts w:cs="Arial"/>
                <w:color w:val="000000"/>
                <w:sz w:val="20"/>
                <w:szCs w:val="20"/>
              </w:rPr>
            </w:pPr>
            <w:r w:rsidRPr="00131EED">
              <w:rPr>
                <w:rFonts w:cs="Arial"/>
                <w:color w:val="000000"/>
                <w:sz w:val="20"/>
                <w:szCs w:val="20"/>
              </w:rPr>
              <w:t>6,7</w:t>
            </w:r>
          </w:p>
        </w:tc>
        <w:tc>
          <w:tcPr>
            <w:tcW w:w="1284" w:type="dxa"/>
            <w:tcBorders>
              <w:top w:val="nil"/>
              <w:left w:val="nil"/>
              <w:bottom w:val="single" w:sz="8" w:space="0" w:color="auto"/>
              <w:right w:val="single" w:sz="8" w:space="0" w:color="auto"/>
            </w:tcBorders>
            <w:noWrap/>
            <w:vAlign w:val="center"/>
            <w:hideMark/>
          </w:tcPr>
          <w:p w14:paraId="6C1F1213" w14:textId="287D9379"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7F056161" w14:textId="77777777" w:rsidR="00565CA7" w:rsidRPr="00131EED" w:rsidRDefault="00565CA7" w:rsidP="006A01CD">
            <w:pPr>
              <w:jc w:val="right"/>
              <w:rPr>
                <w:rFonts w:cs="Arial"/>
                <w:color w:val="000000"/>
                <w:sz w:val="20"/>
                <w:szCs w:val="20"/>
              </w:rPr>
            </w:pPr>
            <w:r w:rsidRPr="00131EED">
              <w:rPr>
                <w:rFonts w:cs="Arial"/>
                <w:color w:val="000000"/>
                <w:sz w:val="20"/>
                <w:szCs w:val="20"/>
              </w:rPr>
              <w:t>21,6</w:t>
            </w:r>
          </w:p>
        </w:tc>
      </w:tr>
      <w:tr w:rsidR="00565CA7" w:rsidRPr="00131EED" w14:paraId="59745D4B"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1B0BC8AA" w14:textId="77777777" w:rsidR="00565CA7" w:rsidRPr="00131EED" w:rsidRDefault="00565CA7" w:rsidP="00B60DA2">
            <w:pPr>
              <w:rPr>
                <w:rFonts w:cs="Arial"/>
                <w:b/>
                <w:color w:val="000000"/>
                <w:sz w:val="20"/>
                <w:szCs w:val="20"/>
              </w:rPr>
            </w:pPr>
            <w:r w:rsidRPr="00131EED">
              <w:rPr>
                <w:rFonts w:cs="Arial"/>
                <w:b/>
                <w:color w:val="000000"/>
                <w:sz w:val="20"/>
                <w:szCs w:val="20"/>
              </w:rPr>
              <w:t>Madrid</w:t>
            </w:r>
          </w:p>
        </w:tc>
        <w:tc>
          <w:tcPr>
            <w:tcW w:w="1793" w:type="dxa"/>
            <w:tcBorders>
              <w:top w:val="nil"/>
              <w:left w:val="nil"/>
              <w:bottom w:val="single" w:sz="8" w:space="0" w:color="auto"/>
              <w:right w:val="single" w:sz="8" w:space="0" w:color="auto"/>
            </w:tcBorders>
            <w:noWrap/>
            <w:vAlign w:val="center"/>
            <w:hideMark/>
          </w:tcPr>
          <w:p w14:paraId="2E1DEE56" w14:textId="77777777" w:rsidR="00565CA7" w:rsidRPr="00131EED" w:rsidRDefault="00565CA7" w:rsidP="006A01CD">
            <w:pPr>
              <w:jc w:val="center"/>
              <w:rPr>
                <w:rFonts w:cs="Arial"/>
                <w:color w:val="000000"/>
                <w:sz w:val="20"/>
                <w:szCs w:val="20"/>
              </w:rPr>
            </w:pPr>
            <w:r w:rsidRPr="00131EED">
              <w:rPr>
                <w:rFonts w:cs="Arial"/>
                <w:color w:val="000000"/>
                <w:sz w:val="20"/>
                <w:szCs w:val="20"/>
              </w:rPr>
              <w:t>21,5</w:t>
            </w:r>
          </w:p>
        </w:tc>
        <w:tc>
          <w:tcPr>
            <w:tcW w:w="1281" w:type="dxa"/>
            <w:tcBorders>
              <w:top w:val="nil"/>
              <w:left w:val="nil"/>
              <w:bottom w:val="single" w:sz="8" w:space="0" w:color="auto"/>
              <w:right w:val="single" w:sz="8" w:space="0" w:color="auto"/>
            </w:tcBorders>
            <w:noWrap/>
            <w:vAlign w:val="center"/>
            <w:hideMark/>
          </w:tcPr>
          <w:p w14:paraId="4D4D2525" w14:textId="36B218A0"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4" w:type="dxa"/>
            <w:tcBorders>
              <w:top w:val="nil"/>
              <w:left w:val="nil"/>
              <w:bottom w:val="single" w:sz="8" w:space="0" w:color="auto"/>
              <w:right w:val="single" w:sz="8" w:space="0" w:color="auto"/>
            </w:tcBorders>
            <w:noWrap/>
            <w:vAlign w:val="center"/>
            <w:hideMark/>
          </w:tcPr>
          <w:p w14:paraId="2396D65B" w14:textId="43ADDD32"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6CAA39B2" w14:textId="77777777" w:rsidR="00565CA7" w:rsidRPr="00131EED" w:rsidRDefault="00565CA7" w:rsidP="006A01CD">
            <w:pPr>
              <w:jc w:val="right"/>
              <w:rPr>
                <w:rFonts w:cs="Arial"/>
                <w:color w:val="000000"/>
                <w:sz w:val="20"/>
                <w:szCs w:val="20"/>
              </w:rPr>
            </w:pPr>
            <w:r w:rsidRPr="00131EED">
              <w:rPr>
                <w:rFonts w:cs="Arial"/>
                <w:color w:val="000000"/>
                <w:sz w:val="20"/>
                <w:szCs w:val="20"/>
              </w:rPr>
              <w:t>21,5</w:t>
            </w:r>
          </w:p>
        </w:tc>
      </w:tr>
      <w:tr w:rsidR="00565CA7" w:rsidRPr="00131EED" w14:paraId="74E5B350"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602BFB5B" w14:textId="77777777" w:rsidR="00565CA7" w:rsidRPr="00131EED" w:rsidRDefault="00565CA7" w:rsidP="00B60DA2">
            <w:pPr>
              <w:rPr>
                <w:rFonts w:cs="Arial"/>
                <w:b/>
                <w:color w:val="000000"/>
                <w:sz w:val="20"/>
                <w:szCs w:val="20"/>
              </w:rPr>
            </w:pPr>
            <w:r w:rsidRPr="00131EED">
              <w:rPr>
                <w:rFonts w:cs="Arial"/>
                <w:b/>
                <w:color w:val="000000"/>
                <w:sz w:val="20"/>
                <w:szCs w:val="20"/>
              </w:rPr>
              <w:t>Cogua</w:t>
            </w:r>
          </w:p>
        </w:tc>
        <w:tc>
          <w:tcPr>
            <w:tcW w:w="1793" w:type="dxa"/>
            <w:tcBorders>
              <w:top w:val="nil"/>
              <w:left w:val="nil"/>
              <w:bottom w:val="single" w:sz="8" w:space="0" w:color="auto"/>
              <w:right w:val="single" w:sz="8" w:space="0" w:color="auto"/>
            </w:tcBorders>
            <w:noWrap/>
            <w:vAlign w:val="center"/>
            <w:hideMark/>
          </w:tcPr>
          <w:p w14:paraId="1256CE98" w14:textId="77777777" w:rsidR="00565CA7" w:rsidRPr="00131EED" w:rsidRDefault="00565CA7" w:rsidP="006A01CD">
            <w:pPr>
              <w:jc w:val="center"/>
              <w:rPr>
                <w:rFonts w:cs="Arial"/>
                <w:color w:val="000000"/>
                <w:sz w:val="20"/>
                <w:szCs w:val="20"/>
              </w:rPr>
            </w:pPr>
            <w:r w:rsidRPr="00131EED">
              <w:rPr>
                <w:rFonts w:cs="Arial"/>
                <w:color w:val="000000"/>
                <w:sz w:val="20"/>
                <w:szCs w:val="20"/>
              </w:rPr>
              <w:t>17,3</w:t>
            </w:r>
          </w:p>
        </w:tc>
        <w:tc>
          <w:tcPr>
            <w:tcW w:w="1281" w:type="dxa"/>
            <w:tcBorders>
              <w:top w:val="nil"/>
              <w:left w:val="nil"/>
              <w:bottom w:val="single" w:sz="8" w:space="0" w:color="auto"/>
              <w:right w:val="single" w:sz="8" w:space="0" w:color="auto"/>
            </w:tcBorders>
            <w:noWrap/>
            <w:vAlign w:val="center"/>
            <w:hideMark/>
          </w:tcPr>
          <w:p w14:paraId="27404C5A" w14:textId="5ADBA1A3"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4" w:type="dxa"/>
            <w:tcBorders>
              <w:top w:val="nil"/>
              <w:left w:val="nil"/>
              <w:bottom w:val="single" w:sz="8" w:space="0" w:color="auto"/>
              <w:right w:val="single" w:sz="8" w:space="0" w:color="auto"/>
            </w:tcBorders>
            <w:noWrap/>
            <w:vAlign w:val="center"/>
            <w:hideMark/>
          </w:tcPr>
          <w:p w14:paraId="68BDD5D6" w14:textId="1ABA34AD"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55C154F9" w14:textId="77777777" w:rsidR="00565CA7" w:rsidRPr="00131EED" w:rsidRDefault="00565CA7" w:rsidP="006A01CD">
            <w:pPr>
              <w:jc w:val="right"/>
              <w:rPr>
                <w:rFonts w:cs="Arial"/>
                <w:color w:val="000000"/>
                <w:sz w:val="20"/>
                <w:szCs w:val="20"/>
              </w:rPr>
            </w:pPr>
            <w:r w:rsidRPr="00131EED">
              <w:rPr>
                <w:rFonts w:cs="Arial"/>
                <w:color w:val="000000"/>
                <w:sz w:val="20"/>
                <w:szCs w:val="20"/>
              </w:rPr>
              <w:t>17,3</w:t>
            </w:r>
          </w:p>
        </w:tc>
      </w:tr>
      <w:tr w:rsidR="00565CA7" w:rsidRPr="00131EED" w14:paraId="0E69EF63"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2B1D029E" w14:textId="77777777" w:rsidR="00565CA7" w:rsidRPr="00131EED" w:rsidRDefault="00565CA7" w:rsidP="00B60DA2">
            <w:pPr>
              <w:rPr>
                <w:rFonts w:cs="Arial"/>
                <w:b/>
                <w:color w:val="000000"/>
                <w:sz w:val="20"/>
                <w:szCs w:val="20"/>
              </w:rPr>
            </w:pPr>
            <w:r w:rsidRPr="00131EED">
              <w:rPr>
                <w:rFonts w:cs="Arial"/>
                <w:b/>
                <w:color w:val="000000"/>
                <w:sz w:val="20"/>
                <w:szCs w:val="20"/>
              </w:rPr>
              <w:t>Tenjo</w:t>
            </w:r>
          </w:p>
        </w:tc>
        <w:tc>
          <w:tcPr>
            <w:tcW w:w="1793" w:type="dxa"/>
            <w:tcBorders>
              <w:top w:val="nil"/>
              <w:left w:val="nil"/>
              <w:bottom w:val="single" w:sz="8" w:space="0" w:color="auto"/>
              <w:right w:val="single" w:sz="8" w:space="0" w:color="auto"/>
            </w:tcBorders>
            <w:noWrap/>
            <w:vAlign w:val="center"/>
            <w:hideMark/>
          </w:tcPr>
          <w:p w14:paraId="12FA394C" w14:textId="77777777" w:rsidR="00565CA7" w:rsidRPr="00131EED" w:rsidRDefault="00565CA7" w:rsidP="006A01CD">
            <w:pPr>
              <w:jc w:val="center"/>
              <w:rPr>
                <w:rFonts w:cs="Arial"/>
                <w:color w:val="000000"/>
                <w:sz w:val="20"/>
                <w:szCs w:val="20"/>
              </w:rPr>
            </w:pPr>
            <w:r w:rsidRPr="00131EED">
              <w:rPr>
                <w:rFonts w:cs="Arial"/>
                <w:color w:val="000000"/>
                <w:sz w:val="20"/>
                <w:szCs w:val="20"/>
              </w:rPr>
              <w:t>11,7</w:t>
            </w:r>
          </w:p>
        </w:tc>
        <w:tc>
          <w:tcPr>
            <w:tcW w:w="1281" w:type="dxa"/>
            <w:tcBorders>
              <w:top w:val="nil"/>
              <w:left w:val="nil"/>
              <w:bottom w:val="single" w:sz="8" w:space="0" w:color="auto"/>
              <w:right w:val="single" w:sz="8" w:space="0" w:color="auto"/>
            </w:tcBorders>
            <w:noWrap/>
            <w:vAlign w:val="center"/>
            <w:hideMark/>
          </w:tcPr>
          <w:p w14:paraId="2474E08B" w14:textId="77777777" w:rsidR="00565CA7" w:rsidRPr="00131EED" w:rsidRDefault="00565CA7" w:rsidP="006A01CD">
            <w:pPr>
              <w:jc w:val="center"/>
              <w:rPr>
                <w:rFonts w:cs="Arial"/>
                <w:color w:val="000000"/>
                <w:sz w:val="20"/>
                <w:szCs w:val="20"/>
              </w:rPr>
            </w:pPr>
            <w:r w:rsidRPr="00131EED">
              <w:rPr>
                <w:rFonts w:cs="Arial"/>
                <w:color w:val="000000"/>
                <w:sz w:val="20"/>
                <w:szCs w:val="20"/>
              </w:rPr>
              <w:t>4</w:t>
            </w:r>
          </w:p>
        </w:tc>
        <w:tc>
          <w:tcPr>
            <w:tcW w:w="1284" w:type="dxa"/>
            <w:tcBorders>
              <w:top w:val="nil"/>
              <w:left w:val="nil"/>
              <w:bottom w:val="single" w:sz="8" w:space="0" w:color="auto"/>
              <w:right w:val="single" w:sz="8" w:space="0" w:color="auto"/>
            </w:tcBorders>
            <w:noWrap/>
            <w:vAlign w:val="center"/>
            <w:hideMark/>
          </w:tcPr>
          <w:p w14:paraId="32D6F65C" w14:textId="74053AFF"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7BB5F44C" w14:textId="77777777" w:rsidR="00565CA7" w:rsidRPr="00131EED" w:rsidRDefault="00565CA7" w:rsidP="006A01CD">
            <w:pPr>
              <w:jc w:val="right"/>
              <w:rPr>
                <w:rFonts w:cs="Arial"/>
                <w:color w:val="000000"/>
                <w:sz w:val="20"/>
                <w:szCs w:val="20"/>
              </w:rPr>
            </w:pPr>
            <w:r w:rsidRPr="00131EED">
              <w:rPr>
                <w:rFonts w:cs="Arial"/>
                <w:color w:val="000000"/>
                <w:sz w:val="20"/>
                <w:szCs w:val="20"/>
              </w:rPr>
              <w:t>15,6</w:t>
            </w:r>
          </w:p>
        </w:tc>
      </w:tr>
      <w:tr w:rsidR="00565CA7" w:rsidRPr="00131EED" w14:paraId="15905C1E"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11117279" w14:textId="77777777" w:rsidR="00565CA7" w:rsidRPr="00131EED" w:rsidRDefault="00565CA7" w:rsidP="00B60DA2">
            <w:pPr>
              <w:rPr>
                <w:rFonts w:cs="Arial"/>
                <w:b/>
                <w:color w:val="000000"/>
                <w:sz w:val="20"/>
                <w:szCs w:val="20"/>
              </w:rPr>
            </w:pPr>
            <w:r w:rsidRPr="00131EED">
              <w:rPr>
                <w:rFonts w:cs="Arial"/>
                <w:b/>
                <w:color w:val="000000"/>
                <w:sz w:val="20"/>
                <w:szCs w:val="20"/>
              </w:rPr>
              <w:t>Zipaquirá</w:t>
            </w:r>
          </w:p>
        </w:tc>
        <w:tc>
          <w:tcPr>
            <w:tcW w:w="1793" w:type="dxa"/>
            <w:tcBorders>
              <w:top w:val="nil"/>
              <w:left w:val="nil"/>
              <w:bottom w:val="single" w:sz="8" w:space="0" w:color="auto"/>
              <w:right w:val="single" w:sz="8" w:space="0" w:color="auto"/>
            </w:tcBorders>
            <w:noWrap/>
            <w:vAlign w:val="center"/>
            <w:hideMark/>
          </w:tcPr>
          <w:p w14:paraId="656146B3" w14:textId="77777777" w:rsidR="00565CA7" w:rsidRPr="00131EED" w:rsidRDefault="00565CA7" w:rsidP="006A01CD">
            <w:pPr>
              <w:jc w:val="center"/>
              <w:rPr>
                <w:rFonts w:cs="Arial"/>
                <w:color w:val="000000"/>
                <w:sz w:val="20"/>
                <w:szCs w:val="20"/>
              </w:rPr>
            </w:pPr>
            <w:r w:rsidRPr="00131EED">
              <w:rPr>
                <w:rFonts w:cs="Arial"/>
                <w:color w:val="000000"/>
                <w:sz w:val="20"/>
                <w:szCs w:val="20"/>
              </w:rPr>
              <w:t>11,3</w:t>
            </w:r>
          </w:p>
        </w:tc>
        <w:tc>
          <w:tcPr>
            <w:tcW w:w="1281" w:type="dxa"/>
            <w:tcBorders>
              <w:top w:val="nil"/>
              <w:left w:val="nil"/>
              <w:bottom w:val="single" w:sz="8" w:space="0" w:color="auto"/>
              <w:right w:val="single" w:sz="8" w:space="0" w:color="auto"/>
            </w:tcBorders>
            <w:noWrap/>
            <w:vAlign w:val="center"/>
            <w:hideMark/>
          </w:tcPr>
          <w:p w14:paraId="5FE22A73" w14:textId="77777777" w:rsidR="00565CA7" w:rsidRPr="00131EED" w:rsidRDefault="00565CA7" w:rsidP="006A01CD">
            <w:pPr>
              <w:jc w:val="center"/>
              <w:rPr>
                <w:rFonts w:cs="Arial"/>
                <w:color w:val="000000"/>
                <w:sz w:val="20"/>
                <w:szCs w:val="20"/>
              </w:rPr>
            </w:pPr>
            <w:r w:rsidRPr="00131EED">
              <w:rPr>
                <w:rFonts w:cs="Arial"/>
                <w:color w:val="000000"/>
                <w:sz w:val="20"/>
                <w:szCs w:val="20"/>
              </w:rPr>
              <w:t>2,2</w:t>
            </w:r>
          </w:p>
        </w:tc>
        <w:tc>
          <w:tcPr>
            <w:tcW w:w="1284" w:type="dxa"/>
            <w:tcBorders>
              <w:top w:val="nil"/>
              <w:left w:val="nil"/>
              <w:bottom w:val="single" w:sz="8" w:space="0" w:color="auto"/>
              <w:right w:val="single" w:sz="8" w:space="0" w:color="auto"/>
            </w:tcBorders>
            <w:noWrap/>
            <w:vAlign w:val="center"/>
            <w:hideMark/>
          </w:tcPr>
          <w:p w14:paraId="02836D6D" w14:textId="4CA1E0ED"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07099471" w14:textId="77777777" w:rsidR="00565CA7" w:rsidRPr="00131EED" w:rsidRDefault="00565CA7" w:rsidP="006A01CD">
            <w:pPr>
              <w:jc w:val="right"/>
              <w:rPr>
                <w:rFonts w:cs="Arial"/>
                <w:color w:val="000000"/>
                <w:sz w:val="20"/>
                <w:szCs w:val="20"/>
              </w:rPr>
            </w:pPr>
            <w:r w:rsidRPr="00131EED">
              <w:rPr>
                <w:rFonts w:cs="Arial"/>
                <w:color w:val="000000"/>
                <w:sz w:val="20"/>
                <w:szCs w:val="20"/>
              </w:rPr>
              <w:t>13,5</w:t>
            </w:r>
          </w:p>
        </w:tc>
      </w:tr>
      <w:tr w:rsidR="00565CA7" w:rsidRPr="00131EED" w14:paraId="66DCCCB1"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5E2AA3AF" w14:textId="77777777" w:rsidR="00565CA7" w:rsidRPr="00131EED" w:rsidRDefault="00565CA7" w:rsidP="00B60DA2">
            <w:pPr>
              <w:rPr>
                <w:rFonts w:cs="Arial"/>
                <w:b/>
                <w:color w:val="000000"/>
                <w:sz w:val="20"/>
                <w:szCs w:val="20"/>
              </w:rPr>
            </w:pPr>
            <w:r w:rsidRPr="00131EED">
              <w:rPr>
                <w:rFonts w:cs="Arial"/>
                <w:b/>
                <w:color w:val="000000"/>
                <w:sz w:val="20"/>
                <w:szCs w:val="20"/>
              </w:rPr>
              <w:t>Suesca</w:t>
            </w:r>
          </w:p>
        </w:tc>
        <w:tc>
          <w:tcPr>
            <w:tcW w:w="1793" w:type="dxa"/>
            <w:tcBorders>
              <w:top w:val="nil"/>
              <w:left w:val="nil"/>
              <w:bottom w:val="single" w:sz="8" w:space="0" w:color="auto"/>
              <w:right w:val="single" w:sz="8" w:space="0" w:color="auto"/>
            </w:tcBorders>
            <w:noWrap/>
            <w:vAlign w:val="center"/>
            <w:hideMark/>
          </w:tcPr>
          <w:p w14:paraId="24D65564" w14:textId="77777777" w:rsidR="00565CA7" w:rsidRPr="00131EED" w:rsidRDefault="00565CA7" w:rsidP="006A01CD">
            <w:pPr>
              <w:jc w:val="center"/>
              <w:rPr>
                <w:rFonts w:cs="Arial"/>
                <w:color w:val="000000"/>
                <w:sz w:val="20"/>
                <w:szCs w:val="20"/>
              </w:rPr>
            </w:pPr>
            <w:r w:rsidRPr="00131EED">
              <w:rPr>
                <w:rFonts w:cs="Arial"/>
                <w:color w:val="000000"/>
                <w:sz w:val="20"/>
                <w:szCs w:val="20"/>
              </w:rPr>
              <w:t>13,2</w:t>
            </w:r>
          </w:p>
        </w:tc>
        <w:tc>
          <w:tcPr>
            <w:tcW w:w="1281" w:type="dxa"/>
            <w:tcBorders>
              <w:top w:val="nil"/>
              <w:left w:val="nil"/>
              <w:bottom w:val="single" w:sz="8" w:space="0" w:color="auto"/>
              <w:right w:val="single" w:sz="8" w:space="0" w:color="auto"/>
            </w:tcBorders>
            <w:noWrap/>
            <w:vAlign w:val="center"/>
            <w:hideMark/>
          </w:tcPr>
          <w:p w14:paraId="4D96B332" w14:textId="7898FFE1"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4" w:type="dxa"/>
            <w:tcBorders>
              <w:top w:val="nil"/>
              <w:left w:val="nil"/>
              <w:bottom w:val="single" w:sz="8" w:space="0" w:color="auto"/>
              <w:right w:val="single" w:sz="8" w:space="0" w:color="auto"/>
            </w:tcBorders>
            <w:noWrap/>
            <w:vAlign w:val="center"/>
            <w:hideMark/>
          </w:tcPr>
          <w:p w14:paraId="29656526" w14:textId="500CDD6B"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31E6306E" w14:textId="77777777" w:rsidR="00565CA7" w:rsidRPr="00131EED" w:rsidRDefault="00565CA7" w:rsidP="006A01CD">
            <w:pPr>
              <w:jc w:val="right"/>
              <w:rPr>
                <w:rFonts w:cs="Arial"/>
                <w:color w:val="000000"/>
                <w:sz w:val="20"/>
                <w:szCs w:val="20"/>
              </w:rPr>
            </w:pPr>
            <w:r w:rsidRPr="00131EED">
              <w:rPr>
                <w:rFonts w:cs="Arial"/>
                <w:color w:val="000000"/>
                <w:sz w:val="20"/>
                <w:szCs w:val="20"/>
              </w:rPr>
              <w:t>13,2</w:t>
            </w:r>
          </w:p>
        </w:tc>
      </w:tr>
      <w:tr w:rsidR="00565CA7" w:rsidRPr="00131EED" w14:paraId="730EF779"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3FA58F3F" w14:textId="77777777" w:rsidR="00565CA7" w:rsidRPr="00131EED" w:rsidRDefault="00565CA7" w:rsidP="00B60DA2">
            <w:pPr>
              <w:rPr>
                <w:rFonts w:cs="Arial"/>
                <w:b/>
                <w:color w:val="000000"/>
                <w:sz w:val="20"/>
                <w:szCs w:val="20"/>
              </w:rPr>
            </w:pPr>
            <w:r w:rsidRPr="00131EED">
              <w:rPr>
                <w:rFonts w:cs="Arial"/>
                <w:b/>
                <w:color w:val="000000"/>
                <w:sz w:val="20"/>
                <w:szCs w:val="20"/>
              </w:rPr>
              <w:t>Tausa</w:t>
            </w:r>
          </w:p>
        </w:tc>
        <w:tc>
          <w:tcPr>
            <w:tcW w:w="1793" w:type="dxa"/>
            <w:tcBorders>
              <w:top w:val="nil"/>
              <w:left w:val="nil"/>
              <w:bottom w:val="single" w:sz="8" w:space="0" w:color="auto"/>
              <w:right w:val="single" w:sz="8" w:space="0" w:color="auto"/>
            </w:tcBorders>
            <w:noWrap/>
            <w:vAlign w:val="center"/>
            <w:hideMark/>
          </w:tcPr>
          <w:p w14:paraId="4D7541C5" w14:textId="77777777" w:rsidR="00565CA7" w:rsidRPr="00131EED" w:rsidRDefault="00565CA7" w:rsidP="006A01CD">
            <w:pPr>
              <w:jc w:val="center"/>
              <w:rPr>
                <w:rFonts w:cs="Arial"/>
                <w:color w:val="000000"/>
                <w:sz w:val="20"/>
                <w:szCs w:val="20"/>
              </w:rPr>
            </w:pPr>
            <w:r w:rsidRPr="00131EED">
              <w:rPr>
                <w:rFonts w:cs="Arial"/>
                <w:color w:val="000000"/>
                <w:sz w:val="20"/>
                <w:szCs w:val="20"/>
              </w:rPr>
              <w:t>0,2</w:t>
            </w:r>
          </w:p>
        </w:tc>
        <w:tc>
          <w:tcPr>
            <w:tcW w:w="1281" w:type="dxa"/>
            <w:tcBorders>
              <w:top w:val="nil"/>
              <w:left w:val="nil"/>
              <w:bottom w:val="single" w:sz="8" w:space="0" w:color="auto"/>
              <w:right w:val="single" w:sz="8" w:space="0" w:color="auto"/>
            </w:tcBorders>
            <w:noWrap/>
            <w:vAlign w:val="center"/>
            <w:hideMark/>
          </w:tcPr>
          <w:p w14:paraId="26691343" w14:textId="77777777" w:rsidR="00565CA7" w:rsidRPr="00131EED" w:rsidRDefault="00565CA7" w:rsidP="006A01CD">
            <w:pPr>
              <w:jc w:val="center"/>
              <w:rPr>
                <w:rFonts w:cs="Arial"/>
                <w:color w:val="000000"/>
                <w:sz w:val="20"/>
                <w:szCs w:val="20"/>
              </w:rPr>
            </w:pPr>
            <w:r w:rsidRPr="00131EED">
              <w:rPr>
                <w:rFonts w:cs="Arial"/>
                <w:color w:val="000000"/>
                <w:sz w:val="20"/>
                <w:szCs w:val="20"/>
              </w:rPr>
              <w:t>12,8</w:t>
            </w:r>
          </w:p>
        </w:tc>
        <w:tc>
          <w:tcPr>
            <w:tcW w:w="1284" w:type="dxa"/>
            <w:tcBorders>
              <w:top w:val="nil"/>
              <w:left w:val="nil"/>
              <w:bottom w:val="single" w:sz="8" w:space="0" w:color="auto"/>
              <w:right w:val="single" w:sz="8" w:space="0" w:color="auto"/>
            </w:tcBorders>
            <w:noWrap/>
            <w:vAlign w:val="center"/>
            <w:hideMark/>
          </w:tcPr>
          <w:p w14:paraId="2814AC03" w14:textId="7A271A47"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3C17AB2F" w14:textId="77777777" w:rsidR="00565CA7" w:rsidRPr="00131EED" w:rsidRDefault="00565CA7" w:rsidP="006A01CD">
            <w:pPr>
              <w:jc w:val="right"/>
              <w:rPr>
                <w:rFonts w:cs="Arial"/>
                <w:color w:val="000000"/>
                <w:sz w:val="20"/>
                <w:szCs w:val="20"/>
              </w:rPr>
            </w:pPr>
            <w:r w:rsidRPr="00131EED">
              <w:rPr>
                <w:rFonts w:cs="Arial"/>
                <w:color w:val="000000"/>
                <w:sz w:val="20"/>
                <w:szCs w:val="20"/>
              </w:rPr>
              <w:t>13,1</w:t>
            </w:r>
          </w:p>
        </w:tc>
      </w:tr>
      <w:tr w:rsidR="00565CA7" w:rsidRPr="00131EED" w14:paraId="4C95F075"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2038CF26" w14:textId="77777777" w:rsidR="00565CA7" w:rsidRPr="00131EED" w:rsidRDefault="00565CA7" w:rsidP="00B60DA2">
            <w:pPr>
              <w:rPr>
                <w:rFonts w:cs="Arial"/>
                <w:b/>
                <w:color w:val="000000"/>
                <w:sz w:val="20"/>
                <w:szCs w:val="20"/>
              </w:rPr>
            </w:pPr>
            <w:r w:rsidRPr="00131EED">
              <w:rPr>
                <w:rFonts w:cs="Arial"/>
                <w:b/>
                <w:color w:val="000000"/>
                <w:sz w:val="20"/>
                <w:szCs w:val="20"/>
              </w:rPr>
              <w:t>Cajicá</w:t>
            </w:r>
          </w:p>
        </w:tc>
        <w:tc>
          <w:tcPr>
            <w:tcW w:w="1793" w:type="dxa"/>
            <w:tcBorders>
              <w:top w:val="nil"/>
              <w:left w:val="nil"/>
              <w:bottom w:val="single" w:sz="8" w:space="0" w:color="auto"/>
              <w:right w:val="single" w:sz="8" w:space="0" w:color="auto"/>
            </w:tcBorders>
            <w:noWrap/>
            <w:vAlign w:val="center"/>
            <w:hideMark/>
          </w:tcPr>
          <w:p w14:paraId="3E6FB7C0" w14:textId="77777777" w:rsidR="00565CA7" w:rsidRPr="00131EED" w:rsidRDefault="00565CA7" w:rsidP="006A01CD">
            <w:pPr>
              <w:jc w:val="center"/>
              <w:rPr>
                <w:rFonts w:cs="Arial"/>
                <w:color w:val="000000"/>
                <w:sz w:val="20"/>
                <w:szCs w:val="20"/>
              </w:rPr>
            </w:pPr>
            <w:r w:rsidRPr="00131EED">
              <w:rPr>
                <w:rFonts w:cs="Arial"/>
                <w:color w:val="000000"/>
                <w:sz w:val="20"/>
                <w:szCs w:val="20"/>
              </w:rPr>
              <w:t>12,9</w:t>
            </w:r>
          </w:p>
        </w:tc>
        <w:tc>
          <w:tcPr>
            <w:tcW w:w="1281" w:type="dxa"/>
            <w:tcBorders>
              <w:top w:val="nil"/>
              <w:left w:val="nil"/>
              <w:bottom w:val="single" w:sz="8" w:space="0" w:color="auto"/>
              <w:right w:val="single" w:sz="8" w:space="0" w:color="auto"/>
            </w:tcBorders>
            <w:noWrap/>
            <w:vAlign w:val="center"/>
            <w:hideMark/>
          </w:tcPr>
          <w:p w14:paraId="5EE91D82" w14:textId="213CD0D5"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4" w:type="dxa"/>
            <w:tcBorders>
              <w:top w:val="nil"/>
              <w:left w:val="nil"/>
              <w:bottom w:val="single" w:sz="8" w:space="0" w:color="auto"/>
              <w:right w:val="single" w:sz="8" w:space="0" w:color="auto"/>
            </w:tcBorders>
            <w:noWrap/>
            <w:vAlign w:val="center"/>
            <w:hideMark/>
          </w:tcPr>
          <w:p w14:paraId="301DFF7C" w14:textId="4AE0D9CE"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09DF0A2C" w14:textId="77777777" w:rsidR="00565CA7" w:rsidRPr="00131EED" w:rsidRDefault="00565CA7" w:rsidP="006A01CD">
            <w:pPr>
              <w:jc w:val="right"/>
              <w:rPr>
                <w:rFonts w:cs="Arial"/>
                <w:color w:val="000000"/>
                <w:sz w:val="20"/>
                <w:szCs w:val="20"/>
              </w:rPr>
            </w:pPr>
            <w:r w:rsidRPr="00131EED">
              <w:rPr>
                <w:rFonts w:cs="Arial"/>
                <w:color w:val="000000"/>
                <w:sz w:val="20"/>
                <w:szCs w:val="20"/>
              </w:rPr>
              <w:t>12,9</w:t>
            </w:r>
          </w:p>
        </w:tc>
      </w:tr>
      <w:tr w:rsidR="00565CA7" w:rsidRPr="00131EED" w14:paraId="18F31F1A"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2F36945E" w14:textId="77777777" w:rsidR="00565CA7" w:rsidRPr="00131EED" w:rsidRDefault="00565CA7" w:rsidP="00B60DA2">
            <w:pPr>
              <w:rPr>
                <w:rFonts w:cs="Arial"/>
                <w:b/>
                <w:color w:val="000000"/>
                <w:sz w:val="20"/>
                <w:szCs w:val="20"/>
              </w:rPr>
            </w:pPr>
            <w:r w:rsidRPr="00131EED">
              <w:rPr>
                <w:rFonts w:cs="Arial"/>
                <w:b/>
                <w:color w:val="000000"/>
                <w:sz w:val="20"/>
                <w:szCs w:val="20"/>
              </w:rPr>
              <w:t>Tocancipá</w:t>
            </w:r>
          </w:p>
        </w:tc>
        <w:tc>
          <w:tcPr>
            <w:tcW w:w="1793" w:type="dxa"/>
            <w:tcBorders>
              <w:top w:val="nil"/>
              <w:left w:val="nil"/>
              <w:bottom w:val="single" w:sz="8" w:space="0" w:color="auto"/>
              <w:right w:val="single" w:sz="8" w:space="0" w:color="auto"/>
            </w:tcBorders>
            <w:noWrap/>
            <w:vAlign w:val="center"/>
            <w:hideMark/>
          </w:tcPr>
          <w:p w14:paraId="5BE6A826" w14:textId="77777777" w:rsidR="00565CA7" w:rsidRPr="00131EED" w:rsidRDefault="00565CA7" w:rsidP="006A01CD">
            <w:pPr>
              <w:jc w:val="center"/>
              <w:rPr>
                <w:rFonts w:cs="Arial"/>
                <w:color w:val="000000"/>
                <w:sz w:val="20"/>
                <w:szCs w:val="20"/>
              </w:rPr>
            </w:pPr>
            <w:r w:rsidRPr="00131EED">
              <w:rPr>
                <w:rFonts w:cs="Arial"/>
                <w:color w:val="000000"/>
                <w:sz w:val="20"/>
                <w:szCs w:val="20"/>
              </w:rPr>
              <w:t>11,8</w:t>
            </w:r>
          </w:p>
        </w:tc>
        <w:tc>
          <w:tcPr>
            <w:tcW w:w="1281" w:type="dxa"/>
            <w:tcBorders>
              <w:top w:val="nil"/>
              <w:left w:val="nil"/>
              <w:bottom w:val="single" w:sz="8" w:space="0" w:color="auto"/>
              <w:right w:val="single" w:sz="8" w:space="0" w:color="auto"/>
            </w:tcBorders>
            <w:noWrap/>
            <w:vAlign w:val="center"/>
            <w:hideMark/>
          </w:tcPr>
          <w:p w14:paraId="3ACD9704" w14:textId="77777777" w:rsidR="00565CA7" w:rsidRPr="00131EED" w:rsidRDefault="00565CA7" w:rsidP="006A01CD">
            <w:pPr>
              <w:jc w:val="center"/>
              <w:rPr>
                <w:rFonts w:cs="Arial"/>
                <w:color w:val="000000"/>
                <w:sz w:val="20"/>
                <w:szCs w:val="20"/>
              </w:rPr>
            </w:pPr>
            <w:r w:rsidRPr="00131EED">
              <w:rPr>
                <w:rFonts w:cs="Arial"/>
                <w:color w:val="000000"/>
                <w:sz w:val="20"/>
                <w:szCs w:val="20"/>
              </w:rPr>
              <w:t>0,5</w:t>
            </w:r>
          </w:p>
        </w:tc>
        <w:tc>
          <w:tcPr>
            <w:tcW w:w="1284" w:type="dxa"/>
            <w:tcBorders>
              <w:top w:val="nil"/>
              <w:left w:val="nil"/>
              <w:bottom w:val="single" w:sz="8" w:space="0" w:color="auto"/>
              <w:right w:val="single" w:sz="8" w:space="0" w:color="auto"/>
            </w:tcBorders>
            <w:noWrap/>
            <w:vAlign w:val="center"/>
            <w:hideMark/>
          </w:tcPr>
          <w:p w14:paraId="7C274CCA" w14:textId="77777777" w:rsidR="00565CA7" w:rsidRPr="00131EED" w:rsidRDefault="00565CA7" w:rsidP="006A01CD">
            <w:pPr>
              <w:jc w:val="center"/>
              <w:rPr>
                <w:rFonts w:cs="Arial"/>
                <w:color w:val="000000"/>
                <w:sz w:val="20"/>
                <w:szCs w:val="20"/>
              </w:rPr>
            </w:pPr>
            <w:r w:rsidRPr="00131EED">
              <w:rPr>
                <w:rFonts w:cs="Arial"/>
                <w:color w:val="000000"/>
                <w:sz w:val="20"/>
                <w:szCs w:val="20"/>
              </w:rPr>
              <w:t>0,2</w:t>
            </w:r>
          </w:p>
        </w:tc>
        <w:tc>
          <w:tcPr>
            <w:tcW w:w="1281" w:type="dxa"/>
            <w:tcBorders>
              <w:top w:val="nil"/>
              <w:left w:val="nil"/>
              <w:bottom w:val="single" w:sz="8" w:space="0" w:color="auto"/>
              <w:right w:val="single" w:sz="8" w:space="0" w:color="auto"/>
            </w:tcBorders>
            <w:noWrap/>
            <w:vAlign w:val="center"/>
            <w:hideMark/>
          </w:tcPr>
          <w:p w14:paraId="0AB9E782" w14:textId="77777777" w:rsidR="00565CA7" w:rsidRPr="00131EED" w:rsidRDefault="00565CA7" w:rsidP="006A01CD">
            <w:pPr>
              <w:jc w:val="right"/>
              <w:rPr>
                <w:rFonts w:cs="Arial"/>
                <w:color w:val="000000"/>
                <w:sz w:val="20"/>
                <w:szCs w:val="20"/>
              </w:rPr>
            </w:pPr>
            <w:r w:rsidRPr="00131EED">
              <w:rPr>
                <w:rFonts w:cs="Arial"/>
                <w:color w:val="000000"/>
                <w:sz w:val="20"/>
                <w:szCs w:val="20"/>
              </w:rPr>
              <w:t>12,5</w:t>
            </w:r>
          </w:p>
        </w:tc>
      </w:tr>
      <w:tr w:rsidR="00565CA7" w:rsidRPr="00131EED" w14:paraId="08CCD5F3"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41FCD6C0" w14:textId="77777777" w:rsidR="00565CA7" w:rsidRPr="00131EED" w:rsidRDefault="00565CA7" w:rsidP="00B60DA2">
            <w:pPr>
              <w:rPr>
                <w:rFonts w:cs="Arial"/>
                <w:b/>
                <w:color w:val="000000"/>
                <w:sz w:val="20"/>
                <w:szCs w:val="20"/>
              </w:rPr>
            </w:pPr>
            <w:r w:rsidRPr="00131EED">
              <w:rPr>
                <w:rFonts w:cs="Arial"/>
                <w:b/>
                <w:color w:val="000000"/>
                <w:sz w:val="20"/>
                <w:szCs w:val="20"/>
              </w:rPr>
              <w:t>Sesquilé</w:t>
            </w:r>
          </w:p>
        </w:tc>
        <w:tc>
          <w:tcPr>
            <w:tcW w:w="1793" w:type="dxa"/>
            <w:tcBorders>
              <w:top w:val="nil"/>
              <w:left w:val="nil"/>
              <w:bottom w:val="single" w:sz="8" w:space="0" w:color="auto"/>
              <w:right w:val="single" w:sz="8" w:space="0" w:color="auto"/>
            </w:tcBorders>
            <w:noWrap/>
            <w:vAlign w:val="center"/>
            <w:hideMark/>
          </w:tcPr>
          <w:p w14:paraId="1BC76755" w14:textId="77777777" w:rsidR="00565CA7" w:rsidRPr="00131EED" w:rsidRDefault="00565CA7" w:rsidP="006A01CD">
            <w:pPr>
              <w:jc w:val="center"/>
              <w:rPr>
                <w:rFonts w:cs="Arial"/>
                <w:color w:val="000000"/>
                <w:sz w:val="20"/>
                <w:szCs w:val="20"/>
              </w:rPr>
            </w:pPr>
            <w:r w:rsidRPr="00131EED">
              <w:rPr>
                <w:rFonts w:cs="Arial"/>
                <w:color w:val="000000"/>
                <w:sz w:val="20"/>
                <w:szCs w:val="20"/>
              </w:rPr>
              <w:t>2</w:t>
            </w:r>
          </w:p>
        </w:tc>
        <w:tc>
          <w:tcPr>
            <w:tcW w:w="1281" w:type="dxa"/>
            <w:tcBorders>
              <w:top w:val="nil"/>
              <w:left w:val="nil"/>
              <w:bottom w:val="single" w:sz="8" w:space="0" w:color="auto"/>
              <w:right w:val="single" w:sz="8" w:space="0" w:color="auto"/>
            </w:tcBorders>
            <w:noWrap/>
            <w:vAlign w:val="center"/>
            <w:hideMark/>
          </w:tcPr>
          <w:p w14:paraId="4BD3EAB7" w14:textId="77777777" w:rsidR="00565CA7" w:rsidRPr="00131EED" w:rsidRDefault="00565CA7" w:rsidP="006A01CD">
            <w:pPr>
              <w:jc w:val="center"/>
              <w:rPr>
                <w:rFonts w:cs="Arial"/>
                <w:color w:val="000000"/>
                <w:sz w:val="20"/>
                <w:szCs w:val="20"/>
              </w:rPr>
            </w:pPr>
            <w:r w:rsidRPr="00131EED">
              <w:rPr>
                <w:rFonts w:cs="Arial"/>
                <w:color w:val="000000"/>
                <w:sz w:val="20"/>
                <w:szCs w:val="20"/>
              </w:rPr>
              <w:t>0,7</w:t>
            </w:r>
          </w:p>
        </w:tc>
        <w:tc>
          <w:tcPr>
            <w:tcW w:w="1284" w:type="dxa"/>
            <w:tcBorders>
              <w:top w:val="nil"/>
              <w:left w:val="nil"/>
              <w:bottom w:val="single" w:sz="8" w:space="0" w:color="auto"/>
              <w:right w:val="single" w:sz="8" w:space="0" w:color="auto"/>
            </w:tcBorders>
            <w:noWrap/>
            <w:vAlign w:val="center"/>
            <w:hideMark/>
          </w:tcPr>
          <w:p w14:paraId="1BE04939" w14:textId="77777777" w:rsidR="00565CA7" w:rsidRPr="00131EED" w:rsidRDefault="00565CA7" w:rsidP="006A01CD">
            <w:pPr>
              <w:jc w:val="center"/>
              <w:rPr>
                <w:rFonts w:cs="Arial"/>
                <w:color w:val="000000"/>
                <w:sz w:val="20"/>
                <w:szCs w:val="20"/>
              </w:rPr>
            </w:pPr>
            <w:r w:rsidRPr="00131EED">
              <w:rPr>
                <w:rFonts w:cs="Arial"/>
                <w:color w:val="000000"/>
                <w:sz w:val="20"/>
                <w:szCs w:val="20"/>
              </w:rPr>
              <w:t>2,5</w:t>
            </w:r>
          </w:p>
        </w:tc>
        <w:tc>
          <w:tcPr>
            <w:tcW w:w="1281" w:type="dxa"/>
            <w:tcBorders>
              <w:top w:val="nil"/>
              <w:left w:val="nil"/>
              <w:bottom w:val="single" w:sz="8" w:space="0" w:color="auto"/>
              <w:right w:val="single" w:sz="8" w:space="0" w:color="auto"/>
            </w:tcBorders>
            <w:noWrap/>
            <w:vAlign w:val="center"/>
            <w:hideMark/>
          </w:tcPr>
          <w:p w14:paraId="0665C1EA" w14:textId="77777777" w:rsidR="00565CA7" w:rsidRPr="00131EED" w:rsidRDefault="00565CA7" w:rsidP="006A01CD">
            <w:pPr>
              <w:jc w:val="right"/>
              <w:rPr>
                <w:rFonts w:cs="Arial"/>
                <w:color w:val="000000"/>
                <w:sz w:val="20"/>
                <w:szCs w:val="20"/>
              </w:rPr>
            </w:pPr>
            <w:r w:rsidRPr="00131EED">
              <w:rPr>
                <w:rFonts w:cs="Arial"/>
                <w:color w:val="000000"/>
                <w:sz w:val="20"/>
                <w:szCs w:val="20"/>
              </w:rPr>
              <w:t>5,1</w:t>
            </w:r>
          </w:p>
        </w:tc>
      </w:tr>
      <w:tr w:rsidR="00565CA7" w:rsidRPr="00131EED" w14:paraId="69FA3591"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353877A3" w14:textId="77777777" w:rsidR="00565CA7" w:rsidRPr="00131EED" w:rsidRDefault="00565CA7" w:rsidP="00B60DA2">
            <w:pPr>
              <w:rPr>
                <w:rFonts w:cs="Arial"/>
                <w:b/>
                <w:color w:val="000000"/>
                <w:sz w:val="20"/>
                <w:szCs w:val="20"/>
              </w:rPr>
            </w:pPr>
            <w:r w:rsidRPr="00131EED">
              <w:rPr>
                <w:rFonts w:cs="Arial"/>
                <w:b/>
                <w:color w:val="000000"/>
                <w:sz w:val="20"/>
                <w:szCs w:val="20"/>
              </w:rPr>
              <w:t>Guatavita</w:t>
            </w:r>
          </w:p>
        </w:tc>
        <w:tc>
          <w:tcPr>
            <w:tcW w:w="1793" w:type="dxa"/>
            <w:tcBorders>
              <w:top w:val="nil"/>
              <w:left w:val="nil"/>
              <w:bottom w:val="single" w:sz="8" w:space="0" w:color="auto"/>
              <w:right w:val="single" w:sz="8" w:space="0" w:color="auto"/>
            </w:tcBorders>
            <w:noWrap/>
            <w:vAlign w:val="center"/>
            <w:hideMark/>
          </w:tcPr>
          <w:p w14:paraId="52527012" w14:textId="286E5F27"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3FA243CC" w14:textId="77777777" w:rsidR="00565CA7" w:rsidRPr="00131EED" w:rsidRDefault="00565CA7" w:rsidP="006A01CD">
            <w:pPr>
              <w:jc w:val="center"/>
              <w:rPr>
                <w:rFonts w:cs="Arial"/>
                <w:color w:val="000000"/>
                <w:sz w:val="20"/>
                <w:szCs w:val="20"/>
              </w:rPr>
            </w:pPr>
            <w:r w:rsidRPr="00131EED">
              <w:rPr>
                <w:rFonts w:cs="Arial"/>
                <w:color w:val="000000"/>
                <w:sz w:val="20"/>
                <w:szCs w:val="20"/>
              </w:rPr>
              <w:t>4,4</w:t>
            </w:r>
          </w:p>
        </w:tc>
        <w:tc>
          <w:tcPr>
            <w:tcW w:w="1284" w:type="dxa"/>
            <w:tcBorders>
              <w:top w:val="nil"/>
              <w:left w:val="nil"/>
              <w:bottom w:val="single" w:sz="8" w:space="0" w:color="auto"/>
              <w:right w:val="single" w:sz="8" w:space="0" w:color="auto"/>
            </w:tcBorders>
            <w:noWrap/>
            <w:vAlign w:val="center"/>
            <w:hideMark/>
          </w:tcPr>
          <w:p w14:paraId="4F0FBA1B" w14:textId="4F2FAC04"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29638536" w14:textId="77777777" w:rsidR="00565CA7" w:rsidRPr="00131EED" w:rsidRDefault="00565CA7" w:rsidP="006A01CD">
            <w:pPr>
              <w:jc w:val="right"/>
              <w:rPr>
                <w:rFonts w:cs="Arial"/>
                <w:color w:val="000000"/>
                <w:sz w:val="20"/>
                <w:szCs w:val="20"/>
              </w:rPr>
            </w:pPr>
            <w:r w:rsidRPr="00131EED">
              <w:rPr>
                <w:rFonts w:cs="Arial"/>
                <w:color w:val="000000"/>
                <w:sz w:val="20"/>
                <w:szCs w:val="20"/>
              </w:rPr>
              <w:t>4,4</w:t>
            </w:r>
          </w:p>
        </w:tc>
      </w:tr>
      <w:tr w:rsidR="00565CA7" w:rsidRPr="00131EED" w14:paraId="6C1D5AF9"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3EE5EA6C" w14:textId="77777777" w:rsidR="00565CA7" w:rsidRPr="00131EED" w:rsidRDefault="00565CA7" w:rsidP="00B60DA2">
            <w:pPr>
              <w:rPr>
                <w:rFonts w:cs="Arial"/>
                <w:b/>
                <w:color w:val="000000"/>
                <w:sz w:val="20"/>
                <w:szCs w:val="20"/>
              </w:rPr>
            </w:pPr>
            <w:r w:rsidRPr="00131EED">
              <w:rPr>
                <w:rFonts w:cs="Arial"/>
                <w:b/>
                <w:color w:val="000000"/>
                <w:sz w:val="20"/>
                <w:szCs w:val="20"/>
              </w:rPr>
              <w:t>Tabio</w:t>
            </w:r>
          </w:p>
        </w:tc>
        <w:tc>
          <w:tcPr>
            <w:tcW w:w="1793" w:type="dxa"/>
            <w:tcBorders>
              <w:top w:val="nil"/>
              <w:left w:val="nil"/>
              <w:bottom w:val="single" w:sz="8" w:space="0" w:color="auto"/>
              <w:right w:val="single" w:sz="8" w:space="0" w:color="auto"/>
            </w:tcBorders>
            <w:noWrap/>
            <w:vAlign w:val="center"/>
            <w:hideMark/>
          </w:tcPr>
          <w:p w14:paraId="155EF68C" w14:textId="77777777" w:rsidR="00565CA7" w:rsidRPr="00131EED" w:rsidRDefault="00565CA7" w:rsidP="006A01CD">
            <w:pPr>
              <w:jc w:val="center"/>
              <w:rPr>
                <w:rFonts w:cs="Arial"/>
                <w:color w:val="000000"/>
                <w:sz w:val="20"/>
                <w:szCs w:val="20"/>
              </w:rPr>
            </w:pPr>
            <w:r w:rsidRPr="00131EED">
              <w:rPr>
                <w:rFonts w:cs="Arial"/>
                <w:color w:val="000000"/>
                <w:sz w:val="20"/>
                <w:szCs w:val="20"/>
              </w:rPr>
              <w:t>3,2</w:t>
            </w:r>
          </w:p>
        </w:tc>
        <w:tc>
          <w:tcPr>
            <w:tcW w:w="1281" w:type="dxa"/>
            <w:tcBorders>
              <w:top w:val="nil"/>
              <w:left w:val="nil"/>
              <w:bottom w:val="single" w:sz="8" w:space="0" w:color="auto"/>
              <w:right w:val="single" w:sz="8" w:space="0" w:color="auto"/>
            </w:tcBorders>
            <w:noWrap/>
            <w:vAlign w:val="center"/>
            <w:hideMark/>
          </w:tcPr>
          <w:p w14:paraId="77250D02" w14:textId="77777777" w:rsidR="00565CA7" w:rsidRPr="00131EED" w:rsidRDefault="00565CA7" w:rsidP="006A01CD">
            <w:pPr>
              <w:jc w:val="center"/>
              <w:rPr>
                <w:rFonts w:cs="Arial"/>
                <w:color w:val="000000"/>
                <w:sz w:val="20"/>
                <w:szCs w:val="20"/>
              </w:rPr>
            </w:pPr>
            <w:r w:rsidRPr="00131EED">
              <w:rPr>
                <w:rFonts w:cs="Arial"/>
                <w:color w:val="000000"/>
                <w:sz w:val="20"/>
                <w:szCs w:val="20"/>
              </w:rPr>
              <w:t>1,2</w:t>
            </w:r>
          </w:p>
        </w:tc>
        <w:tc>
          <w:tcPr>
            <w:tcW w:w="1284" w:type="dxa"/>
            <w:tcBorders>
              <w:top w:val="nil"/>
              <w:left w:val="nil"/>
              <w:bottom w:val="single" w:sz="8" w:space="0" w:color="auto"/>
              <w:right w:val="single" w:sz="8" w:space="0" w:color="auto"/>
            </w:tcBorders>
            <w:noWrap/>
            <w:vAlign w:val="center"/>
            <w:hideMark/>
          </w:tcPr>
          <w:p w14:paraId="6370EFC0" w14:textId="20BEBEB0"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7EAA737C" w14:textId="77777777" w:rsidR="00565CA7" w:rsidRPr="00131EED" w:rsidRDefault="00565CA7" w:rsidP="006A01CD">
            <w:pPr>
              <w:jc w:val="right"/>
              <w:rPr>
                <w:rFonts w:cs="Arial"/>
                <w:color w:val="000000"/>
                <w:sz w:val="20"/>
                <w:szCs w:val="20"/>
              </w:rPr>
            </w:pPr>
            <w:r w:rsidRPr="00131EED">
              <w:rPr>
                <w:rFonts w:cs="Arial"/>
                <w:color w:val="000000"/>
                <w:sz w:val="20"/>
                <w:szCs w:val="20"/>
              </w:rPr>
              <w:t>4,4</w:t>
            </w:r>
          </w:p>
        </w:tc>
      </w:tr>
      <w:tr w:rsidR="00565CA7" w:rsidRPr="00131EED" w14:paraId="6DF1A50D"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3D37F745" w14:textId="77777777" w:rsidR="00565CA7" w:rsidRPr="00131EED" w:rsidRDefault="00565CA7" w:rsidP="00B60DA2">
            <w:pPr>
              <w:rPr>
                <w:rFonts w:cs="Arial"/>
                <w:b/>
                <w:color w:val="000000"/>
                <w:sz w:val="20"/>
                <w:szCs w:val="20"/>
              </w:rPr>
            </w:pPr>
            <w:r w:rsidRPr="00131EED">
              <w:rPr>
                <w:rFonts w:cs="Arial"/>
                <w:b/>
                <w:color w:val="000000"/>
                <w:sz w:val="20"/>
                <w:szCs w:val="20"/>
              </w:rPr>
              <w:t>Nemocón</w:t>
            </w:r>
          </w:p>
        </w:tc>
        <w:tc>
          <w:tcPr>
            <w:tcW w:w="1793" w:type="dxa"/>
            <w:tcBorders>
              <w:top w:val="nil"/>
              <w:left w:val="nil"/>
              <w:bottom w:val="single" w:sz="8" w:space="0" w:color="auto"/>
              <w:right w:val="single" w:sz="8" w:space="0" w:color="auto"/>
            </w:tcBorders>
            <w:noWrap/>
            <w:vAlign w:val="center"/>
            <w:hideMark/>
          </w:tcPr>
          <w:p w14:paraId="2715F2CD" w14:textId="77777777" w:rsidR="00565CA7" w:rsidRPr="00131EED" w:rsidRDefault="00565CA7" w:rsidP="006A01CD">
            <w:pPr>
              <w:jc w:val="center"/>
              <w:rPr>
                <w:rFonts w:cs="Arial"/>
                <w:color w:val="000000"/>
                <w:sz w:val="20"/>
                <w:szCs w:val="20"/>
              </w:rPr>
            </w:pPr>
            <w:r w:rsidRPr="00131EED">
              <w:rPr>
                <w:rFonts w:cs="Arial"/>
                <w:color w:val="000000"/>
                <w:sz w:val="20"/>
                <w:szCs w:val="20"/>
              </w:rPr>
              <w:t>4</w:t>
            </w:r>
          </w:p>
        </w:tc>
        <w:tc>
          <w:tcPr>
            <w:tcW w:w="1281" w:type="dxa"/>
            <w:tcBorders>
              <w:top w:val="nil"/>
              <w:left w:val="nil"/>
              <w:bottom w:val="single" w:sz="8" w:space="0" w:color="auto"/>
              <w:right w:val="single" w:sz="8" w:space="0" w:color="auto"/>
            </w:tcBorders>
            <w:noWrap/>
            <w:vAlign w:val="center"/>
            <w:hideMark/>
          </w:tcPr>
          <w:p w14:paraId="1010690F" w14:textId="77777777" w:rsidR="00565CA7" w:rsidRPr="00131EED" w:rsidRDefault="00565CA7" w:rsidP="006A01CD">
            <w:pPr>
              <w:jc w:val="center"/>
              <w:rPr>
                <w:rFonts w:cs="Arial"/>
                <w:color w:val="000000"/>
                <w:sz w:val="20"/>
                <w:szCs w:val="20"/>
              </w:rPr>
            </w:pPr>
            <w:r w:rsidRPr="00131EED">
              <w:rPr>
                <w:rFonts w:cs="Arial"/>
                <w:color w:val="000000"/>
                <w:sz w:val="20"/>
                <w:szCs w:val="20"/>
              </w:rPr>
              <w:t>0,1</w:t>
            </w:r>
          </w:p>
        </w:tc>
        <w:tc>
          <w:tcPr>
            <w:tcW w:w="1284" w:type="dxa"/>
            <w:tcBorders>
              <w:top w:val="nil"/>
              <w:left w:val="nil"/>
              <w:bottom w:val="single" w:sz="8" w:space="0" w:color="auto"/>
              <w:right w:val="single" w:sz="8" w:space="0" w:color="auto"/>
            </w:tcBorders>
            <w:noWrap/>
            <w:vAlign w:val="center"/>
            <w:hideMark/>
          </w:tcPr>
          <w:p w14:paraId="609B1BF8" w14:textId="10EA3502"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398CE9C9" w14:textId="77777777" w:rsidR="00565CA7" w:rsidRPr="00131EED" w:rsidRDefault="00565CA7" w:rsidP="006A01CD">
            <w:pPr>
              <w:jc w:val="right"/>
              <w:rPr>
                <w:rFonts w:cs="Arial"/>
                <w:color w:val="000000"/>
                <w:sz w:val="20"/>
                <w:szCs w:val="20"/>
              </w:rPr>
            </w:pPr>
            <w:r w:rsidRPr="00131EED">
              <w:rPr>
                <w:rFonts w:cs="Arial"/>
                <w:color w:val="000000"/>
                <w:sz w:val="20"/>
                <w:szCs w:val="20"/>
              </w:rPr>
              <w:t>4,1</w:t>
            </w:r>
          </w:p>
        </w:tc>
      </w:tr>
      <w:tr w:rsidR="00565CA7" w:rsidRPr="00131EED" w14:paraId="1D90C414"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6A55C62D" w14:textId="77777777" w:rsidR="00565CA7" w:rsidRPr="00131EED" w:rsidRDefault="00565CA7" w:rsidP="00B60DA2">
            <w:pPr>
              <w:rPr>
                <w:rFonts w:cs="Arial"/>
                <w:b/>
                <w:color w:val="000000"/>
                <w:sz w:val="20"/>
                <w:szCs w:val="20"/>
              </w:rPr>
            </w:pPr>
            <w:r w:rsidRPr="00131EED">
              <w:rPr>
                <w:rFonts w:cs="Arial"/>
                <w:b/>
                <w:color w:val="000000"/>
                <w:sz w:val="20"/>
                <w:szCs w:val="20"/>
              </w:rPr>
              <w:t>El Rosal</w:t>
            </w:r>
          </w:p>
        </w:tc>
        <w:tc>
          <w:tcPr>
            <w:tcW w:w="1793" w:type="dxa"/>
            <w:tcBorders>
              <w:top w:val="nil"/>
              <w:left w:val="nil"/>
              <w:bottom w:val="single" w:sz="8" w:space="0" w:color="auto"/>
              <w:right w:val="single" w:sz="8" w:space="0" w:color="auto"/>
            </w:tcBorders>
            <w:noWrap/>
            <w:vAlign w:val="center"/>
            <w:hideMark/>
          </w:tcPr>
          <w:p w14:paraId="77A0A042" w14:textId="77777777" w:rsidR="00565CA7" w:rsidRPr="00131EED" w:rsidRDefault="00565CA7" w:rsidP="006A01CD">
            <w:pPr>
              <w:jc w:val="center"/>
              <w:rPr>
                <w:rFonts w:cs="Arial"/>
                <w:color w:val="000000"/>
                <w:sz w:val="20"/>
                <w:szCs w:val="20"/>
              </w:rPr>
            </w:pPr>
            <w:r w:rsidRPr="00131EED">
              <w:rPr>
                <w:rFonts w:cs="Arial"/>
                <w:color w:val="000000"/>
                <w:sz w:val="20"/>
                <w:szCs w:val="20"/>
              </w:rPr>
              <w:t>3,1</w:t>
            </w:r>
          </w:p>
        </w:tc>
        <w:tc>
          <w:tcPr>
            <w:tcW w:w="1281" w:type="dxa"/>
            <w:tcBorders>
              <w:top w:val="nil"/>
              <w:left w:val="nil"/>
              <w:bottom w:val="single" w:sz="8" w:space="0" w:color="auto"/>
              <w:right w:val="single" w:sz="8" w:space="0" w:color="auto"/>
            </w:tcBorders>
            <w:noWrap/>
            <w:vAlign w:val="center"/>
            <w:hideMark/>
          </w:tcPr>
          <w:p w14:paraId="6831041A" w14:textId="1A256A4E"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4" w:type="dxa"/>
            <w:tcBorders>
              <w:top w:val="nil"/>
              <w:left w:val="nil"/>
              <w:bottom w:val="single" w:sz="8" w:space="0" w:color="auto"/>
              <w:right w:val="single" w:sz="8" w:space="0" w:color="auto"/>
            </w:tcBorders>
            <w:noWrap/>
            <w:vAlign w:val="center"/>
            <w:hideMark/>
          </w:tcPr>
          <w:p w14:paraId="3B774AAA" w14:textId="5028198B"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6A7820D7" w14:textId="77777777" w:rsidR="00565CA7" w:rsidRPr="00131EED" w:rsidRDefault="00565CA7" w:rsidP="006A01CD">
            <w:pPr>
              <w:jc w:val="right"/>
              <w:rPr>
                <w:rFonts w:cs="Arial"/>
                <w:color w:val="000000"/>
                <w:sz w:val="20"/>
                <w:szCs w:val="20"/>
              </w:rPr>
            </w:pPr>
            <w:r w:rsidRPr="00131EED">
              <w:rPr>
                <w:rFonts w:cs="Arial"/>
                <w:color w:val="000000"/>
                <w:sz w:val="20"/>
                <w:szCs w:val="20"/>
              </w:rPr>
              <w:t>3,1</w:t>
            </w:r>
          </w:p>
        </w:tc>
      </w:tr>
      <w:tr w:rsidR="00565CA7" w:rsidRPr="00131EED" w14:paraId="43E0AE42"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55BF034A" w14:textId="77777777" w:rsidR="00565CA7" w:rsidRPr="00131EED" w:rsidRDefault="00565CA7" w:rsidP="00B60DA2">
            <w:pPr>
              <w:rPr>
                <w:rFonts w:cs="Arial"/>
                <w:b/>
                <w:color w:val="000000"/>
                <w:sz w:val="20"/>
                <w:szCs w:val="20"/>
              </w:rPr>
            </w:pPr>
            <w:r w:rsidRPr="00131EED">
              <w:rPr>
                <w:rFonts w:cs="Arial"/>
                <w:b/>
                <w:color w:val="000000"/>
                <w:sz w:val="20"/>
                <w:szCs w:val="20"/>
              </w:rPr>
              <w:t>Subachoque</w:t>
            </w:r>
          </w:p>
        </w:tc>
        <w:tc>
          <w:tcPr>
            <w:tcW w:w="1793" w:type="dxa"/>
            <w:tcBorders>
              <w:top w:val="nil"/>
              <w:left w:val="nil"/>
              <w:bottom w:val="single" w:sz="8" w:space="0" w:color="auto"/>
              <w:right w:val="single" w:sz="8" w:space="0" w:color="auto"/>
            </w:tcBorders>
            <w:noWrap/>
            <w:vAlign w:val="center"/>
            <w:hideMark/>
          </w:tcPr>
          <w:p w14:paraId="1BEE076D" w14:textId="77777777" w:rsidR="00565CA7" w:rsidRPr="00131EED" w:rsidRDefault="00565CA7" w:rsidP="006A01CD">
            <w:pPr>
              <w:jc w:val="center"/>
              <w:rPr>
                <w:rFonts w:cs="Arial"/>
                <w:color w:val="000000"/>
                <w:sz w:val="20"/>
                <w:szCs w:val="20"/>
              </w:rPr>
            </w:pPr>
            <w:r w:rsidRPr="00131EED">
              <w:rPr>
                <w:rFonts w:cs="Arial"/>
                <w:color w:val="000000"/>
                <w:sz w:val="20"/>
                <w:szCs w:val="20"/>
              </w:rPr>
              <w:t>1,3</w:t>
            </w:r>
          </w:p>
        </w:tc>
        <w:tc>
          <w:tcPr>
            <w:tcW w:w="1281" w:type="dxa"/>
            <w:tcBorders>
              <w:top w:val="nil"/>
              <w:left w:val="nil"/>
              <w:bottom w:val="single" w:sz="8" w:space="0" w:color="auto"/>
              <w:right w:val="single" w:sz="8" w:space="0" w:color="auto"/>
            </w:tcBorders>
            <w:noWrap/>
            <w:vAlign w:val="center"/>
            <w:hideMark/>
          </w:tcPr>
          <w:p w14:paraId="159F9666" w14:textId="25F5591B"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4" w:type="dxa"/>
            <w:tcBorders>
              <w:top w:val="nil"/>
              <w:left w:val="nil"/>
              <w:bottom w:val="single" w:sz="8" w:space="0" w:color="auto"/>
              <w:right w:val="single" w:sz="8" w:space="0" w:color="auto"/>
            </w:tcBorders>
            <w:noWrap/>
            <w:vAlign w:val="center"/>
            <w:hideMark/>
          </w:tcPr>
          <w:p w14:paraId="26598A91" w14:textId="494E4799"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5425A967" w14:textId="77777777" w:rsidR="00565CA7" w:rsidRPr="00131EED" w:rsidRDefault="00565CA7" w:rsidP="006A01CD">
            <w:pPr>
              <w:jc w:val="right"/>
              <w:rPr>
                <w:rFonts w:cs="Arial"/>
                <w:color w:val="000000"/>
                <w:sz w:val="20"/>
                <w:szCs w:val="20"/>
              </w:rPr>
            </w:pPr>
            <w:r w:rsidRPr="00131EED">
              <w:rPr>
                <w:rFonts w:cs="Arial"/>
                <w:color w:val="000000"/>
                <w:sz w:val="20"/>
                <w:szCs w:val="20"/>
              </w:rPr>
              <w:t>1,3</w:t>
            </w:r>
          </w:p>
        </w:tc>
      </w:tr>
      <w:tr w:rsidR="00565CA7" w:rsidRPr="00131EED" w14:paraId="7AA3ACB0"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1D89EBA7" w14:textId="77777777" w:rsidR="00565CA7" w:rsidRPr="00131EED" w:rsidRDefault="00565CA7" w:rsidP="00B60DA2">
            <w:pPr>
              <w:rPr>
                <w:rFonts w:cs="Arial"/>
                <w:b/>
                <w:color w:val="000000"/>
                <w:sz w:val="20"/>
                <w:szCs w:val="20"/>
              </w:rPr>
            </w:pPr>
            <w:r w:rsidRPr="00131EED">
              <w:rPr>
                <w:rFonts w:cs="Arial"/>
                <w:b/>
                <w:color w:val="000000"/>
                <w:sz w:val="20"/>
                <w:szCs w:val="20"/>
              </w:rPr>
              <w:t>Sopó</w:t>
            </w:r>
          </w:p>
        </w:tc>
        <w:tc>
          <w:tcPr>
            <w:tcW w:w="1793" w:type="dxa"/>
            <w:tcBorders>
              <w:top w:val="nil"/>
              <w:left w:val="nil"/>
              <w:bottom w:val="single" w:sz="8" w:space="0" w:color="auto"/>
              <w:right w:val="single" w:sz="8" w:space="0" w:color="auto"/>
            </w:tcBorders>
            <w:noWrap/>
            <w:vAlign w:val="center"/>
            <w:hideMark/>
          </w:tcPr>
          <w:p w14:paraId="4F2218B2" w14:textId="77777777" w:rsidR="00565CA7" w:rsidRPr="00131EED" w:rsidRDefault="00565CA7" w:rsidP="006A01CD">
            <w:pPr>
              <w:jc w:val="center"/>
              <w:rPr>
                <w:rFonts w:cs="Arial"/>
                <w:color w:val="000000"/>
                <w:sz w:val="20"/>
                <w:szCs w:val="20"/>
              </w:rPr>
            </w:pPr>
            <w:r w:rsidRPr="00131EED">
              <w:rPr>
                <w:rFonts w:cs="Arial"/>
                <w:color w:val="000000"/>
                <w:sz w:val="20"/>
                <w:szCs w:val="20"/>
              </w:rPr>
              <w:t>0</w:t>
            </w:r>
          </w:p>
        </w:tc>
        <w:tc>
          <w:tcPr>
            <w:tcW w:w="1281" w:type="dxa"/>
            <w:tcBorders>
              <w:top w:val="nil"/>
              <w:left w:val="nil"/>
              <w:bottom w:val="single" w:sz="8" w:space="0" w:color="auto"/>
              <w:right w:val="single" w:sz="8" w:space="0" w:color="auto"/>
            </w:tcBorders>
            <w:noWrap/>
            <w:vAlign w:val="center"/>
            <w:hideMark/>
          </w:tcPr>
          <w:p w14:paraId="6A1A32E3" w14:textId="77777777" w:rsidR="00565CA7" w:rsidRPr="00131EED" w:rsidRDefault="00565CA7" w:rsidP="006A01CD">
            <w:pPr>
              <w:jc w:val="center"/>
              <w:rPr>
                <w:rFonts w:cs="Arial"/>
                <w:color w:val="000000"/>
                <w:sz w:val="20"/>
                <w:szCs w:val="20"/>
              </w:rPr>
            </w:pPr>
            <w:r w:rsidRPr="00131EED">
              <w:rPr>
                <w:rFonts w:cs="Arial"/>
                <w:color w:val="000000"/>
                <w:sz w:val="20"/>
                <w:szCs w:val="20"/>
              </w:rPr>
              <w:t>0,3</w:t>
            </w:r>
          </w:p>
        </w:tc>
        <w:tc>
          <w:tcPr>
            <w:tcW w:w="1284" w:type="dxa"/>
            <w:tcBorders>
              <w:top w:val="nil"/>
              <w:left w:val="nil"/>
              <w:bottom w:val="single" w:sz="8" w:space="0" w:color="auto"/>
              <w:right w:val="single" w:sz="8" w:space="0" w:color="auto"/>
            </w:tcBorders>
            <w:noWrap/>
            <w:vAlign w:val="center"/>
            <w:hideMark/>
          </w:tcPr>
          <w:p w14:paraId="0A1F2096" w14:textId="18814B2B"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1" w:type="dxa"/>
            <w:tcBorders>
              <w:top w:val="nil"/>
              <w:left w:val="nil"/>
              <w:bottom w:val="single" w:sz="8" w:space="0" w:color="auto"/>
              <w:right w:val="single" w:sz="8" w:space="0" w:color="auto"/>
            </w:tcBorders>
            <w:noWrap/>
            <w:vAlign w:val="center"/>
            <w:hideMark/>
          </w:tcPr>
          <w:p w14:paraId="6731C01B" w14:textId="77777777" w:rsidR="00565CA7" w:rsidRPr="00131EED" w:rsidRDefault="00565CA7" w:rsidP="006A01CD">
            <w:pPr>
              <w:jc w:val="right"/>
              <w:rPr>
                <w:rFonts w:cs="Arial"/>
                <w:color w:val="000000"/>
                <w:sz w:val="20"/>
                <w:szCs w:val="20"/>
              </w:rPr>
            </w:pPr>
            <w:r w:rsidRPr="00131EED">
              <w:rPr>
                <w:rFonts w:cs="Arial"/>
                <w:color w:val="000000"/>
                <w:sz w:val="20"/>
                <w:szCs w:val="20"/>
              </w:rPr>
              <w:t>0,4</w:t>
            </w:r>
          </w:p>
        </w:tc>
      </w:tr>
      <w:tr w:rsidR="00565CA7" w:rsidRPr="00131EED" w14:paraId="288DF42E"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7424D6D1" w14:textId="77777777" w:rsidR="00565CA7" w:rsidRPr="00131EED" w:rsidRDefault="00565CA7" w:rsidP="00B60DA2">
            <w:pPr>
              <w:rPr>
                <w:rFonts w:cs="Arial"/>
                <w:b/>
                <w:color w:val="000000"/>
                <w:sz w:val="20"/>
                <w:szCs w:val="20"/>
              </w:rPr>
            </w:pPr>
            <w:r w:rsidRPr="00131EED">
              <w:rPr>
                <w:rFonts w:cs="Arial"/>
                <w:b/>
                <w:color w:val="000000"/>
                <w:sz w:val="20"/>
                <w:szCs w:val="20"/>
              </w:rPr>
              <w:t>Chocontá</w:t>
            </w:r>
          </w:p>
        </w:tc>
        <w:tc>
          <w:tcPr>
            <w:tcW w:w="1793" w:type="dxa"/>
            <w:tcBorders>
              <w:top w:val="nil"/>
              <w:left w:val="nil"/>
              <w:bottom w:val="single" w:sz="8" w:space="0" w:color="auto"/>
              <w:right w:val="single" w:sz="8" w:space="0" w:color="auto"/>
            </w:tcBorders>
            <w:noWrap/>
            <w:vAlign w:val="center"/>
            <w:hideMark/>
          </w:tcPr>
          <w:p w14:paraId="44520BEF" w14:textId="77777777" w:rsidR="00565CA7" w:rsidRPr="00131EED" w:rsidRDefault="00565CA7" w:rsidP="006A01CD">
            <w:pPr>
              <w:jc w:val="center"/>
              <w:rPr>
                <w:rFonts w:cs="Arial"/>
                <w:color w:val="000000"/>
                <w:sz w:val="20"/>
                <w:szCs w:val="20"/>
              </w:rPr>
            </w:pPr>
            <w:r w:rsidRPr="00131EED">
              <w:rPr>
                <w:rFonts w:cs="Arial"/>
                <w:color w:val="000000"/>
                <w:sz w:val="20"/>
                <w:szCs w:val="20"/>
              </w:rPr>
              <w:t>0</w:t>
            </w:r>
          </w:p>
        </w:tc>
        <w:tc>
          <w:tcPr>
            <w:tcW w:w="1281" w:type="dxa"/>
            <w:tcBorders>
              <w:top w:val="nil"/>
              <w:left w:val="nil"/>
              <w:bottom w:val="single" w:sz="8" w:space="0" w:color="auto"/>
              <w:right w:val="single" w:sz="8" w:space="0" w:color="auto"/>
            </w:tcBorders>
            <w:noWrap/>
            <w:vAlign w:val="center"/>
            <w:hideMark/>
          </w:tcPr>
          <w:p w14:paraId="1AA09AFB" w14:textId="7090D74D" w:rsidR="00565CA7" w:rsidRPr="00131EED" w:rsidRDefault="00565CA7" w:rsidP="006A01CD">
            <w:pPr>
              <w:jc w:val="center"/>
              <w:rPr>
                <w:rFonts w:cs="Arial"/>
                <w:color w:val="000000"/>
                <w:sz w:val="20"/>
                <w:szCs w:val="20"/>
              </w:rPr>
            </w:pPr>
            <w:r w:rsidRPr="00131EED">
              <w:rPr>
                <w:rFonts w:cs="Arial"/>
                <w:color w:val="000000"/>
                <w:sz w:val="20"/>
                <w:szCs w:val="20"/>
              </w:rPr>
              <w:t>-</w:t>
            </w:r>
          </w:p>
        </w:tc>
        <w:tc>
          <w:tcPr>
            <w:tcW w:w="1284" w:type="dxa"/>
            <w:tcBorders>
              <w:top w:val="nil"/>
              <w:left w:val="nil"/>
              <w:bottom w:val="single" w:sz="8" w:space="0" w:color="auto"/>
              <w:right w:val="single" w:sz="8" w:space="0" w:color="auto"/>
            </w:tcBorders>
            <w:noWrap/>
            <w:vAlign w:val="center"/>
            <w:hideMark/>
          </w:tcPr>
          <w:p w14:paraId="1E6649C8" w14:textId="77777777" w:rsidR="00565CA7" w:rsidRPr="00131EED" w:rsidRDefault="00565CA7" w:rsidP="006A01CD">
            <w:pPr>
              <w:jc w:val="center"/>
              <w:rPr>
                <w:rFonts w:cs="Arial"/>
                <w:color w:val="000000"/>
                <w:sz w:val="20"/>
                <w:szCs w:val="20"/>
              </w:rPr>
            </w:pPr>
            <w:r w:rsidRPr="00131EED">
              <w:rPr>
                <w:rFonts w:cs="Arial"/>
                <w:color w:val="000000"/>
                <w:sz w:val="20"/>
                <w:szCs w:val="20"/>
              </w:rPr>
              <w:t>0</w:t>
            </w:r>
          </w:p>
        </w:tc>
        <w:tc>
          <w:tcPr>
            <w:tcW w:w="1281" w:type="dxa"/>
            <w:tcBorders>
              <w:top w:val="nil"/>
              <w:left w:val="nil"/>
              <w:bottom w:val="single" w:sz="8" w:space="0" w:color="auto"/>
              <w:right w:val="single" w:sz="8" w:space="0" w:color="auto"/>
            </w:tcBorders>
            <w:noWrap/>
            <w:vAlign w:val="center"/>
            <w:hideMark/>
          </w:tcPr>
          <w:p w14:paraId="552932C8" w14:textId="77777777" w:rsidR="00565CA7" w:rsidRPr="00131EED" w:rsidRDefault="00565CA7" w:rsidP="006A01CD">
            <w:pPr>
              <w:jc w:val="right"/>
              <w:rPr>
                <w:rFonts w:cs="Arial"/>
                <w:color w:val="000000"/>
                <w:sz w:val="20"/>
                <w:szCs w:val="20"/>
              </w:rPr>
            </w:pPr>
            <w:r w:rsidRPr="00131EED">
              <w:rPr>
                <w:rFonts w:cs="Arial"/>
                <w:color w:val="000000"/>
                <w:sz w:val="20"/>
                <w:szCs w:val="20"/>
              </w:rPr>
              <w:t>0</w:t>
            </w:r>
          </w:p>
        </w:tc>
      </w:tr>
      <w:tr w:rsidR="00565CA7" w:rsidRPr="00131EED" w14:paraId="02D38F82" w14:textId="77777777" w:rsidTr="00053167">
        <w:trPr>
          <w:trHeight w:val="182"/>
          <w:jc w:val="center"/>
        </w:trPr>
        <w:tc>
          <w:tcPr>
            <w:tcW w:w="1991" w:type="dxa"/>
            <w:tcBorders>
              <w:top w:val="nil"/>
              <w:left w:val="single" w:sz="8" w:space="0" w:color="auto"/>
              <w:bottom w:val="single" w:sz="8" w:space="0" w:color="auto"/>
              <w:right w:val="single" w:sz="8" w:space="0" w:color="auto"/>
            </w:tcBorders>
            <w:noWrap/>
            <w:vAlign w:val="center"/>
            <w:hideMark/>
          </w:tcPr>
          <w:p w14:paraId="68DD5429" w14:textId="77777777" w:rsidR="00565CA7" w:rsidRPr="00131EED" w:rsidRDefault="00565CA7" w:rsidP="00B60DA2">
            <w:pPr>
              <w:rPr>
                <w:rFonts w:cs="Arial"/>
                <w:b/>
                <w:color w:val="000000"/>
                <w:sz w:val="20"/>
                <w:szCs w:val="20"/>
              </w:rPr>
            </w:pPr>
            <w:r w:rsidRPr="00131EED">
              <w:rPr>
                <w:rFonts w:cs="Arial"/>
                <w:b/>
                <w:color w:val="000000"/>
                <w:sz w:val="20"/>
                <w:szCs w:val="20"/>
              </w:rPr>
              <w:t>Total general</w:t>
            </w:r>
          </w:p>
        </w:tc>
        <w:tc>
          <w:tcPr>
            <w:tcW w:w="1793" w:type="dxa"/>
            <w:tcBorders>
              <w:top w:val="nil"/>
              <w:left w:val="nil"/>
              <w:bottom w:val="single" w:sz="8" w:space="0" w:color="auto"/>
              <w:right w:val="single" w:sz="8" w:space="0" w:color="auto"/>
            </w:tcBorders>
            <w:noWrap/>
            <w:vAlign w:val="center"/>
            <w:hideMark/>
          </w:tcPr>
          <w:p w14:paraId="0DF2A5BA" w14:textId="77777777" w:rsidR="00565CA7" w:rsidRPr="00131EED" w:rsidRDefault="00565CA7" w:rsidP="006A01CD">
            <w:pPr>
              <w:jc w:val="center"/>
              <w:rPr>
                <w:rFonts w:cs="Arial"/>
                <w:b/>
                <w:color w:val="000000"/>
                <w:sz w:val="20"/>
                <w:szCs w:val="20"/>
              </w:rPr>
            </w:pPr>
            <w:r w:rsidRPr="00131EED">
              <w:rPr>
                <w:rFonts w:cs="Arial"/>
                <w:b/>
                <w:color w:val="000000"/>
                <w:sz w:val="20"/>
                <w:szCs w:val="20"/>
              </w:rPr>
              <w:t>582,3</w:t>
            </w:r>
          </w:p>
        </w:tc>
        <w:tc>
          <w:tcPr>
            <w:tcW w:w="1281" w:type="dxa"/>
            <w:tcBorders>
              <w:top w:val="nil"/>
              <w:left w:val="nil"/>
              <w:bottom w:val="single" w:sz="8" w:space="0" w:color="auto"/>
              <w:right w:val="single" w:sz="8" w:space="0" w:color="auto"/>
            </w:tcBorders>
            <w:noWrap/>
            <w:vAlign w:val="center"/>
            <w:hideMark/>
          </w:tcPr>
          <w:p w14:paraId="30CC9B93" w14:textId="77777777" w:rsidR="00565CA7" w:rsidRPr="00131EED" w:rsidRDefault="00565CA7" w:rsidP="006A01CD">
            <w:pPr>
              <w:jc w:val="center"/>
              <w:rPr>
                <w:rFonts w:cs="Arial"/>
                <w:b/>
                <w:color w:val="000000"/>
                <w:sz w:val="20"/>
                <w:szCs w:val="20"/>
              </w:rPr>
            </w:pPr>
            <w:r w:rsidRPr="00131EED">
              <w:rPr>
                <w:rFonts w:cs="Arial"/>
                <w:b/>
                <w:color w:val="000000"/>
                <w:sz w:val="20"/>
                <w:szCs w:val="20"/>
              </w:rPr>
              <w:t>1.195,50</w:t>
            </w:r>
          </w:p>
        </w:tc>
        <w:tc>
          <w:tcPr>
            <w:tcW w:w="1284" w:type="dxa"/>
            <w:tcBorders>
              <w:top w:val="nil"/>
              <w:left w:val="nil"/>
              <w:bottom w:val="single" w:sz="8" w:space="0" w:color="auto"/>
              <w:right w:val="single" w:sz="8" w:space="0" w:color="auto"/>
            </w:tcBorders>
            <w:noWrap/>
            <w:vAlign w:val="center"/>
            <w:hideMark/>
          </w:tcPr>
          <w:p w14:paraId="3479296D" w14:textId="77777777" w:rsidR="00565CA7" w:rsidRPr="00131EED" w:rsidRDefault="00565CA7" w:rsidP="006A01CD">
            <w:pPr>
              <w:jc w:val="center"/>
              <w:rPr>
                <w:rFonts w:cs="Arial"/>
                <w:b/>
                <w:color w:val="000000"/>
                <w:sz w:val="20"/>
                <w:szCs w:val="20"/>
              </w:rPr>
            </w:pPr>
            <w:r w:rsidRPr="00131EED">
              <w:rPr>
                <w:rFonts w:cs="Arial"/>
                <w:b/>
                <w:color w:val="000000"/>
                <w:sz w:val="20"/>
                <w:szCs w:val="20"/>
              </w:rPr>
              <w:t>68,2</w:t>
            </w:r>
          </w:p>
        </w:tc>
        <w:tc>
          <w:tcPr>
            <w:tcW w:w="1281" w:type="dxa"/>
            <w:tcBorders>
              <w:top w:val="nil"/>
              <w:left w:val="nil"/>
              <w:bottom w:val="single" w:sz="8" w:space="0" w:color="auto"/>
              <w:right w:val="single" w:sz="8" w:space="0" w:color="auto"/>
            </w:tcBorders>
            <w:noWrap/>
            <w:vAlign w:val="center"/>
            <w:hideMark/>
          </w:tcPr>
          <w:p w14:paraId="2736F7F7" w14:textId="77777777" w:rsidR="00565CA7" w:rsidRPr="00131EED" w:rsidRDefault="00565CA7" w:rsidP="006A01CD">
            <w:pPr>
              <w:jc w:val="right"/>
              <w:rPr>
                <w:rFonts w:cs="Arial"/>
                <w:b/>
                <w:color w:val="000000"/>
                <w:sz w:val="20"/>
                <w:szCs w:val="20"/>
              </w:rPr>
            </w:pPr>
            <w:r w:rsidRPr="00131EED">
              <w:rPr>
                <w:rFonts w:cs="Arial"/>
                <w:b/>
                <w:color w:val="000000"/>
                <w:sz w:val="20"/>
                <w:szCs w:val="20"/>
              </w:rPr>
              <w:t>1.846,10</w:t>
            </w:r>
          </w:p>
        </w:tc>
      </w:tr>
    </w:tbl>
    <w:p w14:paraId="4E2CBBC1" w14:textId="77777777" w:rsidR="0003793B" w:rsidRPr="00131EED" w:rsidRDefault="0003793B" w:rsidP="00565CA7">
      <w:pPr>
        <w:jc w:val="center"/>
        <w:rPr>
          <w:rFonts w:cs="Arial"/>
          <w:sz w:val="20"/>
          <w:szCs w:val="20"/>
        </w:rPr>
      </w:pPr>
    </w:p>
    <w:p w14:paraId="09351A5D" w14:textId="1C1DBBDD" w:rsidR="00565CA7" w:rsidRPr="00131EED" w:rsidRDefault="00565CA7" w:rsidP="00565CA7">
      <w:pPr>
        <w:jc w:val="center"/>
        <w:rPr>
          <w:rFonts w:cs="Arial"/>
          <w:sz w:val="20"/>
          <w:szCs w:val="20"/>
        </w:rPr>
      </w:pPr>
      <w:r w:rsidRPr="00131EED">
        <w:rPr>
          <w:rFonts w:cs="Arial"/>
          <w:sz w:val="20"/>
          <w:szCs w:val="20"/>
        </w:rPr>
        <w:t>Fuente: Elaboración propia a partir de cartografía de la Estructura Ecológica Principal de la CAR, adoptada mediante Resolución CAR 20217000599 del 7 de diciembre de 2021</w:t>
      </w:r>
    </w:p>
    <w:p w14:paraId="554114BD" w14:textId="5070EA86" w:rsidR="00565CA7" w:rsidRPr="00131EED" w:rsidRDefault="00565CA7" w:rsidP="00565CA7">
      <w:pPr>
        <w:rPr>
          <w:rFonts w:ascii="Baskerville" w:hAnsi="Baskerville" w:cs="Arial"/>
          <w:sz w:val="18"/>
          <w:szCs w:val="18"/>
        </w:rPr>
      </w:pPr>
    </w:p>
    <w:p w14:paraId="16E1EDF9" w14:textId="0D74B030" w:rsidR="00555106" w:rsidRPr="00131EED" w:rsidRDefault="00555106" w:rsidP="00565CA7">
      <w:pPr>
        <w:rPr>
          <w:rFonts w:ascii="Baskerville" w:hAnsi="Baskerville" w:cs="Arial"/>
          <w:sz w:val="18"/>
          <w:szCs w:val="18"/>
        </w:rPr>
      </w:pPr>
    </w:p>
    <w:p w14:paraId="5097D3DD" w14:textId="744E5672" w:rsidR="00555106" w:rsidRPr="00131EED" w:rsidRDefault="00555106" w:rsidP="00565CA7">
      <w:pPr>
        <w:rPr>
          <w:rFonts w:ascii="Baskerville" w:hAnsi="Baskerville" w:cs="Arial"/>
          <w:sz w:val="18"/>
          <w:szCs w:val="18"/>
        </w:rPr>
      </w:pPr>
    </w:p>
    <w:p w14:paraId="7C5740BB" w14:textId="26041D8A" w:rsidR="00555106" w:rsidRPr="00131EED" w:rsidRDefault="00555106" w:rsidP="00565CA7">
      <w:pPr>
        <w:rPr>
          <w:rFonts w:ascii="Baskerville" w:hAnsi="Baskerville" w:cs="Arial"/>
          <w:sz w:val="18"/>
          <w:szCs w:val="18"/>
        </w:rPr>
      </w:pPr>
    </w:p>
    <w:p w14:paraId="06EE09DC" w14:textId="674859A7" w:rsidR="00555106" w:rsidRPr="00131EED" w:rsidRDefault="00555106" w:rsidP="00565CA7">
      <w:pPr>
        <w:rPr>
          <w:rFonts w:ascii="Baskerville" w:hAnsi="Baskerville" w:cs="Arial"/>
          <w:sz w:val="18"/>
          <w:szCs w:val="18"/>
        </w:rPr>
      </w:pPr>
    </w:p>
    <w:p w14:paraId="5DA4587F" w14:textId="7ACCF457" w:rsidR="00555106" w:rsidRPr="00131EED" w:rsidRDefault="00555106" w:rsidP="00565CA7">
      <w:pPr>
        <w:rPr>
          <w:rFonts w:ascii="Baskerville" w:hAnsi="Baskerville" w:cs="Arial"/>
          <w:sz w:val="18"/>
          <w:szCs w:val="18"/>
        </w:rPr>
      </w:pPr>
    </w:p>
    <w:p w14:paraId="2BEBCC5F" w14:textId="77777777" w:rsidR="00764F79" w:rsidRPr="00131EED" w:rsidRDefault="00764F79" w:rsidP="00565CA7">
      <w:pPr>
        <w:rPr>
          <w:rFonts w:ascii="Baskerville" w:hAnsi="Baskerville" w:cs="Arial"/>
          <w:sz w:val="18"/>
          <w:szCs w:val="18"/>
        </w:rPr>
      </w:pPr>
    </w:p>
    <w:p w14:paraId="23C6AF75" w14:textId="3A8DA693" w:rsidR="00091926" w:rsidRPr="00131EED" w:rsidRDefault="00091926" w:rsidP="00565CA7">
      <w:pPr>
        <w:rPr>
          <w:rFonts w:ascii="Baskerville" w:hAnsi="Baskerville" w:cs="Arial"/>
          <w:sz w:val="18"/>
          <w:szCs w:val="18"/>
        </w:rPr>
      </w:pPr>
    </w:p>
    <w:p w14:paraId="673C3310" w14:textId="2F0CDC9F" w:rsidR="00091926" w:rsidRPr="00131EED" w:rsidRDefault="00091926" w:rsidP="00565CA7">
      <w:pPr>
        <w:rPr>
          <w:rFonts w:ascii="Baskerville" w:hAnsi="Baskerville" w:cs="Arial"/>
          <w:sz w:val="18"/>
          <w:szCs w:val="18"/>
        </w:rPr>
      </w:pPr>
    </w:p>
    <w:p w14:paraId="1B7884D9" w14:textId="77777777" w:rsidR="00091926" w:rsidRPr="00131EED" w:rsidRDefault="00091926" w:rsidP="00565CA7">
      <w:pPr>
        <w:rPr>
          <w:rFonts w:ascii="Baskerville" w:hAnsi="Baskerville" w:cs="Arial"/>
          <w:sz w:val="18"/>
          <w:szCs w:val="18"/>
        </w:rPr>
      </w:pPr>
    </w:p>
    <w:p w14:paraId="15EA42E4" w14:textId="662EF5FC" w:rsidR="00555106" w:rsidRPr="00131EED" w:rsidRDefault="00555106" w:rsidP="00565CA7">
      <w:pPr>
        <w:rPr>
          <w:rFonts w:ascii="Baskerville" w:hAnsi="Baskerville" w:cs="Arial"/>
          <w:sz w:val="18"/>
          <w:szCs w:val="18"/>
        </w:rPr>
      </w:pPr>
    </w:p>
    <w:p w14:paraId="329FB2EB" w14:textId="4A762F61" w:rsidR="00555106" w:rsidRPr="00131EED" w:rsidRDefault="00555106" w:rsidP="00565CA7">
      <w:pPr>
        <w:rPr>
          <w:rFonts w:ascii="Baskerville" w:hAnsi="Baskerville" w:cs="Arial"/>
          <w:sz w:val="18"/>
          <w:szCs w:val="18"/>
        </w:rPr>
      </w:pPr>
    </w:p>
    <w:p w14:paraId="33048643" w14:textId="07999E11" w:rsidR="00555106" w:rsidRPr="00131EED" w:rsidRDefault="00555106" w:rsidP="00565CA7">
      <w:pPr>
        <w:rPr>
          <w:rFonts w:ascii="Baskerville" w:hAnsi="Baskerville" w:cs="Arial"/>
          <w:sz w:val="18"/>
          <w:szCs w:val="18"/>
        </w:rPr>
      </w:pPr>
    </w:p>
    <w:p w14:paraId="2B519CE3" w14:textId="22741269" w:rsidR="00555106" w:rsidRPr="00131EED" w:rsidRDefault="00555106" w:rsidP="00565CA7">
      <w:pPr>
        <w:rPr>
          <w:rFonts w:ascii="Baskerville" w:hAnsi="Baskerville" w:cs="Arial"/>
          <w:sz w:val="18"/>
          <w:szCs w:val="18"/>
        </w:rPr>
      </w:pPr>
    </w:p>
    <w:p w14:paraId="59F3193D" w14:textId="0B8D0135" w:rsidR="00555106" w:rsidRPr="00131EED" w:rsidRDefault="00555106" w:rsidP="00565CA7">
      <w:pPr>
        <w:rPr>
          <w:rFonts w:ascii="Baskerville" w:hAnsi="Baskerville" w:cs="Arial"/>
          <w:sz w:val="18"/>
          <w:szCs w:val="18"/>
        </w:rPr>
      </w:pPr>
    </w:p>
    <w:p w14:paraId="3B740973" w14:textId="4020C70E" w:rsidR="00555106" w:rsidRPr="00131EED" w:rsidRDefault="00555106" w:rsidP="00565CA7">
      <w:pPr>
        <w:rPr>
          <w:rFonts w:ascii="Baskerville" w:hAnsi="Baskerville" w:cs="Arial"/>
          <w:sz w:val="18"/>
          <w:szCs w:val="18"/>
        </w:rPr>
      </w:pPr>
    </w:p>
    <w:p w14:paraId="448148A4" w14:textId="687D8EDD" w:rsidR="00555106" w:rsidRPr="00131EED" w:rsidRDefault="00555106" w:rsidP="00565CA7">
      <w:pPr>
        <w:rPr>
          <w:rFonts w:ascii="Baskerville" w:hAnsi="Baskerville" w:cs="Arial"/>
          <w:sz w:val="18"/>
          <w:szCs w:val="18"/>
        </w:rPr>
      </w:pPr>
    </w:p>
    <w:p w14:paraId="33DEB517" w14:textId="4D38B3E0" w:rsidR="00555106" w:rsidRPr="00131EED" w:rsidRDefault="00555106" w:rsidP="00565CA7">
      <w:pPr>
        <w:rPr>
          <w:rFonts w:ascii="Baskerville" w:hAnsi="Baskerville" w:cs="Arial"/>
          <w:sz w:val="18"/>
          <w:szCs w:val="18"/>
        </w:rPr>
      </w:pPr>
    </w:p>
    <w:p w14:paraId="13598240" w14:textId="2F701D8F" w:rsidR="00555106" w:rsidRPr="00131EED" w:rsidRDefault="00555106" w:rsidP="00565CA7">
      <w:pPr>
        <w:rPr>
          <w:rFonts w:ascii="Baskerville" w:hAnsi="Baskerville" w:cs="Arial"/>
          <w:sz w:val="18"/>
          <w:szCs w:val="18"/>
        </w:rPr>
      </w:pPr>
    </w:p>
    <w:p w14:paraId="7B2AD056" w14:textId="58B59D08" w:rsidR="00555106" w:rsidRPr="00131EED" w:rsidRDefault="00555106" w:rsidP="00565CA7">
      <w:pPr>
        <w:rPr>
          <w:rFonts w:ascii="Baskerville" w:hAnsi="Baskerville" w:cs="Arial"/>
          <w:sz w:val="18"/>
          <w:szCs w:val="18"/>
        </w:rPr>
      </w:pPr>
    </w:p>
    <w:p w14:paraId="4A562495" w14:textId="77777777" w:rsidR="00555106" w:rsidRPr="00131EED" w:rsidRDefault="00555106" w:rsidP="00565CA7">
      <w:pPr>
        <w:rPr>
          <w:rFonts w:ascii="Baskerville" w:hAnsi="Baskerville" w:cs="Arial"/>
          <w:sz w:val="18"/>
          <w:szCs w:val="18"/>
        </w:rPr>
      </w:pPr>
    </w:p>
    <w:p w14:paraId="3C10B3BD" w14:textId="77777777" w:rsidR="0003793B" w:rsidRPr="00131EED" w:rsidRDefault="0003793B" w:rsidP="00286E89">
      <w:pPr>
        <w:jc w:val="center"/>
        <w:rPr>
          <w:rFonts w:ascii="Baskerville" w:hAnsi="Baskerville" w:cs="Arial"/>
          <w:sz w:val="18"/>
          <w:szCs w:val="18"/>
        </w:rPr>
      </w:pPr>
    </w:p>
    <w:p w14:paraId="17DE10EC" w14:textId="1698DD15" w:rsidR="0003793B" w:rsidRPr="00131EED" w:rsidRDefault="005A1BC0" w:rsidP="00764F79">
      <w:pPr>
        <w:pStyle w:val="Caption"/>
        <w:jc w:val="center"/>
      </w:pPr>
      <w:bookmarkStart w:id="367" w:name="_Toc216468872"/>
      <w:r w:rsidRPr="00131EED">
        <w:t>Ilustración</w:t>
      </w:r>
      <w:r w:rsidR="00565CA7" w:rsidRPr="00131EED">
        <w:t xml:space="preserve"> </w:t>
      </w:r>
      <w:fldSimple w:instr=" SEQ Ilustración \* ARABIC ">
        <w:r w:rsidR="00CE096F">
          <w:rPr>
            <w:noProof/>
          </w:rPr>
          <w:t>107</w:t>
        </w:r>
      </w:fldSimple>
      <w:r w:rsidR="00565CA7" w:rsidRPr="00131EED">
        <w:t xml:space="preserve"> Superposición de huella de ocupación con Estructura Ecológica Principal Regional</w:t>
      </w:r>
      <w:bookmarkEnd w:id="367"/>
    </w:p>
    <w:p w14:paraId="7E22EC87" w14:textId="77777777" w:rsidR="00565CA7" w:rsidRPr="00131EED" w:rsidRDefault="00565CA7" w:rsidP="00565CA7">
      <w:pPr>
        <w:jc w:val="center"/>
        <w:rPr>
          <w:rFonts w:ascii="Baskerville" w:hAnsi="Baskerville" w:cs="Arial"/>
        </w:rPr>
      </w:pPr>
      <w:r w:rsidRPr="00131EED">
        <w:rPr>
          <w:rFonts w:ascii="Baskerville" w:hAnsi="Baskerville" w:cs="Arial"/>
          <w:noProof/>
          <w:lang w:eastAsia="en-US"/>
        </w:rPr>
        <w:drawing>
          <wp:inline distT="0" distB="0" distL="0" distR="0" wp14:anchorId="0C865AD1" wp14:editId="1956BE5F">
            <wp:extent cx="4809957" cy="3400425"/>
            <wp:effectExtent l="0" t="0" r="3810" b="3175"/>
            <wp:docPr id="847929639" name="Imagen 3"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929639" name="Imagen 3" descr="Mapa&#10;&#10;Descripción generada automáticamente"/>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4846013" cy="3425915"/>
                    </a:xfrm>
                    <a:prstGeom prst="rect">
                      <a:avLst/>
                    </a:prstGeom>
                  </pic:spPr>
                </pic:pic>
              </a:graphicData>
            </a:graphic>
          </wp:inline>
        </w:drawing>
      </w:r>
    </w:p>
    <w:p w14:paraId="1CD8E7BD" w14:textId="55BFAD8B" w:rsidR="00565CA7" w:rsidRPr="00131EED" w:rsidRDefault="00565CA7" w:rsidP="0003793B">
      <w:pPr>
        <w:jc w:val="center"/>
        <w:rPr>
          <w:rFonts w:cs="Arial"/>
          <w:sz w:val="20"/>
          <w:szCs w:val="20"/>
        </w:rPr>
      </w:pPr>
      <w:r w:rsidRPr="00131EED">
        <w:rPr>
          <w:rFonts w:cs="Arial"/>
          <w:sz w:val="20"/>
          <w:szCs w:val="20"/>
        </w:rPr>
        <w:t>Fuente: Elaboración propia a partir de cartografía de la Estructura Ecológica Principal de la CAR, adoptada mediante Resolución CAR 20217000599 del 7 de diciembre de 2021</w:t>
      </w:r>
    </w:p>
    <w:p w14:paraId="483EF854" w14:textId="77777777" w:rsidR="00565CA7" w:rsidRPr="00131EED" w:rsidRDefault="00565CA7" w:rsidP="00565CA7">
      <w:pPr>
        <w:rPr>
          <w:rFonts w:ascii="Baskerville" w:hAnsi="Baskerville" w:cs="Arial"/>
          <w:sz w:val="18"/>
          <w:szCs w:val="18"/>
        </w:rPr>
      </w:pPr>
    </w:p>
    <w:p w14:paraId="7EE971A1" w14:textId="77777777" w:rsidR="00194BA0" w:rsidRPr="00131EED" w:rsidRDefault="00194BA0" w:rsidP="00565CA7">
      <w:pPr>
        <w:rPr>
          <w:rFonts w:ascii="Baskerville" w:hAnsi="Baskerville" w:cs="Arial"/>
          <w:sz w:val="18"/>
          <w:szCs w:val="18"/>
        </w:rPr>
      </w:pPr>
    </w:p>
    <w:p w14:paraId="2D41436D" w14:textId="3A35C1E7" w:rsidR="00276C0D" w:rsidRPr="00131EED" w:rsidRDefault="00276C0D" w:rsidP="00565CA7">
      <w:pPr>
        <w:rPr>
          <w:rFonts w:eastAsia="Century Gothic" w:cs="Arial"/>
        </w:rPr>
      </w:pPr>
      <w:r w:rsidRPr="00131EED">
        <w:rPr>
          <w:rFonts w:eastAsia="Century Gothic" w:cs="Arial"/>
        </w:rPr>
        <w:t xml:space="preserve">Con base en la información disponible de huella </w:t>
      </w:r>
      <w:r w:rsidR="008553C7" w:rsidRPr="00131EED">
        <w:rPr>
          <w:rFonts w:eastAsia="Century Gothic" w:cs="Arial"/>
        </w:rPr>
        <w:t>construida</w:t>
      </w:r>
      <w:r w:rsidRPr="00131EED">
        <w:rPr>
          <w:rFonts w:eastAsia="Century Gothic" w:cs="Arial"/>
        </w:rPr>
        <w:t xml:space="preserve"> footprint de Google (2025), </w:t>
      </w:r>
      <w:r w:rsidR="00271D5C" w:rsidRPr="00131EED">
        <w:rPr>
          <w:rFonts w:eastAsia="Century Gothic" w:cs="Arial"/>
        </w:rPr>
        <w:t xml:space="preserve">existe un total de </w:t>
      </w:r>
      <w:r w:rsidR="00F729E2" w:rsidRPr="00131EED">
        <w:rPr>
          <w:rFonts w:eastAsia="Century Gothic" w:cs="Arial"/>
        </w:rPr>
        <w:t>620 elementos construidos con un total de 3 ha + 8521 m2 sobre paramos de la Sabana de Bogotá.</w:t>
      </w:r>
    </w:p>
    <w:p w14:paraId="3B5C8300" w14:textId="20DAF072" w:rsidR="00C032E7" w:rsidRPr="00131EED" w:rsidRDefault="00C032E7" w:rsidP="00565CA7">
      <w:pPr>
        <w:rPr>
          <w:rFonts w:eastAsia="Century Gothic" w:cs="Arial"/>
        </w:rPr>
      </w:pPr>
    </w:p>
    <w:p w14:paraId="0A4719C9" w14:textId="28EF058C" w:rsidR="00C032E7" w:rsidRPr="00131EED" w:rsidRDefault="00C032E7" w:rsidP="00565CA7">
      <w:pPr>
        <w:rPr>
          <w:rFonts w:eastAsia="Century Gothic" w:cs="Arial"/>
        </w:rPr>
      </w:pPr>
    </w:p>
    <w:p w14:paraId="74B4A76B" w14:textId="5460CE46" w:rsidR="00C032E7" w:rsidRPr="00131EED" w:rsidRDefault="00C032E7" w:rsidP="00565CA7">
      <w:pPr>
        <w:rPr>
          <w:rFonts w:eastAsia="Century Gothic" w:cs="Arial"/>
        </w:rPr>
      </w:pPr>
    </w:p>
    <w:p w14:paraId="20D636DD" w14:textId="4E7C489F" w:rsidR="00C032E7" w:rsidRPr="00131EED" w:rsidRDefault="00C032E7" w:rsidP="00565CA7">
      <w:pPr>
        <w:rPr>
          <w:rFonts w:eastAsia="Century Gothic" w:cs="Arial"/>
        </w:rPr>
      </w:pPr>
    </w:p>
    <w:p w14:paraId="10FAEB2F" w14:textId="3628CBAF" w:rsidR="00C032E7" w:rsidRPr="00131EED" w:rsidRDefault="00C032E7" w:rsidP="00565CA7">
      <w:pPr>
        <w:rPr>
          <w:rFonts w:eastAsia="Century Gothic" w:cs="Arial"/>
        </w:rPr>
      </w:pPr>
    </w:p>
    <w:p w14:paraId="561AD75C" w14:textId="7E9487D5" w:rsidR="00C032E7" w:rsidRPr="00131EED" w:rsidRDefault="00C032E7" w:rsidP="00565CA7">
      <w:pPr>
        <w:rPr>
          <w:rFonts w:eastAsia="Century Gothic" w:cs="Arial"/>
        </w:rPr>
      </w:pPr>
    </w:p>
    <w:p w14:paraId="232BF263" w14:textId="3E6A0579" w:rsidR="00C032E7" w:rsidRPr="00131EED" w:rsidRDefault="00C032E7" w:rsidP="00565CA7">
      <w:pPr>
        <w:rPr>
          <w:rFonts w:eastAsia="Century Gothic" w:cs="Arial"/>
        </w:rPr>
      </w:pPr>
    </w:p>
    <w:p w14:paraId="578D60D1" w14:textId="77777777" w:rsidR="00764F79" w:rsidRPr="00131EED" w:rsidRDefault="00764F79" w:rsidP="00565CA7">
      <w:pPr>
        <w:rPr>
          <w:rFonts w:eastAsia="Century Gothic" w:cs="Arial"/>
        </w:rPr>
      </w:pPr>
    </w:p>
    <w:p w14:paraId="0460BE6A" w14:textId="01655C68" w:rsidR="00C032E7" w:rsidRPr="00131EED" w:rsidRDefault="00C032E7" w:rsidP="00565CA7">
      <w:pPr>
        <w:rPr>
          <w:rFonts w:eastAsia="Century Gothic" w:cs="Arial"/>
        </w:rPr>
      </w:pPr>
    </w:p>
    <w:p w14:paraId="2896AF44" w14:textId="69D4107B" w:rsidR="00C032E7" w:rsidRPr="00131EED" w:rsidRDefault="00C032E7" w:rsidP="00565CA7">
      <w:pPr>
        <w:rPr>
          <w:rFonts w:eastAsia="Century Gothic" w:cs="Arial"/>
        </w:rPr>
      </w:pPr>
    </w:p>
    <w:p w14:paraId="07893347" w14:textId="2DFA8182" w:rsidR="00C032E7" w:rsidRPr="00131EED" w:rsidRDefault="00C032E7" w:rsidP="00565CA7">
      <w:pPr>
        <w:rPr>
          <w:rFonts w:eastAsia="Century Gothic" w:cs="Arial"/>
        </w:rPr>
      </w:pPr>
    </w:p>
    <w:p w14:paraId="7E472194" w14:textId="1245F604" w:rsidR="00C032E7" w:rsidRPr="00131EED" w:rsidRDefault="00C032E7" w:rsidP="00565CA7">
      <w:pPr>
        <w:rPr>
          <w:rFonts w:eastAsia="Century Gothic" w:cs="Arial"/>
        </w:rPr>
      </w:pPr>
    </w:p>
    <w:p w14:paraId="20FBAF80" w14:textId="5762043F" w:rsidR="00C032E7" w:rsidRPr="00131EED" w:rsidRDefault="00C032E7" w:rsidP="00565CA7">
      <w:pPr>
        <w:rPr>
          <w:rFonts w:eastAsia="Century Gothic" w:cs="Arial"/>
        </w:rPr>
      </w:pPr>
    </w:p>
    <w:p w14:paraId="4F869C38" w14:textId="77777777" w:rsidR="00286E89" w:rsidRPr="00131EED" w:rsidRDefault="00286E89" w:rsidP="00565CA7">
      <w:pPr>
        <w:rPr>
          <w:rFonts w:eastAsia="Century Gothic" w:cs="Arial"/>
        </w:rPr>
      </w:pPr>
    </w:p>
    <w:p w14:paraId="6649CF95" w14:textId="77777777" w:rsidR="00C032E7" w:rsidRPr="00131EED" w:rsidRDefault="00C032E7" w:rsidP="00565CA7">
      <w:pPr>
        <w:rPr>
          <w:rFonts w:eastAsia="Century Gothic" w:cs="Arial"/>
        </w:rPr>
      </w:pPr>
    </w:p>
    <w:p w14:paraId="754F94E3" w14:textId="69502255" w:rsidR="00F729E2" w:rsidRPr="00131EED" w:rsidRDefault="00F729E2" w:rsidP="00286E89">
      <w:pPr>
        <w:pStyle w:val="Caption"/>
        <w:jc w:val="center"/>
        <w:rPr>
          <w:rFonts w:ascii="Baskerville" w:hAnsi="Baskerville"/>
        </w:rPr>
      </w:pPr>
      <w:bookmarkStart w:id="368" w:name="_Toc216468873"/>
      <w:r w:rsidRPr="00131EED">
        <w:t xml:space="preserve">Ilustración </w:t>
      </w:r>
      <w:fldSimple w:instr=" SEQ Ilustración \* ARABIC ">
        <w:r w:rsidR="00CE096F">
          <w:rPr>
            <w:noProof/>
          </w:rPr>
          <w:t>108</w:t>
        </w:r>
      </w:fldSimple>
      <w:r w:rsidRPr="00131EED">
        <w:t>. Huella con</w:t>
      </w:r>
      <w:r w:rsidR="00C032E7" w:rsidRPr="00131EED">
        <w:t>s</w:t>
      </w:r>
      <w:r w:rsidRPr="00131EED">
        <w:t xml:space="preserve">truida sobre </w:t>
      </w:r>
      <w:r w:rsidR="00C032E7" w:rsidRPr="00131EED">
        <w:t>páramo</w:t>
      </w:r>
      <w:r w:rsidRPr="00131EED">
        <w:t xml:space="preserve"> en la Sabana de Bogotá. (Google footprint, 2025)</w:t>
      </w:r>
      <w:bookmarkEnd w:id="368"/>
    </w:p>
    <w:p w14:paraId="605319F7" w14:textId="4EED0116" w:rsidR="00F729E2" w:rsidRPr="00131EED" w:rsidRDefault="00271D5C" w:rsidP="00F729E2">
      <w:pPr>
        <w:keepNext/>
        <w:jc w:val="center"/>
      </w:pPr>
      <w:r w:rsidRPr="00131EED">
        <w:rPr>
          <w:rFonts w:ascii="Baskerville" w:hAnsi="Baskerville" w:cs="Arial"/>
          <w:noProof/>
          <w:sz w:val="18"/>
          <w:szCs w:val="18"/>
          <w:lang w:eastAsia="en-US"/>
        </w:rPr>
        <w:drawing>
          <wp:inline distT="0" distB="0" distL="0" distR="0" wp14:anchorId="239DAE7C" wp14:editId="6DC25F15">
            <wp:extent cx="3507888" cy="4540250"/>
            <wp:effectExtent l="0" t="0" r="0" b="0"/>
            <wp:docPr id="2049248241" name="Picture 44" descr="A map of a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248241" name="Picture 44" descr="A map of a country&#10;&#10;AI-generated content may be incorrect."/>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3509268" cy="4542036"/>
                    </a:xfrm>
                    <a:prstGeom prst="rect">
                      <a:avLst/>
                    </a:prstGeom>
                    <a:noFill/>
                    <a:ln>
                      <a:noFill/>
                    </a:ln>
                  </pic:spPr>
                </pic:pic>
              </a:graphicData>
            </a:graphic>
          </wp:inline>
        </w:drawing>
      </w:r>
    </w:p>
    <w:p w14:paraId="78C10B8C" w14:textId="7FE0CA6B" w:rsidR="00F729E2" w:rsidRPr="00131EED" w:rsidRDefault="00F729E2" w:rsidP="00F729E2">
      <w:pPr>
        <w:keepNext/>
        <w:jc w:val="center"/>
      </w:pPr>
      <w:r w:rsidRPr="00131EED">
        <w:t>Fuente: Elaboración propia con datos de Google footprint (2025)</w:t>
      </w:r>
    </w:p>
    <w:p w14:paraId="0D9957D4" w14:textId="77777777" w:rsidR="00271D5C" w:rsidRPr="00131EED" w:rsidRDefault="00271D5C" w:rsidP="00565CA7">
      <w:pPr>
        <w:rPr>
          <w:rFonts w:ascii="Baskerville" w:hAnsi="Baskerville" w:cs="Arial"/>
          <w:sz w:val="18"/>
          <w:szCs w:val="18"/>
        </w:rPr>
      </w:pPr>
    </w:p>
    <w:p w14:paraId="14709098" w14:textId="77777777" w:rsidR="00611E1F" w:rsidRPr="00131EED" w:rsidRDefault="00611E1F" w:rsidP="00565CA7">
      <w:pPr>
        <w:rPr>
          <w:rFonts w:ascii="Baskerville" w:hAnsi="Baskerville" w:cs="Arial"/>
          <w:sz w:val="18"/>
          <w:szCs w:val="18"/>
        </w:rPr>
      </w:pPr>
    </w:p>
    <w:p w14:paraId="480C262F" w14:textId="0F9AC356" w:rsidR="00194BA0" w:rsidRPr="00131EED" w:rsidRDefault="00CF2490" w:rsidP="00565CA7">
      <w:r w:rsidRPr="00131EED">
        <w:t>En el caso de los humedales</w:t>
      </w:r>
      <w:r w:rsidR="00611E1F" w:rsidRPr="00131EED">
        <w:t xml:space="preserve">, estos </w:t>
      </w:r>
      <w:r w:rsidR="00424D4A" w:rsidRPr="00131EED">
        <w:t>presentan un área construida de 1511 ha + 1136 m2 principalmente sobre aquellos de categoría transformado</w:t>
      </w:r>
      <w:r w:rsidR="00BE0813" w:rsidRPr="00131EED">
        <w:t>, como se evidencia a continuación:</w:t>
      </w:r>
    </w:p>
    <w:p w14:paraId="5DBAB4FB" w14:textId="77777777" w:rsidR="00CF2490" w:rsidRPr="00131EED" w:rsidRDefault="00CF2490" w:rsidP="00565CA7">
      <w:pPr>
        <w:rPr>
          <w:rFonts w:ascii="Baskerville" w:hAnsi="Baskerville" w:cs="Arial"/>
          <w:sz w:val="18"/>
          <w:szCs w:val="18"/>
        </w:rPr>
      </w:pPr>
    </w:p>
    <w:p w14:paraId="3DCC3CE2" w14:textId="77777777" w:rsidR="00BE0813" w:rsidRPr="00131EED" w:rsidRDefault="00BE0813" w:rsidP="00565CA7">
      <w:pPr>
        <w:rPr>
          <w:rFonts w:ascii="Baskerville" w:hAnsi="Baskerville" w:cs="Arial"/>
          <w:sz w:val="18"/>
          <w:szCs w:val="18"/>
        </w:rPr>
      </w:pPr>
    </w:p>
    <w:p w14:paraId="78AD6C3E" w14:textId="77777777" w:rsidR="00BE0813" w:rsidRPr="00131EED" w:rsidRDefault="00BE0813" w:rsidP="00565CA7">
      <w:pPr>
        <w:rPr>
          <w:rFonts w:ascii="Baskerville" w:hAnsi="Baskerville" w:cs="Arial"/>
          <w:sz w:val="18"/>
          <w:szCs w:val="18"/>
        </w:rPr>
      </w:pPr>
    </w:p>
    <w:p w14:paraId="1BAAFBC5" w14:textId="77777777" w:rsidR="00BE0813" w:rsidRPr="00131EED" w:rsidRDefault="00BE0813" w:rsidP="00565CA7">
      <w:pPr>
        <w:rPr>
          <w:rFonts w:ascii="Baskerville" w:hAnsi="Baskerville" w:cs="Arial"/>
          <w:sz w:val="18"/>
          <w:szCs w:val="18"/>
        </w:rPr>
      </w:pPr>
    </w:p>
    <w:p w14:paraId="4738C736" w14:textId="77777777" w:rsidR="00764F79" w:rsidRPr="00131EED" w:rsidRDefault="00764F79" w:rsidP="00565CA7">
      <w:pPr>
        <w:rPr>
          <w:rFonts w:ascii="Baskerville" w:hAnsi="Baskerville" w:cs="Arial"/>
          <w:sz w:val="18"/>
          <w:szCs w:val="18"/>
        </w:rPr>
      </w:pPr>
    </w:p>
    <w:p w14:paraId="7C06AA83" w14:textId="77777777" w:rsidR="00BE0813" w:rsidRPr="00131EED" w:rsidRDefault="00BE0813" w:rsidP="00565CA7">
      <w:pPr>
        <w:rPr>
          <w:rFonts w:ascii="Baskerville" w:hAnsi="Baskerville" w:cs="Arial"/>
          <w:sz w:val="18"/>
          <w:szCs w:val="18"/>
        </w:rPr>
      </w:pPr>
    </w:p>
    <w:p w14:paraId="6FBA9F26" w14:textId="6769394E" w:rsidR="00BE0813" w:rsidRPr="00131EED" w:rsidRDefault="00BE0813" w:rsidP="00565CA7">
      <w:pPr>
        <w:rPr>
          <w:rFonts w:ascii="Baskerville" w:hAnsi="Baskerville" w:cs="Arial"/>
          <w:sz w:val="18"/>
          <w:szCs w:val="18"/>
        </w:rPr>
      </w:pPr>
    </w:p>
    <w:p w14:paraId="281276ED" w14:textId="77777777" w:rsidR="00286E89" w:rsidRPr="00131EED" w:rsidRDefault="00286E89" w:rsidP="00565CA7">
      <w:pPr>
        <w:rPr>
          <w:rFonts w:ascii="Baskerville" w:hAnsi="Baskerville" w:cs="Arial"/>
          <w:sz w:val="18"/>
          <w:szCs w:val="18"/>
        </w:rPr>
      </w:pPr>
    </w:p>
    <w:p w14:paraId="58A0C5E2" w14:textId="77777777" w:rsidR="00BE0813" w:rsidRPr="00131EED" w:rsidRDefault="00BE0813" w:rsidP="00565CA7">
      <w:pPr>
        <w:rPr>
          <w:rFonts w:ascii="Baskerville" w:hAnsi="Baskerville" w:cs="Arial"/>
          <w:sz w:val="18"/>
          <w:szCs w:val="18"/>
        </w:rPr>
      </w:pPr>
    </w:p>
    <w:p w14:paraId="5BCB9403" w14:textId="77777777" w:rsidR="00764F79" w:rsidRPr="00131EED" w:rsidRDefault="00764F79" w:rsidP="00565CA7">
      <w:pPr>
        <w:rPr>
          <w:rFonts w:ascii="Baskerville" w:hAnsi="Baskerville" w:cs="Arial"/>
          <w:sz w:val="18"/>
          <w:szCs w:val="18"/>
        </w:rPr>
      </w:pPr>
    </w:p>
    <w:p w14:paraId="30888E7C" w14:textId="77777777" w:rsidR="00BE0813" w:rsidRPr="00131EED" w:rsidRDefault="00BE0813" w:rsidP="00565CA7">
      <w:pPr>
        <w:rPr>
          <w:rFonts w:ascii="Baskerville" w:hAnsi="Baskerville" w:cs="Arial"/>
          <w:sz w:val="18"/>
          <w:szCs w:val="18"/>
        </w:rPr>
      </w:pPr>
    </w:p>
    <w:p w14:paraId="7ED8A02D" w14:textId="77777777" w:rsidR="00BE0813" w:rsidRPr="00131EED" w:rsidRDefault="00BE0813" w:rsidP="00565CA7">
      <w:pPr>
        <w:rPr>
          <w:rFonts w:ascii="Baskerville" w:hAnsi="Baskerville" w:cs="Arial"/>
          <w:sz w:val="18"/>
          <w:szCs w:val="18"/>
        </w:rPr>
      </w:pPr>
    </w:p>
    <w:p w14:paraId="4416E2BA" w14:textId="77777777" w:rsidR="00BE0813" w:rsidRPr="00131EED" w:rsidRDefault="00BE0813" w:rsidP="00565CA7">
      <w:pPr>
        <w:rPr>
          <w:rFonts w:ascii="Baskerville" w:hAnsi="Baskerville" w:cs="Arial"/>
          <w:sz w:val="18"/>
          <w:szCs w:val="18"/>
        </w:rPr>
      </w:pPr>
    </w:p>
    <w:p w14:paraId="7A5DB546" w14:textId="2F40DE8F" w:rsidR="00BE0813" w:rsidRPr="00131EED" w:rsidRDefault="00BE0813" w:rsidP="00BE0813">
      <w:pPr>
        <w:pStyle w:val="Caption"/>
        <w:jc w:val="center"/>
        <w:rPr>
          <w:rFonts w:ascii="Baskerville" w:hAnsi="Baskerville"/>
        </w:rPr>
      </w:pPr>
      <w:bookmarkStart w:id="369" w:name="_Toc216468874"/>
      <w:r w:rsidRPr="00131EED">
        <w:t xml:space="preserve">Ilustración </w:t>
      </w:r>
      <w:fldSimple w:instr=" SEQ Ilustración \* ARABIC ">
        <w:r w:rsidR="00CE096F">
          <w:rPr>
            <w:noProof/>
          </w:rPr>
          <w:t>109</w:t>
        </w:r>
      </w:fldSimple>
      <w:r w:rsidRPr="00131EED">
        <w:t>. Huella construida sobre humedales en la Sabana de Bogotá.</w:t>
      </w:r>
      <w:bookmarkEnd w:id="369"/>
    </w:p>
    <w:p w14:paraId="6CF49FC6" w14:textId="77777777" w:rsidR="00BE0813" w:rsidRPr="00131EED" w:rsidRDefault="00386B9D" w:rsidP="00BE0813">
      <w:pPr>
        <w:keepNext/>
        <w:jc w:val="center"/>
      </w:pPr>
      <w:r w:rsidRPr="00131EED">
        <w:rPr>
          <w:rFonts w:ascii="Baskerville" w:hAnsi="Baskerville" w:cs="Arial"/>
          <w:noProof/>
          <w:sz w:val="18"/>
          <w:szCs w:val="18"/>
        </w:rPr>
        <w:drawing>
          <wp:inline distT="0" distB="0" distL="0" distR="0" wp14:anchorId="062E66CE" wp14:editId="531DC30A">
            <wp:extent cx="3333750" cy="4314864"/>
            <wp:effectExtent l="0" t="0" r="0" b="9525"/>
            <wp:docPr id="2054836351" name="Picture 44"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836351" name="Picture 44" descr="A map of a river&#10;&#10;AI-generated content may be incorrect."/>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3338986" cy="4321641"/>
                    </a:xfrm>
                    <a:prstGeom prst="rect">
                      <a:avLst/>
                    </a:prstGeom>
                    <a:noFill/>
                    <a:ln>
                      <a:noFill/>
                    </a:ln>
                  </pic:spPr>
                </pic:pic>
              </a:graphicData>
            </a:graphic>
          </wp:inline>
        </w:drawing>
      </w:r>
    </w:p>
    <w:p w14:paraId="722D811A" w14:textId="2E9D29CB" w:rsidR="000F780F" w:rsidRPr="00131EED" w:rsidRDefault="000F780F" w:rsidP="000F780F">
      <w:pPr>
        <w:pStyle w:val="Caption"/>
        <w:keepNext/>
        <w:jc w:val="center"/>
      </w:pPr>
      <w:bookmarkStart w:id="370" w:name="_Toc216468982"/>
      <w:r w:rsidRPr="00131EED">
        <w:t xml:space="preserve">Tabla </w:t>
      </w:r>
      <w:fldSimple w:instr=" SEQ Tabla \* ARABIC ">
        <w:r w:rsidR="00CE096F">
          <w:rPr>
            <w:noProof/>
          </w:rPr>
          <w:t>72</w:t>
        </w:r>
      </w:fldSimple>
      <w:r w:rsidRPr="00131EED">
        <w:t>. Área construida sobre humedales en la Sabana de Bogotá.</w:t>
      </w:r>
      <w:bookmarkEnd w:id="370"/>
    </w:p>
    <w:tbl>
      <w:tblPr>
        <w:tblW w:w="3266" w:type="dxa"/>
        <w:jc w:val="center"/>
        <w:tblLook w:val="04A0" w:firstRow="1" w:lastRow="0" w:firstColumn="1" w:lastColumn="0" w:noHBand="0" w:noVBand="1"/>
      </w:tblPr>
      <w:tblGrid>
        <w:gridCol w:w="2080"/>
        <w:gridCol w:w="1186"/>
      </w:tblGrid>
      <w:tr w:rsidR="00862473" w:rsidRPr="00131EED" w14:paraId="6833C935" w14:textId="77777777" w:rsidTr="00286E89">
        <w:trPr>
          <w:trHeight w:val="288"/>
          <w:jc w:val="center"/>
        </w:trPr>
        <w:tc>
          <w:tcPr>
            <w:tcW w:w="2080" w:type="dxa"/>
            <w:tcBorders>
              <w:top w:val="single" w:sz="4" w:space="0" w:color="auto"/>
              <w:left w:val="single" w:sz="4" w:space="0" w:color="auto"/>
              <w:bottom w:val="single" w:sz="4" w:space="0" w:color="auto"/>
              <w:right w:val="single" w:sz="4" w:space="0" w:color="auto"/>
            </w:tcBorders>
            <w:noWrap/>
            <w:vAlign w:val="center"/>
            <w:hideMark/>
          </w:tcPr>
          <w:p w14:paraId="760BB813" w14:textId="7F2DE244" w:rsidR="00862473" w:rsidRPr="00131EED" w:rsidRDefault="00862473" w:rsidP="00862473">
            <w:pPr>
              <w:jc w:val="center"/>
              <w:rPr>
                <w:rFonts w:ascii="Calibri" w:hAnsi="Calibri" w:cs="Calibri"/>
                <w:b/>
                <w:bCs/>
                <w:color w:val="000000"/>
                <w:sz w:val="22"/>
                <w:szCs w:val="22"/>
                <w:lang w:eastAsia="en-US"/>
              </w:rPr>
            </w:pPr>
            <w:r w:rsidRPr="00131EED">
              <w:rPr>
                <w:rFonts w:ascii="Calibri" w:hAnsi="Calibri" w:cs="Calibri"/>
                <w:b/>
                <w:bCs/>
                <w:color w:val="000000"/>
                <w:sz w:val="22"/>
                <w:szCs w:val="22"/>
                <w:lang w:eastAsia="en-US"/>
              </w:rPr>
              <w:t>Categoría de Humedal</w:t>
            </w:r>
          </w:p>
        </w:tc>
        <w:tc>
          <w:tcPr>
            <w:tcW w:w="1186" w:type="dxa"/>
            <w:tcBorders>
              <w:top w:val="single" w:sz="4" w:space="0" w:color="auto"/>
              <w:left w:val="nil"/>
              <w:bottom w:val="single" w:sz="4" w:space="0" w:color="auto"/>
              <w:right w:val="single" w:sz="4" w:space="0" w:color="auto"/>
            </w:tcBorders>
            <w:noWrap/>
            <w:vAlign w:val="center"/>
            <w:hideMark/>
          </w:tcPr>
          <w:p w14:paraId="3AA1B1EE" w14:textId="76066D9C" w:rsidR="00862473" w:rsidRPr="00131EED" w:rsidRDefault="00862473" w:rsidP="00862473">
            <w:pPr>
              <w:jc w:val="center"/>
              <w:rPr>
                <w:rFonts w:ascii="Calibri" w:hAnsi="Calibri" w:cs="Calibri"/>
                <w:b/>
                <w:bCs/>
                <w:color w:val="000000"/>
                <w:sz w:val="22"/>
                <w:szCs w:val="22"/>
                <w:lang w:eastAsia="en-US"/>
              </w:rPr>
            </w:pPr>
            <w:r w:rsidRPr="00131EED">
              <w:rPr>
                <w:rFonts w:ascii="Calibri" w:hAnsi="Calibri" w:cs="Calibri"/>
                <w:b/>
                <w:bCs/>
                <w:color w:val="000000"/>
                <w:sz w:val="22"/>
                <w:szCs w:val="22"/>
                <w:lang w:eastAsia="en-US"/>
              </w:rPr>
              <w:t xml:space="preserve">Área </w:t>
            </w:r>
            <w:r w:rsidR="000F780F" w:rsidRPr="00131EED">
              <w:rPr>
                <w:rFonts w:ascii="Calibri" w:hAnsi="Calibri" w:cs="Calibri"/>
                <w:b/>
                <w:bCs/>
                <w:color w:val="000000"/>
                <w:sz w:val="22"/>
                <w:szCs w:val="22"/>
                <w:lang w:eastAsia="en-US"/>
              </w:rPr>
              <w:t xml:space="preserve">construida </w:t>
            </w:r>
            <w:r w:rsidRPr="00131EED">
              <w:rPr>
                <w:rFonts w:ascii="Calibri" w:hAnsi="Calibri" w:cs="Calibri"/>
                <w:b/>
                <w:bCs/>
                <w:color w:val="000000"/>
                <w:sz w:val="22"/>
                <w:szCs w:val="22"/>
                <w:lang w:eastAsia="en-US"/>
              </w:rPr>
              <w:t>(ha)</w:t>
            </w:r>
          </w:p>
        </w:tc>
      </w:tr>
      <w:tr w:rsidR="00862473" w:rsidRPr="00131EED" w14:paraId="14F9A435" w14:textId="77777777" w:rsidTr="00286E89">
        <w:trPr>
          <w:trHeight w:val="288"/>
          <w:jc w:val="center"/>
        </w:trPr>
        <w:tc>
          <w:tcPr>
            <w:tcW w:w="2080" w:type="dxa"/>
            <w:tcBorders>
              <w:top w:val="nil"/>
              <w:left w:val="single" w:sz="4" w:space="0" w:color="auto"/>
              <w:bottom w:val="single" w:sz="4" w:space="0" w:color="auto"/>
              <w:right w:val="single" w:sz="4" w:space="0" w:color="auto"/>
            </w:tcBorders>
            <w:noWrap/>
            <w:vAlign w:val="center"/>
            <w:hideMark/>
          </w:tcPr>
          <w:p w14:paraId="25BAD69D" w14:textId="77777777" w:rsidR="00862473" w:rsidRPr="00131EED" w:rsidRDefault="00862473" w:rsidP="00862473">
            <w:pPr>
              <w:jc w:val="center"/>
              <w:rPr>
                <w:rFonts w:ascii="Calibri" w:hAnsi="Calibri" w:cs="Calibri"/>
                <w:color w:val="000000"/>
                <w:sz w:val="22"/>
                <w:szCs w:val="22"/>
                <w:lang w:eastAsia="en-US"/>
              </w:rPr>
            </w:pPr>
            <w:r w:rsidRPr="00131EED">
              <w:rPr>
                <w:rFonts w:ascii="Calibri" w:hAnsi="Calibri" w:cs="Calibri"/>
                <w:color w:val="000000"/>
                <w:sz w:val="22"/>
                <w:szCs w:val="22"/>
                <w:lang w:eastAsia="en-US"/>
              </w:rPr>
              <w:t>Sin categoría</w:t>
            </w:r>
          </w:p>
        </w:tc>
        <w:tc>
          <w:tcPr>
            <w:tcW w:w="1186" w:type="dxa"/>
            <w:tcBorders>
              <w:top w:val="nil"/>
              <w:left w:val="nil"/>
              <w:bottom w:val="single" w:sz="4" w:space="0" w:color="auto"/>
              <w:right w:val="single" w:sz="4" w:space="0" w:color="auto"/>
            </w:tcBorders>
            <w:noWrap/>
            <w:vAlign w:val="center"/>
            <w:hideMark/>
          </w:tcPr>
          <w:p w14:paraId="0BC80F25" w14:textId="77777777" w:rsidR="00862473" w:rsidRPr="00131EED" w:rsidRDefault="00862473" w:rsidP="00862473">
            <w:pPr>
              <w:jc w:val="center"/>
              <w:rPr>
                <w:rFonts w:ascii="Calibri" w:hAnsi="Calibri" w:cs="Calibri"/>
                <w:color w:val="000000"/>
                <w:sz w:val="22"/>
                <w:szCs w:val="22"/>
                <w:lang w:eastAsia="en-US"/>
              </w:rPr>
            </w:pPr>
            <w:r w:rsidRPr="00131EED">
              <w:rPr>
                <w:rFonts w:ascii="Calibri" w:hAnsi="Calibri" w:cs="Calibri"/>
                <w:color w:val="000000"/>
                <w:sz w:val="22"/>
                <w:szCs w:val="22"/>
                <w:lang w:eastAsia="en-US"/>
              </w:rPr>
              <w:t>42.5095</w:t>
            </w:r>
          </w:p>
        </w:tc>
      </w:tr>
      <w:tr w:rsidR="00862473" w:rsidRPr="00131EED" w14:paraId="1F30F816" w14:textId="77777777" w:rsidTr="00286E89">
        <w:trPr>
          <w:trHeight w:val="288"/>
          <w:jc w:val="center"/>
        </w:trPr>
        <w:tc>
          <w:tcPr>
            <w:tcW w:w="2080" w:type="dxa"/>
            <w:tcBorders>
              <w:top w:val="nil"/>
              <w:left w:val="single" w:sz="4" w:space="0" w:color="auto"/>
              <w:bottom w:val="single" w:sz="4" w:space="0" w:color="auto"/>
              <w:right w:val="single" w:sz="4" w:space="0" w:color="auto"/>
            </w:tcBorders>
            <w:noWrap/>
            <w:vAlign w:val="center"/>
            <w:hideMark/>
          </w:tcPr>
          <w:p w14:paraId="481D4DB6" w14:textId="77777777" w:rsidR="00862473" w:rsidRPr="00131EED" w:rsidRDefault="00862473" w:rsidP="00862473">
            <w:pPr>
              <w:jc w:val="center"/>
              <w:rPr>
                <w:rFonts w:ascii="Calibri" w:hAnsi="Calibri" w:cs="Calibri"/>
                <w:color w:val="000000"/>
                <w:sz w:val="22"/>
                <w:szCs w:val="22"/>
                <w:lang w:eastAsia="en-US"/>
              </w:rPr>
            </w:pPr>
            <w:r w:rsidRPr="00131EED">
              <w:rPr>
                <w:rFonts w:ascii="Calibri" w:hAnsi="Calibri" w:cs="Calibri"/>
                <w:color w:val="000000"/>
                <w:sz w:val="22"/>
                <w:szCs w:val="22"/>
                <w:lang w:eastAsia="en-US"/>
              </w:rPr>
              <w:t>Natural</w:t>
            </w:r>
          </w:p>
        </w:tc>
        <w:tc>
          <w:tcPr>
            <w:tcW w:w="1186" w:type="dxa"/>
            <w:tcBorders>
              <w:top w:val="nil"/>
              <w:left w:val="nil"/>
              <w:bottom w:val="single" w:sz="4" w:space="0" w:color="auto"/>
              <w:right w:val="single" w:sz="4" w:space="0" w:color="auto"/>
            </w:tcBorders>
            <w:noWrap/>
            <w:vAlign w:val="center"/>
            <w:hideMark/>
          </w:tcPr>
          <w:p w14:paraId="273B0B65" w14:textId="77777777" w:rsidR="00862473" w:rsidRPr="00131EED" w:rsidRDefault="00862473" w:rsidP="00862473">
            <w:pPr>
              <w:jc w:val="center"/>
              <w:rPr>
                <w:rFonts w:ascii="Calibri" w:hAnsi="Calibri" w:cs="Calibri"/>
                <w:color w:val="000000"/>
                <w:sz w:val="22"/>
                <w:szCs w:val="22"/>
                <w:lang w:eastAsia="en-US"/>
              </w:rPr>
            </w:pPr>
            <w:r w:rsidRPr="00131EED">
              <w:rPr>
                <w:rFonts w:ascii="Calibri" w:hAnsi="Calibri" w:cs="Calibri"/>
                <w:color w:val="000000"/>
                <w:sz w:val="22"/>
                <w:szCs w:val="22"/>
                <w:lang w:eastAsia="en-US"/>
              </w:rPr>
              <w:t>22.8497</w:t>
            </w:r>
          </w:p>
        </w:tc>
      </w:tr>
      <w:tr w:rsidR="00862473" w:rsidRPr="00131EED" w14:paraId="5005FBEE" w14:textId="77777777" w:rsidTr="00286E89">
        <w:trPr>
          <w:trHeight w:val="288"/>
          <w:jc w:val="center"/>
        </w:trPr>
        <w:tc>
          <w:tcPr>
            <w:tcW w:w="2080" w:type="dxa"/>
            <w:tcBorders>
              <w:top w:val="nil"/>
              <w:left w:val="single" w:sz="4" w:space="0" w:color="auto"/>
              <w:bottom w:val="single" w:sz="4" w:space="0" w:color="auto"/>
              <w:right w:val="single" w:sz="4" w:space="0" w:color="auto"/>
            </w:tcBorders>
            <w:noWrap/>
            <w:vAlign w:val="center"/>
            <w:hideMark/>
          </w:tcPr>
          <w:p w14:paraId="34AA2807" w14:textId="77777777" w:rsidR="00862473" w:rsidRPr="00131EED" w:rsidRDefault="00862473" w:rsidP="00862473">
            <w:pPr>
              <w:jc w:val="center"/>
              <w:rPr>
                <w:rFonts w:ascii="Calibri" w:hAnsi="Calibri" w:cs="Calibri"/>
                <w:color w:val="000000"/>
                <w:sz w:val="22"/>
                <w:szCs w:val="22"/>
                <w:lang w:eastAsia="en-US"/>
              </w:rPr>
            </w:pPr>
            <w:r w:rsidRPr="00131EED">
              <w:rPr>
                <w:rFonts w:ascii="Calibri" w:hAnsi="Calibri" w:cs="Calibri"/>
                <w:color w:val="000000"/>
                <w:sz w:val="22"/>
                <w:szCs w:val="22"/>
                <w:lang w:eastAsia="en-US"/>
              </w:rPr>
              <w:t>Transformado</w:t>
            </w:r>
          </w:p>
        </w:tc>
        <w:tc>
          <w:tcPr>
            <w:tcW w:w="1186" w:type="dxa"/>
            <w:tcBorders>
              <w:top w:val="nil"/>
              <w:left w:val="nil"/>
              <w:bottom w:val="single" w:sz="4" w:space="0" w:color="auto"/>
              <w:right w:val="single" w:sz="4" w:space="0" w:color="auto"/>
            </w:tcBorders>
            <w:noWrap/>
            <w:vAlign w:val="center"/>
            <w:hideMark/>
          </w:tcPr>
          <w:p w14:paraId="7ECE6BAE" w14:textId="77777777" w:rsidR="00862473" w:rsidRPr="00131EED" w:rsidRDefault="00862473" w:rsidP="00862473">
            <w:pPr>
              <w:jc w:val="center"/>
              <w:rPr>
                <w:rFonts w:ascii="Calibri" w:hAnsi="Calibri" w:cs="Calibri"/>
                <w:color w:val="000000"/>
                <w:sz w:val="22"/>
                <w:szCs w:val="22"/>
                <w:lang w:eastAsia="en-US"/>
              </w:rPr>
            </w:pPr>
            <w:r w:rsidRPr="00131EED">
              <w:rPr>
                <w:rFonts w:ascii="Calibri" w:hAnsi="Calibri" w:cs="Calibri"/>
                <w:color w:val="000000"/>
                <w:sz w:val="22"/>
                <w:szCs w:val="22"/>
                <w:lang w:eastAsia="en-US"/>
              </w:rPr>
              <w:t>1197.0216</w:t>
            </w:r>
          </w:p>
        </w:tc>
      </w:tr>
      <w:tr w:rsidR="00862473" w:rsidRPr="00131EED" w14:paraId="50746534" w14:textId="77777777" w:rsidTr="00286E89">
        <w:trPr>
          <w:trHeight w:val="288"/>
          <w:jc w:val="center"/>
        </w:trPr>
        <w:tc>
          <w:tcPr>
            <w:tcW w:w="2080" w:type="dxa"/>
            <w:tcBorders>
              <w:top w:val="nil"/>
              <w:left w:val="single" w:sz="4" w:space="0" w:color="auto"/>
              <w:bottom w:val="single" w:sz="4" w:space="0" w:color="auto"/>
              <w:right w:val="single" w:sz="4" w:space="0" w:color="auto"/>
            </w:tcBorders>
            <w:noWrap/>
            <w:vAlign w:val="center"/>
            <w:hideMark/>
          </w:tcPr>
          <w:p w14:paraId="109EADE9" w14:textId="77777777" w:rsidR="00862473" w:rsidRPr="00131EED" w:rsidRDefault="00862473" w:rsidP="00862473">
            <w:pPr>
              <w:jc w:val="center"/>
              <w:rPr>
                <w:rFonts w:ascii="Calibri" w:hAnsi="Calibri" w:cs="Calibri"/>
                <w:color w:val="000000"/>
                <w:sz w:val="22"/>
                <w:szCs w:val="22"/>
                <w:lang w:eastAsia="en-US"/>
              </w:rPr>
            </w:pPr>
            <w:r w:rsidRPr="00131EED">
              <w:rPr>
                <w:rFonts w:ascii="Calibri" w:hAnsi="Calibri" w:cs="Calibri"/>
                <w:color w:val="000000"/>
                <w:sz w:val="22"/>
                <w:szCs w:val="22"/>
                <w:lang w:eastAsia="en-US"/>
              </w:rPr>
              <w:t>Total</w:t>
            </w:r>
          </w:p>
        </w:tc>
        <w:tc>
          <w:tcPr>
            <w:tcW w:w="1186" w:type="dxa"/>
            <w:tcBorders>
              <w:top w:val="nil"/>
              <w:left w:val="nil"/>
              <w:bottom w:val="single" w:sz="4" w:space="0" w:color="auto"/>
              <w:right w:val="single" w:sz="4" w:space="0" w:color="auto"/>
            </w:tcBorders>
            <w:noWrap/>
            <w:vAlign w:val="center"/>
            <w:hideMark/>
          </w:tcPr>
          <w:p w14:paraId="32826BF5" w14:textId="77777777" w:rsidR="00862473" w:rsidRPr="00131EED" w:rsidRDefault="00862473" w:rsidP="00862473">
            <w:pPr>
              <w:jc w:val="center"/>
              <w:rPr>
                <w:rFonts w:ascii="Calibri" w:hAnsi="Calibri" w:cs="Calibri"/>
                <w:color w:val="000000"/>
                <w:sz w:val="22"/>
                <w:szCs w:val="22"/>
                <w:lang w:eastAsia="en-US"/>
              </w:rPr>
            </w:pPr>
            <w:r w:rsidRPr="00131EED">
              <w:rPr>
                <w:rFonts w:ascii="Calibri" w:hAnsi="Calibri" w:cs="Calibri"/>
                <w:color w:val="000000"/>
                <w:sz w:val="22"/>
                <w:szCs w:val="22"/>
                <w:lang w:eastAsia="en-US"/>
              </w:rPr>
              <w:t>1262.3807</w:t>
            </w:r>
          </w:p>
        </w:tc>
      </w:tr>
    </w:tbl>
    <w:p w14:paraId="3EEC65E6" w14:textId="77777777" w:rsidR="00286E89" w:rsidRPr="00131EED" w:rsidRDefault="00286E89" w:rsidP="00286E89">
      <w:pPr>
        <w:jc w:val="center"/>
        <w:rPr>
          <w:sz w:val="20"/>
          <w:szCs w:val="20"/>
        </w:rPr>
      </w:pPr>
      <w:r w:rsidRPr="00131EED">
        <w:rPr>
          <w:sz w:val="20"/>
          <w:szCs w:val="20"/>
        </w:rPr>
        <w:t>Fuente: MinAmbiente (2025)</w:t>
      </w:r>
    </w:p>
    <w:p w14:paraId="4C3F51D8" w14:textId="77777777" w:rsidR="00862473" w:rsidRPr="00131EED" w:rsidRDefault="00862473" w:rsidP="00565CA7">
      <w:pPr>
        <w:rPr>
          <w:rFonts w:ascii="Baskerville" w:hAnsi="Baskerville" w:cs="Arial"/>
          <w:sz w:val="18"/>
          <w:szCs w:val="18"/>
        </w:rPr>
      </w:pPr>
    </w:p>
    <w:p w14:paraId="711F8553" w14:textId="5F2AEF32" w:rsidR="00D657C8" w:rsidRPr="00131EED" w:rsidRDefault="00BD6EC1" w:rsidP="00565CA7">
      <w:pPr>
        <w:rPr>
          <w:rFonts w:eastAsia="Century Gothic" w:cs="Arial"/>
        </w:rPr>
      </w:pPr>
      <w:r w:rsidRPr="00131EED">
        <w:rPr>
          <w:rFonts w:eastAsia="Century Gothic" w:cs="Arial"/>
        </w:rPr>
        <w:t xml:space="preserve">De manera similar se tiene que para el caso de las áreas </w:t>
      </w:r>
      <w:r w:rsidR="00843950" w:rsidRPr="00131EED">
        <w:rPr>
          <w:rFonts w:eastAsia="Century Gothic" w:cs="Arial"/>
        </w:rPr>
        <w:t>protegidas</w:t>
      </w:r>
      <w:r w:rsidR="00295D5A" w:rsidRPr="00131EED">
        <w:rPr>
          <w:rFonts w:eastAsia="Century Gothic" w:cs="Arial"/>
        </w:rPr>
        <w:t xml:space="preserve"> declaradas por la CAR, existe un total de </w:t>
      </w:r>
      <w:r w:rsidR="00843950" w:rsidRPr="00131EED">
        <w:rPr>
          <w:rFonts w:eastAsia="Century Gothic" w:cs="Arial"/>
        </w:rPr>
        <w:t xml:space="preserve">376 ha + 3472 m2 de área </w:t>
      </w:r>
      <w:r w:rsidR="0085623C" w:rsidRPr="00131EED">
        <w:rPr>
          <w:rFonts w:eastAsia="Century Gothic" w:cs="Arial"/>
        </w:rPr>
        <w:t>construida</w:t>
      </w:r>
      <w:r w:rsidR="00843950" w:rsidRPr="00131EED">
        <w:rPr>
          <w:rFonts w:eastAsia="Century Gothic" w:cs="Arial"/>
        </w:rPr>
        <w:t xml:space="preserve"> según datos de Footprint de Google (2025).</w:t>
      </w:r>
    </w:p>
    <w:p w14:paraId="1EC5F2F1" w14:textId="77777777" w:rsidR="00843950" w:rsidRPr="00131EED" w:rsidRDefault="00843950" w:rsidP="00565CA7">
      <w:pPr>
        <w:rPr>
          <w:rFonts w:eastAsia="Century Gothic" w:cs="Arial"/>
        </w:rPr>
      </w:pPr>
    </w:p>
    <w:p w14:paraId="52FB3D89" w14:textId="77777777" w:rsidR="00BD6EC1" w:rsidRPr="00131EED" w:rsidRDefault="00BD6EC1" w:rsidP="00565CA7">
      <w:pPr>
        <w:rPr>
          <w:rFonts w:ascii="Baskerville" w:hAnsi="Baskerville" w:cs="Arial"/>
          <w:sz w:val="18"/>
          <w:szCs w:val="18"/>
        </w:rPr>
      </w:pPr>
    </w:p>
    <w:p w14:paraId="22998DFE" w14:textId="77777777" w:rsidR="009E7097" w:rsidRPr="00131EED" w:rsidRDefault="009E7097" w:rsidP="00565CA7">
      <w:pPr>
        <w:rPr>
          <w:rFonts w:ascii="Baskerville" w:hAnsi="Baskerville" w:cs="Arial"/>
          <w:sz w:val="18"/>
          <w:szCs w:val="18"/>
        </w:rPr>
      </w:pPr>
    </w:p>
    <w:p w14:paraId="400FC51A" w14:textId="77777777" w:rsidR="009E7097" w:rsidRPr="00131EED" w:rsidRDefault="009E7097" w:rsidP="00565CA7">
      <w:pPr>
        <w:rPr>
          <w:rFonts w:ascii="Baskerville" w:hAnsi="Baskerville" w:cs="Arial"/>
          <w:sz w:val="18"/>
          <w:szCs w:val="18"/>
        </w:rPr>
      </w:pPr>
    </w:p>
    <w:p w14:paraId="5A45DD2C" w14:textId="0F4C0619" w:rsidR="009E7097" w:rsidRPr="00131EED" w:rsidRDefault="009E7097" w:rsidP="009E7097">
      <w:pPr>
        <w:pStyle w:val="Caption"/>
        <w:jc w:val="center"/>
        <w:rPr>
          <w:rFonts w:ascii="Baskerville" w:hAnsi="Baskerville"/>
        </w:rPr>
      </w:pPr>
      <w:bookmarkStart w:id="371" w:name="_Toc216468875"/>
      <w:r w:rsidRPr="00131EED">
        <w:t xml:space="preserve">Ilustración </w:t>
      </w:r>
      <w:fldSimple w:instr=" SEQ Ilustración \* ARABIC ">
        <w:r w:rsidR="00CE096F">
          <w:rPr>
            <w:noProof/>
          </w:rPr>
          <w:t>110</w:t>
        </w:r>
      </w:fldSimple>
      <w:r w:rsidRPr="00131EED">
        <w:t>. Huella construida sobre áreas protegidas en la Sabana de Bogotá.</w:t>
      </w:r>
      <w:bookmarkEnd w:id="371"/>
      <w:r w:rsidRPr="00131EED">
        <w:t xml:space="preserve"> </w:t>
      </w:r>
    </w:p>
    <w:p w14:paraId="4950511B" w14:textId="77777777" w:rsidR="009E7097" w:rsidRPr="00131EED" w:rsidRDefault="00BD6EC1" w:rsidP="009E7097">
      <w:pPr>
        <w:keepNext/>
        <w:jc w:val="center"/>
      </w:pPr>
      <w:r w:rsidRPr="00131EED">
        <w:rPr>
          <w:rFonts w:ascii="Baskerville" w:hAnsi="Baskerville" w:cs="Arial"/>
          <w:noProof/>
          <w:sz w:val="18"/>
          <w:szCs w:val="18"/>
        </w:rPr>
        <w:drawing>
          <wp:inline distT="0" distB="0" distL="0" distR="0" wp14:anchorId="3E8BE116" wp14:editId="08319540">
            <wp:extent cx="2859051" cy="3700462"/>
            <wp:effectExtent l="0" t="0" r="0" b="0"/>
            <wp:docPr id="168211110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871087" cy="3716040"/>
                    </a:xfrm>
                    <a:prstGeom prst="rect">
                      <a:avLst/>
                    </a:prstGeom>
                    <a:noFill/>
                    <a:ln>
                      <a:noFill/>
                    </a:ln>
                  </pic:spPr>
                </pic:pic>
              </a:graphicData>
            </a:graphic>
          </wp:inline>
        </w:drawing>
      </w:r>
    </w:p>
    <w:p w14:paraId="12ED5DB7" w14:textId="327DFFAA" w:rsidR="00BD6EC1" w:rsidRPr="00131EED" w:rsidRDefault="009E7097" w:rsidP="009E7097">
      <w:pPr>
        <w:jc w:val="center"/>
        <w:rPr>
          <w:rFonts w:ascii="Baskerville" w:hAnsi="Baskerville" w:cs="Arial"/>
          <w:sz w:val="18"/>
          <w:szCs w:val="18"/>
        </w:rPr>
      </w:pPr>
      <w:r w:rsidRPr="00131EED">
        <w:rPr>
          <w:rFonts w:ascii="Baskerville" w:hAnsi="Baskerville" w:cs="Arial"/>
          <w:sz w:val="18"/>
          <w:szCs w:val="18"/>
        </w:rPr>
        <w:t>Fuente: CAR</w:t>
      </w:r>
    </w:p>
    <w:p w14:paraId="79CB6DDB" w14:textId="77777777" w:rsidR="00565CA7" w:rsidRPr="00131EED" w:rsidRDefault="00565CA7" w:rsidP="00410194">
      <w:pPr>
        <w:pStyle w:val="Heading3"/>
        <w:numPr>
          <w:ilvl w:val="3"/>
          <w:numId w:val="31"/>
        </w:numPr>
        <w:rPr>
          <w:rFonts w:eastAsia="Century Gothic"/>
          <w:i/>
        </w:rPr>
      </w:pPr>
      <w:bookmarkStart w:id="372" w:name="_Toc216468744"/>
      <w:r w:rsidRPr="00131EED">
        <w:rPr>
          <w:rFonts w:eastAsia="Century Gothic"/>
          <w:i/>
        </w:rPr>
        <w:t>La pérdida de suelo desde la Huella Espacial Humana en la Sabana</w:t>
      </w:r>
      <w:bookmarkEnd w:id="372"/>
      <w:r w:rsidRPr="00131EED">
        <w:rPr>
          <w:rFonts w:eastAsia="Century Gothic"/>
          <w:i/>
        </w:rPr>
        <w:t xml:space="preserve"> </w:t>
      </w:r>
    </w:p>
    <w:p w14:paraId="0C425CC1" w14:textId="77777777" w:rsidR="00565CA7" w:rsidRPr="00131EED" w:rsidRDefault="00565CA7" w:rsidP="00565CA7">
      <w:pPr>
        <w:rPr>
          <w:rFonts w:ascii="Baskerville" w:hAnsi="Baskerville"/>
        </w:rPr>
      </w:pPr>
    </w:p>
    <w:p w14:paraId="68ED04B2" w14:textId="77777777" w:rsidR="00565CA7" w:rsidRPr="00131EED" w:rsidRDefault="00565CA7" w:rsidP="00565CA7">
      <w:pPr>
        <w:rPr>
          <w:rFonts w:eastAsia="Century Gothic" w:cs="Arial"/>
        </w:rPr>
      </w:pPr>
      <w:r w:rsidRPr="00131EED">
        <w:rPr>
          <w:rFonts w:eastAsia="Century Gothic" w:cs="Arial"/>
        </w:rPr>
        <w:t>El Instituto Alexander von Humboldt desarrolló el índice de huella espacial humana (IHEH) para evaluar de forma cuantitativa y espacial, los impactos correspondientes al grado de la influencia acumulada de las actividades antrópicas sobre los paisajes y ecosistemas.</w:t>
      </w:r>
    </w:p>
    <w:p w14:paraId="67D9FD6C" w14:textId="77777777" w:rsidR="00565CA7" w:rsidRPr="00131EED" w:rsidRDefault="00565CA7" w:rsidP="00565CA7">
      <w:pPr>
        <w:rPr>
          <w:rFonts w:eastAsia="Century Gothic" w:cs="Arial"/>
        </w:rPr>
      </w:pPr>
    </w:p>
    <w:p w14:paraId="7C02E0FC" w14:textId="77777777" w:rsidR="00565CA7" w:rsidRPr="00131EED" w:rsidRDefault="00565CA7" w:rsidP="00565CA7">
      <w:pPr>
        <w:rPr>
          <w:rFonts w:ascii="Baskerville" w:hAnsi="Baskerville"/>
        </w:rPr>
      </w:pPr>
    </w:p>
    <w:p w14:paraId="157E29AC" w14:textId="007AEA83" w:rsidR="00565CA7" w:rsidRPr="00131EED" w:rsidRDefault="006A01CD" w:rsidP="00EE1C4D">
      <w:pPr>
        <w:pStyle w:val="Caption"/>
        <w:jc w:val="center"/>
      </w:pPr>
      <w:r w:rsidRPr="00131EED">
        <w:br w:type="page"/>
      </w:r>
      <w:bookmarkStart w:id="373" w:name="_Toc216468876"/>
      <w:r w:rsidR="00803BDD" w:rsidRPr="00131EED">
        <w:t xml:space="preserve">Ilustración </w:t>
      </w:r>
      <w:r w:rsidR="00803BDD" w:rsidRPr="00131EED">
        <w:fldChar w:fldCharType="begin"/>
      </w:r>
      <w:r w:rsidR="00803BDD" w:rsidRPr="00131EED">
        <w:instrText>SEQ Ilustración \* ARABIC</w:instrText>
      </w:r>
      <w:r w:rsidR="00803BDD" w:rsidRPr="00131EED">
        <w:fldChar w:fldCharType="separate"/>
      </w:r>
      <w:r w:rsidR="00CE096F">
        <w:rPr>
          <w:noProof/>
        </w:rPr>
        <w:t>111</w:t>
      </w:r>
      <w:r w:rsidR="00803BDD" w:rsidRPr="00131EED">
        <w:fldChar w:fldCharType="end"/>
      </w:r>
      <w:r w:rsidR="00EE1C4D" w:rsidRPr="00131EED">
        <w:t xml:space="preserve"> Í</w:t>
      </w:r>
      <w:r w:rsidR="00565CA7" w:rsidRPr="00131EED">
        <w:rPr>
          <w:rStyle w:val="SubtleReference"/>
          <w:smallCaps w:val="0"/>
          <w:color w:val="44546A"/>
        </w:rPr>
        <w:t>ndice de huella humana en el ámbito Sabana 2020 (IAVH)</w:t>
      </w:r>
      <w:bookmarkEnd w:id="373"/>
    </w:p>
    <w:p w14:paraId="2411645B" w14:textId="6C001E00" w:rsidR="00565CA7" w:rsidRPr="00131EED" w:rsidRDefault="00ED6A13" w:rsidP="00565CA7">
      <w:pPr>
        <w:jc w:val="center"/>
        <w:rPr>
          <w:rFonts w:ascii="Baskerville" w:eastAsia="Century Gothic" w:hAnsi="Baskerville" w:cs="Arial"/>
        </w:rPr>
      </w:pPr>
      <w:r w:rsidRPr="00131EED">
        <w:rPr>
          <w:rFonts w:ascii="Baskerville" w:eastAsia="Century Gothic" w:hAnsi="Baskerville" w:cs="Arial"/>
          <w:noProof/>
          <w:lang w:eastAsia="en-US"/>
        </w:rPr>
        <w:drawing>
          <wp:inline distT="0" distB="0" distL="0" distR="0" wp14:anchorId="0BC3429B" wp14:editId="541EA8B7">
            <wp:extent cx="3682043" cy="3024505"/>
            <wp:effectExtent l="0" t="0" r="0" b="4445"/>
            <wp:docPr id="342547004" name="Imagen 45"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547004" name="Imagen 45" descr="Mapa&#10;&#10;El contenido generado por IA puede ser incorrecto."/>
                    <pic:cNvPicPr/>
                  </pic:nvPicPr>
                  <pic:blipFill rotWithShape="1">
                    <a:blip r:embed="rId187" cstate="print">
                      <a:extLst>
                        <a:ext uri="{28A0092B-C50C-407E-A947-70E740481C1C}">
                          <a14:useLocalDpi xmlns:a14="http://schemas.microsoft.com/office/drawing/2010/main" val="0"/>
                        </a:ext>
                      </a:extLst>
                    </a:blip>
                    <a:srcRect l="1917" r="32468" b="4174"/>
                    <a:stretch>
                      <a:fillRect/>
                    </a:stretch>
                  </pic:blipFill>
                  <pic:spPr bwMode="auto">
                    <a:xfrm>
                      <a:off x="0" y="0"/>
                      <a:ext cx="3682416" cy="3024811"/>
                    </a:xfrm>
                    <a:prstGeom prst="rect">
                      <a:avLst/>
                    </a:prstGeom>
                    <a:ln>
                      <a:noFill/>
                    </a:ln>
                    <a:extLst>
                      <a:ext uri="{53640926-AAD7-44D8-BBD7-CCE9431645EC}">
                        <a14:shadowObscured xmlns:a14="http://schemas.microsoft.com/office/drawing/2010/main"/>
                      </a:ext>
                    </a:extLst>
                  </pic:spPr>
                </pic:pic>
              </a:graphicData>
            </a:graphic>
          </wp:inline>
        </w:drawing>
      </w:r>
    </w:p>
    <w:p w14:paraId="4A43CBBA" w14:textId="319B2361" w:rsidR="00565CA7" w:rsidRPr="00131EED" w:rsidRDefault="008C393F" w:rsidP="00565CA7">
      <w:pPr>
        <w:jc w:val="center"/>
        <w:rPr>
          <w:rFonts w:eastAsia="Century Gothic" w:cs="Arial"/>
          <w:szCs w:val="20"/>
        </w:rPr>
      </w:pPr>
      <w:r w:rsidRPr="00131EED">
        <w:rPr>
          <w:rFonts w:eastAsia="Century Gothic" w:cs="Arial"/>
          <w:szCs w:val="20"/>
        </w:rPr>
        <w:t xml:space="preserve">Fuente: </w:t>
      </w:r>
      <w:r w:rsidR="00565CA7" w:rsidRPr="00131EED">
        <w:rPr>
          <w:rFonts w:eastAsia="Century Gothic" w:cs="Arial"/>
          <w:szCs w:val="20"/>
        </w:rPr>
        <w:t>Correa et al. 2020</w:t>
      </w:r>
    </w:p>
    <w:p w14:paraId="56ECD501" w14:textId="77777777" w:rsidR="00565CA7" w:rsidRPr="00131EED" w:rsidRDefault="00565CA7" w:rsidP="00565CA7">
      <w:pPr>
        <w:rPr>
          <w:rFonts w:eastAsia="Century Gothic" w:cs="Arial"/>
        </w:rPr>
      </w:pPr>
      <w:r w:rsidRPr="00131EED">
        <w:rPr>
          <w:rFonts w:eastAsia="Century Gothic" w:cs="Arial"/>
        </w:rPr>
        <w:t>En este estudio, el Instituto determinó que la Sabana de Bogotá presente una huella espacial acumulada alta durante 1970 y 2015, en coherencia con el mismo patrón de la región Andina, esto significa un gran impacto antrópico sobre los ecosistemas terrestres, lo cual explica en parte que dos de los principales tipos de ecosistemas se encuentran en alto riesgo, los humedales del altiplano y los enclaves sub-xerofíticos; estos ecosistemas son reportados en la última versión de la Lista Roja de Ecosistemas de Colombia (Etter et al. 2020) ya que están en riesgo de desaparición (no superan hoy el 1%).</w:t>
      </w:r>
    </w:p>
    <w:p w14:paraId="56B4621A" w14:textId="77777777" w:rsidR="00565CA7" w:rsidRPr="00131EED" w:rsidRDefault="00565CA7" w:rsidP="00565CA7">
      <w:pPr>
        <w:rPr>
          <w:rFonts w:eastAsia="Century Gothic" w:cs="Arial"/>
        </w:rPr>
      </w:pPr>
    </w:p>
    <w:p w14:paraId="61245802" w14:textId="77777777" w:rsidR="00565CA7" w:rsidRPr="00131EED" w:rsidRDefault="00565CA7" w:rsidP="00565CA7">
      <w:pPr>
        <w:rPr>
          <w:rFonts w:cs="Arial"/>
        </w:rPr>
      </w:pPr>
      <w:r w:rsidRPr="00131EED">
        <w:rPr>
          <w:rFonts w:cs="Arial"/>
        </w:rPr>
        <w:t>De acuerdo con (IAvH, 2024), producto de las tendencias de transformación, el territorio puede caracterizarse como un gran paisaje cultural en proceso de cambio y en el cual los elementos estructurantes del sistema ecológico están en proceso de transformación y riesgo; los elementos espaciales estructurantes del sistema, usualmente indicados a través del cambio de las coberturas:</w:t>
      </w:r>
    </w:p>
    <w:p w14:paraId="4A513964" w14:textId="77777777" w:rsidR="00565CA7" w:rsidRPr="00131EED" w:rsidRDefault="00565CA7" w:rsidP="00565CA7">
      <w:pPr>
        <w:rPr>
          <w:rFonts w:ascii="Baskerville" w:hAnsi="Baskerville" w:cs="Arial"/>
        </w:rPr>
      </w:pPr>
    </w:p>
    <w:p w14:paraId="084AE938" w14:textId="1D8BAA73" w:rsidR="00F659D5" w:rsidRPr="00131EED" w:rsidRDefault="00F659D5" w:rsidP="00F659D5">
      <w:pPr>
        <w:pStyle w:val="Caption"/>
        <w:keepNext/>
        <w:jc w:val="center"/>
      </w:pPr>
      <w:bookmarkStart w:id="374" w:name="_Toc216468983"/>
      <w:r w:rsidRPr="00131EED">
        <w:t xml:space="preserve">Tabla </w:t>
      </w:r>
      <w:fldSimple w:instr=" SEQ Tabla \* ARABIC ">
        <w:r w:rsidR="00CE096F">
          <w:rPr>
            <w:noProof/>
          </w:rPr>
          <w:t>73</w:t>
        </w:r>
      </w:fldSimple>
      <w:r w:rsidRPr="00131EED">
        <w:t>. Elementos espaciales estructurantes del sistema</w:t>
      </w:r>
      <w:bookmarkEnd w:id="374"/>
    </w:p>
    <w:tbl>
      <w:tblPr>
        <w:tblStyle w:val="TableGrid"/>
        <w:tblW w:w="0" w:type="auto"/>
        <w:jc w:val="center"/>
        <w:tblLook w:val="04A0" w:firstRow="1" w:lastRow="0" w:firstColumn="1" w:lastColumn="0" w:noHBand="0" w:noVBand="1"/>
      </w:tblPr>
      <w:tblGrid>
        <w:gridCol w:w="2051"/>
        <w:gridCol w:w="3331"/>
        <w:gridCol w:w="3446"/>
      </w:tblGrid>
      <w:tr w:rsidR="00565CA7" w:rsidRPr="00131EED" w14:paraId="6767C853" w14:textId="77777777" w:rsidTr="00053167">
        <w:trPr>
          <w:trHeight w:val="249"/>
          <w:tblHeader/>
          <w:jc w:val="center"/>
        </w:trPr>
        <w:tc>
          <w:tcPr>
            <w:tcW w:w="2051" w:type="dxa"/>
          </w:tcPr>
          <w:p w14:paraId="2913840D" w14:textId="77777777" w:rsidR="00565CA7" w:rsidRPr="00131EED" w:rsidRDefault="00565CA7" w:rsidP="00B60DA2">
            <w:pPr>
              <w:jc w:val="center"/>
              <w:rPr>
                <w:b/>
                <w:sz w:val="20"/>
                <w:szCs w:val="20"/>
              </w:rPr>
            </w:pPr>
            <w:r w:rsidRPr="00131EED">
              <w:rPr>
                <w:b/>
                <w:sz w:val="20"/>
                <w:szCs w:val="20"/>
              </w:rPr>
              <w:t>Tipo de cobertura</w:t>
            </w:r>
          </w:p>
        </w:tc>
        <w:tc>
          <w:tcPr>
            <w:tcW w:w="3331" w:type="dxa"/>
          </w:tcPr>
          <w:p w14:paraId="6CBDAE94" w14:textId="77777777" w:rsidR="00565CA7" w:rsidRPr="00131EED" w:rsidRDefault="00565CA7" w:rsidP="00B60DA2">
            <w:pPr>
              <w:jc w:val="center"/>
              <w:rPr>
                <w:b/>
                <w:sz w:val="20"/>
                <w:szCs w:val="20"/>
              </w:rPr>
            </w:pPr>
            <w:r w:rsidRPr="00131EED">
              <w:rPr>
                <w:b/>
                <w:sz w:val="20"/>
                <w:szCs w:val="20"/>
              </w:rPr>
              <w:t>Elementos</w:t>
            </w:r>
          </w:p>
        </w:tc>
        <w:tc>
          <w:tcPr>
            <w:tcW w:w="3446" w:type="dxa"/>
          </w:tcPr>
          <w:p w14:paraId="43DF4506" w14:textId="77777777" w:rsidR="00565CA7" w:rsidRPr="00131EED" w:rsidRDefault="00565CA7" w:rsidP="00B60DA2">
            <w:pPr>
              <w:jc w:val="center"/>
              <w:rPr>
                <w:b/>
                <w:sz w:val="20"/>
                <w:szCs w:val="20"/>
              </w:rPr>
            </w:pPr>
            <w:r w:rsidRPr="00131EED">
              <w:rPr>
                <w:b/>
                <w:sz w:val="20"/>
                <w:szCs w:val="20"/>
              </w:rPr>
              <w:t>Tendencia</w:t>
            </w:r>
          </w:p>
        </w:tc>
      </w:tr>
      <w:tr w:rsidR="00565CA7" w:rsidRPr="00131EED" w14:paraId="3216E2D0" w14:textId="77777777" w:rsidTr="00053167">
        <w:trPr>
          <w:trHeight w:val="1688"/>
          <w:jc w:val="center"/>
        </w:trPr>
        <w:tc>
          <w:tcPr>
            <w:tcW w:w="2051" w:type="dxa"/>
            <w:vAlign w:val="center"/>
          </w:tcPr>
          <w:p w14:paraId="137D0D7E" w14:textId="77777777" w:rsidR="00565CA7" w:rsidRPr="00131EED" w:rsidRDefault="00565CA7" w:rsidP="00B60DA2">
            <w:pPr>
              <w:rPr>
                <w:b/>
                <w:sz w:val="20"/>
                <w:szCs w:val="20"/>
              </w:rPr>
            </w:pPr>
            <w:r w:rsidRPr="00131EED">
              <w:rPr>
                <w:b/>
                <w:sz w:val="20"/>
                <w:szCs w:val="20"/>
              </w:rPr>
              <w:t>Áreas silvestres</w:t>
            </w:r>
          </w:p>
        </w:tc>
        <w:tc>
          <w:tcPr>
            <w:tcW w:w="3331" w:type="dxa"/>
          </w:tcPr>
          <w:p w14:paraId="3F7B5F7C" w14:textId="77777777" w:rsidR="00565CA7" w:rsidRPr="00131EED" w:rsidRDefault="00565CA7" w:rsidP="00410194">
            <w:pPr>
              <w:pStyle w:val="ListParagraph"/>
              <w:numPr>
                <w:ilvl w:val="0"/>
                <w:numId w:val="13"/>
              </w:numPr>
              <w:spacing w:line="276" w:lineRule="auto"/>
              <w:jc w:val="left"/>
              <w:rPr>
                <w:sz w:val="20"/>
                <w:szCs w:val="20"/>
              </w:rPr>
            </w:pPr>
            <w:r w:rsidRPr="00131EED">
              <w:rPr>
                <w:sz w:val="20"/>
                <w:szCs w:val="20"/>
              </w:rPr>
              <w:t>Ecosistemas usualmente considerados como “naturales” o seminaturales (Van der Hammen, 1999).</w:t>
            </w:r>
          </w:p>
          <w:p w14:paraId="7B0AE12C" w14:textId="77777777" w:rsidR="00565CA7" w:rsidRPr="00131EED" w:rsidRDefault="00565CA7" w:rsidP="00410194">
            <w:pPr>
              <w:pStyle w:val="ListParagraph"/>
              <w:numPr>
                <w:ilvl w:val="0"/>
                <w:numId w:val="13"/>
              </w:numPr>
              <w:spacing w:line="276" w:lineRule="auto"/>
              <w:jc w:val="left"/>
              <w:rPr>
                <w:sz w:val="20"/>
                <w:szCs w:val="20"/>
              </w:rPr>
            </w:pPr>
            <w:r w:rsidRPr="00131EED">
              <w:rPr>
                <w:sz w:val="20"/>
                <w:szCs w:val="20"/>
              </w:rPr>
              <w:t>Nuevos ecosistemas o emergentes (Hobbs 2008).</w:t>
            </w:r>
          </w:p>
          <w:p w14:paraId="6B6D5FF9" w14:textId="77777777" w:rsidR="00565CA7" w:rsidRPr="00131EED" w:rsidRDefault="00565CA7" w:rsidP="00410194">
            <w:pPr>
              <w:pStyle w:val="ListParagraph"/>
              <w:numPr>
                <w:ilvl w:val="0"/>
                <w:numId w:val="13"/>
              </w:numPr>
              <w:spacing w:line="276" w:lineRule="auto"/>
              <w:jc w:val="left"/>
              <w:rPr>
                <w:sz w:val="20"/>
                <w:szCs w:val="20"/>
              </w:rPr>
            </w:pPr>
            <w:r w:rsidRPr="00131EED">
              <w:rPr>
                <w:sz w:val="20"/>
                <w:szCs w:val="20"/>
              </w:rPr>
              <w:t>Incluye mosaicos con plantaciones forestales.</w:t>
            </w:r>
          </w:p>
          <w:p w14:paraId="5E07D18F" w14:textId="77777777" w:rsidR="00565CA7" w:rsidRPr="00131EED" w:rsidRDefault="00565CA7" w:rsidP="00410194">
            <w:pPr>
              <w:pStyle w:val="ListParagraph"/>
              <w:numPr>
                <w:ilvl w:val="0"/>
                <w:numId w:val="13"/>
              </w:numPr>
              <w:spacing w:line="276" w:lineRule="auto"/>
              <w:jc w:val="left"/>
              <w:rPr>
                <w:sz w:val="20"/>
                <w:szCs w:val="20"/>
              </w:rPr>
            </w:pPr>
            <w:r w:rsidRPr="00131EED">
              <w:rPr>
                <w:sz w:val="20"/>
                <w:szCs w:val="20"/>
              </w:rPr>
              <w:t>Potencial de re-naturalización.</w:t>
            </w:r>
          </w:p>
        </w:tc>
        <w:tc>
          <w:tcPr>
            <w:tcW w:w="3446" w:type="dxa"/>
          </w:tcPr>
          <w:p w14:paraId="6CFF4FC3" w14:textId="77777777" w:rsidR="00565CA7" w:rsidRPr="00131EED" w:rsidRDefault="00565CA7" w:rsidP="00410194">
            <w:pPr>
              <w:pStyle w:val="ListParagraph"/>
              <w:numPr>
                <w:ilvl w:val="0"/>
                <w:numId w:val="13"/>
              </w:numPr>
              <w:spacing w:line="276" w:lineRule="auto"/>
              <w:jc w:val="left"/>
              <w:rPr>
                <w:sz w:val="20"/>
                <w:szCs w:val="20"/>
              </w:rPr>
            </w:pPr>
            <w:r w:rsidRPr="00131EED">
              <w:rPr>
                <w:sz w:val="20"/>
                <w:szCs w:val="20"/>
              </w:rPr>
              <w:t>Disminución general.</w:t>
            </w:r>
          </w:p>
          <w:p w14:paraId="19A3CC80" w14:textId="77777777" w:rsidR="00565CA7" w:rsidRPr="00131EED" w:rsidRDefault="00565CA7" w:rsidP="00410194">
            <w:pPr>
              <w:pStyle w:val="ListParagraph"/>
              <w:numPr>
                <w:ilvl w:val="0"/>
                <w:numId w:val="13"/>
              </w:numPr>
              <w:spacing w:line="276" w:lineRule="auto"/>
              <w:jc w:val="left"/>
              <w:rPr>
                <w:sz w:val="20"/>
                <w:szCs w:val="20"/>
              </w:rPr>
            </w:pPr>
            <w:r w:rsidRPr="00131EED">
              <w:rPr>
                <w:sz w:val="20"/>
                <w:szCs w:val="20"/>
              </w:rPr>
              <w:t>Estabilización en algunos sectores (sobre todo la alta montaña).</w:t>
            </w:r>
          </w:p>
          <w:p w14:paraId="3BE90A44" w14:textId="77777777" w:rsidR="00565CA7" w:rsidRPr="00131EED" w:rsidRDefault="00565CA7" w:rsidP="00410194">
            <w:pPr>
              <w:pStyle w:val="ListParagraph"/>
              <w:numPr>
                <w:ilvl w:val="0"/>
                <w:numId w:val="13"/>
              </w:numPr>
              <w:spacing w:line="276" w:lineRule="auto"/>
              <w:jc w:val="left"/>
              <w:rPr>
                <w:sz w:val="20"/>
                <w:szCs w:val="20"/>
              </w:rPr>
            </w:pPr>
            <w:r w:rsidRPr="00131EED">
              <w:rPr>
                <w:sz w:val="20"/>
                <w:szCs w:val="20"/>
              </w:rPr>
              <w:t>Aumento en algunos sectores locales.</w:t>
            </w:r>
          </w:p>
          <w:p w14:paraId="763B9C48" w14:textId="77777777" w:rsidR="00565CA7" w:rsidRPr="00131EED" w:rsidRDefault="00565CA7" w:rsidP="00410194">
            <w:pPr>
              <w:pStyle w:val="ListParagraph"/>
              <w:numPr>
                <w:ilvl w:val="0"/>
                <w:numId w:val="13"/>
              </w:numPr>
              <w:spacing w:line="276" w:lineRule="auto"/>
              <w:jc w:val="left"/>
              <w:rPr>
                <w:sz w:val="20"/>
                <w:szCs w:val="20"/>
              </w:rPr>
            </w:pPr>
            <w:r w:rsidRPr="00131EED">
              <w:rPr>
                <w:sz w:val="20"/>
                <w:szCs w:val="20"/>
              </w:rPr>
              <w:t>Balance general negativo.</w:t>
            </w:r>
          </w:p>
          <w:p w14:paraId="67E75E3B" w14:textId="77777777" w:rsidR="00565CA7" w:rsidRPr="00131EED" w:rsidRDefault="00565CA7" w:rsidP="00B60DA2">
            <w:pPr>
              <w:rPr>
                <w:sz w:val="20"/>
                <w:szCs w:val="20"/>
              </w:rPr>
            </w:pPr>
          </w:p>
        </w:tc>
      </w:tr>
      <w:tr w:rsidR="00565CA7" w:rsidRPr="00131EED" w14:paraId="02AC764F" w14:textId="77777777" w:rsidTr="00053167">
        <w:trPr>
          <w:trHeight w:val="1097"/>
          <w:jc w:val="center"/>
        </w:trPr>
        <w:tc>
          <w:tcPr>
            <w:tcW w:w="2051" w:type="dxa"/>
            <w:vAlign w:val="center"/>
          </w:tcPr>
          <w:p w14:paraId="33081630" w14:textId="77777777" w:rsidR="00565CA7" w:rsidRPr="00131EED" w:rsidRDefault="00565CA7" w:rsidP="00B60DA2">
            <w:pPr>
              <w:rPr>
                <w:b/>
                <w:sz w:val="20"/>
                <w:szCs w:val="20"/>
              </w:rPr>
            </w:pPr>
            <w:r w:rsidRPr="00131EED">
              <w:rPr>
                <w:b/>
                <w:sz w:val="20"/>
                <w:szCs w:val="20"/>
              </w:rPr>
              <w:t>Áreas construidas</w:t>
            </w:r>
          </w:p>
        </w:tc>
        <w:tc>
          <w:tcPr>
            <w:tcW w:w="3331" w:type="dxa"/>
          </w:tcPr>
          <w:p w14:paraId="5847F3FF" w14:textId="77777777" w:rsidR="00565CA7" w:rsidRPr="00131EED" w:rsidRDefault="00565CA7" w:rsidP="00410194">
            <w:pPr>
              <w:pStyle w:val="ListParagraph"/>
              <w:numPr>
                <w:ilvl w:val="0"/>
                <w:numId w:val="13"/>
              </w:numPr>
              <w:spacing w:line="276" w:lineRule="auto"/>
              <w:jc w:val="left"/>
              <w:rPr>
                <w:sz w:val="20"/>
                <w:szCs w:val="20"/>
              </w:rPr>
            </w:pPr>
            <w:r w:rsidRPr="00131EED">
              <w:rPr>
                <w:sz w:val="20"/>
                <w:szCs w:val="20"/>
              </w:rPr>
              <w:t>Urbanas y suburbanas</w:t>
            </w:r>
          </w:p>
          <w:p w14:paraId="5B685F31" w14:textId="77777777" w:rsidR="00565CA7" w:rsidRPr="00131EED" w:rsidRDefault="00565CA7" w:rsidP="00410194">
            <w:pPr>
              <w:pStyle w:val="ListParagraph"/>
              <w:numPr>
                <w:ilvl w:val="0"/>
                <w:numId w:val="13"/>
              </w:numPr>
              <w:spacing w:line="276" w:lineRule="auto"/>
              <w:jc w:val="left"/>
              <w:rPr>
                <w:sz w:val="20"/>
                <w:szCs w:val="20"/>
              </w:rPr>
            </w:pPr>
            <w:r w:rsidRPr="00131EED">
              <w:rPr>
                <w:sz w:val="20"/>
                <w:szCs w:val="20"/>
              </w:rPr>
              <w:t>Infraestructura</w:t>
            </w:r>
          </w:p>
          <w:p w14:paraId="4E18C7AC" w14:textId="77777777" w:rsidR="00565CA7" w:rsidRPr="00131EED" w:rsidRDefault="00565CA7" w:rsidP="00410194">
            <w:pPr>
              <w:pStyle w:val="ListParagraph"/>
              <w:numPr>
                <w:ilvl w:val="0"/>
                <w:numId w:val="13"/>
              </w:numPr>
              <w:spacing w:line="276" w:lineRule="auto"/>
              <w:jc w:val="left"/>
              <w:rPr>
                <w:sz w:val="20"/>
                <w:szCs w:val="20"/>
              </w:rPr>
            </w:pPr>
            <w:r w:rsidRPr="00131EED">
              <w:rPr>
                <w:sz w:val="20"/>
                <w:szCs w:val="20"/>
              </w:rPr>
              <w:t>El conjunto constituye la “tecnomasa” (Inostroza 2014).</w:t>
            </w:r>
          </w:p>
        </w:tc>
        <w:tc>
          <w:tcPr>
            <w:tcW w:w="3446" w:type="dxa"/>
          </w:tcPr>
          <w:p w14:paraId="27B0E867" w14:textId="77777777" w:rsidR="00565CA7" w:rsidRPr="00131EED" w:rsidRDefault="00565CA7" w:rsidP="00410194">
            <w:pPr>
              <w:pStyle w:val="ListParagraph"/>
              <w:numPr>
                <w:ilvl w:val="0"/>
                <w:numId w:val="13"/>
              </w:numPr>
              <w:spacing w:line="276" w:lineRule="auto"/>
              <w:jc w:val="left"/>
              <w:rPr>
                <w:sz w:val="20"/>
                <w:szCs w:val="20"/>
              </w:rPr>
            </w:pPr>
            <w:r w:rsidRPr="00131EED">
              <w:rPr>
                <w:sz w:val="20"/>
                <w:szCs w:val="20"/>
              </w:rPr>
              <w:t>Aumento generalizado, con más intensidad en algunos sectores.</w:t>
            </w:r>
          </w:p>
          <w:p w14:paraId="48D085DE" w14:textId="77777777" w:rsidR="00565CA7" w:rsidRPr="00131EED" w:rsidRDefault="00565CA7" w:rsidP="00410194">
            <w:pPr>
              <w:pStyle w:val="ListParagraph"/>
              <w:numPr>
                <w:ilvl w:val="0"/>
                <w:numId w:val="13"/>
              </w:numPr>
              <w:spacing w:line="276" w:lineRule="auto"/>
              <w:jc w:val="left"/>
              <w:rPr>
                <w:sz w:val="20"/>
                <w:szCs w:val="20"/>
              </w:rPr>
            </w:pPr>
            <w:r w:rsidRPr="00131EED">
              <w:rPr>
                <w:sz w:val="20"/>
                <w:szCs w:val="20"/>
              </w:rPr>
              <w:t>Polígonos en expansión y constitución de redes interconectadas.</w:t>
            </w:r>
          </w:p>
        </w:tc>
      </w:tr>
      <w:tr w:rsidR="00565CA7" w:rsidRPr="00131EED" w14:paraId="779FBCA5" w14:textId="77777777" w:rsidTr="00053167">
        <w:trPr>
          <w:trHeight w:val="645"/>
          <w:jc w:val="center"/>
        </w:trPr>
        <w:tc>
          <w:tcPr>
            <w:tcW w:w="2051" w:type="dxa"/>
            <w:vAlign w:val="center"/>
          </w:tcPr>
          <w:p w14:paraId="2D437451" w14:textId="77777777" w:rsidR="00565CA7" w:rsidRPr="00131EED" w:rsidRDefault="00565CA7" w:rsidP="00B60DA2">
            <w:pPr>
              <w:rPr>
                <w:b/>
                <w:sz w:val="20"/>
                <w:szCs w:val="20"/>
              </w:rPr>
            </w:pPr>
            <w:r w:rsidRPr="00131EED">
              <w:rPr>
                <w:b/>
                <w:sz w:val="20"/>
                <w:szCs w:val="20"/>
              </w:rPr>
              <w:t xml:space="preserve">Agroecosistemas </w:t>
            </w:r>
          </w:p>
        </w:tc>
        <w:tc>
          <w:tcPr>
            <w:tcW w:w="3331" w:type="dxa"/>
          </w:tcPr>
          <w:p w14:paraId="0FD20313" w14:textId="77777777" w:rsidR="00565CA7" w:rsidRPr="00131EED" w:rsidRDefault="00565CA7" w:rsidP="00410194">
            <w:pPr>
              <w:pStyle w:val="ListParagraph"/>
              <w:numPr>
                <w:ilvl w:val="0"/>
                <w:numId w:val="13"/>
              </w:numPr>
              <w:spacing w:line="276" w:lineRule="auto"/>
              <w:rPr>
                <w:sz w:val="20"/>
                <w:szCs w:val="20"/>
              </w:rPr>
            </w:pPr>
            <w:r w:rsidRPr="00131EED">
              <w:rPr>
                <w:sz w:val="20"/>
                <w:szCs w:val="20"/>
              </w:rPr>
              <w:t xml:space="preserve">Zonas de cultivos y cría de ganado </w:t>
            </w:r>
          </w:p>
          <w:p w14:paraId="06CCAA80" w14:textId="77777777" w:rsidR="00565CA7" w:rsidRPr="00131EED" w:rsidRDefault="00565CA7" w:rsidP="00410194">
            <w:pPr>
              <w:pStyle w:val="ListParagraph"/>
              <w:numPr>
                <w:ilvl w:val="0"/>
                <w:numId w:val="13"/>
              </w:numPr>
              <w:spacing w:line="276" w:lineRule="auto"/>
              <w:rPr>
                <w:sz w:val="20"/>
                <w:szCs w:val="20"/>
              </w:rPr>
            </w:pPr>
            <w:r w:rsidRPr="00131EED">
              <w:rPr>
                <w:sz w:val="20"/>
                <w:szCs w:val="20"/>
              </w:rPr>
              <w:t xml:space="preserve">Gran matriz productiva </w:t>
            </w:r>
          </w:p>
        </w:tc>
        <w:tc>
          <w:tcPr>
            <w:tcW w:w="3446" w:type="dxa"/>
          </w:tcPr>
          <w:p w14:paraId="74B5A59F" w14:textId="77777777" w:rsidR="00565CA7" w:rsidRPr="00131EED" w:rsidRDefault="00565CA7" w:rsidP="00410194">
            <w:pPr>
              <w:pStyle w:val="ListParagraph"/>
              <w:numPr>
                <w:ilvl w:val="0"/>
                <w:numId w:val="13"/>
              </w:numPr>
              <w:spacing w:line="276" w:lineRule="auto"/>
              <w:rPr>
                <w:sz w:val="20"/>
                <w:szCs w:val="20"/>
              </w:rPr>
            </w:pPr>
            <w:r w:rsidRPr="00131EED">
              <w:rPr>
                <w:sz w:val="20"/>
                <w:szCs w:val="20"/>
              </w:rPr>
              <w:t xml:space="preserve">Disminución generalizada </w:t>
            </w:r>
          </w:p>
        </w:tc>
      </w:tr>
    </w:tbl>
    <w:p w14:paraId="4614F7C2" w14:textId="77777777" w:rsidR="00565CA7" w:rsidRPr="00131EED" w:rsidRDefault="00565CA7" w:rsidP="00565CA7">
      <w:pPr>
        <w:jc w:val="center"/>
        <w:rPr>
          <w:rFonts w:cs="Arial"/>
          <w:sz w:val="20"/>
          <w:szCs w:val="20"/>
        </w:rPr>
      </w:pPr>
      <w:r w:rsidRPr="00131EED">
        <w:rPr>
          <w:rFonts w:cs="Arial"/>
          <w:sz w:val="20"/>
          <w:szCs w:val="20"/>
        </w:rPr>
        <w:t>Adaptado de I. Humboldt, 2024. Variables estructurantes de manifestación espacial</w:t>
      </w:r>
    </w:p>
    <w:p w14:paraId="2D71A405" w14:textId="77777777" w:rsidR="00565CA7" w:rsidRPr="00131EED" w:rsidRDefault="00565CA7" w:rsidP="00565CA7">
      <w:pPr>
        <w:rPr>
          <w:rFonts w:ascii="Baskerville" w:hAnsi="Baskerville" w:cs="Arial"/>
        </w:rPr>
      </w:pPr>
    </w:p>
    <w:p w14:paraId="7BAE25C9" w14:textId="2918F7A8" w:rsidR="00565CA7" w:rsidRPr="00131EED" w:rsidRDefault="00565CA7" w:rsidP="00565CA7">
      <w:pPr>
        <w:rPr>
          <w:rFonts w:cs="Arial"/>
        </w:rPr>
      </w:pPr>
      <w:r w:rsidRPr="00131EED">
        <w:rPr>
          <w:rFonts w:cs="Arial"/>
        </w:rPr>
        <w:t>La Sabana de Bogotá, con sus procesos acentuados de cambio en su biodiversidad, podría estar entrando en una trayectoria de coyuntura critica de sostenibilidad. Esto implica la necesidad de incorporar en las políticas y la acción ambiental un enfoque de escenarios para definir futuros posibles y probables, y con base en ellos delinear transiciones socio ecológicas hacia la resiliencia territorial (IAvH, 2024):</w:t>
      </w:r>
    </w:p>
    <w:p w14:paraId="7577C6A2" w14:textId="77777777" w:rsidR="0003793B" w:rsidRPr="00131EED" w:rsidRDefault="0003793B" w:rsidP="00565CA7">
      <w:pPr>
        <w:rPr>
          <w:rFonts w:cs="Arial"/>
        </w:rPr>
      </w:pPr>
    </w:p>
    <w:p w14:paraId="2D573CD9" w14:textId="52B7E82C" w:rsidR="00F659D5" w:rsidRPr="00131EED" w:rsidRDefault="00F659D5" w:rsidP="00F659D5">
      <w:pPr>
        <w:pStyle w:val="Caption"/>
        <w:keepNext/>
        <w:jc w:val="center"/>
      </w:pPr>
      <w:bookmarkStart w:id="375" w:name="_Toc216468984"/>
      <w:r w:rsidRPr="00131EED">
        <w:t xml:space="preserve">Tabla </w:t>
      </w:r>
      <w:fldSimple w:instr=" SEQ Tabla \* ARABIC ">
        <w:r w:rsidR="00CE096F">
          <w:rPr>
            <w:noProof/>
          </w:rPr>
          <w:t>74</w:t>
        </w:r>
      </w:fldSimple>
      <w:r w:rsidRPr="00131EED">
        <w:t>. Escenarios principales usos de la tierra.</w:t>
      </w:r>
      <w:bookmarkEnd w:id="375"/>
    </w:p>
    <w:tbl>
      <w:tblPr>
        <w:tblW w:w="887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2"/>
        <w:gridCol w:w="1987"/>
        <w:gridCol w:w="1717"/>
        <w:gridCol w:w="2050"/>
        <w:gridCol w:w="1717"/>
      </w:tblGrid>
      <w:tr w:rsidR="00565CA7" w:rsidRPr="00131EED" w14:paraId="211056F3" w14:textId="77777777" w:rsidTr="00053167">
        <w:trPr>
          <w:trHeight w:val="1042"/>
          <w:tblHeader/>
        </w:trPr>
        <w:tc>
          <w:tcPr>
            <w:tcW w:w="1402" w:type="dxa"/>
            <w:shd w:val="clear" w:color="auto" w:fill="FFFFFF"/>
            <w:tcMar>
              <w:top w:w="15" w:type="dxa"/>
              <w:left w:w="108" w:type="dxa"/>
              <w:bottom w:w="0" w:type="dxa"/>
              <w:right w:w="108" w:type="dxa"/>
            </w:tcMar>
            <w:hideMark/>
          </w:tcPr>
          <w:p w14:paraId="26C1FF56" w14:textId="77777777" w:rsidR="00565CA7" w:rsidRPr="00131EED" w:rsidRDefault="00565CA7" w:rsidP="00B60DA2">
            <w:pPr>
              <w:jc w:val="center"/>
              <w:rPr>
                <w:rFonts w:cs="Arial"/>
                <w:sz w:val="20"/>
                <w:szCs w:val="20"/>
              </w:rPr>
            </w:pPr>
            <w:r w:rsidRPr="00131EED">
              <w:rPr>
                <w:rFonts w:cs="Arial"/>
                <w:b/>
                <w:sz w:val="20"/>
                <w:szCs w:val="20"/>
              </w:rPr>
              <w:t>Principales usos de la tierra</w:t>
            </w:r>
          </w:p>
        </w:tc>
        <w:tc>
          <w:tcPr>
            <w:tcW w:w="1987" w:type="dxa"/>
            <w:shd w:val="clear" w:color="auto" w:fill="FFFFFF"/>
            <w:tcMar>
              <w:top w:w="15" w:type="dxa"/>
              <w:left w:w="108" w:type="dxa"/>
              <w:bottom w:w="0" w:type="dxa"/>
              <w:right w:w="108" w:type="dxa"/>
            </w:tcMar>
            <w:hideMark/>
          </w:tcPr>
          <w:p w14:paraId="7B6D5A75" w14:textId="77777777" w:rsidR="00565CA7" w:rsidRPr="00131EED" w:rsidRDefault="00565CA7" w:rsidP="00B60DA2">
            <w:pPr>
              <w:jc w:val="center"/>
              <w:rPr>
                <w:rFonts w:cs="Arial"/>
                <w:sz w:val="20"/>
                <w:szCs w:val="20"/>
              </w:rPr>
            </w:pPr>
            <w:r w:rsidRPr="00131EED">
              <w:rPr>
                <w:rFonts w:cs="Arial"/>
                <w:b/>
                <w:sz w:val="20"/>
                <w:szCs w:val="20"/>
              </w:rPr>
              <w:t>Escenario 1</w:t>
            </w:r>
          </w:p>
          <w:p w14:paraId="2D344100" w14:textId="77777777" w:rsidR="00565CA7" w:rsidRPr="00131EED" w:rsidRDefault="00565CA7" w:rsidP="00B60DA2">
            <w:pPr>
              <w:jc w:val="center"/>
              <w:rPr>
                <w:rFonts w:cs="Arial"/>
                <w:sz w:val="20"/>
                <w:szCs w:val="20"/>
              </w:rPr>
            </w:pPr>
            <w:r w:rsidRPr="00131EED">
              <w:rPr>
                <w:rFonts w:cs="Arial"/>
                <w:b/>
                <w:sz w:val="20"/>
                <w:szCs w:val="20"/>
              </w:rPr>
              <w:t>Tendencial</w:t>
            </w:r>
          </w:p>
        </w:tc>
        <w:tc>
          <w:tcPr>
            <w:tcW w:w="1717" w:type="dxa"/>
            <w:shd w:val="clear" w:color="auto" w:fill="FFFFFF"/>
            <w:tcMar>
              <w:top w:w="15" w:type="dxa"/>
              <w:left w:w="108" w:type="dxa"/>
              <w:bottom w:w="0" w:type="dxa"/>
              <w:right w:w="108" w:type="dxa"/>
            </w:tcMar>
            <w:hideMark/>
          </w:tcPr>
          <w:p w14:paraId="48AE78A3" w14:textId="77777777" w:rsidR="00565CA7" w:rsidRPr="00131EED" w:rsidRDefault="00565CA7" w:rsidP="00B60DA2">
            <w:pPr>
              <w:jc w:val="center"/>
              <w:rPr>
                <w:rFonts w:cs="Arial"/>
                <w:sz w:val="20"/>
                <w:szCs w:val="20"/>
              </w:rPr>
            </w:pPr>
            <w:r w:rsidRPr="00131EED">
              <w:rPr>
                <w:rFonts w:cs="Arial"/>
                <w:b/>
                <w:sz w:val="20"/>
                <w:szCs w:val="20"/>
              </w:rPr>
              <w:t>Escenario 2</w:t>
            </w:r>
          </w:p>
          <w:p w14:paraId="6856E4AC" w14:textId="77777777" w:rsidR="00565CA7" w:rsidRPr="00131EED" w:rsidRDefault="00565CA7" w:rsidP="00B60DA2">
            <w:pPr>
              <w:jc w:val="center"/>
              <w:rPr>
                <w:rFonts w:cs="Arial"/>
                <w:sz w:val="20"/>
                <w:szCs w:val="20"/>
              </w:rPr>
            </w:pPr>
            <w:r w:rsidRPr="00131EED">
              <w:rPr>
                <w:rFonts w:cs="Arial"/>
                <w:b/>
                <w:sz w:val="20"/>
                <w:szCs w:val="20"/>
              </w:rPr>
              <w:t>Ordenamiento territorial convencional reforzado</w:t>
            </w:r>
          </w:p>
        </w:tc>
        <w:tc>
          <w:tcPr>
            <w:tcW w:w="2050" w:type="dxa"/>
            <w:shd w:val="clear" w:color="auto" w:fill="FFFFFF"/>
            <w:tcMar>
              <w:top w:w="15" w:type="dxa"/>
              <w:left w:w="108" w:type="dxa"/>
              <w:bottom w:w="0" w:type="dxa"/>
              <w:right w:w="108" w:type="dxa"/>
            </w:tcMar>
            <w:hideMark/>
          </w:tcPr>
          <w:p w14:paraId="688F840E" w14:textId="77777777" w:rsidR="00565CA7" w:rsidRPr="00131EED" w:rsidRDefault="00565CA7" w:rsidP="00B60DA2">
            <w:pPr>
              <w:jc w:val="center"/>
              <w:rPr>
                <w:rFonts w:cs="Arial"/>
                <w:sz w:val="20"/>
                <w:szCs w:val="20"/>
              </w:rPr>
            </w:pPr>
            <w:r w:rsidRPr="00131EED">
              <w:rPr>
                <w:rFonts w:cs="Arial"/>
                <w:b/>
                <w:sz w:val="20"/>
                <w:szCs w:val="20"/>
              </w:rPr>
              <w:t>Transición</w:t>
            </w:r>
          </w:p>
        </w:tc>
        <w:tc>
          <w:tcPr>
            <w:tcW w:w="1717" w:type="dxa"/>
            <w:shd w:val="clear" w:color="auto" w:fill="FFFFFF"/>
            <w:tcMar>
              <w:top w:w="15" w:type="dxa"/>
              <w:left w:w="108" w:type="dxa"/>
              <w:bottom w:w="0" w:type="dxa"/>
              <w:right w:w="108" w:type="dxa"/>
            </w:tcMar>
            <w:hideMark/>
          </w:tcPr>
          <w:p w14:paraId="64CA0AAA" w14:textId="77777777" w:rsidR="00565CA7" w:rsidRPr="00131EED" w:rsidRDefault="00565CA7" w:rsidP="00B60DA2">
            <w:pPr>
              <w:jc w:val="center"/>
              <w:rPr>
                <w:rFonts w:cs="Arial"/>
                <w:b/>
                <w:sz w:val="20"/>
                <w:szCs w:val="20"/>
              </w:rPr>
            </w:pPr>
            <w:r w:rsidRPr="00131EED">
              <w:rPr>
                <w:rFonts w:cs="Arial"/>
                <w:b/>
                <w:sz w:val="20"/>
                <w:szCs w:val="20"/>
              </w:rPr>
              <w:t>Escenario 3</w:t>
            </w:r>
          </w:p>
          <w:p w14:paraId="36080615" w14:textId="77777777" w:rsidR="00565CA7" w:rsidRPr="00131EED" w:rsidRDefault="00565CA7" w:rsidP="00B60DA2">
            <w:pPr>
              <w:jc w:val="center"/>
              <w:rPr>
                <w:rFonts w:cs="Arial"/>
                <w:sz w:val="20"/>
                <w:szCs w:val="20"/>
              </w:rPr>
            </w:pPr>
            <w:r w:rsidRPr="00131EED">
              <w:rPr>
                <w:rFonts w:cs="Arial"/>
                <w:b/>
                <w:sz w:val="20"/>
                <w:szCs w:val="20"/>
              </w:rPr>
              <w:t>Territorio Resiliente</w:t>
            </w:r>
          </w:p>
          <w:p w14:paraId="6CDE23CD" w14:textId="77777777" w:rsidR="00565CA7" w:rsidRPr="00131EED" w:rsidRDefault="00565CA7" w:rsidP="00B60DA2">
            <w:pPr>
              <w:jc w:val="center"/>
              <w:rPr>
                <w:rFonts w:cs="Arial"/>
                <w:sz w:val="20"/>
                <w:szCs w:val="20"/>
              </w:rPr>
            </w:pPr>
            <w:r w:rsidRPr="00131EED">
              <w:rPr>
                <w:rFonts w:cs="Arial"/>
                <w:b/>
                <w:sz w:val="20"/>
                <w:szCs w:val="20"/>
              </w:rPr>
              <w:t>Innovación en gestión territorial</w:t>
            </w:r>
          </w:p>
        </w:tc>
      </w:tr>
      <w:tr w:rsidR="00565CA7" w:rsidRPr="00131EED" w14:paraId="79BE9ABC" w14:textId="77777777" w:rsidTr="00053167">
        <w:trPr>
          <w:trHeight w:val="2783"/>
        </w:trPr>
        <w:tc>
          <w:tcPr>
            <w:tcW w:w="1402" w:type="dxa"/>
            <w:shd w:val="clear" w:color="auto" w:fill="FFFFFF"/>
            <w:tcMar>
              <w:top w:w="15" w:type="dxa"/>
              <w:left w:w="108" w:type="dxa"/>
              <w:bottom w:w="0" w:type="dxa"/>
              <w:right w:w="108" w:type="dxa"/>
            </w:tcMar>
            <w:vAlign w:val="center"/>
            <w:hideMark/>
          </w:tcPr>
          <w:p w14:paraId="0AE47C47" w14:textId="77777777" w:rsidR="00565CA7" w:rsidRPr="00131EED" w:rsidRDefault="00565CA7" w:rsidP="00B60DA2">
            <w:pPr>
              <w:rPr>
                <w:rFonts w:cs="Arial"/>
                <w:sz w:val="20"/>
                <w:szCs w:val="20"/>
              </w:rPr>
            </w:pPr>
            <w:r w:rsidRPr="00131EED">
              <w:rPr>
                <w:rFonts w:cs="Arial"/>
                <w:b/>
                <w:sz w:val="20"/>
                <w:szCs w:val="20"/>
              </w:rPr>
              <w:t xml:space="preserve">Áreas silvestres  </w:t>
            </w:r>
          </w:p>
        </w:tc>
        <w:tc>
          <w:tcPr>
            <w:tcW w:w="1987" w:type="dxa"/>
            <w:shd w:val="clear" w:color="auto" w:fill="FFFFFF"/>
            <w:tcMar>
              <w:top w:w="15" w:type="dxa"/>
              <w:left w:w="108" w:type="dxa"/>
              <w:bottom w:w="0" w:type="dxa"/>
              <w:right w:w="108" w:type="dxa"/>
            </w:tcMar>
            <w:hideMark/>
          </w:tcPr>
          <w:p w14:paraId="7A8054A8" w14:textId="77777777" w:rsidR="00565CA7" w:rsidRPr="00131EED" w:rsidRDefault="00565CA7" w:rsidP="00410194">
            <w:pPr>
              <w:pStyle w:val="ListParagraph"/>
              <w:numPr>
                <w:ilvl w:val="0"/>
                <w:numId w:val="14"/>
              </w:numPr>
              <w:spacing w:after="0"/>
              <w:jc w:val="left"/>
              <w:rPr>
                <w:rFonts w:cs="Arial"/>
                <w:sz w:val="20"/>
                <w:szCs w:val="20"/>
              </w:rPr>
            </w:pPr>
            <w:r w:rsidRPr="00131EED">
              <w:rPr>
                <w:rFonts w:cs="Arial"/>
                <w:sz w:val="20"/>
                <w:szCs w:val="20"/>
              </w:rPr>
              <w:t xml:space="preserve">Aplicación limitada de determinantes ambientales </w:t>
            </w:r>
          </w:p>
          <w:p w14:paraId="283C98F5" w14:textId="77777777" w:rsidR="00565CA7" w:rsidRPr="00131EED" w:rsidRDefault="00565CA7" w:rsidP="00410194">
            <w:pPr>
              <w:pStyle w:val="ListParagraph"/>
              <w:numPr>
                <w:ilvl w:val="0"/>
                <w:numId w:val="14"/>
              </w:numPr>
              <w:spacing w:after="0"/>
              <w:jc w:val="left"/>
              <w:rPr>
                <w:rFonts w:cs="Arial"/>
                <w:sz w:val="20"/>
                <w:szCs w:val="20"/>
              </w:rPr>
            </w:pPr>
            <w:r w:rsidRPr="00131EED">
              <w:rPr>
                <w:rFonts w:cs="Arial"/>
                <w:sz w:val="20"/>
                <w:szCs w:val="20"/>
              </w:rPr>
              <w:t>Sin áreas protegidas nuevas</w:t>
            </w:r>
          </w:p>
          <w:p w14:paraId="37C4C672" w14:textId="77777777" w:rsidR="00565CA7" w:rsidRPr="00131EED" w:rsidRDefault="00565CA7" w:rsidP="00410194">
            <w:pPr>
              <w:pStyle w:val="ListParagraph"/>
              <w:numPr>
                <w:ilvl w:val="0"/>
                <w:numId w:val="14"/>
              </w:numPr>
              <w:spacing w:after="0"/>
              <w:jc w:val="left"/>
              <w:rPr>
                <w:rFonts w:cs="Arial"/>
                <w:sz w:val="20"/>
                <w:szCs w:val="20"/>
              </w:rPr>
            </w:pPr>
            <w:r w:rsidRPr="00131EED">
              <w:rPr>
                <w:rFonts w:cs="Arial"/>
                <w:sz w:val="20"/>
                <w:szCs w:val="20"/>
              </w:rPr>
              <w:t xml:space="preserve">Sin visión regional de la Estructura Ecológica Principal y determinantes ambientales </w:t>
            </w:r>
          </w:p>
        </w:tc>
        <w:tc>
          <w:tcPr>
            <w:tcW w:w="1717" w:type="dxa"/>
            <w:shd w:val="clear" w:color="auto" w:fill="FFFFFF"/>
            <w:tcMar>
              <w:top w:w="15" w:type="dxa"/>
              <w:left w:w="108" w:type="dxa"/>
              <w:bottom w:w="0" w:type="dxa"/>
              <w:right w:w="108" w:type="dxa"/>
            </w:tcMar>
            <w:hideMark/>
          </w:tcPr>
          <w:p w14:paraId="12FDDC48" w14:textId="77777777" w:rsidR="00565CA7" w:rsidRPr="00131EED" w:rsidRDefault="00565CA7" w:rsidP="00410194">
            <w:pPr>
              <w:pStyle w:val="ListParagraph"/>
              <w:numPr>
                <w:ilvl w:val="0"/>
                <w:numId w:val="14"/>
              </w:numPr>
              <w:spacing w:after="0"/>
              <w:jc w:val="left"/>
              <w:rPr>
                <w:rFonts w:cs="Arial"/>
                <w:sz w:val="20"/>
                <w:szCs w:val="20"/>
              </w:rPr>
            </w:pPr>
            <w:r w:rsidRPr="00131EED">
              <w:rPr>
                <w:rFonts w:cs="Arial"/>
                <w:sz w:val="20"/>
                <w:szCs w:val="20"/>
              </w:rPr>
              <w:t xml:space="preserve">Aplicación de determinantes ambientales con refuerzo de autoridad ambiental regional </w:t>
            </w:r>
          </w:p>
          <w:p w14:paraId="2FF879F8" w14:textId="77777777" w:rsidR="00565CA7" w:rsidRPr="00131EED" w:rsidRDefault="00565CA7" w:rsidP="00B60DA2">
            <w:pPr>
              <w:ind w:firstLine="60"/>
              <w:rPr>
                <w:rFonts w:cs="Arial"/>
                <w:sz w:val="20"/>
                <w:szCs w:val="20"/>
              </w:rPr>
            </w:pPr>
          </w:p>
          <w:p w14:paraId="6A6BE154" w14:textId="77777777" w:rsidR="00565CA7" w:rsidRPr="00131EED" w:rsidRDefault="00565CA7" w:rsidP="00410194">
            <w:pPr>
              <w:pStyle w:val="ListParagraph"/>
              <w:numPr>
                <w:ilvl w:val="0"/>
                <w:numId w:val="14"/>
              </w:numPr>
              <w:spacing w:after="0"/>
              <w:jc w:val="left"/>
              <w:rPr>
                <w:rFonts w:cs="Arial"/>
                <w:sz w:val="20"/>
                <w:szCs w:val="20"/>
              </w:rPr>
            </w:pPr>
            <w:r w:rsidRPr="00131EED">
              <w:rPr>
                <w:rFonts w:cs="Arial"/>
                <w:sz w:val="20"/>
                <w:szCs w:val="20"/>
              </w:rPr>
              <w:t>Visión de manejo de complejos y sitios de humedales del rio Bogotá</w:t>
            </w:r>
          </w:p>
        </w:tc>
        <w:tc>
          <w:tcPr>
            <w:tcW w:w="2050" w:type="dxa"/>
            <w:shd w:val="clear" w:color="auto" w:fill="FFFFFF"/>
            <w:tcMar>
              <w:top w:w="15" w:type="dxa"/>
              <w:left w:w="108" w:type="dxa"/>
              <w:bottom w:w="0" w:type="dxa"/>
              <w:right w:w="108" w:type="dxa"/>
            </w:tcMar>
            <w:hideMark/>
          </w:tcPr>
          <w:p w14:paraId="47B0433C" w14:textId="77777777" w:rsidR="00565CA7" w:rsidRPr="00131EED" w:rsidRDefault="00565CA7" w:rsidP="00410194">
            <w:pPr>
              <w:pStyle w:val="ListParagraph"/>
              <w:numPr>
                <w:ilvl w:val="0"/>
                <w:numId w:val="14"/>
              </w:numPr>
              <w:spacing w:after="0"/>
              <w:jc w:val="left"/>
              <w:rPr>
                <w:rFonts w:cs="Arial"/>
                <w:sz w:val="20"/>
                <w:szCs w:val="20"/>
              </w:rPr>
            </w:pPr>
            <w:r w:rsidRPr="00131EED">
              <w:rPr>
                <w:rFonts w:cs="Arial"/>
                <w:sz w:val="20"/>
                <w:szCs w:val="20"/>
              </w:rPr>
              <w:t>Construcción de una visión regional de la Estructura Ecológica de la Sabana y áreas circundantes</w:t>
            </w:r>
          </w:p>
          <w:p w14:paraId="501027F7" w14:textId="77777777" w:rsidR="00565CA7" w:rsidRPr="00131EED" w:rsidRDefault="00565CA7" w:rsidP="00B60DA2">
            <w:pPr>
              <w:ind w:firstLine="60"/>
              <w:rPr>
                <w:rFonts w:cs="Arial"/>
                <w:sz w:val="20"/>
                <w:szCs w:val="20"/>
              </w:rPr>
            </w:pPr>
          </w:p>
          <w:p w14:paraId="16DA2066" w14:textId="77777777" w:rsidR="00565CA7" w:rsidRPr="00131EED" w:rsidRDefault="00565CA7" w:rsidP="00410194">
            <w:pPr>
              <w:pStyle w:val="ListParagraph"/>
              <w:numPr>
                <w:ilvl w:val="0"/>
                <w:numId w:val="14"/>
              </w:numPr>
              <w:spacing w:after="0"/>
              <w:jc w:val="left"/>
              <w:rPr>
                <w:rFonts w:cs="Arial"/>
                <w:sz w:val="20"/>
                <w:szCs w:val="20"/>
              </w:rPr>
            </w:pPr>
            <w:r w:rsidRPr="00131EED">
              <w:rPr>
                <w:rFonts w:cs="Arial"/>
                <w:sz w:val="20"/>
                <w:szCs w:val="20"/>
              </w:rPr>
              <w:t xml:space="preserve">Integración de áreas de riesgo y áreas necesarias para la conservación de la biodiversidad </w:t>
            </w:r>
          </w:p>
        </w:tc>
        <w:tc>
          <w:tcPr>
            <w:tcW w:w="1717" w:type="dxa"/>
            <w:shd w:val="clear" w:color="auto" w:fill="FFFFFF"/>
            <w:tcMar>
              <w:top w:w="15" w:type="dxa"/>
              <w:left w:w="108" w:type="dxa"/>
              <w:bottom w:w="0" w:type="dxa"/>
              <w:right w:w="108" w:type="dxa"/>
            </w:tcMar>
            <w:hideMark/>
          </w:tcPr>
          <w:p w14:paraId="4919B196" w14:textId="77777777" w:rsidR="00565CA7" w:rsidRPr="00131EED" w:rsidRDefault="00565CA7" w:rsidP="00410194">
            <w:pPr>
              <w:pStyle w:val="ListParagraph"/>
              <w:numPr>
                <w:ilvl w:val="0"/>
                <w:numId w:val="14"/>
              </w:numPr>
              <w:spacing w:after="0"/>
              <w:jc w:val="left"/>
              <w:rPr>
                <w:rFonts w:cs="Arial"/>
                <w:sz w:val="20"/>
                <w:szCs w:val="20"/>
              </w:rPr>
            </w:pPr>
            <w:r w:rsidRPr="00131EED">
              <w:rPr>
                <w:rFonts w:cs="Arial"/>
                <w:sz w:val="20"/>
                <w:szCs w:val="20"/>
              </w:rPr>
              <w:t xml:space="preserve">Nueva Estructura Ecológica Principal con base en nuevos determinantes ambientales y con visión regional. </w:t>
            </w:r>
          </w:p>
        </w:tc>
      </w:tr>
      <w:tr w:rsidR="00565CA7" w:rsidRPr="00131EED" w14:paraId="3DD15A90" w14:textId="77777777" w:rsidTr="00053167">
        <w:trPr>
          <w:trHeight w:val="856"/>
        </w:trPr>
        <w:tc>
          <w:tcPr>
            <w:tcW w:w="1402" w:type="dxa"/>
            <w:shd w:val="clear" w:color="auto" w:fill="FFFFFF"/>
            <w:tcMar>
              <w:top w:w="15" w:type="dxa"/>
              <w:left w:w="108" w:type="dxa"/>
              <w:bottom w:w="0" w:type="dxa"/>
              <w:right w:w="108" w:type="dxa"/>
            </w:tcMar>
            <w:vAlign w:val="center"/>
            <w:hideMark/>
          </w:tcPr>
          <w:p w14:paraId="204316EF" w14:textId="77777777" w:rsidR="00565CA7" w:rsidRPr="00131EED" w:rsidRDefault="00565CA7" w:rsidP="00B60DA2">
            <w:pPr>
              <w:rPr>
                <w:rFonts w:cs="Arial"/>
                <w:sz w:val="20"/>
                <w:szCs w:val="20"/>
              </w:rPr>
            </w:pPr>
            <w:r w:rsidRPr="00131EED">
              <w:rPr>
                <w:rFonts w:cs="Arial"/>
                <w:b/>
                <w:sz w:val="20"/>
                <w:szCs w:val="20"/>
              </w:rPr>
              <w:t>Áreas agrícolas</w:t>
            </w:r>
          </w:p>
        </w:tc>
        <w:tc>
          <w:tcPr>
            <w:tcW w:w="1987" w:type="dxa"/>
            <w:shd w:val="clear" w:color="auto" w:fill="FFFFFF"/>
            <w:tcMar>
              <w:top w:w="15" w:type="dxa"/>
              <w:left w:w="108" w:type="dxa"/>
              <w:bottom w:w="0" w:type="dxa"/>
              <w:right w:w="108" w:type="dxa"/>
            </w:tcMar>
            <w:hideMark/>
          </w:tcPr>
          <w:p w14:paraId="48D39362" w14:textId="77777777" w:rsidR="00565CA7" w:rsidRPr="00131EED" w:rsidRDefault="00565CA7" w:rsidP="00410194">
            <w:pPr>
              <w:pStyle w:val="ListParagraph"/>
              <w:numPr>
                <w:ilvl w:val="0"/>
                <w:numId w:val="14"/>
              </w:numPr>
              <w:spacing w:after="0"/>
              <w:jc w:val="left"/>
              <w:rPr>
                <w:rFonts w:cs="Arial"/>
                <w:sz w:val="20"/>
                <w:szCs w:val="20"/>
              </w:rPr>
            </w:pPr>
            <w:r w:rsidRPr="00131EED">
              <w:rPr>
                <w:rFonts w:cs="Arial"/>
                <w:sz w:val="20"/>
                <w:szCs w:val="20"/>
              </w:rPr>
              <w:t xml:space="preserve">Siguen disminuyendo las áreas agrícolas </w:t>
            </w:r>
          </w:p>
        </w:tc>
        <w:tc>
          <w:tcPr>
            <w:tcW w:w="1717" w:type="dxa"/>
            <w:shd w:val="clear" w:color="auto" w:fill="FFFFFF"/>
            <w:tcMar>
              <w:top w:w="15" w:type="dxa"/>
              <w:left w:w="108" w:type="dxa"/>
              <w:bottom w:w="0" w:type="dxa"/>
              <w:right w:w="108" w:type="dxa"/>
            </w:tcMar>
            <w:hideMark/>
          </w:tcPr>
          <w:p w14:paraId="77C9F828" w14:textId="77777777" w:rsidR="00565CA7" w:rsidRPr="00131EED" w:rsidRDefault="00565CA7" w:rsidP="00410194">
            <w:pPr>
              <w:pStyle w:val="ListParagraph"/>
              <w:numPr>
                <w:ilvl w:val="0"/>
                <w:numId w:val="14"/>
              </w:numPr>
              <w:spacing w:after="0"/>
              <w:jc w:val="left"/>
              <w:rPr>
                <w:rFonts w:cs="Arial"/>
                <w:sz w:val="20"/>
                <w:szCs w:val="20"/>
              </w:rPr>
            </w:pPr>
            <w:r w:rsidRPr="00131EED">
              <w:rPr>
                <w:rFonts w:cs="Arial"/>
                <w:sz w:val="20"/>
                <w:szCs w:val="20"/>
              </w:rPr>
              <w:t xml:space="preserve">Restringido el cambio de uso de la tierra para urbanización </w:t>
            </w:r>
          </w:p>
        </w:tc>
        <w:tc>
          <w:tcPr>
            <w:tcW w:w="2050" w:type="dxa"/>
            <w:shd w:val="clear" w:color="auto" w:fill="FFFFFF"/>
            <w:tcMar>
              <w:top w:w="15" w:type="dxa"/>
              <w:left w:w="108" w:type="dxa"/>
              <w:bottom w:w="0" w:type="dxa"/>
              <w:right w:w="108" w:type="dxa"/>
            </w:tcMar>
            <w:hideMark/>
          </w:tcPr>
          <w:p w14:paraId="1A420368" w14:textId="77777777" w:rsidR="00565CA7" w:rsidRPr="00131EED" w:rsidRDefault="00565CA7" w:rsidP="00410194">
            <w:pPr>
              <w:pStyle w:val="ListParagraph"/>
              <w:numPr>
                <w:ilvl w:val="0"/>
                <w:numId w:val="14"/>
              </w:numPr>
              <w:spacing w:after="0"/>
              <w:jc w:val="left"/>
              <w:rPr>
                <w:rFonts w:cs="Arial"/>
                <w:sz w:val="20"/>
                <w:szCs w:val="20"/>
              </w:rPr>
            </w:pPr>
            <w:r w:rsidRPr="00131EED">
              <w:rPr>
                <w:rFonts w:cs="Arial"/>
                <w:sz w:val="20"/>
                <w:szCs w:val="20"/>
              </w:rPr>
              <w:t xml:space="preserve">Definición con visión nacional (PND) de las áreas agrícolas permanentes </w:t>
            </w:r>
          </w:p>
        </w:tc>
        <w:tc>
          <w:tcPr>
            <w:tcW w:w="1717" w:type="dxa"/>
            <w:shd w:val="clear" w:color="auto" w:fill="FFFFFF"/>
            <w:tcMar>
              <w:top w:w="15" w:type="dxa"/>
              <w:left w:w="108" w:type="dxa"/>
              <w:bottom w:w="0" w:type="dxa"/>
              <w:right w:w="108" w:type="dxa"/>
            </w:tcMar>
            <w:hideMark/>
          </w:tcPr>
          <w:p w14:paraId="71895D68" w14:textId="77777777" w:rsidR="00565CA7" w:rsidRPr="00131EED" w:rsidRDefault="00565CA7" w:rsidP="00410194">
            <w:pPr>
              <w:pStyle w:val="ListParagraph"/>
              <w:numPr>
                <w:ilvl w:val="0"/>
                <w:numId w:val="14"/>
              </w:numPr>
              <w:spacing w:after="0"/>
              <w:jc w:val="left"/>
              <w:rPr>
                <w:rFonts w:cs="Arial"/>
                <w:sz w:val="20"/>
                <w:szCs w:val="20"/>
              </w:rPr>
            </w:pPr>
            <w:r w:rsidRPr="00131EED">
              <w:rPr>
                <w:rFonts w:cs="Arial"/>
                <w:sz w:val="20"/>
                <w:szCs w:val="20"/>
              </w:rPr>
              <w:t>Estabilizadas las áreas agrícolas</w:t>
            </w:r>
          </w:p>
        </w:tc>
      </w:tr>
      <w:tr w:rsidR="00565CA7" w:rsidRPr="00131EED" w14:paraId="3B625D7C" w14:textId="77777777" w:rsidTr="00053167">
        <w:trPr>
          <w:trHeight w:val="1069"/>
        </w:trPr>
        <w:tc>
          <w:tcPr>
            <w:tcW w:w="1402" w:type="dxa"/>
            <w:shd w:val="clear" w:color="auto" w:fill="FFFFFF"/>
            <w:tcMar>
              <w:top w:w="15" w:type="dxa"/>
              <w:left w:w="108" w:type="dxa"/>
              <w:bottom w:w="0" w:type="dxa"/>
              <w:right w:w="108" w:type="dxa"/>
            </w:tcMar>
            <w:vAlign w:val="center"/>
            <w:hideMark/>
          </w:tcPr>
          <w:p w14:paraId="238C22DA" w14:textId="77777777" w:rsidR="00565CA7" w:rsidRPr="00131EED" w:rsidRDefault="00565CA7" w:rsidP="00B60DA2">
            <w:pPr>
              <w:rPr>
                <w:rFonts w:cs="Arial"/>
                <w:sz w:val="20"/>
                <w:szCs w:val="20"/>
              </w:rPr>
            </w:pPr>
            <w:r w:rsidRPr="00131EED">
              <w:rPr>
                <w:rFonts w:cs="Arial"/>
                <w:b/>
                <w:sz w:val="20"/>
                <w:szCs w:val="20"/>
              </w:rPr>
              <w:t xml:space="preserve">Áreas urbanas </w:t>
            </w:r>
          </w:p>
        </w:tc>
        <w:tc>
          <w:tcPr>
            <w:tcW w:w="1987" w:type="dxa"/>
            <w:shd w:val="clear" w:color="auto" w:fill="FFFFFF"/>
            <w:tcMar>
              <w:top w:w="15" w:type="dxa"/>
              <w:left w:w="108" w:type="dxa"/>
              <w:bottom w:w="0" w:type="dxa"/>
              <w:right w:w="108" w:type="dxa"/>
            </w:tcMar>
            <w:hideMark/>
          </w:tcPr>
          <w:p w14:paraId="5221C52F" w14:textId="77777777" w:rsidR="00565CA7" w:rsidRPr="00131EED" w:rsidRDefault="00565CA7" w:rsidP="00410194">
            <w:pPr>
              <w:pStyle w:val="ListParagraph"/>
              <w:numPr>
                <w:ilvl w:val="0"/>
                <w:numId w:val="14"/>
              </w:numPr>
              <w:spacing w:after="0"/>
              <w:jc w:val="left"/>
              <w:rPr>
                <w:rFonts w:cs="Arial"/>
                <w:sz w:val="20"/>
                <w:szCs w:val="20"/>
              </w:rPr>
            </w:pPr>
            <w:r w:rsidRPr="00131EED">
              <w:rPr>
                <w:rFonts w:cs="Arial"/>
                <w:sz w:val="20"/>
                <w:szCs w:val="20"/>
              </w:rPr>
              <w:t xml:space="preserve">Continua expansión urbana según POT municipales </w:t>
            </w:r>
          </w:p>
        </w:tc>
        <w:tc>
          <w:tcPr>
            <w:tcW w:w="1717" w:type="dxa"/>
            <w:shd w:val="clear" w:color="auto" w:fill="FFFFFF"/>
            <w:tcMar>
              <w:top w:w="15" w:type="dxa"/>
              <w:left w:w="108" w:type="dxa"/>
              <w:bottom w:w="0" w:type="dxa"/>
              <w:right w:w="108" w:type="dxa"/>
            </w:tcMar>
            <w:hideMark/>
          </w:tcPr>
          <w:p w14:paraId="74967A8E" w14:textId="77777777" w:rsidR="00565CA7" w:rsidRPr="00131EED" w:rsidRDefault="00565CA7" w:rsidP="00410194">
            <w:pPr>
              <w:pStyle w:val="ListParagraph"/>
              <w:numPr>
                <w:ilvl w:val="0"/>
                <w:numId w:val="14"/>
              </w:numPr>
              <w:spacing w:after="0"/>
              <w:jc w:val="left"/>
              <w:rPr>
                <w:rFonts w:cs="Arial"/>
                <w:sz w:val="20"/>
                <w:szCs w:val="20"/>
              </w:rPr>
            </w:pPr>
            <w:r w:rsidRPr="00131EED">
              <w:rPr>
                <w:rFonts w:cs="Arial"/>
                <w:sz w:val="20"/>
                <w:szCs w:val="20"/>
              </w:rPr>
              <w:t xml:space="preserve">Estabilización de áreas urbanas y equipamiento e infraestructura </w:t>
            </w:r>
          </w:p>
          <w:p w14:paraId="4BE89BA9" w14:textId="77777777" w:rsidR="00565CA7" w:rsidRPr="00131EED" w:rsidRDefault="00565CA7" w:rsidP="00B60DA2">
            <w:pPr>
              <w:rPr>
                <w:rFonts w:cs="Arial"/>
                <w:sz w:val="20"/>
                <w:szCs w:val="20"/>
              </w:rPr>
            </w:pPr>
          </w:p>
          <w:p w14:paraId="35A888D3" w14:textId="77777777" w:rsidR="00565CA7" w:rsidRPr="00131EED" w:rsidRDefault="00565CA7" w:rsidP="00410194">
            <w:pPr>
              <w:pStyle w:val="ListParagraph"/>
              <w:numPr>
                <w:ilvl w:val="0"/>
                <w:numId w:val="14"/>
              </w:numPr>
              <w:spacing w:after="0"/>
              <w:jc w:val="left"/>
              <w:rPr>
                <w:rFonts w:cs="Arial"/>
                <w:sz w:val="20"/>
                <w:szCs w:val="20"/>
              </w:rPr>
            </w:pPr>
            <w:r w:rsidRPr="00131EED">
              <w:rPr>
                <w:rFonts w:cs="Arial"/>
                <w:sz w:val="20"/>
                <w:szCs w:val="20"/>
              </w:rPr>
              <w:t xml:space="preserve">Importancia del sector comunitario y empresarial co-responsable </w:t>
            </w:r>
          </w:p>
        </w:tc>
        <w:tc>
          <w:tcPr>
            <w:tcW w:w="2050" w:type="dxa"/>
            <w:shd w:val="clear" w:color="auto" w:fill="FFFFFF"/>
            <w:tcMar>
              <w:top w:w="15" w:type="dxa"/>
              <w:left w:w="108" w:type="dxa"/>
              <w:bottom w:w="0" w:type="dxa"/>
              <w:right w:w="108" w:type="dxa"/>
            </w:tcMar>
            <w:hideMark/>
          </w:tcPr>
          <w:p w14:paraId="1D95C5BF" w14:textId="77777777" w:rsidR="00565CA7" w:rsidRPr="00131EED" w:rsidRDefault="00565CA7" w:rsidP="00410194">
            <w:pPr>
              <w:pStyle w:val="ListParagraph"/>
              <w:numPr>
                <w:ilvl w:val="0"/>
                <w:numId w:val="14"/>
              </w:numPr>
              <w:spacing w:after="0"/>
              <w:jc w:val="left"/>
              <w:rPr>
                <w:rFonts w:cs="Arial"/>
                <w:sz w:val="20"/>
                <w:szCs w:val="20"/>
              </w:rPr>
            </w:pPr>
            <w:r w:rsidRPr="00131EED">
              <w:rPr>
                <w:rFonts w:cs="Arial"/>
                <w:sz w:val="20"/>
                <w:szCs w:val="20"/>
              </w:rPr>
              <w:t>Definición con visión urbano regional de las áreas urbanas y la infraestructura.</w:t>
            </w:r>
          </w:p>
          <w:p w14:paraId="15CFE19E" w14:textId="77777777" w:rsidR="00565CA7" w:rsidRPr="00131EED" w:rsidRDefault="00565CA7" w:rsidP="00410194">
            <w:pPr>
              <w:pStyle w:val="ListParagraph"/>
              <w:numPr>
                <w:ilvl w:val="0"/>
                <w:numId w:val="14"/>
              </w:numPr>
              <w:spacing w:after="0"/>
              <w:jc w:val="left"/>
              <w:rPr>
                <w:rFonts w:cs="Arial"/>
                <w:sz w:val="20"/>
                <w:szCs w:val="20"/>
              </w:rPr>
            </w:pPr>
            <w:r w:rsidRPr="00131EED">
              <w:rPr>
                <w:rFonts w:cs="Arial"/>
                <w:sz w:val="20"/>
                <w:szCs w:val="20"/>
              </w:rPr>
              <w:t>Traer de vuelta la biodiversidad a la ciudad.</w:t>
            </w:r>
          </w:p>
          <w:p w14:paraId="630F2AD6" w14:textId="77777777" w:rsidR="00565CA7" w:rsidRPr="00131EED" w:rsidRDefault="00565CA7" w:rsidP="00410194">
            <w:pPr>
              <w:pStyle w:val="ListParagraph"/>
              <w:numPr>
                <w:ilvl w:val="0"/>
                <w:numId w:val="14"/>
              </w:numPr>
              <w:spacing w:after="0"/>
              <w:jc w:val="left"/>
              <w:rPr>
                <w:rFonts w:cs="Arial"/>
                <w:sz w:val="20"/>
                <w:szCs w:val="20"/>
              </w:rPr>
            </w:pPr>
            <w:r w:rsidRPr="00131EED">
              <w:rPr>
                <w:rFonts w:cs="Arial"/>
                <w:sz w:val="20"/>
                <w:szCs w:val="20"/>
              </w:rPr>
              <w:t>Promover arreglos de gobernanza.</w:t>
            </w:r>
          </w:p>
          <w:p w14:paraId="57EB35AC" w14:textId="77777777" w:rsidR="00565CA7" w:rsidRPr="00131EED" w:rsidRDefault="00565CA7" w:rsidP="00410194">
            <w:pPr>
              <w:pStyle w:val="ListParagraph"/>
              <w:numPr>
                <w:ilvl w:val="0"/>
                <w:numId w:val="14"/>
              </w:numPr>
              <w:spacing w:after="0"/>
              <w:jc w:val="left"/>
              <w:rPr>
                <w:rFonts w:cs="Arial"/>
                <w:sz w:val="20"/>
                <w:szCs w:val="20"/>
              </w:rPr>
            </w:pPr>
            <w:r w:rsidRPr="00131EED">
              <w:rPr>
                <w:rFonts w:cs="Arial"/>
                <w:sz w:val="20"/>
                <w:szCs w:val="20"/>
              </w:rPr>
              <w:t xml:space="preserve">Importancia del sector empresarial en el cuidado de la biodiversidad. </w:t>
            </w:r>
          </w:p>
        </w:tc>
        <w:tc>
          <w:tcPr>
            <w:tcW w:w="1717" w:type="dxa"/>
            <w:shd w:val="clear" w:color="auto" w:fill="FFFFFF"/>
            <w:tcMar>
              <w:top w:w="15" w:type="dxa"/>
              <w:left w:w="108" w:type="dxa"/>
              <w:bottom w:w="0" w:type="dxa"/>
              <w:right w:w="108" w:type="dxa"/>
            </w:tcMar>
            <w:hideMark/>
          </w:tcPr>
          <w:p w14:paraId="7576F0D5" w14:textId="77777777" w:rsidR="00565CA7" w:rsidRPr="00131EED" w:rsidRDefault="00565CA7" w:rsidP="00410194">
            <w:pPr>
              <w:pStyle w:val="ListParagraph"/>
              <w:numPr>
                <w:ilvl w:val="0"/>
                <w:numId w:val="14"/>
              </w:numPr>
              <w:spacing w:after="0"/>
              <w:jc w:val="left"/>
              <w:rPr>
                <w:rFonts w:cs="Arial"/>
                <w:sz w:val="20"/>
                <w:szCs w:val="20"/>
              </w:rPr>
            </w:pPr>
            <w:r w:rsidRPr="00131EED">
              <w:rPr>
                <w:rFonts w:cs="Arial"/>
                <w:sz w:val="20"/>
                <w:szCs w:val="20"/>
              </w:rPr>
              <w:t>-Modelo urbano de ciudad región consolidado.</w:t>
            </w:r>
          </w:p>
          <w:p w14:paraId="6F02040D" w14:textId="77777777" w:rsidR="00565CA7" w:rsidRPr="00131EED" w:rsidRDefault="00565CA7" w:rsidP="00410194">
            <w:pPr>
              <w:pStyle w:val="ListParagraph"/>
              <w:numPr>
                <w:ilvl w:val="0"/>
                <w:numId w:val="14"/>
              </w:numPr>
              <w:spacing w:after="0"/>
              <w:jc w:val="left"/>
              <w:rPr>
                <w:rFonts w:cs="Arial"/>
                <w:sz w:val="20"/>
                <w:szCs w:val="20"/>
              </w:rPr>
            </w:pPr>
            <w:r w:rsidRPr="00131EED">
              <w:rPr>
                <w:rFonts w:cs="Arial"/>
                <w:sz w:val="20"/>
                <w:szCs w:val="20"/>
              </w:rPr>
              <w:t>- Valor de la naturaleza en el contexto urbano parte de la sociedad</w:t>
            </w:r>
          </w:p>
        </w:tc>
      </w:tr>
    </w:tbl>
    <w:p w14:paraId="47A93424" w14:textId="77777777" w:rsidR="00565CA7" w:rsidRPr="00131EED" w:rsidRDefault="00565CA7" w:rsidP="00565CA7">
      <w:pPr>
        <w:jc w:val="center"/>
        <w:rPr>
          <w:rFonts w:cs="Arial"/>
          <w:sz w:val="20"/>
          <w:szCs w:val="20"/>
        </w:rPr>
      </w:pPr>
      <w:r w:rsidRPr="00131EED">
        <w:rPr>
          <w:rFonts w:cs="Arial"/>
          <w:sz w:val="20"/>
          <w:szCs w:val="20"/>
        </w:rPr>
        <w:t xml:space="preserve">Adaptado de I. Humboldt, 2024. Escenarios y transiciones hacia la resiliencia del territorio </w:t>
      </w:r>
    </w:p>
    <w:p w14:paraId="10640A3A" w14:textId="77777777" w:rsidR="00697DB3" w:rsidRPr="00131EED" w:rsidRDefault="00697DB3" w:rsidP="00410194">
      <w:pPr>
        <w:pStyle w:val="Heading2"/>
        <w:numPr>
          <w:ilvl w:val="1"/>
          <w:numId w:val="31"/>
        </w:numPr>
        <w:rPr>
          <w:rFonts w:eastAsia="Georgia"/>
        </w:rPr>
      </w:pPr>
      <w:bookmarkStart w:id="376" w:name="_Toc216468745"/>
      <w:r w:rsidRPr="00131EED">
        <w:rPr>
          <w:rFonts w:eastAsia="Georgia"/>
        </w:rPr>
        <w:t>Degradación del suelo por sellamiento y la pérdida de biodiversidad</w:t>
      </w:r>
      <w:r w:rsidRPr="00131EED">
        <w:rPr>
          <w:rFonts w:eastAsia="Georgia"/>
          <w:vertAlign w:val="superscript"/>
        </w:rPr>
        <w:footnoteReference w:id="14"/>
      </w:r>
      <w:bookmarkEnd w:id="376"/>
    </w:p>
    <w:p w14:paraId="68E8FDB4" w14:textId="77777777" w:rsidR="00697DB3" w:rsidRPr="00131EED" w:rsidRDefault="00697DB3" w:rsidP="00697DB3">
      <w:pPr>
        <w:rPr>
          <w:rFonts w:cs="Arial"/>
          <w:shd w:val="clear" w:color="auto" w:fill="FEFEFE"/>
        </w:rPr>
      </w:pPr>
    </w:p>
    <w:p w14:paraId="4D59C9CB" w14:textId="77777777" w:rsidR="00697DB3" w:rsidRPr="00131EED" w:rsidRDefault="00697DB3" w:rsidP="00697DB3">
      <w:pPr>
        <w:rPr>
          <w:rFonts w:cs="Arial"/>
          <w:shd w:val="clear" w:color="auto" w:fill="FEFEFE"/>
        </w:rPr>
      </w:pPr>
      <w:r w:rsidRPr="00131EED">
        <w:rPr>
          <w:rFonts w:cs="Arial"/>
          <w:shd w:val="clear" w:color="auto" w:fill="FEFEFE"/>
        </w:rPr>
        <w:t xml:space="preserve">En el año 2016, el Ministerio de Ambiente adoptó la Política para la Gestión Sostenible del Suelo - PGSS, que busca promover la gestión sostenible del suelo en Colombia, en un contexto integral en el que confluyen la conservación de la biodiversidad, el agua y el aire, el ordenamiento del territorio y la gestión de riesgo, contribuyendo al desarrollo sostenible y al bienestar de los colombianos. </w:t>
      </w:r>
    </w:p>
    <w:p w14:paraId="089F3DB3" w14:textId="77777777" w:rsidR="00697DB3" w:rsidRPr="00131EED" w:rsidRDefault="00697DB3" w:rsidP="00697DB3">
      <w:pPr>
        <w:rPr>
          <w:rFonts w:cs="Arial"/>
          <w:shd w:val="clear" w:color="auto" w:fill="FEFEFE"/>
        </w:rPr>
      </w:pPr>
    </w:p>
    <w:p w14:paraId="600EC468"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r w:rsidRPr="00131EED">
        <w:rPr>
          <w:rFonts w:cs="Arial"/>
          <w:shd w:val="clear" w:color="auto" w:fill="FEFEFE"/>
        </w:rPr>
        <w:t>La PGSS</w:t>
      </w:r>
      <w:r w:rsidRPr="00131EED">
        <w:rPr>
          <w:rStyle w:val="FootnoteReference"/>
          <w:rFonts w:cs="Arial"/>
          <w:shd w:val="clear" w:color="auto" w:fill="FEFEFE"/>
        </w:rPr>
        <w:footnoteReference w:id="15"/>
      </w:r>
      <w:r w:rsidRPr="00131EED">
        <w:rPr>
          <w:rFonts w:cs="Arial"/>
          <w:shd w:val="clear" w:color="auto" w:fill="FEFEFE"/>
        </w:rPr>
        <w:t>, fue el resultado de un trabajo mancomunado y conjunto en el que diversos actores académicos, sociales e institucionales a través de un Comité Interinstitucional</w:t>
      </w:r>
      <w:r w:rsidRPr="00131EED">
        <w:rPr>
          <w:rStyle w:val="FootnoteReference"/>
          <w:rFonts w:cs="Arial"/>
          <w:shd w:val="clear" w:color="auto" w:fill="FEFEFE"/>
        </w:rPr>
        <w:footnoteReference w:id="16"/>
      </w:r>
      <w:r w:rsidRPr="00131EED">
        <w:rPr>
          <w:rFonts w:cs="Arial"/>
          <w:shd w:val="clear" w:color="auto" w:fill="FEFEFE"/>
        </w:rPr>
        <w:t xml:space="preserve">, en el que se definió un plan de acción, cuyo horizonte de cumplimiento es de veinte años, y en el que, se establecen acciones, indicadores y responsabilidades en seis líneas estratégicas. </w:t>
      </w:r>
    </w:p>
    <w:p w14:paraId="3191B574"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Baskerville" w:hAnsi="Baskerville" w:cs="Arial"/>
          <w:shd w:val="clear" w:color="auto" w:fill="FEFEFE"/>
        </w:rPr>
      </w:pPr>
    </w:p>
    <w:p w14:paraId="3DEAFDA8" w14:textId="77777777" w:rsidR="00697DB3" w:rsidRPr="00131EED" w:rsidRDefault="00697DB3" w:rsidP="00410194">
      <w:pPr>
        <w:pStyle w:val="Heading3"/>
        <w:numPr>
          <w:ilvl w:val="2"/>
          <w:numId w:val="31"/>
        </w:numPr>
      </w:pPr>
      <w:bookmarkStart w:id="377" w:name="_Toc216468746"/>
      <w:r w:rsidRPr="00131EED">
        <w:t>El sellamiento del suelo</w:t>
      </w:r>
      <w:bookmarkEnd w:id="377"/>
    </w:p>
    <w:p w14:paraId="7B11D9B0"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Baskerville" w:hAnsi="Baskerville" w:cs="Arial"/>
          <w:shd w:val="clear" w:color="auto" w:fill="FEFEFE"/>
        </w:rPr>
      </w:pPr>
    </w:p>
    <w:p w14:paraId="76D935F6"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r w:rsidRPr="00131EED">
        <w:rPr>
          <w:rFonts w:cs="Arial"/>
          <w:shd w:val="clear" w:color="auto" w:fill="FEFEFE"/>
        </w:rPr>
        <w:t>La PGSS define el sellamiento del suelo como el proceso que ocurre a causa de la expansión urbana sin criterios de sostenibilidad y la construcción de obras de infraestructura, particularmente en suelos con vocación agrícola; el sellamiento deja el suelo inservible para otros propósitos, y tiene impactos negativos en el paisaje, la biodiversidad, la calidad y disponibilidad de agua.</w:t>
      </w:r>
    </w:p>
    <w:p w14:paraId="05F8167B"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p>
    <w:p w14:paraId="198326C1"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color w:val="000000"/>
        </w:rPr>
      </w:pPr>
      <w:r w:rsidRPr="00131EED">
        <w:rPr>
          <w:color w:val="000000"/>
        </w:rPr>
        <w:t>La Sabana de Bogotá,</w:t>
      </w:r>
      <w:r w:rsidRPr="00131EED">
        <w:rPr>
          <w:rStyle w:val="apple-converted-space"/>
          <w:color w:val="000000"/>
        </w:rPr>
        <w:t> </w:t>
      </w:r>
      <w:r w:rsidRPr="00131EED">
        <w:rPr>
          <w:color w:val="000000"/>
        </w:rPr>
        <w:t>designada como aglomeración urbana por el Departamento Nacional de Planeación (DNP) en 2018, se caracteriza por una intensa interacción funcional entre Bogotá y los municipios aledaños,</w:t>
      </w:r>
      <w:r w:rsidRPr="00131EED">
        <w:rPr>
          <w:rStyle w:val="apple-converted-space"/>
          <w:color w:val="000000"/>
        </w:rPr>
        <w:t> </w:t>
      </w:r>
      <w:r w:rsidRPr="00131EED">
        <w:rPr>
          <w:color w:val="000000"/>
        </w:rPr>
        <w:t>principalmente aquellos ubicados en el altiplano cundinamarqués.</w:t>
      </w:r>
      <w:r w:rsidRPr="00131EED">
        <w:rPr>
          <w:rStyle w:val="apple-converted-space"/>
          <w:color w:val="000000"/>
        </w:rPr>
        <w:t> </w:t>
      </w:r>
      <w:r w:rsidRPr="00131EED">
        <w:rPr>
          <w:color w:val="000000"/>
        </w:rPr>
        <w:t xml:space="preserve">Esta dinámica regional se refleja en un proceso acelerado de urbanización, </w:t>
      </w:r>
      <w:r w:rsidRPr="00131EED">
        <w:rPr>
          <w:rStyle w:val="Strong"/>
          <w:b w:val="0"/>
          <w:color w:val="000000"/>
        </w:rPr>
        <w:t>entendido como la transformación del suelo natural en un entorno artificial dominado por infraestructuras y edificaciones</w:t>
      </w:r>
      <w:r w:rsidRPr="00131EED">
        <w:rPr>
          <w:color w:val="000000"/>
        </w:rPr>
        <w:t>.</w:t>
      </w:r>
      <w:r w:rsidRPr="00131EED">
        <w:rPr>
          <w:rStyle w:val="apple-converted-space"/>
          <w:color w:val="000000"/>
        </w:rPr>
        <w:t> </w:t>
      </w:r>
      <w:r w:rsidRPr="00131EED">
        <w:rPr>
          <w:color w:val="000000"/>
        </w:rPr>
        <w:t>Esta urbanización desencadena un fenómeno preocupante:</w:t>
      </w:r>
      <w:r w:rsidRPr="00131EED">
        <w:rPr>
          <w:rStyle w:val="apple-converted-space"/>
          <w:color w:val="000000"/>
        </w:rPr>
        <w:t> </w:t>
      </w:r>
      <w:r w:rsidRPr="00131EED">
        <w:rPr>
          <w:color w:val="000000"/>
        </w:rPr>
        <w:t>el</w:t>
      </w:r>
      <w:r w:rsidRPr="00131EED">
        <w:rPr>
          <w:rStyle w:val="apple-converted-space"/>
          <w:color w:val="000000"/>
        </w:rPr>
        <w:t> </w:t>
      </w:r>
      <w:r w:rsidRPr="00131EED">
        <w:rPr>
          <w:rStyle w:val="Strong"/>
          <w:color w:val="000000"/>
        </w:rPr>
        <w:t>sellamiento del suelo</w:t>
      </w:r>
      <w:r w:rsidRPr="00131EED">
        <w:rPr>
          <w:color w:val="000000"/>
        </w:rPr>
        <w:t>,</w:t>
      </w:r>
      <w:r w:rsidRPr="00131EED">
        <w:rPr>
          <w:rStyle w:val="apple-converted-space"/>
          <w:color w:val="000000"/>
        </w:rPr>
        <w:t> </w:t>
      </w:r>
      <w:r w:rsidRPr="00131EED">
        <w:rPr>
          <w:color w:val="000000"/>
        </w:rPr>
        <w:t>que consiste en la cobertura del mismo con materiales impermeables,</w:t>
      </w:r>
      <w:r w:rsidRPr="00131EED">
        <w:rPr>
          <w:rStyle w:val="apple-converted-space"/>
          <w:color w:val="000000"/>
        </w:rPr>
        <w:t> </w:t>
      </w:r>
      <w:r w:rsidRPr="00131EED">
        <w:rPr>
          <w:color w:val="000000"/>
        </w:rPr>
        <w:t>como asfalto y concreto,</w:t>
      </w:r>
      <w:r w:rsidRPr="00131EED">
        <w:rPr>
          <w:rStyle w:val="apple-converted-space"/>
          <w:color w:val="000000"/>
        </w:rPr>
        <w:t> </w:t>
      </w:r>
      <w:r w:rsidRPr="00131EED">
        <w:rPr>
          <w:color w:val="000000"/>
        </w:rPr>
        <w:t>para la construcción de obras civiles.</w:t>
      </w:r>
    </w:p>
    <w:p w14:paraId="57728B2F"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p>
    <w:p w14:paraId="60527871"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r w:rsidRPr="00131EED">
        <w:rPr>
          <w:rFonts w:cs="Arial"/>
          <w:shd w:val="clear" w:color="auto" w:fill="FEFEFE"/>
        </w:rPr>
        <w:t xml:space="preserve">El proceso de sellamiento, hace parte de los procesos de degradación del suelo, y constituye un proceso irreversible pues corresponde a una pérdida de suelo a un ritmo más rápido de lo que se forma (IPBES, 2018); a su vez es considerado una de las principales amenazas sobre dicho recurso a nivel mundial (SWSR; FAO &amp; ITPS, 2015 en: UNCCD, 2017) </w:t>
      </w:r>
    </w:p>
    <w:p w14:paraId="56E3763E"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p>
    <w:p w14:paraId="6F3C17A4"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r w:rsidRPr="00131EED">
        <w:rPr>
          <w:rFonts w:cs="Arial"/>
          <w:shd w:val="clear" w:color="auto" w:fill="FEFEFE"/>
        </w:rPr>
        <w:t>El sellado del suelo es la destrucción o recubrimiento del suelo por un material impermeable; esto corresponde a una pérdida irreversible de suelo y sus funciones biológicas y una pérdida de biodiversidad. Es, por ejemplo, una de las principales causas de degradación del suelo en regiones urbanas de la Unión Europea, el sellado del suelo afecta a las tierras agrícolas fértiles, pone en riesgo la biodiversidad, aumenta el riesgo de inundaciones y escasez de agua y contribuye al calentamiento global. Desde mediados de la década de 1950, la superficie total de las ciudades de la Unión Europea (UE) ha aumentado en un 78 %, lo que ha contribuido en gran medida al sellado del suelo y sus impactos negativos. Entre 2006 y 2015, la pérdida media anual de suelo debido al sellado del suelo ascendió a 429 km² en el territorio de los 38 países miembros y cooperantes de la Unión Europea y el Reino Unido. Desde principios de siglo, la pérdida anual de suelo en Europa ha oscilado entre 300 km2 y 500 km². (EEA, 2022</w:t>
      </w:r>
      <w:r w:rsidRPr="00131EED">
        <w:rPr>
          <w:rStyle w:val="FootnoteReference"/>
          <w:rFonts w:cs="Arial"/>
          <w:shd w:val="clear" w:color="auto" w:fill="FEFEFE"/>
        </w:rPr>
        <w:footnoteReference w:id="17"/>
      </w:r>
      <w:r w:rsidRPr="00131EED">
        <w:rPr>
          <w:rFonts w:cs="Arial"/>
          <w:shd w:val="clear" w:color="auto" w:fill="FEFEFE"/>
        </w:rPr>
        <w:t>).</w:t>
      </w:r>
    </w:p>
    <w:p w14:paraId="6B11D772" w14:textId="77777777" w:rsidR="0003793B" w:rsidRPr="00131EED" w:rsidRDefault="0003793B"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p>
    <w:p w14:paraId="643189FD" w14:textId="361DBCA2" w:rsidR="00697DB3" w:rsidRPr="00131EED" w:rsidRDefault="00E87C83" w:rsidP="00E87C83">
      <w:pPr>
        <w:pStyle w:val="Caption"/>
        <w:rPr>
          <w:rFonts w:ascii="Baskerville" w:hAnsi="Baskerville"/>
          <w:shd w:val="clear" w:color="auto" w:fill="FEFEFE"/>
        </w:rPr>
      </w:pPr>
      <w:bookmarkStart w:id="378" w:name="_Toc216468877"/>
      <w:r w:rsidRPr="00131EED">
        <w:t xml:space="preserve">Ilustración </w:t>
      </w:r>
      <w:fldSimple w:instr=" SEQ Ilustración \* ARABIC ">
        <w:r w:rsidR="00CE096F">
          <w:rPr>
            <w:noProof/>
          </w:rPr>
          <w:t>112</w:t>
        </w:r>
      </w:fldSimple>
      <w:r w:rsidRPr="00131EED">
        <w:t xml:space="preserve"> </w:t>
      </w:r>
      <w:r w:rsidR="00697DB3" w:rsidRPr="00131EED">
        <w:rPr>
          <w:rFonts w:ascii="Baskerville" w:hAnsi="Baskerville"/>
          <w:shd w:val="clear" w:color="auto" w:fill="FEFEFE"/>
        </w:rPr>
        <w:t>La relación entre la ocupación (izquierda) y el sellado del suelo (derecha, superficies sombreadas)</w:t>
      </w:r>
      <w:bookmarkEnd w:id="378"/>
    </w:p>
    <w:p w14:paraId="5B87A8D1"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Baskerville" w:hAnsi="Baskerville" w:cs="Arial"/>
          <w:shd w:val="clear" w:color="auto" w:fill="FEFEFE"/>
        </w:rPr>
      </w:pPr>
      <w:r w:rsidRPr="00131EED">
        <w:rPr>
          <w:rFonts w:ascii="Baskerville" w:hAnsi="Baskerville" w:cs="Arial"/>
          <w:noProof/>
          <w:shd w:val="clear" w:color="auto" w:fill="FEFEFE"/>
          <w:lang w:eastAsia="en-US"/>
        </w:rPr>
        <w:drawing>
          <wp:inline distT="0" distB="0" distL="0" distR="0" wp14:anchorId="4CED21DC" wp14:editId="31793459">
            <wp:extent cx="4395442" cy="2140527"/>
            <wp:effectExtent l="0" t="0" r="0" b="6350"/>
            <wp:docPr id="527427309" name="Imagen 1" descr="A group of houses and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427309" name="Imagen 1" descr="A group of houses and a map&#10;&#10;AI-generated content may be incorrect."/>
                    <pic:cNvPicPr/>
                  </pic:nvPicPr>
                  <pic:blipFill>
                    <a:blip r:embed="rId188"/>
                    <a:stretch>
                      <a:fillRect/>
                    </a:stretch>
                  </pic:blipFill>
                  <pic:spPr>
                    <a:xfrm>
                      <a:off x="0" y="0"/>
                      <a:ext cx="4441605" cy="2163008"/>
                    </a:xfrm>
                    <a:prstGeom prst="rect">
                      <a:avLst/>
                    </a:prstGeom>
                  </pic:spPr>
                </pic:pic>
              </a:graphicData>
            </a:graphic>
          </wp:inline>
        </w:drawing>
      </w:r>
    </w:p>
    <w:p w14:paraId="7E644811"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cs="Arial"/>
          <w:szCs w:val="20"/>
          <w:shd w:val="clear" w:color="auto" w:fill="FEFEFE"/>
        </w:rPr>
      </w:pPr>
      <w:r w:rsidRPr="00131EED">
        <w:rPr>
          <w:rFonts w:cs="Arial"/>
          <w:szCs w:val="20"/>
          <w:shd w:val="clear" w:color="auto" w:fill="FEFEFE"/>
        </w:rPr>
        <w:t>Fuente: EEA, 2022</w:t>
      </w:r>
    </w:p>
    <w:p w14:paraId="682DB4D3"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Baskerville" w:hAnsi="Baskerville" w:cs="Arial"/>
          <w:shd w:val="clear" w:color="auto" w:fill="FEFEFE"/>
        </w:rPr>
      </w:pPr>
    </w:p>
    <w:p w14:paraId="6EEB253F" w14:textId="77777777" w:rsidR="00697DB3" w:rsidRPr="00131EED" w:rsidRDefault="00697DB3" w:rsidP="00410194">
      <w:pPr>
        <w:pStyle w:val="Heading3"/>
        <w:numPr>
          <w:ilvl w:val="2"/>
          <w:numId w:val="31"/>
        </w:numPr>
      </w:pPr>
      <w:bookmarkStart w:id="379" w:name="_Toc216468747"/>
      <w:r w:rsidRPr="00131EED">
        <w:t>La importancia del suelo como recurso escaso y no renovable</w:t>
      </w:r>
      <w:bookmarkEnd w:id="379"/>
      <w:r w:rsidRPr="00131EED">
        <w:t xml:space="preserve">  </w:t>
      </w:r>
    </w:p>
    <w:p w14:paraId="4E00D49A"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Baskerville" w:hAnsi="Baskerville" w:cs="Arial"/>
          <w:shd w:val="clear" w:color="auto" w:fill="FEFEFE"/>
        </w:rPr>
      </w:pPr>
    </w:p>
    <w:p w14:paraId="6CB3C614"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r w:rsidRPr="00131EED">
        <w:rPr>
          <w:rFonts w:cs="Arial"/>
          <w:shd w:val="clear" w:color="auto" w:fill="FEFEFE"/>
        </w:rPr>
        <w:t>El suelo es un componente fundamental del ambiente, constituido por minerales, aire, agua, materia orgánica, macro y microorganismos que desempeñan procesos permanentes de tipo biótico y abiótico, cumpliendo funciones y prestando servicios ecosistémicos vitales para la sociedad y el planeta. Cubre la mayor parte de la superficie terrestre; su límite superior es el aire o el agua superficial; sus fronteras horizontales son las áreas donde el suelo cambia, a veces gradualmente, a aguas profundas, rocas o hielo; el límite inferior puede ser la roca dura o materiales virtualmente desprovistos de animales, raíces u otras señales de actividad biológica</w:t>
      </w:r>
    </w:p>
    <w:p w14:paraId="1666A372"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r w:rsidRPr="00131EED">
        <w:rPr>
          <w:rFonts w:cs="Arial"/>
          <w:shd w:val="clear" w:color="auto" w:fill="FEFEFE"/>
        </w:rPr>
        <w:t>y que no han sido afectados por los factores formadores del suelo (Soil Survey Staff, 1994).</w:t>
      </w:r>
    </w:p>
    <w:p w14:paraId="7A990641"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p>
    <w:p w14:paraId="5B91F482"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r w:rsidRPr="00131EED">
        <w:rPr>
          <w:rFonts w:cs="Arial"/>
          <w:shd w:val="clear" w:color="auto" w:fill="FEFEFE"/>
        </w:rPr>
        <w:t>El suelo es un recurso que puede requerir, dependiendo de las condiciones, cientos o miles de años para que se forme un centímetro de suelo, sin embargo, ese centímetro de suelo puede perderse en periodos muy cortos, debido a factores como la erosión, las quemas, su sellamiento, entre otros. Debido a lo anterior, es considerado un recurso natural no renovable por European Unión, 2010; Australian Department of Land and Water Conservation, 2000, citados por PGSS (2016).</w:t>
      </w:r>
    </w:p>
    <w:p w14:paraId="095DF3AD"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p>
    <w:p w14:paraId="47C2CFCC"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r w:rsidRPr="00131EED">
        <w:rPr>
          <w:rFonts w:cs="Arial"/>
          <w:shd w:val="clear" w:color="auto" w:fill="FEFEFE"/>
        </w:rPr>
        <w:t>De acuerdo con Dumanski (1995) citado por la Universidad Nacional de Colombia (2013), se consideran 5 modelos o formas de conceptualizar el suelo a saber: 1) Como cuerpo natural que es la concepción tradicionalmente utilizada para los levantamientos y mapeo de los suelos y es la base para la taxonomía, considera el suelo como un continuo y resalta la relación entre los factores y procesos formadores. 2) Como medio para el crecimiento de las plantas, se basa en la interpretación de sus características y su efecto en el crecimiento y desarrollo de las plantas con énfasis principalmente en la fertilidad, actividad biológica, suministro de agua y soporte para las plantas. 3) Como material estructural, es la base de la geotecnia enfatizando en las propiedades físicas del suelo y su relación con obras de infraestructura (vías, presas, construcciones, ciudades etc.). 4) Como un manto transmisor de agua; lo considera como un componente fundamental del ciclo hidrológico y enfatiza en las propiedades que determinan los procesos de entrada, almacenamiento y flujo del agua y 5) Como componente del ecosistema, que es un modelo más holístico y sistémico, que afecta a los demás componentes (agua, aire, biodiversidad) y es afectado por ellos, y cuyo énfasis son las características y relaciones entre los diversos componentes del ecosistema.</w:t>
      </w:r>
    </w:p>
    <w:p w14:paraId="365FE018"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hd w:val="clear" w:color="auto" w:fill="FEFEFE"/>
        </w:rPr>
      </w:pPr>
    </w:p>
    <w:p w14:paraId="17AA998E"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131EED">
        <w:rPr>
          <w:rFonts w:cs="Arial"/>
          <w:shd w:val="clear" w:color="auto" w:fill="FEFEFE"/>
        </w:rPr>
        <w:t>Los estudios indican que Colombia posee 11 de los 12 órdenes de suelos existentes en el mundo (</w:t>
      </w:r>
      <w:r w:rsidRPr="00131EED">
        <w:rPr>
          <w:rFonts w:cs="Arial"/>
          <w:color w:val="000000"/>
          <w:lang w:eastAsia="es-CO"/>
        </w:rPr>
        <w:t>según la clasificación de Soil Taxonomy 2010 Departamento de Agricultura de los Estados Unidos de Norteamérica) (PGSS, 2016). El Instituto Geográfico Agustín Codazzi (IGAC), cuenta con mapas temáticos que han permitido entender la geografía del suelo de la nación y establecer avances para la definición de su vocación, en términos de la producción agrícola, pecuaria y forestal teniendo como base la preservación de su calidad. También ha avanzado en la identificación de su capacidad de uso a escalas 1:100.000, para poder conocer los patrones de distribución y las capacidades de uso de las tierras, zonificar el territorio como instrumentos de apoyo para la formulación de políticas de manejo y aprovechamiento sostenible del suelo y la planificación del desarrollo.</w:t>
      </w:r>
    </w:p>
    <w:p w14:paraId="7AA8C9E0"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38559E5F"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131EED">
        <w:rPr>
          <w:rFonts w:cs="Arial"/>
          <w:color w:val="000000"/>
          <w:lang w:eastAsia="es-CO"/>
        </w:rPr>
        <w:t xml:space="preserve">Cabe anotar, que los suelos de Colombia son diversos y frágiles, se destacan los suelos incipientes, poco evolucionados en un (58.11) % correspondientes a los órdenes Entisoles e Inceptisoles. Igualmente, tienen una representación considerable del (28.79) %, los suelos muy evolucionados pocos fértiles como son los Ultisoles y los Oxisoles. Los mejores suelos agrícolas (Andisoles y Molisoles) apenas cubren 8.5 millones de hectáreas, equivalente al (7.5) % del territorio nacional. </w:t>
      </w:r>
    </w:p>
    <w:p w14:paraId="47A97010"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06D1AB44"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131EED">
        <w:rPr>
          <w:rFonts w:cs="Arial"/>
          <w:color w:val="000000"/>
          <w:lang w:eastAsia="es-CO"/>
        </w:rPr>
        <w:t>Los procesos de degradación que más afectan los suelos colombianos son la erosión (pérdida físico-mecánica del suelo por efecto del agua o del viento), el sellamiento de suelos (suelo ocupado por construcciones urbanas e infraestructura), la contaminación (presencia de sustancias tóxicas de tipo sólido, líquido o gaseoso), la pérdida de la materia orgánica, la salinización (acumulación de sales en el suelo), la compactación (reducción del espacio poroso del suelo) y la desertificación (degradación de las tierras de zonas áridas, semiáridas y subhúmedas secas) (PGSS, 2016).</w:t>
      </w:r>
    </w:p>
    <w:p w14:paraId="1EBFCB79"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Baskerville" w:hAnsi="Baskerville" w:cs="Arial"/>
          <w:color w:val="000000"/>
          <w:lang w:eastAsia="es-CO"/>
        </w:rPr>
      </w:pPr>
    </w:p>
    <w:p w14:paraId="3EED981B" w14:textId="77777777" w:rsidR="00697DB3" w:rsidRPr="00131EED" w:rsidRDefault="00697DB3" w:rsidP="00410194">
      <w:pPr>
        <w:pStyle w:val="Heading3"/>
        <w:numPr>
          <w:ilvl w:val="2"/>
          <w:numId w:val="31"/>
        </w:numPr>
      </w:pPr>
      <w:bookmarkStart w:id="380" w:name="_Toc216468748"/>
      <w:r w:rsidRPr="00131EED">
        <w:t>El impacto del sellamiento del suelo en la Sabana</w:t>
      </w:r>
      <w:bookmarkEnd w:id="380"/>
    </w:p>
    <w:p w14:paraId="3BF111A9"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Baskerville" w:hAnsi="Baskerville" w:cs="Arial"/>
          <w:i/>
          <w:iCs/>
          <w:color w:val="000000"/>
          <w:lang w:eastAsia="es-CO"/>
        </w:rPr>
      </w:pPr>
    </w:p>
    <w:p w14:paraId="2A3F4FAC"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131EED">
        <w:rPr>
          <w:rFonts w:cs="Arial"/>
          <w:color w:val="000000"/>
          <w:lang w:eastAsia="es-CO"/>
        </w:rPr>
        <w:t>Los suelos contribuyen a servicios ecosistémicos vitales para la supervivencia humana, entre los cuales se destacan la provisión de alimentos, forrajes, fibras, madera y medicinas; de protección ambiental y de la humanidad, mediante filtrado, amortiguación, intercambio de gases, control de la contaminación, regulación climática y de inundaciones; servicios de soporte, que mantienen todos los demás servicios, incluyendo fotosíntesis, reserva de genes y base de la biodiversidad, ciclo y calidad del agua, y ciclo de nutrientes; soporte para industria, infraestructura y turismo; valor cultural y conservación del patrimonio histórico (Blum, 2005; Bone et al., 2010; Millennium Ecosystem Assessment, 2005) citados en la PGSS (2016).</w:t>
      </w:r>
    </w:p>
    <w:p w14:paraId="59E033B4"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34A3F88A"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131EED">
        <w:rPr>
          <w:rFonts w:cs="Arial"/>
          <w:color w:val="000000"/>
          <w:lang w:eastAsia="es-CO"/>
        </w:rPr>
        <w:t>Es así, que los suelos presentan una oferta de bienes y servicios y una función ecosistémica, como soporte, como fuente de nutrientes para la biota, como regulador en el ciclo del agua y en el ciclo biogeoquímico, como productor de fibras y alimentos y como filtro o depurador de contaminantes, entre muchas otras funciones. Sin embargo, todas estas ofertas y servicios no son ilimitados, dado que el suelo es frágil y no renovable en la escala del tiempo humano y es susceptible de alterarse o perderse de manera natural dentro de sus procesos de génesis y evolución, o por las actividades antrópicas que consolidan procesos regresivos y de degradación de suelos y tierras (Ideam 2012).</w:t>
      </w:r>
    </w:p>
    <w:p w14:paraId="0654B230"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7A447EA7"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131EED">
        <w:rPr>
          <w:rFonts w:cs="Arial"/>
          <w:color w:val="000000"/>
          <w:lang w:eastAsia="es-CO"/>
        </w:rPr>
        <w:t xml:space="preserve">De acuerdo con comunicación del IGAC (2024) “cuando se sella el suelo se rompe el ciclo hidrológico y el suelo no puede conducir agua para recargar los acuíferos; esto ocasiona bajo nivel de los mismos y la consecuente disminución del caudal en los nacimientos de quebradas, caños o ríos, que son los que han de llenar los embalses para el suministro del agua potable (...)”. </w:t>
      </w:r>
    </w:p>
    <w:p w14:paraId="30BBB4BF"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2C11C267"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131EED">
        <w:rPr>
          <w:rFonts w:cs="Arial"/>
          <w:color w:val="000000"/>
          <w:lang w:eastAsia="es-CO"/>
        </w:rPr>
        <w:t>Según el Compendio de Estadísticas Ambientales (2008) de SEMARNAT, una de las causas principales de degradación de suelos es la urbanización: se considera a todas las actividades efectuadas por la industria de la construcción, provocando la pérdida de la función productiva del suelo.</w:t>
      </w:r>
    </w:p>
    <w:p w14:paraId="405BBA0B"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1971B525" w14:textId="2979758F"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131EED">
        <w:rPr>
          <w:rFonts w:cs="Arial"/>
          <w:color w:val="000000"/>
          <w:lang w:eastAsia="es-CO"/>
        </w:rPr>
        <w:t>Uno de los mayores riesgos para acceder al derecho humano a la alimentación, se vincula a la pérdida de suelos productivos, dados que la provisión de alimentos, tiende a perderse a medida que avanzan los procesos de urbanización, y según Cram et. al (2008), para que el suelo pueda preservar sus funciones, es necesario garantizar su contacto con el agua, la vegetación y el aire del entorno, conservando las propiedades que regulan su calidad: “es el soporte y suministro de nutrientes a las plantas, de ahí que la degradación del suelo esté considerada como el mayor</w:t>
      </w:r>
      <w:r w:rsidR="00D43E69" w:rsidRPr="00131EED">
        <w:rPr>
          <w:rFonts w:cs="Arial"/>
          <w:color w:val="000000"/>
          <w:lang w:eastAsia="es-CO"/>
        </w:rPr>
        <w:t xml:space="preserve"> </w:t>
      </w:r>
      <w:r w:rsidRPr="00131EED">
        <w:rPr>
          <w:rFonts w:cs="Arial"/>
          <w:color w:val="000000"/>
          <w:lang w:eastAsia="es-CO"/>
        </w:rPr>
        <w:t>problema ambiental que amenaza la producción mundial de alimentos” (Cram et al, 2008:82)</w:t>
      </w:r>
    </w:p>
    <w:p w14:paraId="3A3F12F3"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20C6CB32"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131EED">
        <w:rPr>
          <w:rFonts w:cs="Arial"/>
          <w:color w:val="000000"/>
          <w:lang w:eastAsia="es-CO"/>
        </w:rPr>
        <w:t>Otro aspecto de relevancia ambiental, tras el sellamiento del suelo, es la deforestación y eliminación de los bosques y las coberturas vegetales, que reduce la capacidad de los ecosistemas para capturar y almacenar carbono, incrementando los niveles de dióxido de carbono (CO2) en la atmósfera, uno de los principales gases de efecto invernadero responsables del cambio climático.</w:t>
      </w:r>
    </w:p>
    <w:p w14:paraId="056E0B9E"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69C066B1"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131EED">
        <w:rPr>
          <w:rFonts w:cs="Arial"/>
          <w:color w:val="000000"/>
          <w:lang w:eastAsia="es-CO"/>
        </w:rPr>
        <w:t>De acuerdo con comunicación del IGAC (2024), “(...) el problema se agrava si se tiene en cuenta que, por lo general, para construir se eliminan los horizontes superficiales (horizontes A o capa vegetal), que son los que contienen los materiales húmicos. Estos materiales húmicos, al ser aireados, removidos y llevados a otros lugares, sufren procesos de mineralización y alteración, desprendiendo altas cantidades de CO2, aumentando su concentración atmosférica y el calentamiento.</w:t>
      </w:r>
    </w:p>
    <w:p w14:paraId="15307A48"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7FCFD7CC"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131EED">
        <w:rPr>
          <w:rFonts w:cs="Arial"/>
          <w:color w:val="000000"/>
          <w:lang w:eastAsia="es-CO"/>
        </w:rPr>
        <w:t>De acuerdo con comunicación del IDEAM (2024), “El crecimiento y avance de la frontera urbana, de las zonas de desarrollo socioeconómico mediante la implementación de infraestructuras, los procesos de parcelación y de conurbación en áreas metropolitanas como en la región Bogotá - Sabana, Valle de Aburrá, Barranquilla, Cartagena y Cali entre otras han incrementado los procesos de degradación de suelos por sellamiento en Colombia”.</w:t>
      </w:r>
    </w:p>
    <w:p w14:paraId="63969D6D"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2422433A"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131EED">
        <w:rPr>
          <w:rFonts w:cs="Arial"/>
          <w:color w:val="000000"/>
          <w:lang w:eastAsia="es-CO"/>
        </w:rPr>
        <w:t>Entre los suelos presentes en la sabana de Bogotá, se destacan los Andisoles, que según IGAC (2012b) son suelos derivados de cenizas volcánicas, con poca a moderada evolución; características tales como la retención de humedad muy alta los hacen susceptibles a deslizamientos y con problemas para la nutrición de las plantas por la deficiencia de fósforo.</w:t>
      </w:r>
    </w:p>
    <w:p w14:paraId="5179DFBC"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5B374584"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131EED">
        <w:rPr>
          <w:rFonts w:cs="Arial"/>
          <w:color w:val="000000"/>
          <w:lang w:eastAsia="es-CO"/>
        </w:rPr>
        <w:t>Sin embargo, y de acuerdo con la comunicación de Gaviria (2024), estos suelos tienen su origen en “(…) el Cuaternario, al final de la última glaciación y durante el Holoceno, cuando emisiones de cenizas agrícolas de la región irrigaron la región en varias ocasiones y cubrieron las superficies expuestas en los cerros y en las altiplanicies. La edafogénesis de los Andisoles obedece así, a procesos de acumulación de materiales de origen volcánico y su asociación con materiales orgánicos, que generaron suelos fértiles y con gran capacidad de retención de agua,</w:t>
      </w:r>
    </w:p>
    <w:p w14:paraId="662CF2FC"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131EED">
        <w:rPr>
          <w:rFonts w:cs="Arial"/>
          <w:color w:val="000000"/>
          <w:lang w:eastAsia="es-CO"/>
        </w:rPr>
        <w:t>aprovechados para los cultivos y el ganado en las laderas y en las zonas planas.</w:t>
      </w:r>
    </w:p>
    <w:p w14:paraId="65729745"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78221737" w14:textId="04C67573"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r w:rsidRPr="00131EED">
        <w:rPr>
          <w:rFonts w:cs="Arial"/>
          <w:color w:val="000000" w:themeColor="text1"/>
          <w:lang w:eastAsia="es-CO"/>
        </w:rPr>
        <w:t xml:space="preserve">Asimismo, Gaviria (2024), establece que </w:t>
      </w:r>
      <w:r w:rsidR="7058ABF2" w:rsidRPr="00131EED">
        <w:rPr>
          <w:rFonts w:cs="Arial"/>
          <w:color w:val="000000" w:themeColor="text1"/>
          <w:lang w:eastAsia="es-CO"/>
        </w:rPr>
        <w:t>“</w:t>
      </w:r>
      <w:r w:rsidRPr="00131EED">
        <w:rPr>
          <w:rFonts w:cs="Arial"/>
          <w:color w:val="000000" w:themeColor="text1"/>
          <w:lang w:eastAsia="es-CO"/>
        </w:rPr>
        <w:t>la ocupación del territorio de la Sabana de Bogotá con actividades productivas que desconocen la riqueza de los suelos que van siendo sepultados, excavados o desecados, en la planicie y a lo largo del valle aluvial del río Bogotá y sus afluentes trae como efecto colateral la necesidad de buscar nuevas fuentes de agua y alimentos fuera de la región”.</w:t>
      </w:r>
    </w:p>
    <w:p w14:paraId="4EE1A16D"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eastAsia="es-CO"/>
        </w:rPr>
      </w:pPr>
    </w:p>
    <w:p w14:paraId="40FAA398"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themeColor="text1"/>
          <w:lang w:eastAsia="es-CO"/>
        </w:rPr>
      </w:pPr>
      <w:r w:rsidRPr="00131EED">
        <w:rPr>
          <w:rFonts w:cs="Arial"/>
          <w:color w:val="000000" w:themeColor="text1"/>
          <w:lang w:eastAsia="es-CO"/>
        </w:rPr>
        <w:t xml:space="preserve">Por su parte, IGAC (2024), menciona que el sellado del suelo es una de las prácticas más dañinas para el medio ambiente y concluye que este factor de degradación, elimina la biodiversidad, la producción de oxígeno, alimentos, fibras, drogas, biocombustibles, materias primas industriales y otros; impide la captura de la lluvia por el suelo, su infiltración y la recarga de acuíferos. </w:t>
      </w:r>
    </w:p>
    <w:p w14:paraId="6A62E59E" w14:textId="77777777"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themeColor="text1"/>
          <w:lang w:eastAsia="es-CO"/>
        </w:rPr>
      </w:pPr>
    </w:p>
    <w:p w14:paraId="6F0FD1B6" w14:textId="4351CF76" w:rsidR="00697DB3" w:rsidRPr="00131EED" w:rsidRDefault="00697DB3"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themeColor="text1"/>
          <w:lang w:eastAsia="es-CO"/>
        </w:rPr>
      </w:pPr>
      <w:r w:rsidRPr="00131EED">
        <w:rPr>
          <w:rFonts w:cs="Arial"/>
          <w:color w:val="000000" w:themeColor="text1"/>
          <w:lang w:eastAsia="es-CO"/>
        </w:rPr>
        <w:t>En su conjunto conlleva a una disminución de los caudales de quebradas y ríos, de la tasa de llenado de embalses y presas y en última instancia limita el suministro de agua potable y la generación de energía eléctrica. En épocas de lluvias, cuando más se requiere que el agua se infiltre para disminuir la escorrentía y erosión, el sellado incrementa las aguas superficiales que, en muchos casos causa desbordamientos, inundaciones y desastres ambientales. Los suelos sellados pierden su capacidad de ser sumideros y de secuestrar carbono atmosférico, en detrimento de las acciones para la mitigación y adaptación al cambio climático.</w:t>
      </w:r>
    </w:p>
    <w:p w14:paraId="27B9FCAB" w14:textId="77777777" w:rsidR="0062491C" w:rsidRPr="00131EED" w:rsidRDefault="0062491C" w:rsidP="00697DB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themeColor="text1"/>
          <w:lang w:eastAsia="es-CO"/>
        </w:rPr>
      </w:pPr>
    </w:p>
    <w:p w14:paraId="3490AF0B" w14:textId="4277B517" w:rsidR="004C5198" w:rsidRPr="00131EED" w:rsidRDefault="0062491C" w:rsidP="0062491C">
      <w:pPr>
        <w:pStyle w:val="Caption"/>
        <w:jc w:val="center"/>
        <w:rPr>
          <w:color w:val="000000"/>
          <w:lang w:eastAsia="es-CO"/>
        </w:rPr>
      </w:pPr>
      <w:bookmarkStart w:id="381" w:name="_Toc216468878"/>
      <w:r w:rsidRPr="00131EED">
        <w:t xml:space="preserve">Ilustración </w:t>
      </w:r>
      <w:fldSimple w:instr=" SEQ Ilustración \* ARABIC ">
        <w:r w:rsidR="00CE096F">
          <w:rPr>
            <w:noProof/>
          </w:rPr>
          <w:t>113</w:t>
        </w:r>
      </w:fldSimple>
      <w:r w:rsidRPr="00131EED">
        <w:t>. Ilustración 113. Árbol de problemas - sellamiento del suelo</w:t>
      </w:r>
      <w:bookmarkEnd w:id="381"/>
    </w:p>
    <w:p w14:paraId="4F4FE2CA" w14:textId="77777777" w:rsidR="0062491C" w:rsidRPr="00131EED" w:rsidRDefault="00C4626E" w:rsidP="0062491C">
      <w:pPr>
        <w:keepNext/>
        <w:spacing w:after="200" w:line="276" w:lineRule="auto"/>
        <w:jc w:val="left"/>
      </w:pPr>
      <w:r w:rsidRPr="00131EED">
        <w:rPr>
          <w:rFonts w:ascii="Baskerville" w:hAnsi="Baskerville" w:cs="Arial"/>
          <w:b/>
          <w:noProof/>
          <w:lang w:eastAsia="en-US"/>
        </w:rPr>
        <w:drawing>
          <wp:inline distT="0" distB="0" distL="0" distR="0" wp14:anchorId="6A0F1C6F" wp14:editId="5D5DE60F">
            <wp:extent cx="5630545" cy="1934498"/>
            <wp:effectExtent l="0" t="0" r="8255" b="8890"/>
            <wp:docPr id="1602974489"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648762" cy="1940757"/>
                    </a:xfrm>
                    <a:prstGeom prst="rect">
                      <a:avLst/>
                    </a:prstGeom>
                    <a:noFill/>
                  </pic:spPr>
                </pic:pic>
              </a:graphicData>
            </a:graphic>
          </wp:inline>
        </w:drawing>
      </w:r>
    </w:p>
    <w:p w14:paraId="626440E2" w14:textId="7CF574E5" w:rsidR="00895EB3" w:rsidRPr="00131EED" w:rsidRDefault="0062491C" w:rsidP="0062491C">
      <w:pPr>
        <w:jc w:val="center"/>
        <w:rPr>
          <w:sz w:val="18"/>
          <w:szCs w:val="18"/>
          <w:lang w:eastAsia="en-US"/>
        </w:rPr>
      </w:pPr>
      <w:r w:rsidRPr="00131EED">
        <w:rPr>
          <w:sz w:val="18"/>
          <w:szCs w:val="18"/>
          <w:lang w:eastAsia="en-US"/>
        </w:rPr>
        <w:t>Fuente: MinAmbiente (2025)</w:t>
      </w:r>
    </w:p>
    <w:p w14:paraId="61E207AC" w14:textId="77777777" w:rsidR="0062491C" w:rsidRPr="00131EED" w:rsidRDefault="0062491C" w:rsidP="00D93105">
      <w:pPr>
        <w:rPr>
          <w:lang w:eastAsia="en-US"/>
        </w:rPr>
      </w:pPr>
    </w:p>
    <w:p w14:paraId="01BA8685" w14:textId="6F927D69" w:rsidR="00D93105" w:rsidRPr="00131EED" w:rsidRDefault="00D93105" w:rsidP="00D93105">
      <w:pPr>
        <w:rPr>
          <w:lang w:eastAsia="en-US"/>
        </w:rPr>
      </w:pPr>
      <w:r w:rsidRPr="00131EED">
        <w:rPr>
          <w:lang w:eastAsia="en-US"/>
        </w:rPr>
        <w:t>Como se ve en el árbol de problemas, el sellamiento del suelo en la Sabana de Bogotá es consecuencia de un proceso sostenido de expansión urbana descontrolada que ha desbordado las capacidades ecológicas del territorio. La consolidación de la frontera metropolitana entre Bogotá y los municipios circundantes ha generado un patrón de urbanización fragmentado, con parcelaciones, zonas industriales y proyectos de infraestructura desarrollados sin una adecuada planeación ambiental. Este fenómeno ha cubierto los suelos fértiles con materiales impermeables, eliminando la capa vegetal superficial que cumple un papel fundamental en la infiltración del agua y en la protección de la biodiversidad. Según el IDEAM (2024) y el IGAC (2024), esta tendencia ha provocado la pérdida de grandes extensiones de suelos con alto valor agrológico, afectando de manera irreversible su funcionalidad ecosistémica.</w:t>
      </w:r>
    </w:p>
    <w:p w14:paraId="6BC73DA8" w14:textId="77777777" w:rsidR="00D93105" w:rsidRPr="00131EED" w:rsidRDefault="00D93105" w:rsidP="00D93105">
      <w:pPr>
        <w:rPr>
          <w:lang w:eastAsia="en-US"/>
        </w:rPr>
      </w:pPr>
    </w:p>
    <w:p w14:paraId="55954FB7" w14:textId="77777777" w:rsidR="00D93105" w:rsidRPr="00131EED" w:rsidRDefault="00D93105" w:rsidP="00D93105">
      <w:pPr>
        <w:rPr>
          <w:lang w:eastAsia="en-US"/>
        </w:rPr>
      </w:pPr>
      <w:r w:rsidRPr="00131EED">
        <w:rPr>
          <w:lang w:eastAsia="en-US"/>
        </w:rPr>
        <w:t>A la expansión urbana se suman actividades productivas no sostenibles que han intensificado la degradación. Las prácticas agropecuarias extensivas, la extracción de materiales y la ocupación del suelo con fines industriales o residenciales en áreas de vocación ecológica han generado desecación de humedales, fragmentación de hábitats y deterioro de los ciclos naturales. Estas dinámicas productivas desconocen la fragilidad del suelo como recurso no renovable y su importancia para la provisión de servicios ecosistémicos, lo que conduce a una pérdida progresiva de la capacidad del territorio para sostener la vida y la producción alimentaria. Como resultado, la Sabana enfrenta un proceso de degradación que compromete tanto la seguridad alimentaria como la sostenibilidad económica de la región.</w:t>
      </w:r>
    </w:p>
    <w:p w14:paraId="5C200FCC" w14:textId="77777777" w:rsidR="00D93105" w:rsidRPr="00131EED" w:rsidRDefault="00D93105" w:rsidP="00D93105">
      <w:pPr>
        <w:rPr>
          <w:lang w:eastAsia="en-US"/>
        </w:rPr>
      </w:pPr>
    </w:p>
    <w:p w14:paraId="550AE9AA" w14:textId="77777777" w:rsidR="00D93105" w:rsidRPr="00131EED" w:rsidRDefault="00D93105" w:rsidP="00D93105">
      <w:pPr>
        <w:rPr>
          <w:lang w:eastAsia="en-US"/>
        </w:rPr>
      </w:pPr>
      <w:r w:rsidRPr="00131EED">
        <w:rPr>
          <w:lang w:eastAsia="en-US"/>
        </w:rPr>
        <w:t>El manejo inadecuado del suelo refuerza este deterioro. La remoción de los horizontes superficiales —especialmente los horizontes A ricos en materia orgánica— libera grandes cantidades de dióxido de carbono (CO</w:t>
      </w:r>
      <w:r w:rsidRPr="00131EED">
        <w:rPr>
          <w:rFonts w:ascii="Cambria Math" w:hAnsi="Cambria Math" w:cs="Cambria Math"/>
          <w:lang w:eastAsia="en-US"/>
        </w:rPr>
        <w:t>₂</w:t>
      </w:r>
      <w:r w:rsidRPr="00131EED">
        <w:rPr>
          <w:lang w:eastAsia="en-US"/>
        </w:rPr>
        <w:t>) a la atm</w:t>
      </w:r>
      <w:r w:rsidRPr="00131EED">
        <w:rPr>
          <w:rFonts w:cs="Baskerville Old Face"/>
          <w:lang w:eastAsia="en-US"/>
        </w:rPr>
        <w:t>ó</w:t>
      </w:r>
      <w:r w:rsidRPr="00131EED">
        <w:rPr>
          <w:lang w:eastAsia="en-US"/>
        </w:rPr>
        <w:t>sfera, incrementando la concentraci</w:t>
      </w:r>
      <w:r w:rsidRPr="00131EED">
        <w:rPr>
          <w:rFonts w:cs="Baskerville Old Face"/>
          <w:lang w:eastAsia="en-US"/>
        </w:rPr>
        <w:t>ó</w:t>
      </w:r>
      <w:r w:rsidRPr="00131EED">
        <w:rPr>
          <w:lang w:eastAsia="en-US"/>
        </w:rPr>
        <w:t>n de gases de efecto invernadero y contribuyendo al cambio clim</w:t>
      </w:r>
      <w:r w:rsidRPr="00131EED">
        <w:rPr>
          <w:rFonts w:cs="Baskerville Old Face"/>
          <w:lang w:eastAsia="en-US"/>
        </w:rPr>
        <w:t>á</w:t>
      </w:r>
      <w:r w:rsidRPr="00131EED">
        <w:rPr>
          <w:lang w:eastAsia="en-US"/>
        </w:rPr>
        <w:t>tico. De igual manera, la compactaci</w:t>
      </w:r>
      <w:r w:rsidRPr="00131EED">
        <w:rPr>
          <w:rFonts w:cs="Baskerville Old Face"/>
          <w:lang w:eastAsia="en-US"/>
        </w:rPr>
        <w:t>ó</w:t>
      </w:r>
      <w:r w:rsidRPr="00131EED">
        <w:rPr>
          <w:lang w:eastAsia="en-US"/>
        </w:rPr>
        <w:t>n del suelo y la falta de pol</w:t>
      </w:r>
      <w:r w:rsidRPr="00131EED">
        <w:rPr>
          <w:rFonts w:cs="Baskerville Old Face"/>
          <w:lang w:eastAsia="en-US"/>
        </w:rPr>
        <w:t>í</w:t>
      </w:r>
      <w:r w:rsidRPr="00131EED">
        <w:rPr>
          <w:lang w:eastAsia="en-US"/>
        </w:rPr>
        <w:t>ticas efectivas de conservaci</w:t>
      </w:r>
      <w:r w:rsidRPr="00131EED">
        <w:rPr>
          <w:rFonts w:cs="Baskerville Old Face"/>
          <w:lang w:eastAsia="en-US"/>
        </w:rPr>
        <w:t>ó</w:t>
      </w:r>
      <w:r w:rsidRPr="00131EED">
        <w:rPr>
          <w:lang w:eastAsia="en-US"/>
        </w:rPr>
        <w:t>n reducen su capacidad de retener agua y nutrientes, afectando su estructura f</w:t>
      </w:r>
      <w:r w:rsidRPr="00131EED">
        <w:rPr>
          <w:rFonts w:cs="Baskerville Old Face"/>
          <w:lang w:eastAsia="en-US"/>
        </w:rPr>
        <w:t>í</w:t>
      </w:r>
      <w:r w:rsidRPr="00131EED">
        <w:rPr>
          <w:lang w:eastAsia="en-US"/>
        </w:rPr>
        <w:t>sica y su fertilidad. Esta situación se agrava en contextos donde la planificación territorial es débil y los intereses económicos prevalecen sobre las consideraciones ambientales, lo que perpetúa modelos de ocupación insostenibles.</w:t>
      </w:r>
    </w:p>
    <w:p w14:paraId="1EB2EF75" w14:textId="77777777" w:rsidR="00D93105" w:rsidRPr="00131EED" w:rsidRDefault="00D93105" w:rsidP="00D93105">
      <w:pPr>
        <w:rPr>
          <w:lang w:eastAsia="en-US"/>
        </w:rPr>
      </w:pPr>
    </w:p>
    <w:p w14:paraId="70B3AE6A" w14:textId="51992708" w:rsidR="00895EB3" w:rsidRPr="00131EED" w:rsidRDefault="00D93105" w:rsidP="00895EB3">
      <w:pPr>
        <w:rPr>
          <w:lang w:eastAsia="en-US"/>
        </w:rPr>
      </w:pPr>
      <w:r w:rsidRPr="00131EED">
        <w:rPr>
          <w:lang w:eastAsia="en-US"/>
        </w:rPr>
        <w:t>En el plano social y económico, las consecuencias son profundas. La pérdida de suelos fértiles disminuye la capacidad productiva agrícola y amenaza el derecho humano a la alimentación. La ruptura del ciclo hidrológico natural reduce la recarga de acuíferos y el caudal de las fuentes hídricas, afectando el suministro de agua potable y la generación de energía. A su vez, la pérdida de vegetación y la impermeabilización del suelo aumentan la escorrentía superficial, intensificando el riesgo de inundaciones, erosión y desastres naturales. Todo ello genera una mayor vulnerabilidad frente al cambio climático y un deterioro de la calidad de vida de las comunidades rurales y urbanas de la Sabana.</w:t>
      </w:r>
    </w:p>
    <w:p w14:paraId="5ABD7FCE" w14:textId="77777777" w:rsidR="00E87C83" w:rsidRPr="00131EED" w:rsidRDefault="00E87C83">
      <w:pPr>
        <w:spacing w:after="200" w:line="276" w:lineRule="auto"/>
        <w:jc w:val="left"/>
        <w:rPr>
          <w:rFonts w:ascii="Century Gothic" w:hAnsi="Century Gothic" w:cs="Calibri"/>
          <w:b/>
          <w:bCs/>
          <w:smallCaps/>
          <w:color w:val="000000"/>
          <w:sz w:val="36"/>
          <w:szCs w:val="36"/>
          <w:lang w:eastAsia="en-US"/>
        </w:rPr>
      </w:pPr>
      <w:r w:rsidRPr="00131EED">
        <w:br w:type="page"/>
      </w:r>
    </w:p>
    <w:p w14:paraId="5401FC0B" w14:textId="0BEE9457" w:rsidR="0024036E" w:rsidRPr="00131EED" w:rsidRDefault="0024036E" w:rsidP="00410194">
      <w:pPr>
        <w:pStyle w:val="Heading1"/>
        <w:numPr>
          <w:ilvl w:val="0"/>
          <w:numId w:val="31"/>
        </w:numPr>
      </w:pPr>
      <w:bookmarkStart w:id="382" w:name="_Toc216468749"/>
      <w:r w:rsidRPr="00131EED">
        <w:t>Regulación y Seguridad Hídrica</w:t>
      </w:r>
      <w:bookmarkEnd w:id="382"/>
    </w:p>
    <w:p w14:paraId="5E103249" w14:textId="780199CE" w:rsidR="00CC5A4D" w:rsidRPr="00131EED" w:rsidRDefault="00CC5A4D" w:rsidP="00410194">
      <w:pPr>
        <w:pStyle w:val="Heading2"/>
        <w:numPr>
          <w:ilvl w:val="1"/>
          <w:numId w:val="31"/>
        </w:numPr>
        <w:rPr>
          <w:rFonts w:eastAsia="Georgia"/>
        </w:rPr>
      </w:pPr>
      <w:bookmarkStart w:id="383" w:name="_Toc216468750"/>
      <w:bookmarkStart w:id="384" w:name="_Toc170817897"/>
      <w:bookmarkStart w:id="385" w:name="_Toc167294625"/>
      <w:bookmarkStart w:id="386" w:name="_Toc167854512"/>
      <w:r w:rsidRPr="00131EED">
        <w:rPr>
          <w:rFonts w:eastAsia="Georgia"/>
        </w:rPr>
        <w:t>Alteración del ciclo del agua y justicia hídrica</w:t>
      </w:r>
      <w:r w:rsidR="00D304DE" w:rsidRPr="00131EED">
        <w:rPr>
          <w:rFonts w:eastAsia="Georgia"/>
        </w:rPr>
        <w:t>.</w:t>
      </w:r>
      <w:bookmarkEnd w:id="383"/>
      <w:r w:rsidRPr="00131EED">
        <w:rPr>
          <w:rFonts w:eastAsia="Georgia"/>
        </w:rPr>
        <w:t xml:space="preserve">  </w:t>
      </w:r>
      <w:bookmarkEnd w:id="384"/>
    </w:p>
    <w:p w14:paraId="2E65F6D5" w14:textId="77777777" w:rsidR="00CC5A4D" w:rsidRPr="00131EED" w:rsidRDefault="00CC5A4D" w:rsidP="00CC5A4D">
      <w:pPr>
        <w:rPr>
          <w:rFonts w:ascii="Baskerville" w:hAnsi="Baskerville" w:cs="Arial"/>
          <w:sz w:val="20"/>
          <w:szCs w:val="20"/>
        </w:rPr>
      </w:pPr>
    </w:p>
    <w:p w14:paraId="18BB1AD4" w14:textId="77777777" w:rsidR="00CC5A4D" w:rsidRPr="00131EED" w:rsidRDefault="00CC5A4D" w:rsidP="00CC5A4D">
      <w:pPr>
        <w:rPr>
          <w:rFonts w:cs="Arial"/>
        </w:rPr>
      </w:pPr>
      <w:r w:rsidRPr="00131EED">
        <w:rPr>
          <w:rFonts w:cs="Arial"/>
        </w:rPr>
        <w:t xml:space="preserve">La Sabana de Bogotá, una extensa y diversa región que rodea la capital colombiana, se encuentra en medio de un complejo entramado de conflictos socioambientales relacionados con la calidad y el acceso al agua, en un contexto marcado por el crecimiento urbano, la expansión agrícola y la presión sobre los recursos naturales. En este sentido el presente estudio técnico se centra en analizar y comprender las problemáticas asociadas con el agua en la Sabana de Bogotá, desde la perspectiva de la disponibilidad y calidad del agua, como un aspecto fundamental para el desarrollo sostenible y el bienestar humano, y su gestión eficiente y equitativa, desafío de vital importancia en la Sabana de Bogotá. </w:t>
      </w:r>
    </w:p>
    <w:p w14:paraId="5D00FB80" w14:textId="77777777" w:rsidR="00CC5A4D" w:rsidRPr="00131EED" w:rsidRDefault="00CC5A4D" w:rsidP="00CC5A4D">
      <w:pPr>
        <w:rPr>
          <w:rFonts w:cs="Arial"/>
        </w:rPr>
      </w:pPr>
    </w:p>
    <w:p w14:paraId="59EB9AFD" w14:textId="24F072CD" w:rsidR="00410194" w:rsidRPr="00131EED" w:rsidRDefault="00CC5A4D" w:rsidP="00410194">
      <w:pPr>
        <w:rPr>
          <w:rFonts w:cs="Arial"/>
        </w:rPr>
      </w:pPr>
      <w:r w:rsidRPr="00131EED">
        <w:rPr>
          <w:rFonts w:cs="Arial"/>
        </w:rPr>
        <w:t xml:space="preserve">Este capítulo aspira a contribuir al desarrollo de sustentos que permitan definir directrices que promuevan una gestión sostenible del agua en la Sabana de Bogotá, </w:t>
      </w:r>
      <w:r w:rsidR="00B63363" w:rsidRPr="00131EED">
        <w:rPr>
          <w:rFonts w:cs="Arial"/>
        </w:rPr>
        <w:t xml:space="preserve">promoviendo </w:t>
      </w:r>
      <w:r w:rsidRPr="00131EED">
        <w:rPr>
          <w:rFonts w:cs="Arial"/>
        </w:rPr>
        <w:t xml:space="preserve">su acceso equitativo y </w:t>
      </w:r>
      <w:r w:rsidR="00B63363" w:rsidRPr="00131EED">
        <w:rPr>
          <w:rFonts w:cs="Arial"/>
        </w:rPr>
        <w:t xml:space="preserve">la preservación de </w:t>
      </w:r>
      <w:r w:rsidRPr="00131EED">
        <w:rPr>
          <w:rFonts w:cs="Arial"/>
        </w:rPr>
        <w:t>la integridad ambiental de la región. A través de un enfoque integral y participativo, se espera impulsar acciones concretas que mejoren la calidad de vida de las comunidades locales y promuevan un desarrollo justo y sostenible para las generaciones presentes y futuras.</w:t>
      </w:r>
    </w:p>
    <w:p w14:paraId="02B4EFF3" w14:textId="77777777" w:rsidR="00410194" w:rsidRPr="00131EED" w:rsidRDefault="00410194" w:rsidP="00410194">
      <w:pPr>
        <w:rPr>
          <w:rFonts w:ascii="Century Gothic" w:eastAsia="Century Gothic" w:hAnsi="Century Gothic" w:cs="Arial"/>
        </w:rPr>
      </w:pPr>
    </w:p>
    <w:p w14:paraId="3EA5C0FD" w14:textId="77777777" w:rsidR="00410194" w:rsidRPr="00131EED" w:rsidRDefault="00410194" w:rsidP="00410194">
      <w:pPr>
        <w:pStyle w:val="Heading3"/>
        <w:numPr>
          <w:ilvl w:val="2"/>
          <w:numId w:val="31"/>
        </w:numPr>
        <w:ind w:left="720" w:hanging="432"/>
      </w:pPr>
      <w:r w:rsidRPr="00131EED">
        <w:rPr>
          <w:sz w:val="24"/>
          <w:szCs w:val="24"/>
        </w:rPr>
        <w:t xml:space="preserve"> </w:t>
      </w:r>
      <w:bookmarkStart w:id="387" w:name="_Toc216468751"/>
      <w:r w:rsidRPr="00131EED">
        <w:t>Bases para la Recuperación de la Sabana de Bogotá</w:t>
      </w:r>
      <w:bookmarkEnd w:id="387"/>
    </w:p>
    <w:p w14:paraId="77E98505" w14:textId="77777777" w:rsidR="00410194" w:rsidRPr="00131EED" w:rsidRDefault="00410194" w:rsidP="00410194">
      <w:pPr>
        <w:rPr>
          <w:b/>
          <w:bCs/>
          <w:lang w:eastAsia="en-US"/>
        </w:rPr>
      </w:pPr>
    </w:p>
    <w:p w14:paraId="54A10C39" w14:textId="77777777" w:rsidR="00410194" w:rsidRPr="00131EED" w:rsidRDefault="00410194" w:rsidP="00410194">
      <w:pPr>
        <w:rPr>
          <w:lang w:eastAsia="en-US"/>
        </w:rPr>
      </w:pPr>
      <w:r w:rsidRPr="00131EED">
        <w:rPr>
          <w:lang w:eastAsia="en-US"/>
        </w:rPr>
        <w:t xml:space="preserve">En el texto de Sergio Gaviria (2024) titulado Bases para la Recuperación de La Sabana de Bogotá, documento elaborado desde la Alianza para la Defensa de la Sabana de Bogotá (2023), corregido y ampliado para discusión desde el Servicio Geológico Colombiano (SGC) con MinAmbiente, IGAC, CAR, D.C., EA, se resalta la Sabana de Bogotá como un territorio cuya singularidad ambiental se ha configurado a lo largo de miles de años y cuya comprensión exige atender tanto a sus fundamentos geológicos e hídricos como a las transformaciones antrópicas recientes. La historia ambiental reconstruida por Van der Hammen y múltiples investigadores desde mediados del siglo XX, basada en análisis paleoambientales y sedimentológicos, muestra que la región fue modelada por secuencias glaciales e interglaciales que originaron suelos fértiles, ecosistemas de humedales y valles lacustres extensos (Van der Hammen et al., 2004). </w:t>
      </w:r>
    </w:p>
    <w:p w14:paraId="415EC6D7" w14:textId="77777777" w:rsidR="00410194" w:rsidRPr="00131EED" w:rsidRDefault="00410194" w:rsidP="00410194">
      <w:pPr>
        <w:rPr>
          <w:lang w:eastAsia="en-US"/>
        </w:rPr>
      </w:pPr>
    </w:p>
    <w:p w14:paraId="6BFF01AA" w14:textId="77777777" w:rsidR="00410194" w:rsidRPr="00131EED" w:rsidRDefault="00410194" w:rsidP="00410194">
      <w:pPr>
        <w:rPr>
          <w:lang w:eastAsia="en-US"/>
        </w:rPr>
      </w:pPr>
      <w:r w:rsidRPr="00131EED">
        <w:rPr>
          <w:lang w:eastAsia="en-US"/>
        </w:rPr>
        <w:t>Estos procesos dieron lugar a un altiplano caracterizado por suelos profundos derivados de cenizas volcánicas, con alta capacidad de retención hídrica y una productividad excepcional; condiciones que favorecieron tanto los ecosistemas nativos como los sistemas agrícolas muiscas, quienes construyeron complejos entramados de canales y camellones para regular inundaciones y sequías, demostrando un manejo sofisticado del territorio en un ambiente anfibio (Boada, 2003).</w:t>
      </w:r>
    </w:p>
    <w:p w14:paraId="30EFD59D" w14:textId="77777777" w:rsidR="00410194" w:rsidRPr="00131EED" w:rsidRDefault="00410194" w:rsidP="00410194">
      <w:pPr>
        <w:rPr>
          <w:lang w:eastAsia="en-US"/>
        </w:rPr>
      </w:pPr>
    </w:p>
    <w:p w14:paraId="7BE2AF70" w14:textId="77777777" w:rsidR="00410194" w:rsidRPr="00131EED" w:rsidRDefault="00410194" w:rsidP="00410194">
      <w:pPr>
        <w:rPr>
          <w:lang w:eastAsia="en-US"/>
        </w:rPr>
      </w:pPr>
      <w:r w:rsidRPr="00131EED">
        <w:rPr>
          <w:lang w:eastAsia="en-US"/>
        </w:rPr>
        <w:t xml:space="preserve">No obstante este trasfondo ambiental extraordinario, durante las últimas décadas la Sabana ha experimentado un proceso de transformación acelerada que desvincula la ocupación humana de su soporte natural. La reclasificación de suelos realizada en 2012 por el IGAC, influida por el fenómeno de La Niña de 2010–2011, alteró la categoría de vastas áreas de suelos Clase 2 y 3 —tradicionalmente destinados a la producción agrícola— y abrió paso a expansión urbana e industrial desbordada, generando escenarios propicios para el denominado “volteo de tierras”. </w:t>
      </w:r>
    </w:p>
    <w:p w14:paraId="42715FDC" w14:textId="77777777" w:rsidR="00410194" w:rsidRPr="00131EED" w:rsidRDefault="00410194" w:rsidP="00410194">
      <w:pPr>
        <w:rPr>
          <w:lang w:eastAsia="en-US"/>
        </w:rPr>
      </w:pPr>
    </w:p>
    <w:p w14:paraId="127764A6" w14:textId="77777777" w:rsidR="00410194" w:rsidRPr="00131EED" w:rsidRDefault="00410194" w:rsidP="00410194">
      <w:pPr>
        <w:rPr>
          <w:lang w:eastAsia="en-US"/>
        </w:rPr>
      </w:pPr>
      <w:r w:rsidRPr="00131EED">
        <w:rPr>
          <w:lang w:eastAsia="en-US"/>
        </w:rPr>
        <w:t xml:space="preserve">Autores como Gaviria han mostrado que este cambio no correspondió a modificaciones estructurales del suelo, sino a una coyuntura climática temporal que produjo inundaciones extraordinarias, las cuales fueron interpretadas de manera equivocada como limitaciones permanentes para la agricultura (Gaviria et al., 2004). Esta reconversión de uso ha desencadenado la ocupación indiscriminada de la planicie, sepultando suelos fértiles y fragmentando corredores ecológicos esenciales para la regulación hídrica y climática regional. </w:t>
      </w:r>
    </w:p>
    <w:p w14:paraId="095CF319" w14:textId="77777777" w:rsidR="00410194" w:rsidRPr="00131EED" w:rsidRDefault="00410194" w:rsidP="00410194">
      <w:pPr>
        <w:rPr>
          <w:lang w:eastAsia="en-US"/>
        </w:rPr>
      </w:pPr>
    </w:p>
    <w:p w14:paraId="4DE6C1CD" w14:textId="77777777" w:rsidR="00410194" w:rsidRPr="00131EED" w:rsidRDefault="00410194" w:rsidP="00410194">
      <w:pPr>
        <w:rPr>
          <w:lang w:eastAsia="en-US"/>
        </w:rPr>
      </w:pPr>
      <w:r w:rsidRPr="00131EED">
        <w:rPr>
          <w:lang w:eastAsia="en-US"/>
        </w:rPr>
        <w:t>Esta fragmentación se refleja en el sistema hídrico y los impactos severos que ha sufrido, las adecuaciones hidráulicas promovidas por la CAR durante las últimas dos décadas, caracterizadas por la canalización sistemática del río Bogotá y sus afluentes, han estrangulado el curso fluvial, eliminado bosques de ronda, desconectado humedales y alterado los niveles freáticos.</w:t>
      </w:r>
    </w:p>
    <w:p w14:paraId="28A5A666" w14:textId="77777777" w:rsidR="00410194" w:rsidRPr="00131EED" w:rsidRDefault="00410194" w:rsidP="00410194">
      <w:pPr>
        <w:rPr>
          <w:lang w:eastAsia="en-US"/>
        </w:rPr>
      </w:pPr>
    </w:p>
    <w:p w14:paraId="75ED511F" w14:textId="77777777" w:rsidR="00410194" w:rsidRPr="00131EED" w:rsidRDefault="00410194" w:rsidP="00410194">
      <w:pPr>
        <w:rPr>
          <w:lang w:eastAsia="en-US"/>
        </w:rPr>
      </w:pPr>
      <w:r w:rsidRPr="00131EED">
        <w:rPr>
          <w:lang w:eastAsia="en-US"/>
        </w:rPr>
        <w:t>Como lo advierte la Mesa de Expertos del Río Bogotá, este paradigma de ingeniería pesada desconoce que el río es un ecosistema complejo y no un canal de evacuación, generando daños irreversibles sobre la Estructura Ecológica Principal (EEP), la cual constituye el eje articulador de la conectividad entre cerros, humedales y ríos (Santos, 2021). Las consecuencias se evidencian no solo en la pérdida de hábitat, sino en la profundización de riesgos asociados a inundaciones, erosión, inestabilidad geotécnica y deterioro de la calidad del agua cruda usada para abastecimiento en Tibitoc, situación agravada por la movilización de sedimentos finos y por el incremento de metales como manganeso (Mn), cuyo estudio ha sido recomendado por el Servicio Geológico Colombiano ante la falta de una línea base geoquímica regional.</w:t>
      </w:r>
    </w:p>
    <w:p w14:paraId="2C4E09B3" w14:textId="77777777" w:rsidR="00410194" w:rsidRPr="00131EED" w:rsidRDefault="00410194" w:rsidP="00410194">
      <w:pPr>
        <w:rPr>
          <w:lang w:eastAsia="en-US"/>
        </w:rPr>
      </w:pPr>
    </w:p>
    <w:p w14:paraId="48D6E02F" w14:textId="77777777" w:rsidR="00410194" w:rsidRPr="00131EED" w:rsidRDefault="00410194" w:rsidP="00410194">
      <w:pPr>
        <w:rPr>
          <w:lang w:eastAsia="en-US"/>
        </w:rPr>
      </w:pPr>
      <w:r w:rsidRPr="00131EED">
        <w:rPr>
          <w:lang w:eastAsia="en-US"/>
        </w:rPr>
        <w:t>Este deterioro de los ríos Bogotá, Teusacá y Neusa tiene implicaciones directas sobre el suministro de agua potable para más de dos millones de habitantes que dependen del Sistema Norte de la EAAB, infraestructura cuya capacidad operativa se encuentra hoy limitada por la contaminación aguas arriba de las plantas. La región enfrenta así una paradoja crítica: mientras se intensifica la urbanización en la Sabana, se debilita la disponibilidad y calidad del recurso hídrico que sustenta esa misma expansión. Esta situación se vuelve más compleja frente al cambio climático, que según proyecciones para los Andes Orientales podría reducir la precipitación entre un 10 y un 30% y elevar las temperaturas entre 2°C y 4°C hacia finales de siglo (Pabón, 2011; PRICC, 2014), afectando tanto la recarga hídrica de los páramos como la estabilidad de los embalses del Sistema Chingaza.</w:t>
      </w:r>
    </w:p>
    <w:p w14:paraId="766341D7" w14:textId="77777777" w:rsidR="00410194" w:rsidRPr="00131EED" w:rsidRDefault="00410194" w:rsidP="00410194">
      <w:pPr>
        <w:rPr>
          <w:lang w:eastAsia="en-US"/>
        </w:rPr>
      </w:pPr>
    </w:p>
    <w:p w14:paraId="58E1BBFB" w14:textId="77777777" w:rsidR="00410194" w:rsidRPr="00131EED" w:rsidRDefault="00410194" w:rsidP="00410194">
      <w:pPr>
        <w:rPr>
          <w:lang w:eastAsia="en-US"/>
        </w:rPr>
      </w:pPr>
      <w:r w:rsidRPr="00131EED">
        <w:rPr>
          <w:lang w:eastAsia="en-US"/>
        </w:rPr>
        <w:t xml:space="preserve">En consecuencia, el documento sostiene que el desarrollo sostenible de la Sabana requiere una reorientación urgente hacia un modelo de gestión ambiental integral que restituya la primacía de la Estructura Ecológica Principal y del uso sostenible del suelo como fundamentos del ordenamiento territorial. Esta transición implica recuperar las rondas hidráulicas con vegetación arbórea, restablecer la dinámica natural de inundaciones controladas, rehabilitar humedales como zonas de amortiguación, y sustituir las adecuaciones hidráulicas rígidas por soluciones basadas en la naturaleza, coherentes con la variabilidad climática y los ciclos ecosistémicos. </w:t>
      </w:r>
    </w:p>
    <w:p w14:paraId="66F57528" w14:textId="77777777" w:rsidR="00410194" w:rsidRPr="00131EED" w:rsidRDefault="00410194" w:rsidP="00410194">
      <w:pPr>
        <w:rPr>
          <w:lang w:eastAsia="en-US"/>
        </w:rPr>
      </w:pPr>
    </w:p>
    <w:p w14:paraId="719C6BBA" w14:textId="77777777" w:rsidR="00410194" w:rsidRPr="00131EED" w:rsidRDefault="00410194" w:rsidP="00410194">
      <w:pPr>
        <w:rPr>
          <w:lang w:eastAsia="en-US"/>
        </w:rPr>
      </w:pPr>
      <w:r w:rsidRPr="00131EED">
        <w:rPr>
          <w:lang w:eastAsia="en-US"/>
        </w:rPr>
        <w:t>Igualmente, exige una protección estricta de los suelos agrícolas de alta capacidad, deteniendo la urbanización dispersa en zonas rurales, fortaleciendo los determinantes ambientales definidos por la Resolución CAR 1080 de 1998 y restaurando la vocación agroecológica de la planicie, en sintonía con recientes propuestas del Ministerio de Agricultura orientadas a asegurar la soberanía alimentaria mediante la preservación de 50.000 hectáreas productivas.</w:t>
      </w:r>
    </w:p>
    <w:p w14:paraId="18DDA380" w14:textId="77777777" w:rsidR="00410194" w:rsidRPr="00131EED" w:rsidRDefault="00410194" w:rsidP="00410194">
      <w:pPr>
        <w:rPr>
          <w:lang w:eastAsia="en-US"/>
        </w:rPr>
      </w:pPr>
    </w:p>
    <w:p w14:paraId="09D632C1" w14:textId="77777777" w:rsidR="00410194" w:rsidRPr="00131EED" w:rsidRDefault="00410194" w:rsidP="00410194">
      <w:pPr>
        <w:rPr>
          <w:lang w:eastAsia="en-US"/>
        </w:rPr>
      </w:pPr>
      <w:r w:rsidRPr="00131EED">
        <w:rPr>
          <w:lang w:eastAsia="en-US"/>
        </w:rPr>
        <w:t>Asimismo, se subraya la necesidad de fortalecer y modernizar las PTAR municipales, cuya obsolescencia contribuye al deterioro creciente del agua que ingresa a Tibitoc. De igual forma, se requiere una gobernanza hídrica articulada basada en la “región hídrica” planteada por Ernesto Guhl, que permita coordinar de manera coherente a las entidades involucradas —CAR, EAAB, GEB, municipios— hacia objetivos comunes de protección hídrica, restauración ecológica y sostenibilidad en la provisión del agua. Esta coordinación es indispensable para mitigar la dependencia estructural del Sistema Chingaza y para reactivar la funcionalidad del Sistema Norte, cuyo potencial operativo se encuentra hoy comprometido por la contaminación.</w:t>
      </w:r>
    </w:p>
    <w:p w14:paraId="7965D400" w14:textId="77777777" w:rsidR="00410194" w:rsidRPr="00131EED" w:rsidRDefault="00410194" w:rsidP="00410194">
      <w:pPr>
        <w:rPr>
          <w:lang w:eastAsia="en-US"/>
        </w:rPr>
      </w:pPr>
    </w:p>
    <w:p w14:paraId="5283058D" w14:textId="77777777" w:rsidR="00410194" w:rsidRPr="00131EED" w:rsidRDefault="00410194" w:rsidP="00410194">
      <w:pPr>
        <w:rPr>
          <w:lang w:eastAsia="en-US"/>
        </w:rPr>
      </w:pPr>
      <w:r w:rsidRPr="00131EED">
        <w:rPr>
          <w:lang w:eastAsia="en-US"/>
        </w:rPr>
        <w:t>Gaviria (2024) también pone de relieve el papel crucial de la ciudadanía y las organizaciones ambientales, como la Alianza para la Defensa de la Sabana de Bogotá y diversos colectivos locales, que han documentado impactos, denunciado irregularidades y defendido ecosistemas vulnerables ante intervenciones que contravienen la normatividad ambiental. Su labor evidencia que el equilibrio entre desarrollo y conservación requiere no solo lineamientos técnicos adecuados, sino también vigilancia social, transparencia institucional y una ética de corresponsabilidad en el uso del territorio.</w:t>
      </w:r>
    </w:p>
    <w:p w14:paraId="0778CE50" w14:textId="77777777" w:rsidR="00410194" w:rsidRPr="00131EED" w:rsidRDefault="00410194" w:rsidP="00410194">
      <w:pPr>
        <w:rPr>
          <w:lang w:eastAsia="en-US"/>
        </w:rPr>
      </w:pPr>
    </w:p>
    <w:p w14:paraId="408F8F9B" w14:textId="77777777" w:rsidR="00410194" w:rsidRPr="00131EED" w:rsidRDefault="00410194" w:rsidP="00410194">
      <w:pPr>
        <w:rPr>
          <w:lang w:eastAsia="en-US"/>
        </w:rPr>
      </w:pPr>
      <w:r w:rsidRPr="00131EED">
        <w:rPr>
          <w:lang w:eastAsia="en-US"/>
        </w:rPr>
        <w:t>En síntesis, la sostenibilidad de la Sabana de Bogotá depende de detener la destrucción del territorio y restablecer un marco de planificación sustentado en el conocimiento científico acumulado durante décadas. Las recomendaciones de Van der Hammen (1998) mantienen plena vigencia: proteger valles y humedales mediante rondas arboladas, asegurar que el uso del suelo corresponda a su aptitud, evitar la urbanización furtiva en zonas rurales, y asumir que la Sabana —por su historia, su estructura ecológica y su función territorial— tiene una destinación prioritaria agropecuaria y forestal. Ignorar estos principios perpetuará un camino de insostenibilidad ambiental y social; acogerlos permitirá reconstruir un equilibrio viable entre naturaleza y sociedad en uno de los territorios más valiosos y amenazados del país.</w:t>
      </w:r>
    </w:p>
    <w:p w14:paraId="35BAE791" w14:textId="77777777" w:rsidR="00CC5A4D" w:rsidRPr="00131EED" w:rsidRDefault="00CC5A4D" w:rsidP="00410194">
      <w:pPr>
        <w:pStyle w:val="Heading3"/>
        <w:numPr>
          <w:ilvl w:val="2"/>
          <w:numId w:val="31"/>
        </w:numPr>
      </w:pPr>
      <w:bookmarkStart w:id="388" w:name="_Toc216468752"/>
      <w:r w:rsidRPr="00131EED">
        <w:t>El ciclo del agua</w:t>
      </w:r>
      <w:bookmarkEnd w:id="385"/>
      <w:bookmarkEnd w:id="386"/>
      <w:r w:rsidRPr="00131EED">
        <w:t xml:space="preserve"> y la regulación hídrica en la Sabana</w:t>
      </w:r>
      <w:bookmarkEnd w:id="388"/>
    </w:p>
    <w:p w14:paraId="5E52715A" w14:textId="77777777" w:rsidR="00CC5A4D" w:rsidRPr="00131EED" w:rsidRDefault="00CC5A4D" w:rsidP="00CC5A4D">
      <w:pPr>
        <w:rPr>
          <w:rFonts w:ascii="Baskerville" w:hAnsi="Baskerville" w:cs="Arial"/>
        </w:rPr>
      </w:pPr>
    </w:p>
    <w:p w14:paraId="1BD37512" w14:textId="343658B0" w:rsidR="00CC5A4D" w:rsidRPr="00131EED" w:rsidRDefault="00CC5A4D" w:rsidP="00CC5A4D">
      <w:pPr>
        <w:rPr>
          <w:rFonts w:cs="Arial"/>
        </w:rPr>
      </w:pPr>
      <w:r w:rsidRPr="00131EED">
        <w:rPr>
          <w:rFonts w:cs="Arial"/>
        </w:rPr>
        <w:t xml:space="preserve">El </w:t>
      </w:r>
      <w:r w:rsidRPr="00131EED">
        <w:rPr>
          <w:rFonts w:cs="Arial"/>
          <w:i/>
        </w:rPr>
        <w:t>ciclo hidrológico o ciclo del agua</w:t>
      </w:r>
      <w:r w:rsidRPr="00131EED">
        <w:rPr>
          <w:rFonts w:cs="Arial"/>
        </w:rPr>
        <w:t xml:space="preserve"> describe las transferencias de agua entre la biosfera, atmósfera, hidrosfera y litosfera, involucrando estados líquido, sólido y gaseoso. Este proceso comienza con la evaporación del agua superficial debido a la radiación solar y el viento, formando vapor de agua que se eleva y se condensa en forma de precipitación. Esta precipitación puede evaporarse nuevamente, ser interceptada por plantas o estructuras, fluir superficialmente hacia corrientes o infiltrarse en el suelo. Parte del agua infiltrada es absorbida por plantas y transpirada, mientras que otra parte fluye hacia corrientes o se almacena como agua subterránea. La interacción entre los componentes del ciclo hidrológico afecta la calidad, cantidad y distribución del agua, con implicaciones importantes para los ecosistemas y la sociedad </w:t>
      </w:r>
      <w:sdt>
        <w:sdtPr>
          <w:rPr>
            <w:rFonts w:cs="Arial"/>
          </w:rPr>
          <w:id w:val="-1893792773"/>
          <w:citation/>
        </w:sdtPr>
        <w:sdtEndPr/>
        <w:sdtContent>
          <w:r w:rsidRPr="00131EED">
            <w:rPr>
              <w:rFonts w:cs="Arial"/>
            </w:rPr>
            <w:fldChar w:fldCharType="begin"/>
          </w:r>
          <w:r w:rsidRPr="00131EED">
            <w:rPr>
              <w:rFonts w:cs="Arial"/>
            </w:rPr>
            <w:instrText xml:space="preserve">CITATION IDE23 \l 3082 </w:instrText>
          </w:r>
          <w:r w:rsidRPr="00131EED">
            <w:rPr>
              <w:rFonts w:cs="Arial"/>
            </w:rPr>
            <w:fldChar w:fldCharType="separate"/>
          </w:r>
          <w:r w:rsidRPr="00131EED">
            <w:rPr>
              <w:rFonts w:cs="Arial"/>
            </w:rPr>
            <w:t>(IDEAM, El ciclo hidrológico, 2013)</w:t>
          </w:r>
          <w:r w:rsidRPr="00131EED">
            <w:rPr>
              <w:rFonts w:cs="Arial"/>
            </w:rPr>
            <w:fldChar w:fldCharType="end"/>
          </w:r>
        </w:sdtContent>
      </w:sdt>
      <w:r w:rsidRPr="00131EED">
        <w:rPr>
          <w:rFonts w:cs="Arial"/>
        </w:rPr>
        <w:t xml:space="preserve">. </w:t>
      </w:r>
    </w:p>
    <w:p w14:paraId="1A3EF22F" w14:textId="77777777" w:rsidR="00CC5A4D" w:rsidRPr="00131EED" w:rsidRDefault="00CC5A4D" w:rsidP="00CC5A4D">
      <w:pPr>
        <w:rPr>
          <w:rFonts w:cs="Arial"/>
        </w:rPr>
      </w:pPr>
    </w:p>
    <w:p w14:paraId="7BDDA2DA" w14:textId="3716605C" w:rsidR="00CC5A4D" w:rsidRPr="00131EED" w:rsidRDefault="00CC5A4D" w:rsidP="00CC5A4D">
      <w:pPr>
        <w:rPr>
          <w:rFonts w:cs="Arial"/>
        </w:rPr>
      </w:pPr>
      <w:r w:rsidRPr="00131EED">
        <w:rPr>
          <w:rFonts w:cs="Arial"/>
        </w:rPr>
        <w:t xml:space="preserve">La </w:t>
      </w:r>
      <w:r w:rsidRPr="00131EED">
        <w:rPr>
          <w:rFonts w:cs="Arial"/>
          <w:i/>
        </w:rPr>
        <w:t>regulación hídrica</w:t>
      </w:r>
      <w:r w:rsidRPr="00131EED">
        <w:rPr>
          <w:rFonts w:cs="Arial"/>
        </w:rPr>
        <w:t xml:space="preserve">, tanto natural como artificial, está estrechamente relacionada con el ciclo hidrológico. De manera general, la regulación hídrica corresponde a la capacidad intrínseca de una unidad hidrográfica para mantener un régimen de caudales, influenciado por la interacción del sistema suelo-vegetación, las condiciones climáticas y las características físicas y morfométricas de la cuenca </w:t>
      </w:r>
      <w:sdt>
        <w:sdtPr>
          <w:rPr>
            <w:rFonts w:cs="Arial"/>
          </w:rPr>
          <w:id w:val="476578107"/>
          <w:citation/>
        </w:sdtPr>
        <w:sdtEndPr/>
        <w:sdtContent>
          <w:r w:rsidRPr="00131EED">
            <w:rPr>
              <w:rFonts w:cs="Arial"/>
            </w:rPr>
            <w:fldChar w:fldCharType="begin"/>
          </w:r>
          <w:r w:rsidRPr="00131EED">
            <w:rPr>
              <w:rFonts w:cs="Arial"/>
            </w:rPr>
            <w:instrText xml:space="preserve">CITATION IDE10 \t  \l 3082 </w:instrText>
          </w:r>
          <w:r w:rsidRPr="00131EED">
            <w:rPr>
              <w:rFonts w:cs="Arial"/>
            </w:rPr>
            <w:fldChar w:fldCharType="separate"/>
          </w:r>
          <w:r w:rsidRPr="00131EED">
            <w:rPr>
              <w:rFonts w:cs="Arial"/>
            </w:rPr>
            <w:t>(IDEAM, 2010)</w:t>
          </w:r>
          <w:r w:rsidRPr="00131EED">
            <w:rPr>
              <w:rFonts w:cs="Arial"/>
            </w:rPr>
            <w:fldChar w:fldCharType="end"/>
          </w:r>
        </w:sdtContent>
      </w:sdt>
      <w:r w:rsidRPr="00131EED">
        <w:rPr>
          <w:rFonts w:cs="Arial"/>
        </w:rPr>
        <w:t>. Por su parte, la regulación hídrica natural se refiere a “</w:t>
      </w:r>
      <w:r w:rsidRPr="00131EED">
        <w:rPr>
          <w:rFonts w:cs="Arial"/>
          <w:i/>
        </w:rPr>
        <w:t>la capacidad de regulación de un sistema que tiene una variabilidad natural de caudales, la cual refleja las condiciones naturales de la cuenca en el régimen de caudales de una corriente que drena una cuenca con poca o ninguna intervención</w:t>
      </w:r>
      <w:r w:rsidRPr="00131EED">
        <w:rPr>
          <w:rFonts w:cs="Arial"/>
        </w:rPr>
        <w:t>”. Por otro lado, la regulación hídrica artificial se logra mediante intervenciones antrópicas, como la construcción de presas, embalses y diques, diseñados para regular artificialmente los flujos de agua. Estas obras modifican el ciclo hidrológico al influir en la ocurrencia y distribución de los flujos de agua líquida, con el propósito de satisfacer diferentes necesidades humanas, como el suministro de agua, el control de inundaciones o la generación de energía hidroeléctrica. Aunque la regulación hídrica artificial puede brindar beneficios, también puede alterar los ecosistemas y afectar la provisión de servicios ambientales, evidenciando la estrecha relación entre la gestión del agua y el equilibrio ecológico de las cuencas hidrográficas. Esta regulación influye directamente en la cantidad y calidad del agua disponible, así como en la mitigación de inundaciones y la recarga de acuíferos.</w:t>
      </w:r>
    </w:p>
    <w:p w14:paraId="00BD84BA" w14:textId="77777777" w:rsidR="00CC5A4D" w:rsidRPr="00131EED" w:rsidRDefault="00CC5A4D" w:rsidP="00CC5A4D">
      <w:pPr>
        <w:rPr>
          <w:rFonts w:cs="Arial"/>
        </w:rPr>
      </w:pPr>
    </w:p>
    <w:p w14:paraId="01998D0B" w14:textId="798F057F" w:rsidR="00CC5A4D" w:rsidRPr="00131EED" w:rsidRDefault="00CC5A4D" w:rsidP="00CC5A4D">
      <w:pPr>
        <w:rPr>
          <w:rFonts w:cs="Arial"/>
        </w:rPr>
      </w:pPr>
      <w:r w:rsidRPr="00131EED">
        <w:rPr>
          <w:rFonts w:cs="Arial"/>
        </w:rPr>
        <w:t xml:space="preserve">La interrelación entre el ciclo hidrológico y la regulación hídrica es fundamental para comprender cómo los ecosistemas influyen en la calidad y disponibilidad del agua, así como en las </w:t>
      </w:r>
      <w:r w:rsidRPr="00131EED">
        <w:rPr>
          <w:rFonts w:cs="Arial"/>
          <w:i/>
        </w:rPr>
        <w:t>contribuciones de la naturaleza a las personas</w:t>
      </w:r>
      <w:r w:rsidRPr="00131EED">
        <w:rPr>
          <w:rFonts w:cs="Arial"/>
        </w:rPr>
        <w:t>. Los ecosistemas, vistos como unidades básicas de la naturaleza producto de la combinación compleja de organismos vivientes y no vivientes y sus interrelaciones</w:t>
      </w:r>
      <w:r w:rsidRPr="00131EED">
        <w:rPr>
          <w:rFonts w:cs="Arial"/>
          <w:vertAlign w:val="superscript"/>
        </w:rPr>
        <w:t xml:space="preserve"> </w:t>
      </w:r>
      <w:sdt>
        <w:sdtPr>
          <w:rPr>
            <w:rFonts w:cs="Arial"/>
            <w:vertAlign w:val="superscript"/>
          </w:rPr>
          <w:id w:val="-1702084010"/>
          <w:citation/>
        </w:sdtPr>
        <w:sdtEndPr/>
        <w:sdtContent>
          <w:r w:rsidRPr="00131EED">
            <w:rPr>
              <w:rFonts w:cs="Arial"/>
              <w:vertAlign w:val="superscript"/>
            </w:rPr>
            <w:fldChar w:fldCharType="begin"/>
          </w:r>
          <w:r w:rsidRPr="00131EED">
            <w:rPr>
              <w:rFonts w:cs="Arial"/>
              <w:vertAlign w:val="superscript"/>
            </w:rPr>
            <w:instrText xml:space="preserve"> CITATION IAV14 \l 3082 </w:instrText>
          </w:r>
          <w:r w:rsidRPr="00131EED">
            <w:rPr>
              <w:rFonts w:cs="Arial"/>
              <w:vertAlign w:val="superscript"/>
            </w:rPr>
            <w:fldChar w:fldCharType="separate"/>
          </w:r>
          <w:r w:rsidRPr="00131EED">
            <w:rPr>
              <w:rFonts w:cs="Arial"/>
            </w:rPr>
            <w:t>(IAVH, 2014)</w:t>
          </w:r>
          <w:r w:rsidRPr="00131EED">
            <w:rPr>
              <w:rFonts w:cs="Arial"/>
              <w:vertAlign w:val="superscript"/>
            </w:rPr>
            <w:fldChar w:fldCharType="end"/>
          </w:r>
        </w:sdtContent>
      </w:sdt>
      <w:r w:rsidRPr="00131EED">
        <w:rPr>
          <w:rFonts w:cs="Arial"/>
        </w:rPr>
        <w:t xml:space="preserve">, desempeñan un papel crucial en la regulación hídrica y la provisión de servicios ecosistémicos relacionados. Los ecosistemas terrestres proporcionan una diversidad de funciones hidrológicas importantes para el bienestar humano dentro de las que se encuentran aprovisionamiento de agua, la regulación de caudales para mitigar inundaciones y sedimentación, recarga de acuíferos que mantienen caudales en época seca, purificación de agua y control de la erosión </w:t>
      </w:r>
      <w:sdt>
        <w:sdtPr>
          <w:rPr>
            <w:rFonts w:cs="Arial"/>
          </w:rPr>
          <w:id w:val="178707045"/>
          <w:citation/>
        </w:sdtPr>
        <w:sdtEndPr/>
        <w:sdtContent>
          <w:r w:rsidRPr="00131EED">
            <w:rPr>
              <w:rFonts w:cs="Arial"/>
            </w:rPr>
            <w:fldChar w:fldCharType="begin"/>
          </w:r>
          <w:r w:rsidRPr="00131EED">
            <w:rPr>
              <w:rFonts w:cs="Arial"/>
            </w:rPr>
            <w:instrText xml:space="preserve"> CITATION MEA05 \l 3082 </w:instrText>
          </w:r>
          <w:r w:rsidRPr="00131EED">
            <w:rPr>
              <w:rFonts w:cs="Arial"/>
            </w:rPr>
            <w:fldChar w:fldCharType="separate"/>
          </w:r>
          <w:r w:rsidRPr="00131EED">
            <w:rPr>
              <w:rFonts w:cs="Arial"/>
            </w:rPr>
            <w:t>(MEA, 2005)</w:t>
          </w:r>
          <w:r w:rsidRPr="00131EED">
            <w:rPr>
              <w:rFonts w:cs="Arial"/>
            </w:rPr>
            <w:fldChar w:fldCharType="end"/>
          </w:r>
        </w:sdtContent>
      </w:sdt>
      <w:r w:rsidRPr="00131EED">
        <w:rPr>
          <w:rFonts w:cs="Arial"/>
        </w:rPr>
        <w:t xml:space="preserve">. </w:t>
      </w:r>
    </w:p>
    <w:p w14:paraId="7AC49EAF" w14:textId="77777777" w:rsidR="00CC5A4D" w:rsidRPr="00131EED" w:rsidRDefault="00CC5A4D" w:rsidP="00CC5A4D">
      <w:pPr>
        <w:rPr>
          <w:rFonts w:cs="Arial"/>
        </w:rPr>
      </w:pPr>
    </w:p>
    <w:p w14:paraId="6408940C" w14:textId="42AFF9F8" w:rsidR="00CC5A4D" w:rsidRPr="00131EED" w:rsidRDefault="00CC5A4D" w:rsidP="00CC5A4D">
      <w:pPr>
        <w:rPr>
          <w:rFonts w:cs="Arial"/>
        </w:rPr>
      </w:pPr>
      <w:r w:rsidRPr="00131EED">
        <w:rPr>
          <w:rFonts w:cs="Arial"/>
        </w:rPr>
        <w:t>Es así como la regulación hídrica, se refiere a la infiltración, retención y almacenamiento de agua en ríos, lagos y acuíferos, donde la infiltración se realiza principalmente por la cubierta vegetal y el suelo; sin dejar de lado que cada uno de estos componentes se interrelacionan y requieren de una sincronía con los componentes socio ecológicos, lo cual permite su desarrollo y sostenibilidad.</w:t>
      </w:r>
      <w:r w:rsidRPr="00131EED">
        <w:rPr>
          <w:rFonts w:cs="Arial"/>
          <w:b/>
        </w:rPr>
        <w:t xml:space="preserve"> </w:t>
      </w:r>
      <w:r w:rsidRPr="00131EED">
        <w:rPr>
          <w:rFonts w:cs="Arial"/>
        </w:rPr>
        <w:t xml:space="preserve">Aunado a ello, el uso del suelo y el cambio de uso del suelo tienen un impacto significativo en los ciclos del agua a nivel local y regional, lo que subraya la importancia de una gestión sostenible de los recursos naturales. La biodiversidad también desempeña un papel crucial en la prestación de servicios ecosistémicos, ya que sustenta los procesos y funciones de los ecosistemas, mejorando su resiliencia y capacidad para recuperarse de perturbaciones externas </w:t>
      </w:r>
      <w:sdt>
        <w:sdtPr>
          <w:rPr>
            <w:rFonts w:cs="Arial"/>
          </w:rPr>
          <w:id w:val="-1832751345"/>
          <w:citation/>
        </w:sdtPr>
        <w:sdtEndPr/>
        <w:sdtContent>
          <w:r w:rsidRPr="00131EED">
            <w:rPr>
              <w:rFonts w:cs="Arial"/>
            </w:rPr>
            <w:fldChar w:fldCharType="begin"/>
          </w:r>
          <w:r w:rsidRPr="00131EED">
            <w:rPr>
              <w:rFonts w:cs="Arial"/>
            </w:rPr>
            <w:instrText xml:space="preserve"> CITATION Cor12 \l 3082 </w:instrText>
          </w:r>
          <w:r w:rsidRPr="00131EED">
            <w:rPr>
              <w:rFonts w:cs="Arial"/>
            </w:rPr>
            <w:fldChar w:fldCharType="separate"/>
          </w:r>
          <w:r w:rsidRPr="00131EED">
            <w:rPr>
              <w:rFonts w:cs="Arial"/>
            </w:rPr>
            <w:t>(Corredor et al., 2012)</w:t>
          </w:r>
          <w:r w:rsidRPr="00131EED">
            <w:rPr>
              <w:rFonts w:cs="Arial"/>
            </w:rPr>
            <w:fldChar w:fldCharType="end"/>
          </w:r>
        </w:sdtContent>
      </w:sdt>
      <w:r w:rsidRPr="00131EED">
        <w:rPr>
          <w:rFonts w:cs="Arial"/>
        </w:rPr>
        <w:t>. Se debe entonces, destacar la importancia de considerar las contribuciones de la naturaleza a las personas como parte integral de la planificación y gestión del agua, reconociendo que los ecosistemas sanos y funcionales son fundamentales para la provisión sostenible de agua de calidad y la mitigación de riesgos asociados, como inundaciones y sequías.</w:t>
      </w:r>
    </w:p>
    <w:p w14:paraId="3824743D" w14:textId="77777777" w:rsidR="00CC5A4D" w:rsidRPr="00131EED" w:rsidRDefault="00CC5A4D" w:rsidP="00CC5A4D">
      <w:pPr>
        <w:rPr>
          <w:rFonts w:cs="Arial"/>
        </w:rPr>
      </w:pPr>
    </w:p>
    <w:p w14:paraId="698C26DE" w14:textId="0A01DCC5" w:rsidR="00CC5A4D" w:rsidRPr="00131EED" w:rsidRDefault="00CC5A4D" w:rsidP="00CC5A4D">
      <w:pPr>
        <w:rPr>
          <w:rFonts w:cs="Arial"/>
        </w:rPr>
      </w:pPr>
      <w:r w:rsidRPr="00131EED">
        <w:rPr>
          <w:rFonts w:cs="Arial"/>
        </w:rPr>
        <w:t xml:space="preserve">La </w:t>
      </w:r>
      <w:r w:rsidRPr="00131EED">
        <w:rPr>
          <w:rFonts w:cs="Arial"/>
          <w:i/>
        </w:rPr>
        <w:t xml:space="preserve">gestión integrada del agua </w:t>
      </w:r>
      <w:r w:rsidRPr="00131EED">
        <w:rPr>
          <w:rFonts w:cs="Arial"/>
        </w:rPr>
        <w:t xml:space="preserve">reconoce la importancia de los servicios ecosistémicos y promueve la conservación y el uso sostenible de los ecosistemas para garantizar la disponibilidad y calidad del agua. El enfoque ecosistémico para la gestión del agua complementa los principios de la gestión integrada del agua al considerar los servicios proporcionados por los ecosistemas y promover su conservación y restauración </w:t>
      </w:r>
      <w:sdt>
        <w:sdtPr>
          <w:rPr>
            <w:rFonts w:cs="Arial"/>
          </w:rPr>
          <w:id w:val="1307975920"/>
          <w:citation/>
        </w:sdtPr>
        <w:sdtEndPr/>
        <w:sdtContent>
          <w:r w:rsidRPr="00131EED">
            <w:rPr>
              <w:rFonts w:cs="Arial"/>
            </w:rPr>
            <w:fldChar w:fldCharType="begin"/>
          </w:r>
          <w:r w:rsidRPr="00131EED">
            <w:rPr>
              <w:rFonts w:cs="Arial"/>
            </w:rPr>
            <w:instrText xml:space="preserve"> CITATION GWP19 \l 3082 </w:instrText>
          </w:r>
          <w:r w:rsidRPr="00131EED">
            <w:rPr>
              <w:rFonts w:cs="Arial"/>
            </w:rPr>
            <w:fldChar w:fldCharType="separate"/>
          </w:r>
          <w:r w:rsidRPr="00131EED">
            <w:rPr>
              <w:rFonts w:cs="Arial"/>
            </w:rPr>
            <w:t>(GWP, 2019)</w:t>
          </w:r>
          <w:r w:rsidRPr="00131EED">
            <w:rPr>
              <w:rFonts w:cs="Arial"/>
            </w:rPr>
            <w:fldChar w:fldCharType="end"/>
          </w:r>
        </w:sdtContent>
      </w:sdt>
      <w:r w:rsidRPr="00131EED">
        <w:rPr>
          <w:rFonts w:cs="Arial"/>
        </w:rPr>
        <w:t>.</w:t>
      </w:r>
    </w:p>
    <w:p w14:paraId="07D621C5" w14:textId="35321E6A" w:rsidR="00CC5A4D" w:rsidRPr="00131EED" w:rsidRDefault="00CC5A4D" w:rsidP="00CC5A4D">
      <w:pPr>
        <w:rPr>
          <w:rFonts w:cs="Arial"/>
        </w:rPr>
      </w:pPr>
      <w:r w:rsidRPr="00131EED">
        <w:rPr>
          <w:rFonts w:cs="Arial"/>
        </w:rPr>
        <w:t xml:space="preserve">Es crucial entonces, abordar la evaluación de los impactos en el agua mediante índices que permitan una medición objetiva y sistemática. Los índices, como el Índice de Calidad del Agua (ICA), el Índice de Vulnerabilidad al Desabastecimiento Hídrico (IVDH), el índice de regulación y retención hídrica (IRH), el índice de alteración potencial de la calidad de agua (IACAL), el índice de fragmentación de ecosistemas, el índice de vegetación remanente, índice de conflicto por uso o el índice de uso del agua ofrecen herramientas valiosas para comprender las manifestaciones de las afectaciones sobre el agua. Estos índices se basan en </w:t>
      </w:r>
      <w:r w:rsidR="007D2FE9" w:rsidRPr="00131EED">
        <w:rPr>
          <w:rFonts w:cs="Arial"/>
        </w:rPr>
        <w:t>diferentes</w:t>
      </w:r>
      <w:r w:rsidRPr="00131EED">
        <w:rPr>
          <w:rFonts w:cs="Arial"/>
        </w:rPr>
        <w:t xml:space="preserve"> variables, incluyendo parámetros físicos, químicos, biológicos y de cobertura terrestre, que reflejan la salud y funcionalidad de los ecosistemas acuáticos y terrestres. </w:t>
      </w:r>
    </w:p>
    <w:p w14:paraId="3CDA42C8" w14:textId="77777777" w:rsidR="00CC5A4D" w:rsidRPr="00131EED" w:rsidRDefault="00CC5A4D" w:rsidP="00CC5A4D">
      <w:pPr>
        <w:rPr>
          <w:rFonts w:cs="Arial"/>
        </w:rPr>
      </w:pPr>
    </w:p>
    <w:p w14:paraId="1C40BFAF" w14:textId="77777777" w:rsidR="00CC5A4D" w:rsidRPr="00131EED" w:rsidRDefault="00CC5A4D" w:rsidP="00CC5A4D">
      <w:pPr>
        <w:rPr>
          <w:rFonts w:cs="Arial"/>
        </w:rPr>
      </w:pPr>
      <w:r w:rsidRPr="00131EED">
        <w:rPr>
          <w:rFonts w:cs="Arial"/>
        </w:rPr>
        <w:t xml:space="preserve">Al integrar estos índices en la gestión integrada del agua y el enfoque ecosistémico, se fortalece la capacidad de monitorear y abordar los desafíos relacionados con la calidad y disponibilidad del agua de manera holística y sostenible. Además, la aplicación de estos índices puede proporcionar información valiosa para la toma de decisiones informadas sobre la conservación, restauración y uso sostenible de los ecosistemas, contribuyendo así a garantizar la provisión continua de servicios ecosistémicos vitales para la sociedad y el medio ambiente. En este sentido, la integración de la evaluación de índices en el marco de la gestión del agua representa un paso importante hacia la resiliencia y sostenibilidad del agua en un contexto de cambio ambiental global y presiones antropogénicas crecientes. A continuación, algunas definiciones de interés asociadas con los índices ya mencionados: </w:t>
      </w:r>
    </w:p>
    <w:p w14:paraId="7B066BEC" w14:textId="77777777" w:rsidR="00CC5A4D" w:rsidRPr="00131EED" w:rsidRDefault="00CC5A4D" w:rsidP="00CC5A4D">
      <w:pPr>
        <w:rPr>
          <w:rFonts w:cs="Arial"/>
        </w:rPr>
      </w:pPr>
    </w:p>
    <w:p w14:paraId="40672449" w14:textId="7DB99CC9" w:rsidR="00CC5A4D" w:rsidRPr="00131EED" w:rsidRDefault="00CC5A4D" w:rsidP="00CC5A4D">
      <w:pPr>
        <w:rPr>
          <w:rFonts w:cs="Arial"/>
        </w:rPr>
      </w:pPr>
      <w:r w:rsidRPr="00131EED">
        <w:rPr>
          <w:rFonts w:cs="Arial"/>
          <w:i/>
        </w:rPr>
        <w:t>El Índice de Calidad del Agua en corrientes superficiales (ICA)</w:t>
      </w:r>
      <w:r w:rsidRPr="00131EED">
        <w:rPr>
          <w:rFonts w:cs="Arial"/>
        </w:rPr>
        <w:t xml:space="preserve"> es un indicador numérico que evalúa la calidad del agua de una corriente superficial en una de cinco categorías, basándose en mediciones de siete variables específicas obtenidas de una red de monitoreo. Estas variables incluyen oxígeno disuelto, sólidos en suspensión, demanda química de oxígeno, conductividad eléctrica, relación de nitrógeno total a fósforo total, pH y coliformes fecales. El ICA proporciona información sobre las condiciones físico-químicas y microbiológicas del agua, identificando problemas de contaminación en puntos específicos. Los valores del ICA oscilan entre 0 y 1, donde valores más bajos indican una peor calidad del agua y mayores limitaciones para su uso. El cálculo del ICA se utiliza para determinar el estado de las cuencas en un momento dado y evaluar las restricciones en los usos definidos para cada tramo de una corriente </w:t>
      </w:r>
      <w:sdt>
        <w:sdtPr>
          <w:rPr>
            <w:rFonts w:cs="Arial"/>
          </w:rPr>
          <w:id w:val="1843816140"/>
          <w:citation/>
        </w:sdtPr>
        <w:sdtEndPr/>
        <w:sdtContent>
          <w:r w:rsidRPr="00131EED">
            <w:rPr>
              <w:rFonts w:cs="Arial"/>
            </w:rPr>
            <w:fldChar w:fldCharType="begin"/>
          </w:r>
          <w:r w:rsidRPr="00131EED">
            <w:rPr>
              <w:rFonts w:cs="Arial"/>
            </w:rPr>
            <w:instrText xml:space="preserve">CITATION IDE0p \t  \l 3082 </w:instrText>
          </w:r>
          <w:r w:rsidRPr="00131EED">
            <w:rPr>
              <w:rFonts w:cs="Arial"/>
            </w:rPr>
            <w:fldChar w:fldCharType="separate"/>
          </w:r>
          <w:r w:rsidRPr="00131EED">
            <w:rPr>
              <w:rFonts w:cs="Arial"/>
            </w:rPr>
            <w:t>(IDEAM, 2011)</w:t>
          </w:r>
          <w:r w:rsidRPr="00131EED">
            <w:rPr>
              <w:rFonts w:cs="Arial"/>
            </w:rPr>
            <w:fldChar w:fldCharType="end"/>
          </w:r>
        </w:sdtContent>
      </w:sdt>
      <w:r w:rsidRPr="00131EED">
        <w:rPr>
          <w:rFonts w:cs="Arial"/>
        </w:rPr>
        <w:t xml:space="preserve"> (Ver </w:t>
      </w:r>
      <w:r w:rsidRPr="00131EED">
        <w:rPr>
          <w:rFonts w:cs="Arial"/>
        </w:rPr>
        <w:fldChar w:fldCharType="begin"/>
      </w:r>
      <w:r w:rsidRPr="00131EED">
        <w:rPr>
          <w:rFonts w:cs="Arial"/>
        </w:rPr>
        <w:instrText xml:space="preserve"> REF _Ref162333167 \h  \* MERGEFORMAT </w:instrText>
      </w:r>
      <w:r w:rsidRPr="00131EED">
        <w:rPr>
          <w:rFonts w:cs="Arial"/>
        </w:rPr>
      </w:r>
      <w:r w:rsidRPr="00131EED">
        <w:rPr>
          <w:rFonts w:cs="Arial"/>
        </w:rPr>
        <w:fldChar w:fldCharType="separate"/>
      </w:r>
      <w:r w:rsidR="00CE096F" w:rsidRPr="00CE096F">
        <w:rPr>
          <w:rFonts w:cs="Arial"/>
        </w:rPr>
        <w:t xml:space="preserve">Tabla </w:t>
      </w:r>
      <w:r w:rsidRPr="00131EED">
        <w:rPr>
          <w:rFonts w:cs="Arial"/>
        </w:rPr>
        <w:fldChar w:fldCharType="end"/>
      </w:r>
      <w:r w:rsidRPr="00131EED">
        <w:rPr>
          <w:rFonts w:cs="Arial"/>
        </w:rPr>
        <w:t xml:space="preserve">). </w:t>
      </w:r>
    </w:p>
    <w:p w14:paraId="4FE7DF8F" w14:textId="77777777" w:rsidR="00CC5A4D" w:rsidRPr="00131EED" w:rsidRDefault="00CC5A4D" w:rsidP="00CC5A4D">
      <w:pPr>
        <w:rPr>
          <w:rFonts w:ascii="Baskerville" w:hAnsi="Baskerville" w:cs="Arial"/>
        </w:rPr>
      </w:pPr>
    </w:p>
    <w:p w14:paraId="0D783F07" w14:textId="7CD5870C" w:rsidR="00CC5A4D" w:rsidRPr="00131EED" w:rsidRDefault="00CC5A4D" w:rsidP="00C42247">
      <w:pPr>
        <w:pStyle w:val="Caption"/>
        <w:jc w:val="center"/>
      </w:pPr>
      <w:bookmarkStart w:id="389" w:name="_Ref162333167"/>
      <w:bookmarkStart w:id="390" w:name="_Toc162340781"/>
      <w:bookmarkStart w:id="391" w:name="_Toc216468985"/>
      <w:r w:rsidRPr="00131EED">
        <w:t xml:space="preserve">Tabla </w:t>
      </w:r>
      <w:bookmarkEnd w:id="389"/>
      <w:r w:rsidRPr="00131EED">
        <w:fldChar w:fldCharType="begin"/>
      </w:r>
      <w:r w:rsidRPr="00131EED">
        <w:instrText xml:space="preserve"> SEQ Tabla \* ARABIC </w:instrText>
      </w:r>
      <w:r w:rsidRPr="00131EED">
        <w:fldChar w:fldCharType="separate"/>
      </w:r>
      <w:r w:rsidR="00CE096F">
        <w:rPr>
          <w:noProof/>
        </w:rPr>
        <w:t>75</w:t>
      </w:r>
      <w:r w:rsidRPr="00131EED">
        <w:fldChar w:fldCharType="end"/>
      </w:r>
      <w:r w:rsidRPr="00131EED">
        <w:t>. Descriptores del ICA</w:t>
      </w:r>
      <w:bookmarkEnd w:id="390"/>
      <w:bookmarkEnd w:id="391"/>
    </w:p>
    <w:tbl>
      <w:tblPr>
        <w:tblStyle w:val="GridTable1Light"/>
        <w:tblW w:w="8912" w:type="dxa"/>
        <w:tblLook w:val="04A0" w:firstRow="1" w:lastRow="0" w:firstColumn="1" w:lastColumn="0" w:noHBand="0" w:noVBand="1"/>
      </w:tblPr>
      <w:tblGrid>
        <w:gridCol w:w="2970"/>
        <w:gridCol w:w="2971"/>
        <w:gridCol w:w="2971"/>
      </w:tblGrid>
      <w:tr w:rsidR="00CC5A4D" w:rsidRPr="00131EED" w14:paraId="233C8EAF" w14:textId="77777777" w:rsidTr="00244283">
        <w:trPr>
          <w:cnfStyle w:val="100000000000" w:firstRow="1" w:lastRow="0" w:firstColumn="0" w:lastColumn="0" w:oddVBand="0" w:evenVBand="0" w:oddHBand="0" w:evenHBand="0" w:firstRowFirstColumn="0" w:firstRowLastColumn="0" w:lastRowFirstColumn="0" w:lastRowLastColumn="0"/>
          <w:trHeight w:val="218"/>
          <w:tblHeader/>
        </w:trPr>
        <w:tc>
          <w:tcPr>
            <w:cnfStyle w:val="001000000000" w:firstRow="0" w:lastRow="0" w:firstColumn="1" w:lastColumn="0" w:oddVBand="0" w:evenVBand="0" w:oddHBand="0" w:evenHBand="0" w:firstRowFirstColumn="0" w:firstRowLastColumn="0" w:lastRowFirstColumn="0" w:lastRowLastColumn="0"/>
            <w:tcW w:w="2970" w:type="dxa"/>
            <w:vAlign w:val="center"/>
          </w:tcPr>
          <w:p w14:paraId="5916AD5C" w14:textId="77777777" w:rsidR="00CC5A4D" w:rsidRPr="00131EED" w:rsidRDefault="00CC5A4D" w:rsidP="006845C5">
            <w:pPr>
              <w:jc w:val="center"/>
              <w:rPr>
                <w:rFonts w:cs="Arial"/>
                <w:sz w:val="20"/>
                <w:szCs w:val="20"/>
              </w:rPr>
            </w:pPr>
            <w:r w:rsidRPr="00131EED">
              <w:rPr>
                <w:rFonts w:cs="Arial"/>
                <w:sz w:val="20"/>
                <w:szCs w:val="20"/>
              </w:rPr>
              <w:t>CATEGORÍAS DE VALORES QUE PUEDE TOMAR EL INDICADOR</w:t>
            </w:r>
          </w:p>
        </w:tc>
        <w:tc>
          <w:tcPr>
            <w:tcW w:w="2971" w:type="dxa"/>
            <w:vAlign w:val="center"/>
          </w:tcPr>
          <w:p w14:paraId="560576A4"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CALIFICACIÓN DE LA CALIDAD DEL AGUA</w:t>
            </w:r>
          </w:p>
        </w:tc>
        <w:tc>
          <w:tcPr>
            <w:tcW w:w="2971" w:type="dxa"/>
            <w:vAlign w:val="center"/>
          </w:tcPr>
          <w:p w14:paraId="2AA551B6"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SEÑAL DE ALERTA</w:t>
            </w:r>
          </w:p>
        </w:tc>
      </w:tr>
      <w:tr w:rsidR="00CC5A4D" w:rsidRPr="00131EED" w14:paraId="6B0D4F34" w14:textId="77777777" w:rsidTr="00244283">
        <w:trPr>
          <w:trHeight w:val="211"/>
        </w:trPr>
        <w:tc>
          <w:tcPr>
            <w:cnfStyle w:val="001000000000" w:firstRow="0" w:lastRow="0" w:firstColumn="1" w:lastColumn="0" w:oddVBand="0" w:evenVBand="0" w:oddHBand="0" w:evenHBand="0" w:firstRowFirstColumn="0" w:firstRowLastColumn="0" w:lastRowFirstColumn="0" w:lastRowLastColumn="0"/>
            <w:tcW w:w="2970" w:type="dxa"/>
          </w:tcPr>
          <w:p w14:paraId="653A81B3" w14:textId="77777777" w:rsidR="00CC5A4D" w:rsidRPr="00131EED" w:rsidRDefault="00CC5A4D" w:rsidP="006845C5">
            <w:pPr>
              <w:jc w:val="center"/>
              <w:rPr>
                <w:rFonts w:cs="Arial"/>
                <w:b w:val="0"/>
                <w:sz w:val="20"/>
                <w:szCs w:val="20"/>
              </w:rPr>
            </w:pPr>
            <w:r w:rsidRPr="00131EED">
              <w:rPr>
                <w:rFonts w:cs="Arial"/>
                <w:b w:val="0"/>
                <w:sz w:val="20"/>
                <w:szCs w:val="20"/>
              </w:rPr>
              <w:t>0.00 – 0.25</w:t>
            </w:r>
          </w:p>
        </w:tc>
        <w:tc>
          <w:tcPr>
            <w:tcW w:w="2971" w:type="dxa"/>
          </w:tcPr>
          <w:p w14:paraId="108E9DB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Muy mala</w:t>
            </w:r>
          </w:p>
        </w:tc>
        <w:tc>
          <w:tcPr>
            <w:tcW w:w="2971" w:type="dxa"/>
            <w:shd w:val="clear" w:color="auto" w:fill="FF0000"/>
          </w:tcPr>
          <w:p w14:paraId="4A45990C"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Rojo</w:t>
            </w:r>
          </w:p>
        </w:tc>
      </w:tr>
      <w:tr w:rsidR="00CC5A4D" w:rsidRPr="00131EED" w14:paraId="78DD119D" w14:textId="77777777" w:rsidTr="00244283">
        <w:trPr>
          <w:trHeight w:val="218"/>
        </w:trPr>
        <w:tc>
          <w:tcPr>
            <w:cnfStyle w:val="001000000000" w:firstRow="0" w:lastRow="0" w:firstColumn="1" w:lastColumn="0" w:oddVBand="0" w:evenVBand="0" w:oddHBand="0" w:evenHBand="0" w:firstRowFirstColumn="0" w:firstRowLastColumn="0" w:lastRowFirstColumn="0" w:lastRowLastColumn="0"/>
            <w:tcW w:w="2970" w:type="dxa"/>
          </w:tcPr>
          <w:p w14:paraId="78A462AB" w14:textId="77777777" w:rsidR="00CC5A4D" w:rsidRPr="00131EED" w:rsidRDefault="00CC5A4D" w:rsidP="006845C5">
            <w:pPr>
              <w:jc w:val="center"/>
              <w:rPr>
                <w:rFonts w:cs="Arial"/>
                <w:b w:val="0"/>
                <w:sz w:val="20"/>
                <w:szCs w:val="20"/>
              </w:rPr>
            </w:pPr>
            <w:r w:rsidRPr="00131EED">
              <w:rPr>
                <w:rFonts w:cs="Arial"/>
                <w:b w:val="0"/>
                <w:sz w:val="20"/>
                <w:szCs w:val="20"/>
              </w:rPr>
              <w:t>0.25 – 0.50</w:t>
            </w:r>
          </w:p>
        </w:tc>
        <w:tc>
          <w:tcPr>
            <w:tcW w:w="2971" w:type="dxa"/>
          </w:tcPr>
          <w:p w14:paraId="556A1FCC"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Mala</w:t>
            </w:r>
          </w:p>
        </w:tc>
        <w:tc>
          <w:tcPr>
            <w:tcW w:w="2971" w:type="dxa"/>
            <w:shd w:val="clear" w:color="auto" w:fill="FFC000"/>
          </w:tcPr>
          <w:p w14:paraId="6352C1AE"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Naranja</w:t>
            </w:r>
          </w:p>
        </w:tc>
      </w:tr>
      <w:tr w:rsidR="00CC5A4D" w:rsidRPr="00131EED" w14:paraId="47B02078" w14:textId="77777777" w:rsidTr="00244283">
        <w:trPr>
          <w:trHeight w:val="211"/>
        </w:trPr>
        <w:tc>
          <w:tcPr>
            <w:cnfStyle w:val="001000000000" w:firstRow="0" w:lastRow="0" w:firstColumn="1" w:lastColumn="0" w:oddVBand="0" w:evenVBand="0" w:oddHBand="0" w:evenHBand="0" w:firstRowFirstColumn="0" w:firstRowLastColumn="0" w:lastRowFirstColumn="0" w:lastRowLastColumn="0"/>
            <w:tcW w:w="2970" w:type="dxa"/>
          </w:tcPr>
          <w:p w14:paraId="53F9B955" w14:textId="77777777" w:rsidR="00CC5A4D" w:rsidRPr="00131EED" w:rsidRDefault="00CC5A4D" w:rsidP="006845C5">
            <w:pPr>
              <w:jc w:val="center"/>
              <w:rPr>
                <w:rFonts w:cs="Arial"/>
                <w:b w:val="0"/>
                <w:sz w:val="20"/>
                <w:szCs w:val="20"/>
              </w:rPr>
            </w:pPr>
            <w:r w:rsidRPr="00131EED">
              <w:rPr>
                <w:rFonts w:cs="Arial"/>
                <w:b w:val="0"/>
                <w:sz w:val="20"/>
                <w:szCs w:val="20"/>
              </w:rPr>
              <w:t>0.51 – 0.70</w:t>
            </w:r>
          </w:p>
        </w:tc>
        <w:tc>
          <w:tcPr>
            <w:tcW w:w="2971" w:type="dxa"/>
          </w:tcPr>
          <w:p w14:paraId="2E47D11D"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Regular</w:t>
            </w:r>
          </w:p>
        </w:tc>
        <w:tc>
          <w:tcPr>
            <w:tcW w:w="2971" w:type="dxa"/>
            <w:shd w:val="clear" w:color="auto" w:fill="FFFF00"/>
          </w:tcPr>
          <w:p w14:paraId="142E1A35"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Amarillo</w:t>
            </w:r>
          </w:p>
        </w:tc>
      </w:tr>
      <w:tr w:rsidR="00CC5A4D" w:rsidRPr="00131EED" w14:paraId="1AC97856" w14:textId="77777777" w:rsidTr="00244283">
        <w:trPr>
          <w:trHeight w:val="218"/>
        </w:trPr>
        <w:tc>
          <w:tcPr>
            <w:cnfStyle w:val="001000000000" w:firstRow="0" w:lastRow="0" w:firstColumn="1" w:lastColumn="0" w:oddVBand="0" w:evenVBand="0" w:oddHBand="0" w:evenHBand="0" w:firstRowFirstColumn="0" w:firstRowLastColumn="0" w:lastRowFirstColumn="0" w:lastRowLastColumn="0"/>
            <w:tcW w:w="2970" w:type="dxa"/>
          </w:tcPr>
          <w:p w14:paraId="4ADA84CB" w14:textId="77777777" w:rsidR="00CC5A4D" w:rsidRPr="00131EED" w:rsidRDefault="00CC5A4D" w:rsidP="006845C5">
            <w:pPr>
              <w:jc w:val="center"/>
              <w:rPr>
                <w:rFonts w:cs="Arial"/>
                <w:b w:val="0"/>
                <w:sz w:val="20"/>
                <w:szCs w:val="20"/>
              </w:rPr>
            </w:pPr>
            <w:r w:rsidRPr="00131EED">
              <w:rPr>
                <w:rFonts w:cs="Arial"/>
                <w:b w:val="0"/>
                <w:sz w:val="20"/>
                <w:szCs w:val="20"/>
              </w:rPr>
              <w:t>0.71 – 0.90</w:t>
            </w:r>
          </w:p>
        </w:tc>
        <w:tc>
          <w:tcPr>
            <w:tcW w:w="2971" w:type="dxa"/>
          </w:tcPr>
          <w:p w14:paraId="3C253A7C"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Aceptable</w:t>
            </w:r>
          </w:p>
        </w:tc>
        <w:tc>
          <w:tcPr>
            <w:tcW w:w="2971" w:type="dxa"/>
            <w:shd w:val="clear" w:color="auto" w:fill="00B050"/>
          </w:tcPr>
          <w:p w14:paraId="7B417F9C"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Verde</w:t>
            </w:r>
          </w:p>
        </w:tc>
      </w:tr>
      <w:tr w:rsidR="00CC5A4D" w:rsidRPr="00131EED" w14:paraId="0572D9F4" w14:textId="77777777" w:rsidTr="00244283">
        <w:trPr>
          <w:trHeight w:val="211"/>
        </w:trPr>
        <w:tc>
          <w:tcPr>
            <w:cnfStyle w:val="001000000000" w:firstRow="0" w:lastRow="0" w:firstColumn="1" w:lastColumn="0" w:oddVBand="0" w:evenVBand="0" w:oddHBand="0" w:evenHBand="0" w:firstRowFirstColumn="0" w:firstRowLastColumn="0" w:lastRowFirstColumn="0" w:lastRowLastColumn="0"/>
            <w:tcW w:w="2970" w:type="dxa"/>
          </w:tcPr>
          <w:p w14:paraId="3E1A4E0A" w14:textId="77777777" w:rsidR="00CC5A4D" w:rsidRPr="00131EED" w:rsidRDefault="00CC5A4D" w:rsidP="006845C5">
            <w:pPr>
              <w:jc w:val="center"/>
              <w:rPr>
                <w:rFonts w:cs="Arial"/>
                <w:b w:val="0"/>
                <w:sz w:val="20"/>
                <w:szCs w:val="20"/>
              </w:rPr>
            </w:pPr>
            <w:r w:rsidRPr="00131EED">
              <w:rPr>
                <w:rFonts w:cs="Arial"/>
                <w:b w:val="0"/>
                <w:sz w:val="20"/>
                <w:szCs w:val="20"/>
              </w:rPr>
              <w:t>0.91 – 1.00</w:t>
            </w:r>
          </w:p>
        </w:tc>
        <w:tc>
          <w:tcPr>
            <w:tcW w:w="2971" w:type="dxa"/>
          </w:tcPr>
          <w:p w14:paraId="1230A476"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Buena</w:t>
            </w:r>
          </w:p>
        </w:tc>
        <w:tc>
          <w:tcPr>
            <w:tcW w:w="2971" w:type="dxa"/>
            <w:shd w:val="clear" w:color="auto" w:fill="0070C0"/>
          </w:tcPr>
          <w:p w14:paraId="6F21F9A3"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Azul</w:t>
            </w:r>
          </w:p>
        </w:tc>
      </w:tr>
    </w:tbl>
    <w:p w14:paraId="2220234F" w14:textId="6A21B5B8" w:rsidR="00CC5A4D" w:rsidRPr="00131EED" w:rsidRDefault="00CC5A4D" w:rsidP="006845C5">
      <w:pPr>
        <w:jc w:val="center"/>
        <w:rPr>
          <w:rFonts w:ascii="Baskerville" w:hAnsi="Baskerville" w:cs="Arial"/>
          <w:sz w:val="18"/>
          <w:szCs w:val="18"/>
        </w:rPr>
      </w:pPr>
      <w:r w:rsidRPr="00131EED">
        <w:rPr>
          <w:rFonts w:ascii="Baskerville" w:hAnsi="Baskerville" w:cs="Arial"/>
          <w:sz w:val="18"/>
          <w:szCs w:val="18"/>
        </w:rPr>
        <w:t xml:space="preserve">Fuente: IDEAM, </w:t>
      </w:r>
      <w:sdt>
        <w:sdtPr>
          <w:rPr>
            <w:rFonts w:ascii="Baskerville" w:hAnsi="Baskerville" w:cs="Arial"/>
            <w:sz w:val="18"/>
            <w:szCs w:val="18"/>
          </w:rPr>
          <w:id w:val="1943035847"/>
          <w:citation/>
        </w:sdtPr>
        <w:sdtEndPr/>
        <w:sdtContent>
          <w:r w:rsidRPr="00131EED">
            <w:rPr>
              <w:rFonts w:ascii="Baskerville" w:hAnsi="Baskerville" w:cs="Arial"/>
              <w:sz w:val="18"/>
              <w:szCs w:val="18"/>
            </w:rPr>
            <w:fldChar w:fldCharType="begin"/>
          </w:r>
          <w:r w:rsidRPr="00131EED">
            <w:rPr>
              <w:rFonts w:ascii="Baskerville" w:hAnsi="Baskerville" w:cs="Arial"/>
              <w:sz w:val="18"/>
              <w:szCs w:val="18"/>
            </w:rPr>
            <w:instrText xml:space="preserve">CITATION IDE0p \n  \t  \l 3082 </w:instrText>
          </w:r>
          <w:r w:rsidRPr="00131EED">
            <w:rPr>
              <w:rFonts w:ascii="Baskerville" w:hAnsi="Baskerville" w:cs="Arial"/>
              <w:sz w:val="18"/>
              <w:szCs w:val="18"/>
            </w:rPr>
            <w:fldChar w:fldCharType="separate"/>
          </w:r>
          <w:r w:rsidRPr="00131EED">
            <w:rPr>
              <w:rFonts w:ascii="Baskerville" w:hAnsi="Baskerville" w:cs="Arial"/>
              <w:sz w:val="18"/>
              <w:szCs w:val="18"/>
            </w:rPr>
            <w:t>(2011)</w:t>
          </w:r>
          <w:r w:rsidRPr="00131EED">
            <w:rPr>
              <w:rFonts w:ascii="Baskerville" w:hAnsi="Baskerville" w:cs="Arial"/>
              <w:sz w:val="18"/>
              <w:szCs w:val="18"/>
            </w:rPr>
            <w:fldChar w:fldCharType="end"/>
          </w:r>
        </w:sdtContent>
      </w:sdt>
    </w:p>
    <w:p w14:paraId="45F753FB" w14:textId="77777777" w:rsidR="00CC5A4D" w:rsidRPr="00131EED" w:rsidRDefault="00CC5A4D" w:rsidP="00CC5A4D">
      <w:pPr>
        <w:rPr>
          <w:rFonts w:ascii="Baskerville" w:hAnsi="Baskerville" w:cs="Arial"/>
          <w:sz w:val="18"/>
          <w:szCs w:val="18"/>
        </w:rPr>
      </w:pPr>
    </w:p>
    <w:p w14:paraId="3C5DAC8F" w14:textId="35FCBA11" w:rsidR="00CC5A4D" w:rsidRPr="00131EED" w:rsidRDefault="00CC5A4D" w:rsidP="00CC5A4D">
      <w:pPr>
        <w:rPr>
          <w:rFonts w:cs="Arial"/>
        </w:rPr>
      </w:pPr>
      <w:r w:rsidRPr="00131EED">
        <w:rPr>
          <w:rFonts w:cs="Arial"/>
          <w:i/>
        </w:rPr>
        <w:t>El Índice de Uso del Agua – IUA</w:t>
      </w:r>
      <w:r w:rsidRPr="00131EED">
        <w:rPr>
          <w:rFonts w:cs="Arial"/>
        </w:rPr>
        <w:t xml:space="preserve"> corresponde a la cantidad de agua utilizada por los diferentes sectores de usuarios, en un período determinado, ya sea anual o mensual y unidad espacial de análisis (área, zona, subzona, etc.), en relación con la Oferta Hídrica Regional Disponible – OHRD para las mismas unidades de temporales y espaciales. Recordemos que la OHRD, es la Oferta Hídrica Disponible más los caudales de retorno </w:t>
      </w:r>
      <w:sdt>
        <w:sdtPr>
          <w:rPr>
            <w:rFonts w:cs="Arial"/>
          </w:rPr>
          <w:id w:val="-815344234"/>
          <w:citation/>
        </w:sdtPr>
        <w:sdtEndPr/>
        <w:sdtContent>
          <w:r w:rsidRPr="00131EED">
            <w:rPr>
              <w:rFonts w:cs="Arial"/>
            </w:rPr>
            <w:fldChar w:fldCharType="begin"/>
          </w:r>
          <w:r w:rsidRPr="00131EED">
            <w:rPr>
              <w:rFonts w:cs="Arial"/>
            </w:rPr>
            <w:instrText xml:space="preserve">CITATION IDE13 \t  \l 3082 </w:instrText>
          </w:r>
          <w:r w:rsidRPr="00131EED">
            <w:rPr>
              <w:rFonts w:cs="Arial"/>
            </w:rPr>
            <w:fldChar w:fldCharType="separate"/>
          </w:r>
          <w:r w:rsidRPr="00131EED">
            <w:rPr>
              <w:rFonts w:cs="Arial"/>
            </w:rPr>
            <w:t>(IDEAM, 2013)</w:t>
          </w:r>
          <w:r w:rsidRPr="00131EED">
            <w:rPr>
              <w:rFonts w:cs="Arial"/>
            </w:rPr>
            <w:fldChar w:fldCharType="end"/>
          </w:r>
        </w:sdtContent>
      </w:sdt>
      <w:r w:rsidRPr="00131EED">
        <w:rPr>
          <w:rFonts w:cs="Arial"/>
        </w:rPr>
        <w:t xml:space="preserve">.  </w:t>
      </w:r>
    </w:p>
    <w:p w14:paraId="60279D70" w14:textId="77777777" w:rsidR="00A4471C" w:rsidRPr="00131EED" w:rsidRDefault="00A4471C" w:rsidP="00CC5A4D">
      <w:pPr>
        <w:rPr>
          <w:rFonts w:ascii="Baskerville" w:hAnsi="Baskerville" w:cs="Arial"/>
          <w:sz w:val="20"/>
          <w:szCs w:val="20"/>
        </w:rPr>
      </w:pPr>
    </w:p>
    <w:p w14:paraId="6ED64C5F" w14:textId="3A93FDAA" w:rsidR="00CC5A4D" w:rsidRPr="00131EED" w:rsidRDefault="00CC5A4D" w:rsidP="00244283">
      <w:pPr>
        <w:pStyle w:val="Caption"/>
        <w:jc w:val="center"/>
      </w:pPr>
      <w:bookmarkStart w:id="392" w:name="_Toc162340782"/>
      <w:bookmarkStart w:id="393" w:name="_Toc216468986"/>
      <w:r w:rsidRPr="00131EED">
        <w:t xml:space="preserve">Tabla </w:t>
      </w:r>
      <w:r w:rsidRPr="00131EED">
        <w:fldChar w:fldCharType="begin"/>
      </w:r>
      <w:r w:rsidRPr="00131EED">
        <w:instrText>SEQ Tabla \* ARABIC</w:instrText>
      </w:r>
      <w:r w:rsidRPr="00131EED">
        <w:fldChar w:fldCharType="separate"/>
      </w:r>
      <w:r w:rsidR="00CE096F">
        <w:rPr>
          <w:noProof/>
        </w:rPr>
        <w:t>76</w:t>
      </w:r>
      <w:r w:rsidRPr="00131EED">
        <w:fldChar w:fldCharType="end"/>
      </w:r>
      <w:r w:rsidRPr="00131EED">
        <w:t>. Rangos y categorías del índice de uso del agua – IUA</w:t>
      </w:r>
      <w:bookmarkEnd w:id="392"/>
      <w:bookmarkEnd w:id="393"/>
    </w:p>
    <w:tbl>
      <w:tblPr>
        <w:tblStyle w:val="GridTable1Light"/>
        <w:tblW w:w="8848" w:type="dxa"/>
        <w:tblLook w:val="04A0" w:firstRow="1" w:lastRow="0" w:firstColumn="1" w:lastColumn="0" w:noHBand="0" w:noVBand="1"/>
      </w:tblPr>
      <w:tblGrid>
        <w:gridCol w:w="1486"/>
        <w:gridCol w:w="1404"/>
        <w:gridCol w:w="5958"/>
      </w:tblGrid>
      <w:tr w:rsidR="00CC5A4D" w:rsidRPr="00131EED" w14:paraId="39C6AF0A" w14:textId="77777777" w:rsidTr="00053167">
        <w:trPr>
          <w:cnfStyle w:val="100000000000" w:firstRow="1" w:lastRow="0" w:firstColumn="0" w:lastColumn="0" w:oddVBand="0" w:evenVBand="0" w:oddHBand="0" w:evenHBand="0" w:firstRowFirstColumn="0" w:firstRowLastColumn="0" w:lastRowFirstColumn="0" w:lastRowLastColumn="0"/>
          <w:trHeight w:val="207"/>
        </w:trPr>
        <w:tc>
          <w:tcPr>
            <w:cnfStyle w:val="001000000000" w:firstRow="0" w:lastRow="0" w:firstColumn="1" w:lastColumn="0" w:oddVBand="0" w:evenVBand="0" w:oddHBand="0" w:evenHBand="0" w:firstRowFirstColumn="0" w:firstRowLastColumn="0" w:lastRowFirstColumn="0" w:lastRowLastColumn="0"/>
            <w:tcW w:w="1491" w:type="dxa"/>
            <w:vAlign w:val="center"/>
          </w:tcPr>
          <w:p w14:paraId="2E3CC921" w14:textId="2E454D2E" w:rsidR="00CC5A4D" w:rsidRPr="00131EED" w:rsidRDefault="00CC5A4D" w:rsidP="006845C5">
            <w:pPr>
              <w:jc w:val="center"/>
              <w:rPr>
                <w:rFonts w:cs="Arial"/>
                <w:sz w:val="20"/>
                <w:szCs w:val="20"/>
              </w:rPr>
            </w:pPr>
            <w:r w:rsidRPr="00131EED">
              <w:rPr>
                <w:rFonts w:cs="Arial"/>
                <w:sz w:val="20"/>
                <w:szCs w:val="20"/>
              </w:rPr>
              <w:t>RANGOS DE VALORES</w:t>
            </w:r>
          </w:p>
        </w:tc>
        <w:tc>
          <w:tcPr>
            <w:tcW w:w="1347" w:type="dxa"/>
            <w:vAlign w:val="center"/>
          </w:tcPr>
          <w:p w14:paraId="6CFCD120"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CATEGORÍA</w:t>
            </w:r>
          </w:p>
        </w:tc>
        <w:tc>
          <w:tcPr>
            <w:tcW w:w="6010" w:type="dxa"/>
          </w:tcPr>
          <w:p w14:paraId="39EFA62C"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CARACTERÍSTICAS</w:t>
            </w:r>
          </w:p>
        </w:tc>
      </w:tr>
      <w:tr w:rsidR="00CC5A4D" w:rsidRPr="00131EED" w14:paraId="21E85C4F" w14:textId="77777777" w:rsidTr="00053167">
        <w:trPr>
          <w:trHeight w:val="200"/>
        </w:trPr>
        <w:tc>
          <w:tcPr>
            <w:cnfStyle w:val="001000000000" w:firstRow="0" w:lastRow="0" w:firstColumn="1" w:lastColumn="0" w:oddVBand="0" w:evenVBand="0" w:oddHBand="0" w:evenHBand="0" w:firstRowFirstColumn="0" w:firstRowLastColumn="0" w:lastRowFirstColumn="0" w:lastRowLastColumn="0"/>
            <w:tcW w:w="1491" w:type="dxa"/>
          </w:tcPr>
          <w:p w14:paraId="1635F04C" w14:textId="77777777" w:rsidR="00CC5A4D" w:rsidRPr="00131EED" w:rsidRDefault="00CC5A4D" w:rsidP="006845C5">
            <w:pPr>
              <w:jc w:val="center"/>
              <w:rPr>
                <w:rFonts w:cs="Arial"/>
                <w:b w:val="0"/>
                <w:sz w:val="20"/>
                <w:szCs w:val="20"/>
              </w:rPr>
            </w:pPr>
            <w:r w:rsidRPr="00131EED">
              <w:rPr>
                <w:rFonts w:cs="Arial"/>
                <w:b w:val="0"/>
                <w:sz w:val="20"/>
                <w:szCs w:val="20"/>
              </w:rPr>
              <w:t>&gt;50</w:t>
            </w:r>
          </w:p>
        </w:tc>
        <w:tc>
          <w:tcPr>
            <w:tcW w:w="1347" w:type="dxa"/>
            <w:shd w:val="clear" w:color="auto" w:fill="FF0000"/>
          </w:tcPr>
          <w:p w14:paraId="2E504909"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Muy alto</w:t>
            </w:r>
          </w:p>
        </w:tc>
        <w:tc>
          <w:tcPr>
            <w:tcW w:w="6010" w:type="dxa"/>
            <w:shd w:val="clear" w:color="auto" w:fill="FFFFFF" w:themeFill="background1"/>
          </w:tcPr>
          <w:p w14:paraId="590EA54D"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La presión de la demanda es muy alta con respecto a la oferta disponible</w:t>
            </w:r>
          </w:p>
        </w:tc>
      </w:tr>
      <w:tr w:rsidR="00CC5A4D" w:rsidRPr="00131EED" w14:paraId="61F55D68" w14:textId="77777777" w:rsidTr="00053167">
        <w:trPr>
          <w:trHeight w:val="207"/>
        </w:trPr>
        <w:tc>
          <w:tcPr>
            <w:cnfStyle w:val="001000000000" w:firstRow="0" w:lastRow="0" w:firstColumn="1" w:lastColumn="0" w:oddVBand="0" w:evenVBand="0" w:oddHBand="0" w:evenHBand="0" w:firstRowFirstColumn="0" w:firstRowLastColumn="0" w:lastRowFirstColumn="0" w:lastRowLastColumn="0"/>
            <w:tcW w:w="1491" w:type="dxa"/>
          </w:tcPr>
          <w:p w14:paraId="6A29F44D" w14:textId="77777777" w:rsidR="00CC5A4D" w:rsidRPr="00131EED" w:rsidRDefault="00CC5A4D" w:rsidP="006845C5">
            <w:pPr>
              <w:jc w:val="center"/>
              <w:rPr>
                <w:rFonts w:cs="Arial"/>
                <w:b w:val="0"/>
                <w:sz w:val="20"/>
                <w:szCs w:val="20"/>
              </w:rPr>
            </w:pPr>
            <w:r w:rsidRPr="00131EED">
              <w:rPr>
                <w:rFonts w:cs="Arial"/>
                <w:b w:val="0"/>
                <w:sz w:val="20"/>
                <w:szCs w:val="20"/>
              </w:rPr>
              <w:t>20.01 - 50</w:t>
            </w:r>
          </w:p>
        </w:tc>
        <w:tc>
          <w:tcPr>
            <w:tcW w:w="1347" w:type="dxa"/>
            <w:shd w:val="clear" w:color="auto" w:fill="FFC000"/>
          </w:tcPr>
          <w:p w14:paraId="668E114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c>
          <w:tcPr>
            <w:tcW w:w="6010" w:type="dxa"/>
            <w:shd w:val="clear" w:color="auto" w:fill="FFFFFF" w:themeFill="background1"/>
          </w:tcPr>
          <w:p w14:paraId="7338B7F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La presión de la demanda es alta con respecto a la oferta disponible</w:t>
            </w:r>
          </w:p>
        </w:tc>
      </w:tr>
      <w:tr w:rsidR="00CC5A4D" w:rsidRPr="00131EED" w14:paraId="7C9DAF38" w14:textId="77777777" w:rsidTr="00053167">
        <w:trPr>
          <w:trHeight w:val="200"/>
        </w:trPr>
        <w:tc>
          <w:tcPr>
            <w:cnfStyle w:val="001000000000" w:firstRow="0" w:lastRow="0" w:firstColumn="1" w:lastColumn="0" w:oddVBand="0" w:evenVBand="0" w:oddHBand="0" w:evenHBand="0" w:firstRowFirstColumn="0" w:firstRowLastColumn="0" w:lastRowFirstColumn="0" w:lastRowLastColumn="0"/>
            <w:tcW w:w="1491" w:type="dxa"/>
          </w:tcPr>
          <w:p w14:paraId="1D0D5C4A" w14:textId="77777777" w:rsidR="00CC5A4D" w:rsidRPr="00131EED" w:rsidRDefault="00CC5A4D" w:rsidP="006845C5">
            <w:pPr>
              <w:jc w:val="center"/>
              <w:rPr>
                <w:rFonts w:cs="Arial"/>
                <w:b w:val="0"/>
                <w:sz w:val="20"/>
                <w:szCs w:val="20"/>
              </w:rPr>
            </w:pPr>
            <w:r w:rsidRPr="00131EED">
              <w:rPr>
                <w:rFonts w:cs="Arial"/>
                <w:b w:val="0"/>
                <w:sz w:val="20"/>
                <w:szCs w:val="20"/>
              </w:rPr>
              <w:t>10.01 – 20.0</w:t>
            </w:r>
          </w:p>
        </w:tc>
        <w:tc>
          <w:tcPr>
            <w:tcW w:w="1347" w:type="dxa"/>
            <w:shd w:val="clear" w:color="auto" w:fill="FFFF00"/>
          </w:tcPr>
          <w:p w14:paraId="249A3FE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Medio</w:t>
            </w:r>
          </w:p>
        </w:tc>
        <w:tc>
          <w:tcPr>
            <w:tcW w:w="6010" w:type="dxa"/>
            <w:shd w:val="clear" w:color="auto" w:fill="FFFFFF" w:themeFill="background1"/>
          </w:tcPr>
          <w:p w14:paraId="4C9148AB"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La presión de la demanda es moderada con respecto a la oferta disponible</w:t>
            </w:r>
          </w:p>
        </w:tc>
      </w:tr>
      <w:tr w:rsidR="00CC5A4D" w:rsidRPr="00131EED" w14:paraId="166AD4E4" w14:textId="77777777" w:rsidTr="00053167">
        <w:trPr>
          <w:trHeight w:val="207"/>
        </w:trPr>
        <w:tc>
          <w:tcPr>
            <w:cnfStyle w:val="001000000000" w:firstRow="0" w:lastRow="0" w:firstColumn="1" w:lastColumn="0" w:oddVBand="0" w:evenVBand="0" w:oddHBand="0" w:evenHBand="0" w:firstRowFirstColumn="0" w:firstRowLastColumn="0" w:lastRowFirstColumn="0" w:lastRowLastColumn="0"/>
            <w:tcW w:w="1491" w:type="dxa"/>
          </w:tcPr>
          <w:p w14:paraId="4857F526" w14:textId="77777777" w:rsidR="00CC5A4D" w:rsidRPr="00131EED" w:rsidRDefault="00CC5A4D" w:rsidP="006845C5">
            <w:pPr>
              <w:jc w:val="center"/>
              <w:rPr>
                <w:rFonts w:cs="Arial"/>
                <w:b w:val="0"/>
                <w:sz w:val="20"/>
                <w:szCs w:val="20"/>
              </w:rPr>
            </w:pPr>
            <w:r w:rsidRPr="00131EED">
              <w:rPr>
                <w:rFonts w:cs="Arial"/>
                <w:b w:val="0"/>
                <w:sz w:val="20"/>
                <w:szCs w:val="20"/>
              </w:rPr>
              <w:t>1.0 – 10.0</w:t>
            </w:r>
          </w:p>
        </w:tc>
        <w:tc>
          <w:tcPr>
            <w:tcW w:w="1347" w:type="dxa"/>
            <w:shd w:val="clear" w:color="auto" w:fill="00B050"/>
          </w:tcPr>
          <w:p w14:paraId="71648BBE"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c>
          <w:tcPr>
            <w:tcW w:w="6010" w:type="dxa"/>
            <w:shd w:val="clear" w:color="auto" w:fill="FFFFFF" w:themeFill="background1"/>
          </w:tcPr>
          <w:p w14:paraId="3951E92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La presión de la demanda es baja con respecto a la oferta disponible</w:t>
            </w:r>
          </w:p>
        </w:tc>
      </w:tr>
      <w:tr w:rsidR="00CC5A4D" w:rsidRPr="00131EED" w14:paraId="46EC813E" w14:textId="77777777" w:rsidTr="00053167">
        <w:trPr>
          <w:trHeight w:val="200"/>
        </w:trPr>
        <w:tc>
          <w:tcPr>
            <w:cnfStyle w:val="001000000000" w:firstRow="0" w:lastRow="0" w:firstColumn="1" w:lastColumn="0" w:oddVBand="0" w:evenVBand="0" w:oddHBand="0" w:evenHBand="0" w:firstRowFirstColumn="0" w:firstRowLastColumn="0" w:lastRowFirstColumn="0" w:lastRowLastColumn="0"/>
            <w:tcW w:w="1491" w:type="dxa"/>
          </w:tcPr>
          <w:p w14:paraId="1B75E022" w14:textId="77777777" w:rsidR="00CC5A4D" w:rsidRPr="00131EED" w:rsidRDefault="00CC5A4D" w:rsidP="006845C5">
            <w:pPr>
              <w:jc w:val="center"/>
              <w:rPr>
                <w:rFonts w:cs="Arial"/>
                <w:b w:val="0"/>
                <w:sz w:val="20"/>
                <w:szCs w:val="20"/>
              </w:rPr>
            </w:pPr>
            <w:r w:rsidRPr="00131EED">
              <w:rPr>
                <w:rFonts w:cs="Arial"/>
                <w:b w:val="0"/>
                <w:sz w:val="20"/>
                <w:szCs w:val="20"/>
              </w:rPr>
              <w:t>≤1</w:t>
            </w:r>
          </w:p>
        </w:tc>
        <w:tc>
          <w:tcPr>
            <w:tcW w:w="1347" w:type="dxa"/>
            <w:shd w:val="clear" w:color="auto" w:fill="0070C0"/>
          </w:tcPr>
          <w:p w14:paraId="14243FC3"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Muy bajo</w:t>
            </w:r>
          </w:p>
        </w:tc>
        <w:tc>
          <w:tcPr>
            <w:tcW w:w="6010" w:type="dxa"/>
            <w:shd w:val="clear" w:color="auto" w:fill="FFFFFF" w:themeFill="background1"/>
          </w:tcPr>
          <w:p w14:paraId="4DAED349"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La presión de la demanda no es significativa con respecto a la oferta disponible</w:t>
            </w:r>
          </w:p>
        </w:tc>
      </w:tr>
    </w:tbl>
    <w:p w14:paraId="3F0A06E8" w14:textId="77777777" w:rsidR="00A4471C" w:rsidRPr="00131EED" w:rsidRDefault="00A4471C" w:rsidP="006845C5">
      <w:pPr>
        <w:jc w:val="center"/>
        <w:rPr>
          <w:rFonts w:ascii="Baskerville" w:hAnsi="Baskerville" w:cs="Arial"/>
          <w:sz w:val="18"/>
          <w:szCs w:val="18"/>
        </w:rPr>
      </w:pPr>
    </w:p>
    <w:p w14:paraId="7A270CAC" w14:textId="036C640C" w:rsidR="00CC5A4D" w:rsidRPr="00131EED" w:rsidRDefault="00CC5A4D" w:rsidP="006845C5">
      <w:pPr>
        <w:jc w:val="center"/>
        <w:rPr>
          <w:rFonts w:ascii="Baskerville" w:hAnsi="Baskerville" w:cs="Arial"/>
          <w:sz w:val="20"/>
          <w:szCs w:val="20"/>
        </w:rPr>
      </w:pPr>
      <w:r w:rsidRPr="00131EED">
        <w:rPr>
          <w:rFonts w:ascii="Baskerville" w:hAnsi="Baskerville" w:cs="Arial"/>
          <w:sz w:val="18"/>
          <w:szCs w:val="18"/>
        </w:rPr>
        <w:t xml:space="preserve">Fuente: IDEAM, </w:t>
      </w:r>
      <w:sdt>
        <w:sdtPr>
          <w:rPr>
            <w:rFonts w:ascii="Baskerville" w:hAnsi="Baskerville" w:cs="Arial"/>
            <w:sz w:val="20"/>
            <w:szCs w:val="20"/>
          </w:rPr>
          <w:id w:val="-482928424"/>
          <w:citation/>
        </w:sdtPr>
        <w:sdtEndPr/>
        <w:sdtContent>
          <w:r w:rsidRPr="00131EED">
            <w:rPr>
              <w:rFonts w:ascii="Baskerville" w:hAnsi="Baskerville" w:cs="Arial"/>
              <w:sz w:val="20"/>
              <w:szCs w:val="20"/>
            </w:rPr>
            <w:fldChar w:fldCharType="begin"/>
          </w:r>
          <w:r w:rsidRPr="00131EED">
            <w:rPr>
              <w:rFonts w:ascii="Baskerville" w:hAnsi="Baskerville" w:cs="Arial"/>
              <w:sz w:val="20"/>
              <w:szCs w:val="20"/>
            </w:rPr>
            <w:instrText xml:space="preserve">CITATION IDE13 \n  \t  \l 3082 </w:instrText>
          </w:r>
          <w:r w:rsidRPr="00131EED">
            <w:rPr>
              <w:rFonts w:ascii="Baskerville" w:hAnsi="Baskerville" w:cs="Arial"/>
              <w:sz w:val="20"/>
              <w:szCs w:val="20"/>
            </w:rPr>
            <w:fldChar w:fldCharType="separate"/>
          </w:r>
          <w:r w:rsidRPr="00131EED">
            <w:rPr>
              <w:rFonts w:ascii="Baskerville" w:hAnsi="Baskerville" w:cs="Arial"/>
              <w:sz w:val="20"/>
              <w:szCs w:val="20"/>
            </w:rPr>
            <w:t>(2013)</w:t>
          </w:r>
          <w:r w:rsidRPr="00131EED">
            <w:rPr>
              <w:rFonts w:ascii="Baskerville" w:hAnsi="Baskerville" w:cs="Arial"/>
              <w:sz w:val="20"/>
              <w:szCs w:val="20"/>
            </w:rPr>
            <w:fldChar w:fldCharType="end"/>
          </w:r>
        </w:sdtContent>
      </w:sdt>
      <w:r w:rsidRPr="00131EED">
        <w:rPr>
          <w:rFonts w:ascii="Baskerville" w:hAnsi="Baskerville" w:cs="Arial"/>
          <w:sz w:val="20"/>
          <w:szCs w:val="20"/>
        </w:rPr>
        <w:t>.</w:t>
      </w:r>
    </w:p>
    <w:p w14:paraId="471E2AEE" w14:textId="77777777" w:rsidR="00CC5A4D" w:rsidRPr="00131EED" w:rsidRDefault="00CC5A4D" w:rsidP="00CC5A4D">
      <w:pPr>
        <w:rPr>
          <w:rFonts w:cs="Arial"/>
        </w:rPr>
      </w:pPr>
    </w:p>
    <w:p w14:paraId="6B61BD75" w14:textId="0F941772" w:rsidR="00CC5A4D" w:rsidRPr="00131EED" w:rsidRDefault="00CC5A4D" w:rsidP="00CC5A4D">
      <w:pPr>
        <w:rPr>
          <w:rFonts w:cs="Arial"/>
        </w:rPr>
      </w:pPr>
      <w:r w:rsidRPr="00131EED">
        <w:rPr>
          <w:rFonts w:cs="Arial"/>
        </w:rPr>
        <w:t xml:space="preserve">El </w:t>
      </w:r>
      <w:r w:rsidRPr="00131EED">
        <w:rPr>
          <w:rFonts w:cs="Arial"/>
          <w:i/>
        </w:rPr>
        <w:t xml:space="preserve">Índice de Vulnerabilidad al Desabastecimiento Hídrico – IVDH </w:t>
      </w:r>
      <w:r w:rsidRPr="00131EED">
        <w:rPr>
          <w:rFonts w:cs="Arial"/>
        </w:rPr>
        <w:t xml:space="preserve">es el grado de fragilidad del sistema hídrico para mantener una oferta para el abastecimiento de agua, que ante amenazas como periodos largos de estiaje o eventos como el Fenómeno Cálido del Pacífico (El Niño), podrían generar riesgos de desabastecimiento (IDEAM, 2010). Para su cálculo, se tienen en cuenta dos índices para identificar la vulnerabilidad que se está presentando. El primero de ellos es el Índice de Uso del Agua y el segundo es el Índice de Retención y Regulación Hídrica para identificar la vulnerabilidad en la cuenca </w:t>
      </w:r>
      <w:sdt>
        <w:sdtPr>
          <w:rPr>
            <w:rFonts w:cs="Arial"/>
          </w:rPr>
          <w:id w:val="50892416"/>
          <w:citation/>
        </w:sdtPr>
        <w:sdtEndPr/>
        <w:sdtContent>
          <w:r w:rsidRPr="00131EED">
            <w:rPr>
              <w:rFonts w:cs="Arial"/>
            </w:rPr>
            <w:fldChar w:fldCharType="begin"/>
          </w:r>
          <w:r w:rsidRPr="00131EED">
            <w:rPr>
              <w:rFonts w:cs="Arial"/>
            </w:rPr>
            <w:instrText xml:space="preserve">CITATION IDE131 \t  \l 3082 </w:instrText>
          </w:r>
          <w:r w:rsidRPr="00131EED">
            <w:rPr>
              <w:rFonts w:cs="Arial"/>
            </w:rPr>
            <w:fldChar w:fldCharType="separate"/>
          </w:r>
          <w:r w:rsidRPr="00131EED">
            <w:rPr>
              <w:rFonts w:cs="Arial"/>
            </w:rPr>
            <w:t>(IDEAM, 2013)</w:t>
          </w:r>
          <w:r w:rsidRPr="00131EED">
            <w:rPr>
              <w:rFonts w:cs="Arial"/>
            </w:rPr>
            <w:fldChar w:fldCharType="end"/>
          </w:r>
        </w:sdtContent>
      </w:sdt>
      <w:r w:rsidRPr="00131EED">
        <w:rPr>
          <w:rFonts w:cs="Arial"/>
        </w:rPr>
        <w:t>.</w:t>
      </w:r>
    </w:p>
    <w:p w14:paraId="1FAE18E8" w14:textId="77777777" w:rsidR="00CC5A4D" w:rsidRPr="00131EED" w:rsidRDefault="00CC5A4D" w:rsidP="00CC5A4D">
      <w:pPr>
        <w:rPr>
          <w:rFonts w:ascii="Baskerville" w:hAnsi="Baskerville" w:cs="Arial"/>
        </w:rPr>
      </w:pPr>
    </w:p>
    <w:p w14:paraId="74FE493B" w14:textId="4CC03B12" w:rsidR="00CC5A4D" w:rsidRPr="00131EED" w:rsidRDefault="00CC5A4D" w:rsidP="00244283">
      <w:pPr>
        <w:pStyle w:val="Caption"/>
        <w:jc w:val="center"/>
      </w:pPr>
      <w:bookmarkStart w:id="394" w:name="_Toc162340783"/>
      <w:bookmarkStart w:id="395" w:name="_Toc216468987"/>
      <w:r w:rsidRPr="00131EED">
        <w:t xml:space="preserve">Tabla </w:t>
      </w:r>
      <w:r w:rsidRPr="00131EED">
        <w:fldChar w:fldCharType="begin"/>
      </w:r>
      <w:r w:rsidRPr="00131EED">
        <w:instrText>SEQ Tabla \* ARABIC</w:instrText>
      </w:r>
      <w:r w:rsidRPr="00131EED">
        <w:fldChar w:fldCharType="separate"/>
      </w:r>
      <w:r w:rsidR="00CE096F">
        <w:rPr>
          <w:noProof/>
        </w:rPr>
        <w:t>77</w:t>
      </w:r>
      <w:r w:rsidRPr="00131EED">
        <w:fldChar w:fldCharType="end"/>
      </w:r>
      <w:r w:rsidRPr="00131EED">
        <w:t>. Categorías del índice de Vulnerabilidad al Desabastecimiento – IVDH</w:t>
      </w:r>
      <w:bookmarkEnd w:id="394"/>
      <w:bookmarkEnd w:id="395"/>
    </w:p>
    <w:tbl>
      <w:tblPr>
        <w:tblStyle w:val="GridTable1Light"/>
        <w:tblW w:w="8927" w:type="dxa"/>
        <w:tblLook w:val="04A0" w:firstRow="1" w:lastRow="0" w:firstColumn="1" w:lastColumn="0" w:noHBand="0" w:noVBand="1"/>
      </w:tblPr>
      <w:tblGrid>
        <w:gridCol w:w="2975"/>
        <w:gridCol w:w="2976"/>
        <w:gridCol w:w="2976"/>
      </w:tblGrid>
      <w:tr w:rsidR="00CC5A4D" w:rsidRPr="00131EED" w14:paraId="1C7B3753" w14:textId="77777777" w:rsidTr="00244283">
        <w:trPr>
          <w:cnfStyle w:val="100000000000" w:firstRow="1" w:lastRow="0" w:firstColumn="0" w:lastColumn="0" w:oddVBand="0" w:evenVBand="0" w:oddHBand="0" w:evenHBand="0" w:firstRowFirstColumn="0" w:firstRowLastColumn="0" w:lastRowFirstColumn="0" w:lastRowLastColumn="0"/>
          <w:trHeight w:val="271"/>
          <w:tblHeader/>
        </w:trPr>
        <w:tc>
          <w:tcPr>
            <w:cnfStyle w:val="001000000000" w:firstRow="0" w:lastRow="0" w:firstColumn="1" w:lastColumn="0" w:oddVBand="0" w:evenVBand="0" w:oddHBand="0" w:evenHBand="0" w:firstRowFirstColumn="0" w:firstRowLastColumn="0" w:lastRowFirstColumn="0" w:lastRowLastColumn="0"/>
            <w:tcW w:w="2975" w:type="dxa"/>
            <w:vAlign w:val="center"/>
          </w:tcPr>
          <w:p w14:paraId="5A4C4B2D" w14:textId="77777777" w:rsidR="00CC5A4D" w:rsidRPr="00131EED" w:rsidRDefault="00CC5A4D" w:rsidP="006845C5">
            <w:pPr>
              <w:jc w:val="center"/>
              <w:rPr>
                <w:rFonts w:cs="Arial"/>
                <w:sz w:val="20"/>
                <w:szCs w:val="20"/>
              </w:rPr>
            </w:pPr>
            <w:r w:rsidRPr="00131EED">
              <w:rPr>
                <w:rFonts w:cs="Arial"/>
                <w:sz w:val="20"/>
                <w:szCs w:val="20"/>
              </w:rPr>
              <w:t>ÍNDIDE DE USO DEL AGUA IUA</w:t>
            </w:r>
          </w:p>
        </w:tc>
        <w:tc>
          <w:tcPr>
            <w:tcW w:w="2976" w:type="dxa"/>
            <w:vAlign w:val="center"/>
          </w:tcPr>
          <w:p w14:paraId="3BECE92C"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ÍNDICE DE REGULACIÓN IRH</w:t>
            </w:r>
          </w:p>
        </w:tc>
        <w:tc>
          <w:tcPr>
            <w:tcW w:w="2976" w:type="dxa"/>
            <w:vAlign w:val="center"/>
          </w:tcPr>
          <w:p w14:paraId="0AB9FF13"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CATEGORÍA VULNERABILIDAD</w:t>
            </w:r>
          </w:p>
        </w:tc>
      </w:tr>
      <w:tr w:rsidR="00CC5A4D" w:rsidRPr="00131EED" w14:paraId="642F3100" w14:textId="77777777" w:rsidTr="00244283">
        <w:trPr>
          <w:trHeight w:val="263"/>
        </w:trPr>
        <w:tc>
          <w:tcPr>
            <w:cnfStyle w:val="001000000000" w:firstRow="0" w:lastRow="0" w:firstColumn="1" w:lastColumn="0" w:oddVBand="0" w:evenVBand="0" w:oddHBand="0" w:evenHBand="0" w:firstRowFirstColumn="0" w:firstRowLastColumn="0" w:lastRowFirstColumn="0" w:lastRowLastColumn="0"/>
            <w:tcW w:w="2975" w:type="dxa"/>
          </w:tcPr>
          <w:p w14:paraId="3E062034" w14:textId="4BF06581" w:rsidR="00CC5A4D" w:rsidRPr="00131EED" w:rsidRDefault="00CC5A4D" w:rsidP="006845C5">
            <w:pPr>
              <w:jc w:val="center"/>
              <w:rPr>
                <w:rFonts w:cs="Arial"/>
                <w:b w:val="0"/>
                <w:sz w:val="20"/>
                <w:szCs w:val="20"/>
              </w:rPr>
            </w:pPr>
            <w:r w:rsidRPr="00131EED">
              <w:rPr>
                <w:rFonts w:cs="Arial"/>
                <w:b w:val="0"/>
                <w:sz w:val="20"/>
                <w:szCs w:val="20"/>
              </w:rPr>
              <w:t>Muy bajo</w:t>
            </w:r>
          </w:p>
        </w:tc>
        <w:tc>
          <w:tcPr>
            <w:tcW w:w="2976" w:type="dxa"/>
          </w:tcPr>
          <w:p w14:paraId="0C0E3573"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c>
          <w:tcPr>
            <w:tcW w:w="2976" w:type="dxa"/>
            <w:shd w:val="clear" w:color="auto" w:fill="0070C0"/>
          </w:tcPr>
          <w:p w14:paraId="182525FE"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Muy baja</w:t>
            </w:r>
          </w:p>
        </w:tc>
      </w:tr>
      <w:tr w:rsidR="00CC5A4D" w:rsidRPr="00131EED" w14:paraId="15AD9A77" w14:textId="77777777" w:rsidTr="00244283">
        <w:trPr>
          <w:trHeight w:val="271"/>
        </w:trPr>
        <w:tc>
          <w:tcPr>
            <w:cnfStyle w:val="001000000000" w:firstRow="0" w:lastRow="0" w:firstColumn="1" w:lastColumn="0" w:oddVBand="0" w:evenVBand="0" w:oddHBand="0" w:evenHBand="0" w:firstRowFirstColumn="0" w:firstRowLastColumn="0" w:lastRowFirstColumn="0" w:lastRowLastColumn="0"/>
            <w:tcW w:w="2975" w:type="dxa"/>
          </w:tcPr>
          <w:p w14:paraId="0177C1E4" w14:textId="77777777" w:rsidR="00CC5A4D" w:rsidRPr="00131EED" w:rsidRDefault="00CC5A4D" w:rsidP="006845C5">
            <w:pPr>
              <w:jc w:val="center"/>
              <w:rPr>
                <w:rFonts w:cs="Arial"/>
                <w:b w:val="0"/>
                <w:sz w:val="20"/>
                <w:szCs w:val="20"/>
              </w:rPr>
            </w:pPr>
            <w:r w:rsidRPr="00131EED">
              <w:rPr>
                <w:rFonts w:cs="Arial"/>
                <w:b w:val="0"/>
                <w:sz w:val="20"/>
                <w:szCs w:val="20"/>
              </w:rPr>
              <w:t>Muy bajo</w:t>
            </w:r>
          </w:p>
        </w:tc>
        <w:tc>
          <w:tcPr>
            <w:tcW w:w="2976" w:type="dxa"/>
          </w:tcPr>
          <w:p w14:paraId="6A560917"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Moderado</w:t>
            </w:r>
          </w:p>
        </w:tc>
        <w:tc>
          <w:tcPr>
            <w:tcW w:w="2976" w:type="dxa"/>
            <w:shd w:val="clear" w:color="auto" w:fill="00B050"/>
          </w:tcPr>
          <w:p w14:paraId="01A79938"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Baja</w:t>
            </w:r>
          </w:p>
        </w:tc>
      </w:tr>
      <w:tr w:rsidR="00CC5A4D" w:rsidRPr="00131EED" w14:paraId="2E2FD506" w14:textId="77777777" w:rsidTr="00244283">
        <w:trPr>
          <w:trHeight w:val="263"/>
        </w:trPr>
        <w:tc>
          <w:tcPr>
            <w:cnfStyle w:val="001000000000" w:firstRow="0" w:lastRow="0" w:firstColumn="1" w:lastColumn="0" w:oddVBand="0" w:evenVBand="0" w:oddHBand="0" w:evenHBand="0" w:firstRowFirstColumn="0" w:firstRowLastColumn="0" w:lastRowFirstColumn="0" w:lastRowLastColumn="0"/>
            <w:tcW w:w="2975" w:type="dxa"/>
          </w:tcPr>
          <w:p w14:paraId="400B85A6" w14:textId="77777777" w:rsidR="00CC5A4D" w:rsidRPr="00131EED" w:rsidRDefault="00CC5A4D" w:rsidP="006845C5">
            <w:pPr>
              <w:jc w:val="center"/>
              <w:rPr>
                <w:rFonts w:cs="Arial"/>
                <w:b w:val="0"/>
                <w:sz w:val="20"/>
                <w:szCs w:val="20"/>
              </w:rPr>
            </w:pPr>
            <w:r w:rsidRPr="00131EED">
              <w:rPr>
                <w:rFonts w:cs="Arial"/>
                <w:b w:val="0"/>
                <w:sz w:val="20"/>
                <w:szCs w:val="20"/>
              </w:rPr>
              <w:t>Muy bajo</w:t>
            </w:r>
          </w:p>
        </w:tc>
        <w:tc>
          <w:tcPr>
            <w:tcW w:w="2976" w:type="dxa"/>
          </w:tcPr>
          <w:p w14:paraId="1512FC0C"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c>
          <w:tcPr>
            <w:tcW w:w="2976" w:type="dxa"/>
            <w:shd w:val="clear" w:color="auto" w:fill="FFFF00"/>
          </w:tcPr>
          <w:p w14:paraId="145C2623"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Media</w:t>
            </w:r>
          </w:p>
        </w:tc>
      </w:tr>
      <w:tr w:rsidR="00CC5A4D" w:rsidRPr="00131EED" w14:paraId="74F0AE3A" w14:textId="77777777" w:rsidTr="00244283">
        <w:trPr>
          <w:trHeight w:val="271"/>
        </w:trPr>
        <w:tc>
          <w:tcPr>
            <w:cnfStyle w:val="001000000000" w:firstRow="0" w:lastRow="0" w:firstColumn="1" w:lastColumn="0" w:oddVBand="0" w:evenVBand="0" w:oddHBand="0" w:evenHBand="0" w:firstRowFirstColumn="0" w:firstRowLastColumn="0" w:lastRowFirstColumn="0" w:lastRowLastColumn="0"/>
            <w:tcW w:w="2975" w:type="dxa"/>
          </w:tcPr>
          <w:p w14:paraId="7C0C0584" w14:textId="77777777" w:rsidR="00CC5A4D" w:rsidRPr="00131EED" w:rsidRDefault="00CC5A4D" w:rsidP="006845C5">
            <w:pPr>
              <w:jc w:val="center"/>
              <w:rPr>
                <w:rFonts w:cs="Arial"/>
                <w:b w:val="0"/>
                <w:sz w:val="20"/>
                <w:szCs w:val="20"/>
              </w:rPr>
            </w:pPr>
            <w:r w:rsidRPr="00131EED">
              <w:rPr>
                <w:rFonts w:cs="Arial"/>
                <w:b w:val="0"/>
                <w:sz w:val="20"/>
                <w:szCs w:val="20"/>
              </w:rPr>
              <w:t>Muy bajo</w:t>
            </w:r>
          </w:p>
        </w:tc>
        <w:tc>
          <w:tcPr>
            <w:tcW w:w="2976" w:type="dxa"/>
          </w:tcPr>
          <w:p w14:paraId="743C9DF3"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Muy bajo</w:t>
            </w:r>
          </w:p>
        </w:tc>
        <w:tc>
          <w:tcPr>
            <w:tcW w:w="2976" w:type="dxa"/>
            <w:shd w:val="clear" w:color="auto" w:fill="FFFF00"/>
          </w:tcPr>
          <w:p w14:paraId="54845D0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Media</w:t>
            </w:r>
          </w:p>
        </w:tc>
      </w:tr>
      <w:tr w:rsidR="00CC5A4D" w:rsidRPr="00131EED" w14:paraId="24BA753F" w14:textId="77777777" w:rsidTr="00244283">
        <w:trPr>
          <w:trHeight w:val="263"/>
        </w:trPr>
        <w:tc>
          <w:tcPr>
            <w:cnfStyle w:val="001000000000" w:firstRow="0" w:lastRow="0" w:firstColumn="1" w:lastColumn="0" w:oddVBand="0" w:evenVBand="0" w:oddHBand="0" w:evenHBand="0" w:firstRowFirstColumn="0" w:firstRowLastColumn="0" w:lastRowFirstColumn="0" w:lastRowLastColumn="0"/>
            <w:tcW w:w="2975" w:type="dxa"/>
          </w:tcPr>
          <w:p w14:paraId="5058D01E" w14:textId="77777777" w:rsidR="00CC5A4D" w:rsidRPr="00131EED" w:rsidRDefault="00CC5A4D" w:rsidP="006845C5">
            <w:pPr>
              <w:jc w:val="center"/>
              <w:rPr>
                <w:rFonts w:cs="Arial"/>
                <w:b w:val="0"/>
                <w:sz w:val="20"/>
                <w:szCs w:val="20"/>
              </w:rPr>
            </w:pPr>
            <w:r w:rsidRPr="00131EED">
              <w:rPr>
                <w:rFonts w:cs="Arial"/>
                <w:b w:val="0"/>
                <w:sz w:val="20"/>
                <w:szCs w:val="20"/>
              </w:rPr>
              <w:t>Bajo</w:t>
            </w:r>
          </w:p>
        </w:tc>
        <w:tc>
          <w:tcPr>
            <w:tcW w:w="2976" w:type="dxa"/>
          </w:tcPr>
          <w:p w14:paraId="7A350236"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c>
          <w:tcPr>
            <w:tcW w:w="2976" w:type="dxa"/>
            <w:shd w:val="clear" w:color="auto" w:fill="00B050"/>
          </w:tcPr>
          <w:p w14:paraId="5EA2C05C"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Baja</w:t>
            </w:r>
          </w:p>
        </w:tc>
      </w:tr>
      <w:tr w:rsidR="00CC5A4D" w:rsidRPr="00131EED" w14:paraId="231935F5" w14:textId="77777777" w:rsidTr="00244283">
        <w:trPr>
          <w:trHeight w:val="263"/>
        </w:trPr>
        <w:tc>
          <w:tcPr>
            <w:cnfStyle w:val="001000000000" w:firstRow="0" w:lastRow="0" w:firstColumn="1" w:lastColumn="0" w:oddVBand="0" w:evenVBand="0" w:oddHBand="0" w:evenHBand="0" w:firstRowFirstColumn="0" w:firstRowLastColumn="0" w:lastRowFirstColumn="0" w:lastRowLastColumn="0"/>
            <w:tcW w:w="2975" w:type="dxa"/>
          </w:tcPr>
          <w:p w14:paraId="2030B3FA" w14:textId="77777777" w:rsidR="00CC5A4D" w:rsidRPr="00131EED" w:rsidRDefault="00CC5A4D" w:rsidP="006845C5">
            <w:pPr>
              <w:jc w:val="center"/>
              <w:rPr>
                <w:rFonts w:cs="Arial"/>
                <w:b w:val="0"/>
                <w:sz w:val="20"/>
                <w:szCs w:val="20"/>
              </w:rPr>
            </w:pPr>
            <w:r w:rsidRPr="00131EED">
              <w:rPr>
                <w:rFonts w:cs="Arial"/>
                <w:b w:val="0"/>
                <w:sz w:val="20"/>
                <w:szCs w:val="20"/>
              </w:rPr>
              <w:t>Bajo</w:t>
            </w:r>
          </w:p>
        </w:tc>
        <w:tc>
          <w:tcPr>
            <w:tcW w:w="2976" w:type="dxa"/>
          </w:tcPr>
          <w:p w14:paraId="0775393E"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Moderado</w:t>
            </w:r>
          </w:p>
        </w:tc>
        <w:tc>
          <w:tcPr>
            <w:tcW w:w="2976" w:type="dxa"/>
            <w:shd w:val="clear" w:color="auto" w:fill="00B050"/>
          </w:tcPr>
          <w:p w14:paraId="3721B493" w14:textId="6072E698"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Baja</w:t>
            </w:r>
          </w:p>
        </w:tc>
      </w:tr>
      <w:tr w:rsidR="00CC5A4D" w:rsidRPr="00131EED" w14:paraId="4166290A" w14:textId="77777777" w:rsidTr="00244283">
        <w:trPr>
          <w:trHeight w:val="263"/>
        </w:trPr>
        <w:tc>
          <w:tcPr>
            <w:cnfStyle w:val="001000000000" w:firstRow="0" w:lastRow="0" w:firstColumn="1" w:lastColumn="0" w:oddVBand="0" w:evenVBand="0" w:oddHBand="0" w:evenHBand="0" w:firstRowFirstColumn="0" w:firstRowLastColumn="0" w:lastRowFirstColumn="0" w:lastRowLastColumn="0"/>
            <w:tcW w:w="2975" w:type="dxa"/>
          </w:tcPr>
          <w:p w14:paraId="1937C795" w14:textId="77777777" w:rsidR="00CC5A4D" w:rsidRPr="00131EED" w:rsidRDefault="00CC5A4D" w:rsidP="006845C5">
            <w:pPr>
              <w:jc w:val="center"/>
              <w:rPr>
                <w:rFonts w:cs="Arial"/>
                <w:b w:val="0"/>
                <w:sz w:val="20"/>
                <w:szCs w:val="20"/>
              </w:rPr>
            </w:pPr>
            <w:r w:rsidRPr="00131EED">
              <w:rPr>
                <w:rFonts w:cs="Arial"/>
                <w:b w:val="0"/>
                <w:sz w:val="20"/>
                <w:szCs w:val="20"/>
              </w:rPr>
              <w:t>Bajo</w:t>
            </w:r>
          </w:p>
        </w:tc>
        <w:tc>
          <w:tcPr>
            <w:tcW w:w="2976" w:type="dxa"/>
          </w:tcPr>
          <w:p w14:paraId="0BF04EDD"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c>
          <w:tcPr>
            <w:tcW w:w="2976" w:type="dxa"/>
            <w:shd w:val="clear" w:color="auto" w:fill="FFFF00"/>
          </w:tcPr>
          <w:p w14:paraId="1D0E1C73"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Media</w:t>
            </w:r>
          </w:p>
        </w:tc>
      </w:tr>
      <w:tr w:rsidR="00CC5A4D" w:rsidRPr="00131EED" w14:paraId="7DE281A8" w14:textId="77777777" w:rsidTr="00244283">
        <w:trPr>
          <w:trHeight w:val="263"/>
        </w:trPr>
        <w:tc>
          <w:tcPr>
            <w:cnfStyle w:val="001000000000" w:firstRow="0" w:lastRow="0" w:firstColumn="1" w:lastColumn="0" w:oddVBand="0" w:evenVBand="0" w:oddHBand="0" w:evenHBand="0" w:firstRowFirstColumn="0" w:firstRowLastColumn="0" w:lastRowFirstColumn="0" w:lastRowLastColumn="0"/>
            <w:tcW w:w="2975" w:type="dxa"/>
          </w:tcPr>
          <w:p w14:paraId="0741467E" w14:textId="77777777" w:rsidR="00CC5A4D" w:rsidRPr="00131EED" w:rsidRDefault="00CC5A4D" w:rsidP="006845C5">
            <w:pPr>
              <w:jc w:val="center"/>
              <w:rPr>
                <w:rFonts w:cs="Arial"/>
                <w:b w:val="0"/>
                <w:sz w:val="20"/>
                <w:szCs w:val="20"/>
              </w:rPr>
            </w:pPr>
            <w:r w:rsidRPr="00131EED">
              <w:rPr>
                <w:rFonts w:cs="Arial"/>
                <w:b w:val="0"/>
                <w:sz w:val="20"/>
                <w:szCs w:val="20"/>
              </w:rPr>
              <w:t>Bajo</w:t>
            </w:r>
          </w:p>
        </w:tc>
        <w:tc>
          <w:tcPr>
            <w:tcW w:w="2976" w:type="dxa"/>
          </w:tcPr>
          <w:p w14:paraId="6E3A0BC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Muy bajo</w:t>
            </w:r>
          </w:p>
        </w:tc>
        <w:tc>
          <w:tcPr>
            <w:tcW w:w="2976" w:type="dxa"/>
            <w:shd w:val="clear" w:color="auto" w:fill="FFFF00"/>
          </w:tcPr>
          <w:p w14:paraId="43E3312E"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Media</w:t>
            </w:r>
          </w:p>
        </w:tc>
      </w:tr>
      <w:tr w:rsidR="00CC5A4D" w:rsidRPr="00131EED" w14:paraId="6E2E9ED4" w14:textId="77777777" w:rsidTr="00244283">
        <w:trPr>
          <w:trHeight w:val="263"/>
        </w:trPr>
        <w:tc>
          <w:tcPr>
            <w:cnfStyle w:val="001000000000" w:firstRow="0" w:lastRow="0" w:firstColumn="1" w:lastColumn="0" w:oddVBand="0" w:evenVBand="0" w:oddHBand="0" w:evenHBand="0" w:firstRowFirstColumn="0" w:firstRowLastColumn="0" w:lastRowFirstColumn="0" w:lastRowLastColumn="0"/>
            <w:tcW w:w="2975" w:type="dxa"/>
          </w:tcPr>
          <w:p w14:paraId="759502F6" w14:textId="77777777" w:rsidR="00CC5A4D" w:rsidRPr="00131EED" w:rsidRDefault="00CC5A4D" w:rsidP="006845C5">
            <w:pPr>
              <w:jc w:val="center"/>
              <w:rPr>
                <w:rFonts w:cs="Arial"/>
                <w:b w:val="0"/>
                <w:sz w:val="20"/>
                <w:szCs w:val="20"/>
              </w:rPr>
            </w:pPr>
            <w:r w:rsidRPr="00131EED">
              <w:rPr>
                <w:rFonts w:cs="Arial"/>
                <w:b w:val="0"/>
                <w:sz w:val="20"/>
                <w:szCs w:val="20"/>
              </w:rPr>
              <w:t>Moderado</w:t>
            </w:r>
          </w:p>
        </w:tc>
        <w:tc>
          <w:tcPr>
            <w:tcW w:w="2976" w:type="dxa"/>
          </w:tcPr>
          <w:p w14:paraId="709F9E29"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c>
          <w:tcPr>
            <w:tcW w:w="2976" w:type="dxa"/>
            <w:shd w:val="clear" w:color="auto" w:fill="FFFF00"/>
          </w:tcPr>
          <w:p w14:paraId="36838268"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Media</w:t>
            </w:r>
          </w:p>
        </w:tc>
      </w:tr>
      <w:tr w:rsidR="00CC5A4D" w:rsidRPr="00131EED" w14:paraId="681F714D" w14:textId="77777777" w:rsidTr="00244283">
        <w:trPr>
          <w:trHeight w:val="263"/>
        </w:trPr>
        <w:tc>
          <w:tcPr>
            <w:cnfStyle w:val="001000000000" w:firstRow="0" w:lastRow="0" w:firstColumn="1" w:lastColumn="0" w:oddVBand="0" w:evenVBand="0" w:oddHBand="0" w:evenHBand="0" w:firstRowFirstColumn="0" w:firstRowLastColumn="0" w:lastRowFirstColumn="0" w:lastRowLastColumn="0"/>
            <w:tcW w:w="2975" w:type="dxa"/>
          </w:tcPr>
          <w:p w14:paraId="0D901D0F" w14:textId="77777777" w:rsidR="00CC5A4D" w:rsidRPr="00131EED" w:rsidRDefault="00CC5A4D" w:rsidP="006845C5">
            <w:pPr>
              <w:jc w:val="center"/>
              <w:rPr>
                <w:rFonts w:cs="Arial"/>
                <w:b w:val="0"/>
                <w:sz w:val="20"/>
                <w:szCs w:val="20"/>
              </w:rPr>
            </w:pPr>
            <w:r w:rsidRPr="00131EED">
              <w:rPr>
                <w:rFonts w:cs="Arial"/>
                <w:b w:val="0"/>
                <w:sz w:val="20"/>
                <w:szCs w:val="20"/>
              </w:rPr>
              <w:t>Moderado</w:t>
            </w:r>
          </w:p>
        </w:tc>
        <w:tc>
          <w:tcPr>
            <w:tcW w:w="2976" w:type="dxa"/>
          </w:tcPr>
          <w:p w14:paraId="6CB78D9B"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Moderado</w:t>
            </w:r>
          </w:p>
        </w:tc>
        <w:tc>
          <w:tcPr>
            <w:tcW w:w="2976" w:type="dxa"/>
            <w:shd w:val="clear" w:color="auto" w:fill="FFFF00"/>
          </w:tcPr>
          <w:p w14:paraId="58C0663F"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Media</w:t>
            </w:r>
          </w:p>
        </w:tc>
      </w:tr>
    </w:tbl>
    <w:p w14:paraId="5078C71A" w14:textId="77777777" w:rsidR="00A4471C" w:rsidRPr="00131EED" w:rsidRDefault="00A4471C" w:rsidP="006845C5">
      <w:pPr>
        <w:jc w:val="center"/>
        <w:rPr>
          <w:rFonts w:ascii="Baskerville" w:hAnsi="Baskerville" w:cs="Arial"/>
          <w:sz w:val="18"/>
          <w:szCs w:val="18"/>
        </w:rPr>
      </w:pPr>
    </w:p>
    <w:p w14:paraId="194A7ED3" w14:textId="70EAE01C" w:rsidR="00CC5A4D" w:rsidRPr="00131EED" w:rsidRDefault="00CC5A4D" w:rsidP="006845C5">
      <w:pPr>
        <w:jc w:val="center"/>
        <w:rPr>
          <w:rFonts w:ascii="Baskerville" w:hAnsi="Baskerville" w:cs="Arial"/>
          <w:sz w:val="18"/>
          <w:szCs w:val="18"/>
        </w:rPr>
      </w:pPr>
      <w:r w:rsidRPr="00131EED">
        <w:rPr>
          <w:rFonts w:ascii="Baskerville" w:hAnsi="Baskerville" w:cs="Arial"/>
          <w:sz w:val="18"/>
          <w:szCs w:val="18"/>
        </w:rPr>
        <w:t xml:space="preserve">Fuente: IDEAM, </w:t>
      </w:r>
      <w:sdt>
        <w:sdtPr>
          <w:rPr>
            <w:rFonts w:ascii="Baskerville" w:hAnsi="Baskerville" w:cs="Arial"/>
            <w:sz w:val="18"/>
            <w:szCs w:val="18"/>
          </w:rPr>
          <w:id w:val="-783965897"/>
          <w:citation/>
        </w:sdtPr>
        <w:sdtEndPr/>
        <w:sdtContent>
          <w:r w:rsidRPr="00131EED">
            <w:rPr>
              <w:rFonts w:ascii="Baskerville" w:hAnsi="Baskerville" w:cs="Arial"/>
              <w:sz w:val="18"/>
              <w:szCs w:val="18"/>
            </w:rPr>
            <w:fldChar w:fldCharType="begin"/>
          </w:r>
          <w:r w:rsidRPr="00131EED">
            <w:rPr>
              <w:rFonts w:ascii="Baskerville" w:hAnsi="Baskerville" w:cs="Arial"/>
              <w:sz w:val="18"/>
              <w:szCs w:val="18"/>
            </w:rPr>
            <w:instrText xml:space="preserve">CITATION IDE131 \n  \t  \l 3082 </w:instrText>
          </w:r>
          <w:r w:rsidRPr="00131EED">
            <w:rPr>
              <w:rFonts w:ascii="Baskerville" w:hAnsi="Baskerville" w:cs="Arial"/>
              <w:sz w:val="18"/>
              <w:szCs w:val="18"/>
            </w:rPr>
            <w:fldChar w:fldCharType="separate"/>
          </w:r>
          <w:r w:rsidRPr="00131EED">
            <w:rPr>
              <w:rFonts w:ascii="Baskerville" w:hAnsi="Baskerville" w:cs="Arial"/>
              <w:sz w:val="18"/>
              <w:szCs w:val="18"/>
            </w:rPr>
            <w:t>(2013)</w:t>
          </w:r>
          <w:r w:rsidRPr="00131EED">
            <w:rPr>
              <w:rFonts w:ascii="Baskerville" w:hAnsi="Baskerville" w:cs="Arial"/>
              <w:sz w:val="18"/>
              <w:szCs w:val="18"/>
            </w:rPr>
            <w:fldChar w:fldCharType="end"/>
          </w:r>
        </w:sdtContent>
      </w:sdt>
      <w:r w:rsidRPr="00131EED">
        <w:rPr>
          <w:rFonts w:ascii="Baskerville" w:hAnsi="Baskerville" w:cs="Arial"/>
          <w:sz w:val="18"/>
          <w:szCs w:val="18"/>
        </w:rPr>
        <w:t>.</w:t>
      </w:r>
    </w:p>
    <w:p w14:paraId="6F3009BD" w14:textId="0FDEA8BB" w:rsidR="00CC5A4D" w:rsidRPr="00131EED" w:rsidRDefault="00CC5A4D" w:rsidP="00CC5A4D">
      <w:pPr>
        <w:rPr>
          <w:rFonts w:cs="Arial"/>
        </w:rPr>
      </w:pPr>
      <w:r w:rsidRPr="00131EED">
        <w:rPr>
          <w:rFonts w:cs="Arial"/>
        </w:rPr>
        <w:t xml:space="preserve">El </w:t>
      </w:r>
      <w:r w:rsidRPr="00131EED">
        <w:rPr>
          <w:rFonts w:cs="Arial"/>
          <w:i/>
        </w:rPr>
        <w:t>Índice de Alteración Potencial de la Calidad de Agua (IACAL</w:t>
      </w:r>
      <w:r w:rsidRPr="00131EED">
        <w:rPr>
          <w:rFonts w:cs="Arial"/>
        </w:rPr>
        <w:t xml:space="preserve">), es el referente de la presión sobre las condiciones de calidad de agua en los sistemas hídricos superficiales del país. Se evalúa a partir del promedio de las jerarquías asignadas a las cargas contaminantes de materia orgánica, sólidos suspendidos y nutrientes ejercidas por el sector doméstico y el industrial </w:t>
      </w:r>
      <w:sdt>
        <w:sdtPr>
          <w:rPr>
            <w:rFonts w:cs="Arial"/>
          </w:rPr>
          <w:id w:val="320164317"/>
          <w:citation/>
        </w:sdtPr>
        <w:sdtEndPr/>
        <w:sdtContent>
          <w:r w:rsidRPr="00131EED">
            <w:rPr>
              <w:rFonts w:cs="Arial"/>
            </w:rPr>
            <w:fldChar w:fldCharType="begin"/>
          </w:r>
          <w:r w:rsidRPr="00131EED">
            <w:rPr>
              <w:rFonts w:cs="Arial"/>
            </w:rPr>
            <w:instrText xml:space="preserve">CITATION IDE20 \t  \l 3082 </w:instrText>
          </w:r>
          <w:r w:rsidRPr="00131EED">
            <w:rPr>
              <w:rFonts w:cs="Arial"/>
            </w:rPr>
            <w:fldChar w:fldCharType="separate"/>
          </w:r>
          <w:r w:rsidRPr="00131EED">
            <w:rPr>
              <w:rFonts w:cs="Arial"/>
            </w:rPr>
            <w:t>(IDEAM, 2020)</w:t>
          </w:r>
          <w:r w:rsidRPr="00131EED">
            <w:rPr>
              <w:rFonts w:cs="Arial"/>
            </w:rPr>
            <w:fldChar w:fldCharType="end"/>
          </w:r>
        </w:sdtContent>
      </w:sdt>
      <w:r w:rsidRPr="00131EED">
        <w:rPr>
          <w:rFonts w:cs="Arial"/>
        </w:rPr>
        <w:t xml:space="preserve">. </w:t>
      </w:r>
    </w:p>
    <w:p w14:paraId="27D41A6F" w14:textId="77777777" w:rsidR="00A4471C" w:rsidRPr="00131EED" w:rsidRDefault="00A4471C" w:rsidP="00CC5A4D">
      <w:pPr>
        <w:rPr>
          <w:rFonts w:ascii="Baskerville" w:hAnsi="Baskerville" w:cs="Arial"/>
          <w:sz w:val="20"/>
          <w:szCs w:val="20"/>
        </w:rPr>
      </w:pPr>
    </w:p>
    <w:p w14:paraId="12FB6A97" w14:textId="2653E1E2" w:rsidR="00CC5A4D" w:rsidRPr="00131EED" w:rsidRDefault="00CC5A4D" w:rsidP="001E413D">
      <w:pPr>
        <w:pStyle w:val="Caption"/>
        <w:jc w:val="center"/>
      </w:pPr>
      <w:bookmarkStart w:id="396" w:name="_Toc162340784"/>
      <w:bookmarkStart w:id="397" w:name="_Toc216468988"/>
      <w:r w:rsidRPr="00131EED">
        <w:t xml:space="preserve">Tabla </w:t>
      </w:r>
      <w:r w:rsidRPr="00131EED">
        <w:fldChar w:fldCharType="begin"/>
      </w:r>
      <w:r w:rsidRPr="00131EED">
        <w:instrText>SEQ Tabla \* ARABIC</w:instrText>
      </w:r>
      <w:r w:rsidRPr="00131EED">
        <w:fldChar w:fldCharType="separate"/>
      </w:r>
      <w:r w:rsidR="00CE096F">
        <w:rPr>
          <w:noProof/>
        </w:rPr>
        <w:t>78</w:t>
      </w:r>
      <w:r w:rsidRPr="00131EED">
        <w:fldChar w:fldCharType="end"/>
      </w:r>
      <w:r w:rsidRPr="00131EED">
        <w:t>. Calificación de la calidad de agua según rangos del IACAL</w:t>
      </w:r>
      <w:bookmarkEnd w:id="396"/>
      <w:bookmarkEnd w:id="397"/>
    </w:p>
    <w:tbl>
      <w:tblPr>
        <w:tblStyle w:val="GridTable1Light"/>
        <w:tblW w:w="8840" w:type="dxa"/>
        <w:tblLook w:val="04A0" w:firstRow="1" w:lastRow="0" w:firstColumn="1" w:lastColumn="0" w:noHBand="0" w:noVBand="1"/>
      </w:tblPr>
      <w:tblGrid>
        <w:gridCol w:w="2946"/>
        <w:gridCol w:w="2947"/>
        <w:gridCol w:w="2947"/>
      </w:tblGrid>
      <w:tr w:rsidR="00CC5A4D" w:rsidRPr="00131EED" w14:paraId="5FD7EACC" w14:textId="77777777" w:rsidTr="00053167">
        <w:trPr>
          <w:cnfStyle w:val="100000000000" w:firstRow="1" w:lastRow="0" w:firstColumn="0" w:lastColumn="0" w:oddVBand="0" w:evenVBand="0" w:oddHBand="0"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946" w:type="dxa"/>
            <w:vAlign w:val="center"/>
          </w:tcPr>
          <w:p w14:paraId="5234E4F1" w14:textId="77777777" w:rsidR="00CC5A4D" w:rsidRPr="00131EED" w:rsidRDefault="00CC5A4D" w:rsidP="006845C5">
            <w:pPr>
              <w:jc w:val="center"/>
              <w:rPr>
                <w:rFonts w:cs="Arial"/>
                <w:sz w:val="20"/>
                <w:szCs w:val="20"/>
              </w:rPr>
            </w:pPr>
            <w:r w:rsidRPr="00131EED">
              <w:rPr>
                <w:rFonts w:cs="Arial"/>
                <w:sz w:val="20"/>
                <w:szCs w:val="20"/>
              </w:rPr>
              <w:t>RANGOS IACAL</w:t>
            </w:r>
          </w:p>
        </w:tc>
        <w:tc>
          <w:tcPr>
            <w:tcW w:w="2947" w:type="dxa"/>
            <w:vAlign w:val="center"/>
          </w:tcPr>
          <w:p w14:paraId="523FD355"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CATEGORÍA PRESIÓN IACAL</w:t>
            </w:r>
          </w:p>
        </w:tc>
        <w:tc>
          <w:tcPr>
            <w:tcW w:w="2947" w:type="dxa"/>
            <w:vAlign w:val="center"/>
          </w:tcPr>
          <w:p w14:paraId="759B3F4A"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SEÑAL DE ALERTA</w:t>
            </w:r>
          </w:p>
        </w:tc>
      </w:tr>
      <w:tr w:rsidR="00CC5A4D" w:rsidRPr="00131EED" w14:paraId="5E2CC554" w14:textId="77777777" w:rsidTr="00053167">
        <w:trPr>
          <w:trHeight w:val="292"/>
        </w:trPr>
        <w:tc>
          <w:tcPr>
            <w:cnfStyle w:val="001000000000" w:firstRow="0" w:lastRow="0" w:firstColumn="1" w:lastColumn="0" w:oddVBand="0" w:evenVBand="0" w:oddHBand="0" w:evenHBand="0" w:firstRowFirstColumn="0" w:firstRowLastColumn="0" w:lastRowFirstColumn="0" w:lastRowLastColumn="0"/>
            <w:tcW w:w="2946" w:type="dxa"/>
          </w:tcPr>
          <w:p w14:paraId="79578A1E" w14:textId="77777777" w:rsidR="00CC5A4D" w:rsidRPr="00131EED" w:rsidRDefault="00CC5A4D" w:rsidP="006845C5">
            <w:pPr>
              <w:jc w:val="center"/>
              <w:rPr>
                <w:rFonts w:cs="Arial"/>
                <w:b w:val="0"/>
                <w:sz w:val="20"/>
                <w:szCs w:val="20"/>
              </w:rPr>
            </w:pPr>
            <w:r w:rsidRPr="00131EED">
              <w:rPr>
                <w:rFonts w:cs="Arial"/>
                <w:b w:val="0"/>
                <w:sz w:val="20"/>
                <w:szCs w:val="20"/>
              </w:rPr>
              <w:t>4.5 ≤IACAL≤5.0</w:t>
            </w:r>
          </w:p>
        </w:tc>
        <w:tc>
          <w:tcPr>
            <w:tcW w:w="2947" w:type="dxa"/>
          </w:tcPr>
          <w:p w14:paraId="2E5AA453"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5</w:t>
            </w:r>
          </w:p>
        </w:tc>
        <w:tc>
          <w:tcPr>
            <w:tcW w:w="2947" w:type="dxa"/>
            <w:shd w:val="clear" w:color="auto" w:fill="FF0000"/>
          </w:tcPr>
          <w:p w14:paraId="665ECEB4"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Muy alta</w:t>
            </w:r>
          </w:p>
        </w:tc>
      </w:tr>
      <w:tr w:rsidR="00CC5A4D" w:rsidRPr="00131EED" w14:paraId="7D5CB03C" w14:textId="77777777" w:rsidTr="00053167">
        <w:trPr>
          <w:trHeight w:val="301"/>
        </w:trPr>
        <w:tc>
          <w:tcPr>
            <w:cnfStyle w:val="001000000000" w:firstRow="0" w:lastRow="0" w:firstColumn="1" w:lastColumn="0" w:oddVBand="0" w:evenVBand="0" w:oddHBand="0" w:evenHBand="0" w:firstRowFirstColumn="0" w:firstRowLastColumn="0" w:lastRowFirstColumn="0" w:lastRowLastColumn="0"/>
            <w:tcW w:w="2946" w:type="dxa"/>
          </w:tcPr>
          <w:p w14:paraId="769AFD9B" w14:textId="77777777" w:rsidR="00CC5A4D" w:rsidRPr="00131EED" w:rsidRDefault="00CC5A4D" w:rsidP="006845C5">
            <w:pPr>
              <w:jc w:val="center"/>
              <w:rPr>
                <w:rFonts w:cs="Arial"/>
                <w:b w:val="0"/>
                <w:sz w:val="20"/>
                <w:szCs w:val="20"/>
              </w:rPr>
            </w:pPr>
            <w:r w:rsidRPr="00131EED">
              <w:rPr>
                <w:rFonts w:cs="Arial"/>
                <w:b w:val="0"/>
                <w:sz w:val="20"/>
                <w:szCs w:val="20"/>
              </w:rPr>
              <w:t>3.5 ≤IACAL≤4.5</w:t>
            </w:r>
          </w:p>
        </w:tc>
        <w:tc>
          <w:tcPr>
            <w:tcW w:w="2947" w:type="dxa"/>
          </w:tcPr>
          <w:p w14:paraId="33001833"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w:t>
            </w:r>
          </w:p>
        </w:tc>
        <w:tc>
          <w:tcPr>
            <w:tcW w:w="2947" w:type="dxa"/>
            <w:shd w:val="clear" w:color="auto" w:fill="FFC000"/>
          </w:tcPr>
          <w:p w14:paraId="25AD1DCB"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Alta</w:t>
            </w:r>
          </w:p>
        </w:tc>
      </w:tr>
      <w:tr w:rsidR="00CC5A4D" w:rsidRPr="00131EED" w14:paraId="6FC9029B" w14:textId="77777777" w:rsidTr="00053167">
        <w:trPr>
          <w:trHeight w:val="292"/>
        </w:trPr>
        <w:tc>
          <w:tcPr>
            <w:cnfStyle w:val="001000000000" w:firstRow="0" w:lastRow="0" w:firstColumn="1" w:lastColumn="0" w:oddVBand="0" w:evenVBand="0" w:oddHBand="0" w:evenHBand="0" w:firstRowFirstColumn="0" w:firstRowLastColumn="0" w:lastRowFirstColumn="0" w:lastRowLastColumn="0"/>
            <w:tcW w:w="2946" w:type="dxa"/>
          </w:tcPr>
          <w:p w14:paraId="67E1F68A" w14:textId="77777777" w:rsidR="00CC5A4D" w:rsidRPr="00131EED" w:rsidRDefault="00CC5A4D" w:rsidP="006845C5">
            <w:pPr>
              <w:jc w:val="center"/>
              <w:rPr>
                <w:rFonts w:cs="Arial"/>
                <w:b w:val="0"/>
                <w:sz w:val="20"/>
                <w:szCs w:val="20"/>
              </w:rPr>
            </w:pPr>
            <w:r w:rsidRPr="00131EED">
              <w:rPr>
                <w:rFonts w:cs="Arial"/>
                <w:b w:val="0"/>
                <w:sz w:val="20"/>
                <w:szCs w:val="20"/>
              </w:rPr>
              <w:t>2.5 ≤IACAL≤3.5</w:t>
            </w:r>
          </w:p>
        </w:tc>
        <w:tc>
          <w:tcPr>
            <w:tcW w:w="2947" w:type="dxa"/>
          </w:tcPr>
          <w:p w14:paraId="62BBF90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3</w:t>
            </w:r>
          </w:p>
        </w:tc>
        <w:tc>
          <w:tcPr>
            <w:tcW w:w="2947" w:type="dxa"/>
            <w:shd w:val="clear" w:color="auto" w:fill="FFFF00"/>
          </w:tcPr>
          <w:p w14:paraId="604C7247"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Media-alta</w:t>
            </w:r>
          </w:p>
        </w:tc>
      </w:tr>
      <w:tr w:rsidR="00CC5A4D" w:rsidRPr="00131EED" w14:paraId="5C8748B9" w14:textId="77777777" w:rsidTr="00053167">
        <w:trPr>
          <w:trHeight w:val="301"/>
        </w:trPr>
        <w:tc>
          <w:tcPr>
            <w:cnfStyle w:val="001000000000" w:firstRow="0" w:lastRow="0" w:firstColumn="1" w:lastColumn="0" w:oddVBand="0" w:evenVBand="0" w:oddHBand="0" w:evenHBand="0" w:firstRowFirstColumn="0" w:firstRowLastColumn="0" w:lastRowFirstColumn="0" w:lastRowLastColumn="0"/>
            <w:tcW w:w="2946" w:type="dxa"/>
          </w:tcPr>
          <w:p w14:paraId="0D75D4F8" w14:textId="77777777" w:rsidR="00CC5A4D" w:rsidRPr="00131EED" w:rsidRDefault="00CC5A4D" w:rsidP="006845C5">
            <w:pPr>
              <w:jc w:val="center"/>
              <w:rPr>
                <w:rFonts w:cs="Arial"/>
                <w:b w:val="0"/>
                <w:sz w:val="20"/>
                <w:szCs w:val="20"/>
              </w:rPr>
            </w:pPr>
            <w:r w:rsidRPr="00131EED">
              <w:rPr>
                <w:rFonts w:cs="Arial"/>
                <w:b w:val="0"/>
                <w:sz w:val="20"/>
                <w:szCs w:val="20"/>
              </w:rPr>
              <w:t>1.5 ≤IACAL≤2.5</w:t>
            </w:r>
          </w:p>
        </w:tc>
        <w:tc>
          <w:tcPr>
            <w:tcW w:w="2947" w:type="dxa"/>
          </w:tcPr>
          <w:p w14:paraId="7C77EDDB"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w:t>
            </w:r>
          </w:p>
        </w:tc>
        <w:tc>
          <w:tcPr>
            <w:tcW w:w="2947" w:type="dxa"/>
            <w:shd w:val="clear" w:color="auto" w:fill="00B050"/>
          </w:tcPr>
          <w:p w14:paraId="1FECDA81"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Moderada</w:t>
            </w:r>
          </w:p>
        </w:tc>
      </w:tr>
      <w:tr w:rsidR="00CC5A4D" w:rsidRPr="00131EED" w14:paraId="2A357793" w14:textId="77777777" w:rsidTr="00053167">
        <w:trPr>
          <w:trHeight w:val="292"/>
        </w:trPr>
        <w:tc>
          <w:tcPr>
            <w:cnfStyle w:val="001000000000" w:firstRow="0" w:lastRow="0" w:firstColumn="1" w:lastColumn="0" w:oddVBand="0" w:evenVBand="0" w:oddHBand="0" w:evenHBand="0" w:firstRowFirstColumn="0" w:firstRowLastColumn="0" w:lastRowFirstColumn="0" w:lastRowLastColumn="0"/>
            <w:tcW w:w="2946" w:type="dxa"/>
          </w:tcPr>
          <w:p w14:paraId="4CFDD472" w14:textId="77777777" w:rsidR="00CC5A4D" w:rsidRPr="00131EED" w:rsidRDefault="00CC5A4D" w:rsidP="006845C5">
            <w:pPr>
              <w:jc w:val="center"/>
              <w:rPr>
                <w:rFonts w:cs="Arial"/>
                <w:b w:val="0"/>
                <w:sz w:val="20"/>
                <w:szCs w:val="20"/>
              </w:rPr>
            </w:pPr>
            <w:r w:rsidRPr="00131EED">
              <w:rPr>
                <w:rFonts w:cs="Arial"/>
                <w:b w:val="0"/>
                <w:sz w:val="20"/>
                <w:szCs w:val="20"/>
              </w:rPr>
              <w:t>1.0 ≤IACAL≤1.5</w:t>
            </w:r>
          </w:p>
        </w:tc>
        <w:tc>
          <w:tcPr>
            <w:tcW w:w="2947" w:type="dxa"/>
          </w:tcPr>
          <w:p w14:paraId="40CC0131"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1</w:t>
            </w:r>
          </w:p>
        </w:tc>
        <w:tc>
          <w:tcPr>
            <w:tcW w:w="2947" w:type="dxa"/>
            <w:shd w:val="clear" w:color="auto" w:fill="0070C0"/>
          </w:tcPr>
          <w:p w14:paraId="6D567E3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Baja</w:t>
            </w:r>
          </w:p>
        </w:tc>
      </w:tr>
    </w:tbl>
    <w:p w14:paraId="603909A8" w14:textId="79E630CA" w:rsidR="00CC5A4D" w:rsidRPr="00131EED" w:rsidRDefault="00CC5A4D" w:rsidP="006845C5">
      <w:pPr>
        <w:jc w:val="center"/>
        <w:rPr>
          <w:rFonts w:ascii="Baskerville" w:hAnsi="Baskerville" w:cs="Arial"/>
          <w:sz w:val="18"/>
          <w:szCs w:val="18"/>
        </w:rPr>
      </w:pPr>
      <w:r w:rsidRPr="00131EED">
        <w:rPr>
          <w:rFonts w:ascii="Baskerville" w:hAnsi="Baskerville" w:cs="Arial"/>
          <w:sz w:val="18"/>
          <w:szCs w:val="18"/>
        </w:rPr>
        <w:t xml:space="preserve">Fuente: IDEAM, </w:t>
      </w:r>
      <w:sdt>
        <w:sdtPr>
          <w:rPr>
            <w:rFonts w:ascii="Baskerville" w:hAnsi="Baskerville" w:cs="Arial"/>
            <w:sz w:val="18"/>
            <w:szCs w:val="18"/>
          </w:rPr>
          <w:id w:val="-1037270652"/>
          <w:citation/>
        </w:sdtPr>
        <w:sdtEndPr/>
        <w:sdtContent>
          <w:r w:rsidRPr="00131EED">
            <w:rPr>
              <w:rFonts w:ascii="Baskerville" w:hAnsi="Baskerville" w:cs="Arial"/>
              <w:sz w:val="18"/>
              <w:szCs w:val="18"/>
            </w:rPr>
            <w:fldChar w:fldCharType="begin"/>
          </w:r>
          <w:r w:rsidRPr="00131EED">
            <w:rPr>
              <w:rFonts w:ascii="Baskerville" w:hAnsi="Baskerville" w:cs="Arial"/>
              <w:sz w:val="18"/>
              <w:szCs w:val="18"/>
            </w:rPr>
            <w:instrText xml:space="preserve">CITATION IDE20 \n  \t  \l 3082 </w:instrText>
          </w:r>
          <w:r w:rsidRPr="00131EED">
            <w:rPr>
              <w:rFonts w:ascii="Baskerville" w:hAnsi="Baskerville" w:cs="Arial"/>
              <w:sz w:val="18"/>
              <w:szCs w:val="18"/>
            </w:rPr>
            <w:fldChar w:fldCharType="separate"/>
          </w:r>
          <w:r w:rsidRPr="00131EED">
            <w:rPr>
              <w:rFonts w:ascii="Baskerville" w:hAnsi="Baskerville" w:cs="Arial"/>
              <w:sz w:val="18"/>
              <w:szCs w:val="18"/>
            </w:rPr>
            <w:t>(2020)</w:t>
          </w:r>
          <w:r w:rsidRPr="00131EED">
            <w:rPr>
              <w:rFonts w:ascii="Baskerville" w:hAnsi="Baskerville" w:cs="Arial"/>
              <w:sz w:val="18"/>
              <w:szCs w:val="18"/>
            </w:rPr>
            <w:fldChar w:fldCharType="end"/>
          </w:r>
        </w:sdtContent>
      </w:sdt>
    </w:p>
    <w:p w14:paraId="07346846" w14:textId="77777777" w:rsidR="00CC5A4D" w:rsidRPr="00131EED" w:rsidRDefault="00CC5A4D" w:rsidP="00CC5A4D">
      <w:pPr>
        <w:rPr>
          <w:rFonts w:ascii="Baskerville" w:hAnsi="Baskerville" w:cs="Arial"/>
        </w:rPr>
      </w:pPr>
    </w:p>
    <w:p w14:paraId="0090EAAC" w14:textId="77777777" w:rsidR="00CC5A4D" w:rsidRPr="00131EED" w:rsidRDefault="00CC5A4D" w:rsidP="00CC5A4D">
      <w:pPr>
        <w:rPr>
          <w:rFonts w:cs="Arial"/>
        </w:rPr>
      </w:pPr>
      <w:r w:rsidRPr="00131EED">
        <w:rPr>
          <w:rFonts w:cs="Arial"/>
        </w:rPr>
        <w:t xml:space="preserve">Para el </w:t>
      </w:r>
      <w:r w:rsidRPr="00131EED">
        <w:rPr>
          <w:rFonts w:cs="Arial"/>
          <w:i/>
        </w:rPr>
        <w:t>Índice De Vulnerabilidad A Eventos Torrenciales (IVET)</w:t>
      </w:r>
      <w:r w:rsidRPr="00131EED">
        <w:rPr>
          <w:rFonts w:cs="Arial"/>
        </w:rPr>
        <w:t xml:space="preserve"> se debe estimar el Índice de Variabilidad, el cual muestra el comportamiento de los caudales en una determinada cuenca definiéndola torrencial como aquella que presenta una mayor variabilidad, es decir, donde existen diferencias grandes entre los caudales mínimos que se presentan y los valores máximos. El Índice de Variabilidad (IV), se obtiene de la curva de duración de caudales medios y los valores de caudal en diferentes porcentajes de tiempo, enseguida se proceden a calcular los logaritmos a cada uno de los caudales y se realiza el promedio de estos. Para el cálculo del (IV) se emplea la ecuación descrita en la Resolución 0865 de 2004 del MADS.</w:t>
      </w:r>
    </w:p>
    <w:p w14:paraId="52878686" w14:textId="77777777" w:rsidR="00CC5A4D" w:rsidRPr="00131EED" w:rsidRDefault="00CC5A4D" w:rsidP="00CC5A4D">
      <w:pPr>
        <w:rPr>
          <w:rFonts w:ascii="Baskerville" w:hAnsi="Baskerville" w:cs="Arial"/>
        </w:rPr>
      </w:pPr>
    </w:p>
    <w:p w14:paraId="3440ABCE" w14:textId="07A2D9A4" w:rsidR="00CC5A4D" w:rsidRPr="00131EED" w:rsidRDefault="00CC5A4D" w:rsidP="001E413D">
      <w:pPr>
        <w:pStyle w:val="Caption"/>
        <w:jc w:val="center"/>
      </w:pPr>
      <w:bookmarkStart w:id="398" w:name="_Toc162340785"/>
      <w:bookmarkStart w:id="399" w:name="_Toc216468989"/>
      <w:r w:rsidRPr="00131EED">
        <w:t xml:space="preserve">Tabla </w:t>
      </w:r>
      <w:r w:rsidRPr="00131EED">
        <w:fldChar w:fldCharType="begin"/>
      </w:r>
      <w:r w:rsidRPr="00131EED">
        <w:instrText>SEQ Tabla \* ARABIC</w:instrText>
      </w:r>
      <w:r w:rsidRPr="00131EED">
        <w:fldChar w:fldCharType="separate"/>
      </w:r>
      <w:r w:rsidR="00CE096F">
        <w:rPr>
          <w:noProof/>
        </w:rPr>
        <w:t>79</w:t>
      </w:r>
      <w:r w:rsidRPr="00131EED">
        <w:fldChar w:fldCharType="end"/>
      </w:r>
      <w:r w:rsidRPr="00131EED">
        <w:t>. Categoría del índice de variabilidad</w:t>
      </w:r>
      <w:bookmarkEnd w:id="398"/>
      <w:bookmarkEnd w:id="399"/>
    </w:p>
    <w:tbl>
      <w:tblPr>
        <w:tblStyle w:val="GridTable1Light"/>
        <w:tblW w:w="5893" w:type="dxa"/>
        <w:jc w:val="center"/>
        <w:tblLook w:val="04A0" w:firstRow="1" w:lastRow="0" w:firstColumn="1" w:lastColumn="0" w:noHBand="0" w:noVBand="1"/>
      </w:tblPr>
      <w:tblGrid>
        <w:gridCol w:w="2677"/>
        <w:gridCol w:w="3216"/>
      </w:tblGrid>
      <w:tr w:rsidR="00CC5A4D" w:rsidRPr="00131EED" w14:paraId="1C3C64D6" w14:textId="77777777" w:rsidTr="00053167">
        <w:trPr>
          <w:cnfStyle w:val="100000000000" w:firstRow="1" w:lastRow="0" w:firstColumn="0" w:lastColumn="0" w:oddVBand="0" w:evenVBand="0" w:oddHBand="0" w:evenHBand="0" w:firstRowFirstColumn="0" w:firstRowLastColumn="0" w:lastRowFirstColumn="0" w:lastRowLastColumn="0"/>
          <w:trHeight w:val="301"/>
          <w:tblHeader/>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300BDD12" w14:textId="77777777" w:rsidR="00CC5A4D" w:rsidRPr="00131EED" w:rsidRDefault="00CC5A4D" w:rsidP="006845C5">
            <w:pPr>
              <w:jc w:val="center"/>
              <w:rPr>
                <w:rFonts w:cs="Arial"/>
                <w:sz w:val="20"/>
                <w:szCs w:val="20"/>
              </w:rPr>
            </w:pPr>
            <w:r w:rsidRPr="00131EED">
              <w:rPr>
                <w:rFonts w:cs="Arial"/>
                <w:sz w:val="20"/>
                <w:szCs w:val="20"/>
              </w:rPr>
              <w:t>ÍNDICE DE VARIABILIDAD</w:t>
            </w:r>
          </w:p>
        </w:tc>
        <w:tc>
          <w:tcPr>
            <w:tcW w:w="0" w:type="dxa"/>
            <w:vAlign w:val="center"/>
          </w:tcPr>
          <w:p w14:paraId="522CD035"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VULNERABILIDAD</w:t>
            </w:r>
          </w:p>
        </w:tc>
      </w:tr>
      <w:tr w:rsidR="00CC5A4D" w:rsidRPr="00131EED" w14:paraId="6C0E7D6D" w14:textId="77777777" w:rsidTr="00053167">
        <w:trPr>
          <w:trHeight w:val="292"/>
          <w:jc w:val="center"/>
        </w:trPr>
        <w:tc>
          <w:tcPr>
            <w:cnfStyle w:val="001000000000" w:firstRow="0" w:lastRow="0" w:firstColumn="1" w:lastColumn="0" w:oddVBand="0" w:evenVBand="0" w:oddHBand="0" w:evenHBand="0" w:firstRowFirstColumn="0" w:firstRowLastColumn="0" w:lastRowFirstColumn="0" w:lastRowLastColumn="0"/>
            <w:tcW w:w="0" w:type="dxa"/>
          </w:tcPr>
          <w:p w14:paraId="53F52894" w14:textId="77777777" w:rsidR="00CC5A4D" w:rsidRPr="00131EED" w:rsidRDefault="00CC5A4D" w:rsidP="006845C5">
            <w:pPr>
              <w:jc w:val="center"/>
              <w:rPr>
                <w:rFonts w:cs="Arial"/>
                <w:b w:val="0"/>
                <w:sz w:val="20"/>
                <w:szCs w:val="20"/>
              </w:rPr>
            </w:pPr>
            <w:r w:rsidRPr="00131EED">
              <w:rPr>
                <w:rFonts w:cs="Arial"/>
                <w:b w:val="0"/>
                <w:sz w:val="20"/>
                <w:szCs w:val="20"/>
              </w:rPr>
              <w:t>&gt;0.61</w:t>
            </w:r>
          </w:p>
        </w:tc>
        <w:tc>
          <w:tcPr>
            <w:tcW w:w="0" w:type="dxa"/>
            <w:shd w:val="clear" w:color="auto" w:fill="FF0000"/>
          </w:tcPr>
          <w:p w14:paraId="7F22908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Muy alta</w:t>
            </w:r>
          </w:p>
        </w:tc>
      </w:tr>
      <w:tr w:rsidR="00CC5A4D" w:rsidRPr="00131EED" w14:paraId="484CB553" w14:textId="77777777" w:rsidTr="00053167">
        <w:trPr>
          <w:trHeight w:val="301"/>
          <w:jc w:val="center"/>
        </w:trPr>
        <w:tc>
          <w:tcPr>
            <w:cnfStyle w:val="001000000000" w:firstRow="0" w:lastRow="0" w:firstColumn="1" w:lastColumn="0" w:oddVBand="0" w:evenVBand="0" w:oddHBand="0" w:evenHBand="0" w:firstRowFirstColumn="0" w:firstRowLastColumn="0" w:lastRowFirstColumn="0" w:lastRowLastColumn="0"/>
            <w:tcW w:w="0" w:type="dxa"/>
          </w:tcPr>
          <w:p w14:paraId="02EEB36A" w14:textId="77777777" w:rsidR="00CC5A4D" w:rsidRPr="00131EED" w:rsidRDefault="00CC5A4D" w:rsidP="006845C5">
            <w:pPr>
              <w:jc w:val="center"/>
              <w:rPr>
                <w:rFonts w:cs="Arial"/>
                <w:b w:val="0"/>
                <w:sz w:val="20"/>
                <w:szCs w:val="20"/>
              </w:rPr>
            </w:pPr>
            <w:r w:rsidRPr="00131EED">
              <w:rPr>
                <w:rFonts w:cs="Arial"/>
                <w:b w:val="0"/>
                <w:sz w:val="20"/>
                <w:szCs w:val="20"/>
              </w:rPr>
              <w:t>0.46 – 0.60</w:t>
            </w:r>
          </w:p>
        </w:tc>
        <w:tc>
          <w:tcPr>
            <w:tcW w:w="0" w:type="dxa"/>
            <w:shd w:val="clear" w:color="auto" w:fill="FFC000"/>
          </w:tcPr>
          <w:p w14:paraId="1A65A3E1"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Alta</w:t>
            </w:r>
          </w:p>
        </w:tc>
      </w:tr>
      <w:tr w:rsidR="00CC5A4D" w:rsidRPr="00131EED" w14:paraId="6D313ED0" w14:textId="77777777" w:rsidTr="00053167">
        <w:trPr>
          <w:trHeight w:val="292"/>
          <w:jc w:val="center"/>
        </w:trPr>
        <w:tc>
          <w:tcPr>
            <w:cnfStyle w:val="001000000000" w:firstRow="0" w:lastRow="0" w:firstColumn="1" w:lastColumn="0" w:oddVBand="0" w:evenVBand="0" w:oddHBand="0" w:evenHBand="0" w:firstRowFirstColumn="0" w:firstRowLastColumn="0" w:lastRowFirstColumn="0" w:lastRowLastColumn="0"/>
            <w:tcW w:w="0" w:type="dxa"/>
          </w:tcPr>
          <w:p w14:paraId="41D4FFAD" w14:textId="77777777" w:rsidR="00CC5A4D" w:rsidRPr="00131EED" w:rsidRDefault="00CC5A4D" w:rsidP="006845C5">
            <w:pPr>
              <w:jc w:val="center"/>
              <w:rPr>
                <w:rFonts w:cs="Arial"/>
                <w:b w:val="0"/>
                <w:sz w:val="20"/>
                <w:szCs w:val="20"/>
              </w:rPr>
            </w:pPr>
            <w:r w:rsidRPr="00131EED">
              <w:rPr>
                <w:rFonts w:cs="Arial"/>
                <w:b w:val="0"/>
                <w:sz w:val="20"/>
                <w:szCs w:val="20"/>
              </w:rPr>
              <w:t>0.31 – 0.45</w:t>
            </w:r>
          </w:p>
        </w:tc>
        <w:tc>
          <w:tcPr>
            <w:tcW w:w="0" w:type="dxa"/>
            <w:shd w:val="clear" w:color="auto" w:fill="FFFF00"/>
          </w:tcPr>
          <w:p w14:paraId="2361777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Media</w:t>
            </w:r>
          </w:p>
        </w:tc>
      </w:tr>
      <w:tr w:rsidR="00CC5A4D" w:rsidRPr="00131EED" w14:paraId="05FF1328" w14:textId="77777777" w:rsidTr="00053167">
        <w:trPr>
          <w:trHeight w:val="301"/>
          <w:jc w:val="center"/>
        </w:trPr>
        <w:tc>
          <w:tcPr>
            <w:cnfStyle w:val="001000000000" w:firstRow="0" w:lastRow="0" w:firstColumn="1" w:lastColumn="0" w:oddVBand="0" w:evenVBand="0" w:oddHBand="0" w:evenHBand="0" w:firstRowFirstColumn="0" w:firstRowLastColumn="0" w:lastRowFirstColumn="0" w:lastRowLastColumn="0"/>
            <w:tcW w:w="0" w:type="dxa"/>
          </w:tcPr>
          <w:p w14:paraId="154393F2" w14:textId="77777777" w:rsidR="00CC5A4D" w:rsidRPr="00131EED" w:rsidRDefault="00CC5A4D" w:rsidP="006845C5">
            <w:pPr>
              <w:jc w:val="center"/>
              <w:rPr>
                <w:rFonts w:cs="Arial"/>
                <w:b w:val="0"/>
                <w:sz w:val="20"/>
                <w:szCs w:val="20"/>
              </w:rPr>
            </w:pPr>
            <w:r w:rsidRPr="00131EED">
              <w:rPr>
                <w:rFonts w:cs="Arial"/>
                <w:b w:val="0"/>
                <w:sz w:val="20"/>
                <w:szCs w:val="20"/>
              </w:rPr>
              <w:t>0.16 – 0.30</w:t>
            </w:r>
          </w:p>
        </w:tc>
        <w:tc>
          <w:tcPr>
            <w:tcW w:w="0" w:type="dxa"/>
            <w:shd w:val="clear" w:color="auto" w:fill="00B050"/>
          </w:tcPr>
          <w:p w14:paraId="5C8F716C"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Baja</w:t>
            </w:r>
          </w:p>
        </w:tc>
      </w:tr>
      <w:tr w:rsidR="00CC5A4D" w:rsidRPr="00131EED" w14:paraId="52704A10" w14:textId="77777777" w:rsidTr="00053167">
        <w:trPr>
          <w:trHeight w:val="292"/>
          <w:jc w:val="center"/>
        </w:trPr>
        <w:tc>
          <w:tcPr>
            <w:cnfStyle w:val="001000000000" w:firstRow="0" w:lastRow="0" w:firstColumn="1" w:lastColumn="0" w:oddVBand="0" w:evenVBand="0" w:oddHBand="0" w:evenHBand="0" w:firstRowFirstColumn="0" w:firstRowLastColumn="0" w:lastRowFirstColumn="0" w:lastRowLastColumn="0"/>
            <w:tcW w:w="0" w:type="dxa"/>
          </w:tcPr>
          <w:p w14:paraId="258E8D9F" w14:textId="77777777" w:rsidR="00CC5A4D" w:rsidRPr="00131EED" w:rsidRDefault="00CC5A4D" w:rsidP="006845C5">
            <w:pPr>
              <w:jc w:val="center"/>
              <w:rPr>
                <w:rFonts w:cs="Arial"/>
                <w:b w:val="0"/>
                <w:sz w:val="20"/>
                <w:szCs w:val="20"/>
              </w:rPr>
            </w:pPr>
            <w:r w:rsidRPr="00131EED">
              <w:rPr>
                <w:rFonts w:cs="Arial"/>
                <w:b w:val="0"/>
                <w:sz w:val="20"/>
                <w:szCs w:val="20"/>
              </w:rPr>
              <w:t>&lt;0.15</w:t>
            </w:r>
          </w:p>
        </w:tc>
        <w:tc>
          <w:tcPr>
            <w:tcW w:w="0" w:type="dxa"/>
            <w:shd w:val="clear" w:color="auto" w:fill="0070C0"/>
          </w:tcPr>
          <w:p w14:paraId="68DBC70E"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Muy Baja</w:t>
            </w:r>
          </w:p>
        </w:tc>
      </w:tr>
    </w:tbl>
    <w:p w14:paraId="38D629D2" w14:textId="2C15CCDE" w:rsidR="00CC5A4D" w:rsidRPr="00131EED" w:rsidRDefault="00CC5A4D" w:rsidP="006845C5">
      <w:pPr>
        <w:jc w:val="center"/>
        <w:rPr>
          <w:rFonts w:ascii="Baskerville" w:hAnsi="Baskerville" w:cs="Arial"/>
          <w:sz w:val="18"/>
          <w:szCs w:val="18"/>
        </w:rPr>
      </w:pPr>
      <w:r w:rsidRPr="00131EED">
        <w:rPr>
          <w:rFonts w:ascii="Baskerville" w:hAnsi="Baskerville" w:cs="Arial"/>
          <w:sz w:val="18"/>
          <w:szCs w:val="18"/>
        </w:rPr>
        <w:t xml:space="preserve">Fuente: IDEAM, </w:t>
      </w:r>
      <w:sdt>
        <w:sdtPr>
          <w:rPr>
            <w:rFonts w:ascii="Baskerville" w:hAnsi="Baskerville" w:cs="Arial"/>
            <w:sz w:val="18"/>
            <w:szCs w:val="18"/>
          </w:rPr>
          <w:id w:val="-1435740929"/>
          <w:citation/>
        </w:sdtPr>
        <w:sdtEndPr/>
        <w:sdtContent>
          <w:r w:rsidRPr="00131EED">
            <w:rPr>
              <w:rFonts w:ascii="Baskerville" w:hAnsi="Baskerville" w:cs="Arial"/>
              <w:sz w:val="18"/>
              <w:szCs w:val="18"/>
            </w:rPr>
            <w:fldChar w:fldCharType="begin"/>
          </w:r>
          <w:r w:rsidRPr="00131EED">
            <w:rPr>
              <w:rFonts w:ascii="Baskerville" w:hAnsi="Baskerville" w:cs="Arial"/>
              <w:sz w:val="18"/>
              <w:szCs w:val="18"/>
            </w:rPr>
            <w:instrText xml:space="preserve">CITATION IDE131 \n  \t  \l 3082 </w:instrText>
          </w:r>
          <w:r w:rsidRPr="00131EED">
            <w:rPr>
              <w:rFonts w:ascii="Baskerville" w:hAnsi="Baskerville" w:cs="Arial"/>
              <w:sz w:val="18"/>
              <w:szCs w:val="18"/>
            </w:rPr>
            <w:fldChar w:fldCharType="separate"/>
          </w:r>
          <w:r w:rsidRPr="00131EED">
            <w:rPr>
              <w:rFonts w:ascii="Baskerville" w:hAnsi="Baskerville" w:cs="Arial"/>
              <w:sz w:val="18"/>
              <w:szCs w:val="18"/>
            </w:rPr>
            <w:t>(2013)</w:t>
          </w:r>
          <w:r w:rsidRPr="00131EED">
            <w:rPr>
              <w:rFonts w:ascii="Baskerville" w:hAnsi="Baskerville" w:cs="Arial"/>
              <w:sz w:val="18"/>
              <w:szCs w:val="18"/>
            </w:rPr>
            <w:fldChar w:fldCharType="end"/>
          </w:r>
        </w:sdtContent>
      </w:sdt>
      <w:r w:rsidRPr="00131EED">
        <w:rPr>
          <w:rFonts w:ascii="Baskerville" w:hAnsi="Baskerville" w:cs="Arial"/>
          <w:sz w:val="18"/>
          <w:szCs w:val="18"/>
        </w:rPr>
        <w:t>.</w:t>
      </w:r>
    </w:p>
    <w:p w14:paraId="0B0F273F" w14:textId="77777777" w:rsidR="00CC5A4D" w:rsidRPr="00131EED" w:rsidRDefault="00CC5A4D" w:rsidP="00CC5A4D">
      <w:pPr>
        <w:rPr>
          <w:rFonts w:ascii="Baskerville" w:hAnsi="Baskerville" w:cs="Arial"/>
          <w:sz w:val="20"/>
          <w:szCs w:val="20"/>
        </w:rPr>
      </w:pPr>
    </w:p>
    <w:p w14:paraId="7C0A18D9" w14:textId="77777777" w:rsidR="00A4471C" w:rsidRPr="00131EED" w:rsidRDefault="00A4471C" w:rsidP="00CC5A4D">
      <w:pPr>
        <w:rPr>
          <w:rFonts w:ascii="Baskerville" w:hAnsi="Baskerville" w:cs="Arial"/>
          <w:sz w:val="20"/>
          <w:szCs w:val="20"/>
        </w:rPr>
      </w:pPr>
    </w:p>
    <w:p w14:paraId="5F615A13" w14:textId="77777777" w:rsidR="00CC5A4D" w:rsidRPr="00131EED" w:rsidRDefault="00CC5A4D" w:rsidP="00CC5A4D">
      <w:pPr>
        <w:rPr>
          <w:rFonts w:cs="Arial"/>
        </w:rPr>
      </w:pPr>
      <w:r w:rsidRPr="00131EED">
        <w:rPr>
          <w:rFonts w:cs="Arial"/>
        </w:rPr>
        <w:t xml:space="preserve">El </w:t>
      </w:r>
      <w:r w:rsidRPr="00131EED">
        <w:rPr>
          <w:rFonts w:cs="Arial"/>
          <w:i/>
        </w:rPr>
        <w:t>Índice de Retención y Regulación Hídrica – IRH</w:t>
      </w:r>
      <w:r w:rsidRPr="00131EED">
        <w:rPr>
          <w:rFonts w:cs="Arial"/>
        </w:rPr>
        <w:t xml:space="preserve"> Mide la capacidad de retención de humedad de las cuencas con base en la distribución de las series de frecuencias acumuladas de los caudales diarios. Este índice se mueve en el rango entre 0 y 1, siendo los valores más bajos los que se interpretan como de menor regulación.</w:t>
      </w:r>
    </w:p>
    <w:p w14:paraId="34C981F7" w14:textId="77777777" w:rsidR="00CC5A4D" w:rsidRPr="00131EED" w:rsidRDefault="00CC5A4D" w:rsidP="00CC5A4D">
      <w:pPr>
        <w:rPr>
          <w:rFonts w:ascii="Baskerville" w:hAnsi="Baskerville" w:cs="Arial"/>
        </w:rPr>
      </w:pPr>
    </w:p>
    <w:p w14:paraId="48EBD1D1" w14:textId="77777777" w:rsidR="00F33D8B" w:rsidRPr="00131EED" w:rsidRDefault="00F33D8B" w:rsidP="00CC5A4D">
      <w:pPr>
        <w:rPr>
          <w:rFonts w:ascii="Baskerville" w:hAnsi="Baskerville" w:cs="Arial"/>
        </w:rPr>
      </w:pPr>
    </w:p>
    <w:p w14:paraId="318BAC42" w14:textId="60A01ED7" w:rsidR="00CC5A4D" w:rsidRPr="00131EED" w:rsidRDefault="00CC5A4D" w:rsidP="001E413D">
      <w:pPr>
        <w:pStyle w:val="Caption"/>
        <w:jc w:val="center"/>
      </w:pPr>
      <w:bookmarkStart w:id="400" w:name="_Toc162340786"/>
      <w:bookmarkStart w:id="401" w:name="_Toc216468990"/>
      <w:r w:rsidRPr="00131EED">
        <w:t xml:space="preserve">Tabla </w:t>
      </w:r>
      <w:r w:rsidRPr="00131EED">
        <w:fldChar w:fldCharType="begin"/>
      </w:r>
      <w:r w:rsidRPr="00131EED">
        <w:instrText>SEQ Tabla \* ARABIC</w:instrText>
      </w:r>
      <w:r w:rsidRPr="00131EED">
        <w:fldChar w:fldCharType="separate"/>
      </w:r>
      <w:r w:rsidR="00CE096F">
        <w:rPr>
          <w:noProof/>
        </w:rPr>
        <w:t>80</w:t>
      </w:r>
      <w:r w:rsidRPr="00131EED">
        <w:fldChar w:fldCharType="end"/>
      </w:r>
      <w:r w:rsidRPr="00131EED">
        <w:t>. Rangos y categorías del Índice de retención y regulación hídrica.</w:t>
      </w:r>
      <w:bookmarkEnd w:id="400"/>
      <w:bookmarkEnd w:id="401"/>
    </w:p>
    <w:tbl>
      <w:tblPr>
        <w:tblStyle w:val="GridTable1Light"/>
        <w:tblW w:w="8848" w:type="dxa"/>
        <w:tblLook w:val="04A0" w:firstRow="1" w:lastRow="0" w:firstColumn="1" w:lastColumn="0" w:noHBand="0" w:noVBand="1"/>
      </w:tblPr>
      <w:tblGrid>
        <w:gridCol w:w="1486"/>
        <w:gridCol w:w="1404"/>
        <w:gridCol w:w="5958"/>
      </w:tblGrid>
      <w:tr w:rsidR="00CC5A4D" w:rsidRPr="00131EED" w14:paraId="24B7AE6B" w14:textId="77777777" w:rsidTr="00053167">
        <w:trPr>
          <w:cnfStyle w:val="100000000000" w:firstRow="1" w:lastRow="0" w:firstColumn="0" w:lastColumn="0" w:oddVBand="0" w:evenVBand="0" w:oddHBand="0" w:evenHBand="0" w:firstRowFirstColumn="0" w:firstRowLastColumn="0" w:lastRowFirstColumn="0" w:lastRowLastColumn="0"/>
          <w:trHeight w:val="207"/>
        </w:trPr>
        <w:tc>
          <w:tcPr>
            <w:cnfStyle w:val="001000000000" w:firstRow="0" w:lastRow="0" w:firstColumn="1" w:lastColumn="0" w:oddVBand="0" w:evenVBand="0" w:oddHBand="0" w:evenHBand="0" w:firstRowFirstColumn="0" w:firstRowLastColumn="0" w:lastRowFirstColumn="0" w:lastRowLastColumn="0"/>
            <w:tcW w:w="1491" w:type="dxa"/>
            <w:vAlign w:val="center"/>
          </w:tcPr>
          <w:p w14:paraId="565C3D69" w14:textId="77777777" w:rsidR="00CC5A4D" w:rsidRPr="00131EED" w:rsidRDefault="00CC5A4D" w:rsidP="006845C5">
            <w:pPr>
              <w:jc w:val="center"/>
              <w:rPr>
                <w:rFonts w:cs="Arial"/>
                <w:sz w:val="20"/>
                <w:szCs w:val="20"/>
              </w:rPr>
            </w:pPr>
            <w:r w:rsidRPr="00131EED">
              <w:rPr>
                <w:rFonts w:cs="Arial"/>
                <w:sz w:val="20"/>
                <w:szCs w:val="20"/>
              </w:rPr>
              <w:t>RANGOS DE VALORES IRH</w:t>
            </w:r>
          </w:p>
        </w:tc>
        <w:tc>
          <w:tcPr>
            <w:tcW w:w="1347" w:type="dxa"/>
            <w:vAlign w:val="center"/>
          </w:tcPr>
          <w:p w14:paraId="2BACD264"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CATEGORÍA</w:t>
            </w:r>
          </w:p>
        </w:tc>
        <w:tc>
          <w:tcPr>
            <w:tcW w:w="6010" w:type="dxa"/>
          </w:tcPr>
          <w:p w14:paraId="201019BA"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CARACTERÍSTICAS</w:t>
            </w:r>
          </w:p>
        </w:tc>
      </w:tr>
      <w:tr w:rsidR="00CC5A4D" w:rsidRPr="00131EED" w14:paraId="59C8D6EF" w14:textId="77777777" w:rsidTr="00053167">
        <w:trPr>
          <w:trHeight w:val="200"/>
        </w:trPr>
        <w:tc>
          <w:tcPr>
            <w:cnfStyle w:val="001000000000" w:firstRow="0" w:lastRow="0" w:firstColumn="1" w:lastColumn="0" w:oddVBand="0" w:evenVBand="0" w:oddHBand="0" w:evenHBand="0" w:firstRowFirstColumn="0" w:firstRowLastColumn="0" w:lastRowFirstColumn="0" w:lastRowLastColumn="0"/>
            <w:tcW w:w="1491" w:type="dxa"/>
          </w:tcPr>
          <w:p w14:paraId="35AAFB0A" w14:textId="77777777" w:rsidR="00CC5A4D" w:rsidRPr="00131EED" w:rsidRDefault="00CC5A4D" w:rsidP="006845C5">
            <w:pPr>
              <w:jc w:val="center"/>
              <w:rPr>
                <w:rFonts w:cs="Arial"/>
                <w:b w:val="0"/>
                <w:sz w:val="20"/>
                <w:szCs w:val="20"/>
              </w:rPr>
            </w:pPr>
            <w:r w:rsidRPr="00131EED">
              <w:rPr>
                <w:rFonts w:cs="Arial"/>
                <w:b w:val="0"/>
                <w:sz w:val="20"/>
                <w:szCs w:val="20"/>
              </w:rPr>
              <w:t>&lt;0.50</w:t>
            </w:r>
          </w:p>
        </w:tc>
        <w:tc>
          <w:tcPr>
            <w:tcW w:w="1347" w:type="dxa"/>
            <w:shd w:val="clear" w:color="auto" w:fill="FF0000"/>
          </w:tcPr>
          <w:p w14:paraId="7B6D830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Muy bajo</w:t>
            </w:r>
          </w:p>
        </w:tc>
        <w:tc>
          <w:tcPr>
            <w:tcW w:w="6010" w:type="dxa"/>
            <w:shd w:val="clear" w:color="auto" w:fill="FFFFFF" w:themeFill="background1"/>
          </w:tcPr>
          <w:p w14:paraId="33478512"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Capacidad de la cuenca para retener y regular muy baja</w:t>
            </w:r>
          </w:p>
        </w:tc>
      </w:tr>
      <w:tr w:rsidR="00CC5A4D" w:rsidRPr="00131EED" w14:paraId="78FAB827" w14:textId="77777777" w:rsidTr="00053167">
        <w:trPr>
          <w:trHeight w:val="207"/>
        </w:trPr>
        <w:tc>
          <w:tcPr>
            <w:cnfStyle w:val="001000000000" w:firstRow="0" w:lastRow="0" w:firstColumn="1" w:lastColumn="0" w:oddVBand="0" w:evenVBand="0" w:oddHBand="0" w:evenHBand="0" w:firstRowFirstColumn="0" w:firstRowLastColumn="0" w:lastRowFirstColumn="0" w:lastRowLastColumn="0"/>
            <w:tcW w:w="1491" w:type="dxa"/>
          </w:tcPr>
          <w:p w14:paraId="08EA6F09" w14:textId="77777777" w:rsidR="00CC5A4D" w:rsidRPr="00131EED" w:rsidRDefault="00CC5A4D" w:rsidP="006845C5">
            <w:pPr>
              <w:jc w:val="center"/>
              <w:rPr>
                <w:rFonts w:cs="Arial"/>
                <w:b w:val="0"/>
                <w:sz w:val="20"/>
                <w:szCs w:val="20"/>
              </w:rPr>
            </w:pPr>
            <w:r w:rsidRPr="00131EED">
              <w:rPr>
                <w:rFonts w:cs="Arial"/>
                <w:b w:val="0"/>
                <w:sz w:val="20"/>
                <w:szCs w:val="20"/>
              </w:rPr>
              <w:t>0.50 – 0.65</w:t>
            </w:r>
          </w:p>
        </w:tc>
        <w:tc>
          <w:tcPr>
            <w:tcW w:w="1347" w:type="dxa"/>
            <w:shd w:val="clear" w:color="auto" w:fill="FFC000"/>
          </w:tcPr>
          <w:p w14:paraId="24B2687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c>
          <w:tcPr>
            <w:tcW w:w="6010" w:type="dxa"/>
            <w:shd w:val="clear" w:color="auto" w:fill="FFFFFF" w:themeFill="background1"/>
          </w:tcPr>
          <w:p w14:paraId="6B5D650E"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Capacidad de la cuenca para retener y regular baja</w:t>
            </w:r>
          </w:p>
        </w:tc>
      </w:tr>
      <w:tr w:rsidR="00CC5A4D" w:rsidRPr="00131EED" w14:paraId="583E5DE8" w14:textId="77777777" w:rsidTr="00053167">
        <w:trPr>
          <w:trHeight w:val="200"/>
        </w:trPr>
        <w:tc>
          <w:tcPr>
            <w:cnfStyle w:val="001000000000" w:firstRow="0" w:lastRow="0" w:firstColumn="1" w:lastColumn="0" w:oddVBand="0" w:evenVBand="0" w:oddHBand="0" w:evenHBand="0" w:firstRowFirstColumn="0" w:firstRowLastColumn="0" w:lastRowFirstColumn="0" w:lastRowLastColumn="0"/>
            <w:tcW w:w="1491" w:type="dxa"/>
          </w:tcPr>
          <w:p w14:paraId="4577A9ED" w14:textId="77777777" w:rsidR="00CC5A4D" w:rsidRPr="00131EED" w:rsidRDefault="00CC5A4D" w:rsidP="006845C5">
            <w:pPr>
              <w:jc w:val="center"/>
              <w:rPr>
                <w:rFonts w:cs="Arial"/>
                <w:b w:val="0"/>
                <w:sz w:val="20"/>
                <w:szCs w:val="20"/>
              </w:rPr>
            </w:pPr>
            <w:r w:rsidRPr="00131EED">
              <w:rPr>
                <w:rFonts w:cs="Arial"/>
                <w:b w:val="0"/>
                <w:sz w:val="20"/>
                <w:szCs w:val="20"/>
              </w:rPr>
              <w:t>0.65 – 0.75</w:t>
            </w:r>
          </w:p>
        </w:tc>
        <w:tc>
          <w:tcPr>
            <w:tcW w:w="1347" w:type="dxa"/>
            <w:shd w:val="clear" w:color="auto" w:fill="FFFF00"/>
          </w:tcPr>
          <w:p w14:paraId="1ABEC962"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Medio</w:t>
            </w:r>
          </w:p>
        </w:tc>
        <w:tc>
          <w:tcPr>
            <w:tcW w:w="6010" w:type="dxa"/>
            <w:shd w:val="clear" w:color="auto" w:fill="FFFFFF" w:themeFill="background1"/>
          </w:tcPr>
          <w:p w14:paraId="244077BD"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Capacidad de la cuenca para retener y regular media</w:t>
            </w:r>
          </w:p>
        </w:tc>
      </w:tr>
      <w:tr w:rsidR="00CC5A4D" w:rsidRPr="00131EED" w14:paraId="26827ED7" w14:textId="77777777" w:rsidTr="00053167">
        <w:trPr>
          <w:trHeight w:val="207"/>
        </w:trPr>
        <w:tc>
          <w:tcPr>
            <w:cnfStyle w:val="001000000000" w:firstRow="0" w:lastRow="0" w:firstColumn="1" w:lastColumn="0" w:oddVBand="0" w:evenVBand="0" w:oddHBand="0" w:evenHBand="0" w:firstRowFirstColumn="0" w:firstRowLastColumn="0" w:lastRowFirstColumn="0" w:lastRowLastColumn="0"/>
            <w:tcW w:w="1491" w:type="dxa"/>
          </w:tcPr>
          <w:p w14:paraId="6BA57BB9" w14:textId="77777777" w:rsidR="00CC5A4D" w:rsidRPr="00131EED" w:rsidRDefault="00CC5A4D" w:rsidP="006845C5">
            <w:pPr>
              <w:jc w:val="center"/>
              <w:rPr>
                <w:rFonts w:cs="Arial"/>
                <w:b w:val="0"/>
                <w:sz w:val="20"/>
                <w:szCs w:val="20"/>
              </w:rPr>
            </w:pPr>
            <w:r w:rsidRPr="00131EED">
              <w:rPr>
                <w:rFonts w:cs="Arial"/>
                <w:b w:val="0"/>
                <w:sz w:val="20"/>
                <w:szCs w:val="20"/>
              </w:rPr>
              <w:t>0.75 – 0.85</w:t>
            </w:r>
          </w:p>
        </w:tc>
        <w:tc>
          <w:tcPr>
            <w:tcW w:w="1347" w:type="dxa"/>
            <w:shd w:val="clear" w:color="auto" w:fill="00B050"/>
          </w:tcPr>
          <w:p w14:paraId="46885E5E"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c>
          <w:tcPr>
            <w:tcW w:w="6010" w:type="dxa"/>
            <w:shd w:val="clear" w:color="auto" w:fill="FFFFFF" w:themeFill="background1"/>
          </w:tcPr>
          <w:p w14:paraId="78992738"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Capacidad de la cuenca para retener y regular alta</w:t>
            </w:r>
          </w:p>
        </w:tc>
      </w:tr>
      <w:tr w:rsidR="00CC5A4D" w:rsidRPr="00131EED" w14:paraId="2A16F874" w14:textId="77777777" w:rsidTr="00053167">
        <w:trPr>
          <w:trHeight w:val="200"/>
        </w:trPr>
        <w:tc>
          <w:tcPr>
            <w:cnfStyle w:val="001000000000" w:firstRow="0" w:lastRow="0" w:firstColumn="1" w:lastColumn="0" w:oddVBand="0" w:evenVBand="0" w:oddHBand="0" w:evenHBand="0" w:firstRowFirstColumn="0" w:firstRowLastColumn="0" w:lastRowFirstColumn="0" w:lastRowLastColumn="0"/>
            <w:tcW w:w="1491" w:type="dxa"/>
          </w:tcPr>
          <w:p w14:paraId="7748BC5E" w14:textId="77777777" w:rsidR="00CC5A4D" w:rsidRPr="00131EED" w:rsidRDefault="00CC5A4D" w:rsidP="006845C5">
            <w:pPr>
              <w:jc w:val="center"/>
              <w:rPr>
                <w:rFonts w:cs="Arial"/>
                <w:b w:val="0"/>
                <w:sz w:val="20"/>
                <w:szCs w:val="20"/>
              </w:rPr>
            </w:pPr>
            <w:r w:rsidRPr="00131EED">
              <w:rPr>
                <w:rFonts w:cs="Arial"/>
                <w:b w:val="0"/>
                <w:sz w:val="20"/>
                <w:szCs w:val="20"/>
              </w:rPr>
              <w:t>&gt;0.85</w:t>
            </w:r>
          </w:p>
        </w:tc>
        <w:tc>
          <w:tcPr>
            <w:tcW w:w="1347" w:type="dxa"/>
            <w:shd w:val="clear" w:color="auto" w:fill="0070C0"/>
          </w:tcPr>
          <w:p w14:paraId="3C6F602E"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Muy alto</w:t>
            </w:r>
          </w:p>
        </w:tc>
        <w:tc>
          <w:tcPr>
            <w:tcW w:w="6010" w:type="dxa"/>
            <w:shd w:val="clear" w:color="auto" w:fill="FFFFFF" w:themeFill="background1"/>
          </w:tcPr>
          <w:p w14:paraId="17C98C45"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Capacidad de la cuenca para retener y regular muy alta</w:t>
            </w:r>
          </w:p>
        </w:tc>
      </w:tr>
    </w:tbl>
    <w:p w14:paraId="4E463542" w14:textId="403D0A33" w:rsidR="00CC5A4D" w:rsidRPr="00131EED" w:rsidRDefault="00CC5A4D" w:rsidP="006845C5">
      <w:pPr>
        <w:jc w:val="center"/>
        <w:rPr>
          <w:rFonts w:cs="Arial"/>
          <w:sz w:val="20"/>
          <w:szCs w:val="20"/>
        </w:rPr>
      </w:pPr>
      <w:r w:rsidRPr="00131EED">
        <w:rPr>
          <w:rFonts w:cs="Arial"/>
          <w:sz w:val="20"/>
          <w:szCs w:val="20"/>
        </w:rPr>
        <w:t xml:space="preserve">Fuente: IDEAM, </w:t>
      </w:r>
      <w:sdt>
        <w:sdtPr>
          <w:rPr>
            <w:rFonts w:cs="Arial"/>
            <w:sz w:val="20"/>
            <w:szCs w:val="20"/>
          </w:rPr>
          <w:id w:val="-415403874"/>
          <w:citation/>
        </w:sdtPr>
        <w:sdtEndPr/>
        <w:sdtContent>
          <w:r w:rsidRPr="00131EED">
            <w:rPr>
              <w:rFonts w:cs="Arial"/>
              <w:sz w:val="20"/>
              <w:szCs w:val="20"/>
            </w:rPr>
            <w:fldChar w:fldCharType="begin"/>
          </w:r>
          <w:r w:rsidRPr="00131EED">
            <w:rPr>
              <w:rFonts w:cs="Arial"/>
              <w:sz w:val="20"/>
              <w:szCs w:val="20"/>
            </w:rPr>
            <w:instrText xml:space="preserve">CITATION IDE131 \n  \t  \l 3082 </w:instrText>
          </w:r>
          <w:r w:rsidRPr="00131EED">
            <w:rPr>
              <w:rFonts w:cs="Arial"/>
              <w:sz w:val="20"/>
              <w:szCs w:val="20"/>
            </w:rPr>
            <w:fldChar w:fldCharType="separate"/>
          </w:r>
          <w:r w:rsidRPr="00131EED">
            <w:rPr>
              <w:rFonts w:cs="Arial"/>
              <w:sz w:val="20"/>
              <w:szCs w:val="20"/>
            </w:rPr>
            <w:t>(2013)</w:t>
          </w:r>
          <w:r w:rsidRPr="00131EED">
            <w:rPr>
              <w:rFonts w:cs="Arial"/>
              <w:sz w:val="20"/>
              <w:szCs w:val="20"/>
            </w:rPr>
            <w:fldChar w:fldCharType="end"/>
          </w:r>
        </w:sdtContent>
      </w:sdt>
      <w:r w:rsidRPr="00131EED">
        <w:rPr>
          <w:rFonts w:cs="Arial"/>
          <w:sz w:val="20"/>
          <w:szCs w:val="20"/>
        </w:rPr>
        <w:t>.</w:t>
      </w:r>
    </w:p>
    <w:p w14:paraId="298C34C7" w14:textId="60058540" w:rsidR="00CC5A4D" w:rsidRPr="00131EED" w:rsidRDefault="00CC5A4D" w:rsidP="00410194">
      <w:pPr>
        <w:pStyle w:val="Heading3"/>
        <w:numPr>
          <w:ilvl w:val="2"/>
          <w:numId w:val="31"/>
        </w:numPr>
      </w:pPr>
      <w:bookmarkStart w:id="402" w:name="_Toc216468753"/>
      <w:r w:rsidRPr="00131EED">
        <w:t>Alteración de</w:t>
      </w:r>
      <w:r w:rsidR="007670C4" w:rsidRPr="00131EED">
        <w:t xml:space="preserve"> las condiciones </w:t>
      </w:r>
      <w:r w:rsidRPr="00131EED">
        <w:t>h</w:t>
      </w:r>
      <w:r w:rsidR="009C7280" w:rsidRPr="00131EED">
        <w:t>í</w:t>
      </w:r>
      <w:r w:rsidRPr="00131EED">
        <w:t>dr</w:t>
      </w:r>
      <w:r w:rsidR="009C7280" w:rsidRPr="00131EED">
        <w:t>icas</w:t>
      </w:r>
      <w:r w:rsidRPr="00131EED">
        <w:t xml:space="preserve"> por infraestructuras hidráulicas y maladaptación al cambio climático</w:t>
      </w:r>
      <w:bookmarkEnd w:id="402"/>
    </w:p>
    <w:p w14:paraId="02D18472" w14:textId="77777777" w:rsidR="00CC5A4D" w:rsidRPr="00131EED" w:rsidRDefault="00CC5A4D" w:rsidP="00CC5A4D">
      <w:pPr>
        <w:rPr>
          <w:rFonts w:ascii="Baskerville" w:hAnsi="Baskerville" w:cs="Arial"/>
          <w:sz w:val="20"/>
          <w:szCs w:val="20"/>
        </w:rPr>
      </w:pPr>
    </w:p>
    <w:p w14:paraId="38BD35FA" w14:textId="635BD91D" w:rsidR="00414B53" w:rsidRPr="00131EED" w:rsidRDefault="00414B53" w:rsidP="00CC5A4D">
      <w:pPr>
        <w:rPr>
          <w:rFonts w:cs="Arial"/>
        </w:rPr>
      </w:pPr>
      <w:r w:rsidRPr="00131EED">
        <w:rPr>
          <w:rFonts w:cs="Arial"/>
        </w:rPr>
        <w:t xml:space="preserve">A continuación, se presentan los datos y la información más relevantes para comprender la alteración </w:t>
      </w:r>
      <w:r w:rsidR="009C7280" w:rsidRPr="00131EED">
        <w:rPr>
          <w:rFonts w:cs="Arial"/>
        </w:rPr>
        <w:t>de las condiciones hídricas</w:t>
      </w:r>
      <w:r w:rsidRPr="00131EED">
        <w:rPr>
          <w:rFonts w:cs="Arial"/>
        </w:rPr>
        <w:t xml:space="preserve"> en la Sabana de Bogotá, especialmente asociada a la construcción de infraestructuras hidráulicas y a los proyectos de adecuación y mantenimiento realizados en ríos, quebradas y humedales. Este aspecto resulta fundamental, pues aunque varias de estas intervenciones han sido necesarias para el desarrollo y la ocupación histórica del territorio, muchas otras pueden considerarse como ejemplos de mala adaptación al cambio climático.</w:t>
      </w:r>
    </w:p>
    <w:p w14:paraId="7E64D3A2" w14:textId="77777777" w:rsidR="00CC5A4D" w:rsidRPr="00131EED" w:rsidRDefault="00CC5A4D" w:rsidP="00410194">
      <w:pPr>
        <w:pStyle w:val="Heading3"/>
        <w:numPr>
          <w:ilvl w:val="3"/>
          <w:numId w:val="31"/>
        </w:numPr>
      </w:pPr>
      <w:bookmarkStart w:id="403" w:name="_Toc216468754"/>
      <w:r w:rsidRPr="00131EED">
        <w:t>Las adecuaciones hidráulicas y la maladaptación al cambio climático</w:t>
      </w:r>
      <w:bookmarkEnd w:id="403"/>
    </w:p>
    <w:p w14:paraId="7D17E330" w14:textId="77777777" w:rsidR="00CC5A4D" w:rsidRPr="00131EED" w:rsidRDefault="00CC5A4D" w:rsidP="00CC5A4D">
      <w:pPr>
        <w:rPr>
          <w:rFonts w:ascii="Baskerville" w:hAnsi="Baskerville" w:cs="Arial"/>
          <w:sz w:val="20"/>
          <w:szCs w:val="20"/>
        </w:rPr>
      </w:pPr>
    </w:p>
    <w:p w14:paraId="187393AA" w14:textId="4DA60EAF" w:rsidR="00CC5A4D" w:rsidRPr="00131EED" w:rsidRDefault="00CC5A4D" w:rsidP="00CC5A4D">
      <w:pPr>
        <w:rPr>
          <w:rFonts w:cs="Arial"/>
        </w:rPr>
      </w:pPr>
      <w:r w:rsidRPr="00131EED">
        <w:rPr>
          <w:rFonts w:cs="Arial"/>
        </w:rPr>
        <w:t>La mala adaptación se refiere a acciones que pueden conducir a un mayor riesgo de resultados adversos relacionados con el clima, incluso a través de mayor vulnerabilidad al cambio climático, resultados más inequitativos o disminución del bienestar, ahora o en el futuro. En la mayoría de los casos, la mala adaptación es una consecuencia no deseada (IPCC, 2022)</w:t>
      </w:r>
      <w:r w:rsidR="008B3982" w:rsidRPr="00131EED">
        <w:rPr>
          <w:rFonts w:cs="Arial"/>
        </w:rPr>
        <w:t xml:space="preserve">. </w:t>
      </w:r>
    </w:p>
    <w:p w14:paraId="24F4918A" w14:textId="77777777" w:rsidR="00CC5A4D" w:rsidRPr="00131EED" w:rsidRDefault="00CC5A4D" w:rsidP="00CC5A4D">
      <w:pPr>
        <w:rPr>
          <w:rFonts w:cs="Arial"/>
        </w:rPr>
      </w:pPr>
    </w:p>
    <w:p w14:paraId="55801820" w14:textId="61F8FFA8" w:rsidR="00CC5A4D" w:rsidRPr="00131EED" w:rsidRDefault="00CC5A4D" w:rsidP="00CC5A4D">
      <w:pPr>
        <w:rPr>
          <w:rFonts w:cs="Arial"/>
        </w:rPr>
      </w:pPr>
      <w:r w:rsidRPr="00131EED">
        <w:rPr>
          <w:rFonts w:cs="Arial"/>
        </w:rPr>
        <w:t>De acuerdo al IPCC</w:t>
      </w:r>
      <w:r w:rsidR="00BF4DA5" w:rsidRPr="00131EED">
        <w:rPr>
          <w:rFonts w:cs="Arial"/>
        </w:rPr>
        <w:t xml:space="preserve"> (</w:t>
      </w:r>
      <w:r w:rsidRPr="00131EED">
        <w:rPr>
          <w:rFonts w:cs="Arial"/>
        </w:rPr>
        <w:t>2022</w:t>
      </w:r>
      <w:r w:rsidR="00BF4DA5" w:rsidRPr="00131EED">
        <w:rPr>
          <w:rFonts w:cs="Arial"/>
        </w:rPr>
        <w:t>)</w:t>
      </w:r>
      <w:r w:rsidRPr="00131EED">
        <w:rPr>
          <w:rFonts w:cs="Arial"/>
        </w:rPr>
        <w:t>, cuando se toman decisiones sin la inclusión de información científica interdisciplinaria, conocimientos comunitarios, locales e indígenas y experiencia práctica, los procesos de adaptación al cambio climático tienen un gran riesgo de mala adaptación.</w:t>
      </w:r>
    </w:p>
    <w:p w14:paraId="2E2A57EC" w14:textId="77777777" w:rsidR="00CC5A4D" w:rsidRPr="00131EED" w:rsidRDefault="00CC5A4D" w:rsidP="00CC5A4D">
      <w:pPr>
        <w:rPr>
          <w:rFonts w:cs="Arial"/>
        </w:rPr>
      </w:pPr>
    </w:p>
    <w:p w14:paraId="297BB979" w14:textId="77777777" w:rsidR="00CC5A4D" w:rsidRPr="00131EED" w:rsidRDefault="00CC5A4D" w:rsidP="00CC5A4D">
      <w:pPr>
        <w:rPr>
          <w:rFonts w:cs="Arial"/>
        </w:rPr>
      </w:pPr>
      <w:r w:rsidRPr="00131EED">
        <w:rPr>
          <w:rFonts w:cs="Arial"/>
        </w:rPr>
        <w:t>La mala adaptación es un ejemplo de riesgo de respuesta, que se destaca cada vez más (Reisinger, 2020). Un ejemplo es que las acciones de adaptación pueden establecer caminos que limiten las opciones de adaptación de las generaciones futuras. Esta última característica se refiere a los efectos de bloqueo de infraestructuras costosas y mal diseñadas que afectan la capacidad de reforma de las generaciones futuras.</w:t>
      </w:r>
    </w:p>
    <w:p w14:paraId="0A872E67" w14:textId="77777777" w:rsidR="00CC5A4D" w:rsidRPr="00131EED" w:rsidRDefault="00CC5A4D" w:rsidP="00CC5A4D">
      <w:pPr>
        <w:rPr>
          <w:rFonts w:cs="Arial"/>
        </w:rPr>
      </w:pPr>
    </w:p>
    <w:p w14:paraId="7F0BD7EB" w14:textId="5F3DEB9E" w:rsidR="00CC5A4D" w:rsidRPr="00131EED" w:rsidRDefault="00CC5A4D" w:rsidP="00CC5A4D">
      <w:pPr>
        <w:rPr>
          <w:rFonts w:cs="Arial"/>
        </w:rPr>
      </w:pPr>
      <w:r w:rsidRPr="00131EED">
        <w:rPr>
          <w:rFonts w:cs="Arial"/>
        </w:rPr>
        <w:t xml:space="preserve">La mala adaptación puede ser el resultado de muchas barreras potenciales, incluidas limitaciones de recursos administrativos, humanos, financieros y técnicos (Hassanali, 2017; Pardoe et al., 2018; Singh et al., 2018); falta de transparencia y/o capacidad en la gobernanza (Friend et al., 2014); información poco confiable sobre los impactos climáticos y la falta de directrices políticas clave (Pilato et al., 2018); obstáculos institucionales, legales y técnicos arraigados (Gao, 2018) y exclusión de grupos vulnerables (Forsyth, 2018); fragmentación de la gobernanza (es decir, una fragmentación de leyes, regulaciones y requisitos de políticas); y una colaboración intersectorial limitada, lo que significa que hay una coordinación limitada y que los enfoques de planificación de arriba hacia abajo no están conectados con las dinámicas locales (Archer et al., 2014; Pardoe et al., 2018). </w:t>
      </w:r>
    </w:p>
    <w:p w14:paraId="04673C8C" w14:textId="77777777" w:rsidR="00CC5A4D" w:rsidRPr="00131EED" w:rsidRDefault="00CC5A4D" w:rsidP="00CC5A4D">
      <w:pPr>
        <w:rPr>
          <w:rFonts w:cs="Arial"/>
        </w:rPr>
      </w:pPr>
    </w:p>
    <w:p w14:paraId="078A892D" w14:textId="77777777" w:rsidR="00CC5A4D" w:rsidRPr="00131EED" w:rsidRDefault="00CC5A4D" w:rsidP="00CC5A4D">
      <w:pPr>
        <w:rPr>
          <w:rFonts w:cs="Arial"/>
        </w:rPr>
      </w:pPr>
      <w:r w:rsidRPr="00131EED">
        <w:rPr>
          <w:rFonts w:cs="Arial"/>
        </w:rPr>
        <w:t xml:space="preserve">El informe IPCC llama la atención sobre los desafíos de la mala adaptación reconociendo que no todas las respuestas relacionadas con la adaptación reducen los riesgos. Además, la mala adaptación es lo opuesto a una adaptación exitosa, que se asocia con la reducción de los riesgos climáticos y las vulnerabilidades para los humanos y los ecosistemas, un mayor bienestar y beneficios colaterales con otros objetivos de desarrollo sostenible. </w:t>
      </w:r>
    </w:p>
    <w:p w14:paraId="68BD2D4E" w14:textId="77777777" w:rsidR="00CC5A4D" w:rsidRPr="00131EED" w:rsidRDefault="00CC5A4D" w:rsidP="00CC5A4D">
      <w:pPr>
        <w:rPr>
          <w:rFonts w:cs="Arial"/>
        </w:rPr>
      </w:pPr>
    </w:p>
    <w:p w14:paraId="3C7FFEC0" w14:textId="77777777" w:rsidR="00CC5A4D" w:rsidRPr="00131EED" w:rsidRDefault="00CC5A4D" w:rsidP="00CC5A4D">
      <w:pPr>
        <w:rPr>
          <w:rFonts w:cs="Arial"/>
        </w:rPr>
      </w:pPr>
      <w:r w:rsidRPr="00131EED">
        <w:rPr>
          <w:rFonts w:cs="Arial"/>
        </w:rPr>
        <w:t xml:space="preserve">Como indica (Magnan, 2019), el clima futuro tendrá rasgos diferentes a los que caracterizan al clima actual. Por ello, las medidas de adaptación tomadas considerando únicamente las circunstancias climáticas históricas y las actuales pueden resultar inadecuadas en el futuro. </w:t>
      </w:r>
    </w:p>
    <w:p w14:paraId="155CD76E" w14:textId="77777777" w:rsidR="00CC5A4D" w:rsidRPr="00131EED" w:rsidRDefault="00CC5A4D" w:rsidP="00CC5A4D">
      <w:pPr>
        <w:rPr>
          <w:rFonts w:cs="Arial"/>
        </w:rPr>
      </w:pPr>
    </w:p>
    <w:p w14:paraId="25C15BF9" w14:textId="77777777" w:rsidR="00CC5A4D" w:rsidRPr="00131EED" w:rsidRDefault="00CC5A4D" w:rsidP="00CC5A4D">
      <w:pPr>
        <w:rPr>
          <w:rFonts w:cs="Arial"/>
        </w:rPr>
      </w:pPr>
      <w:r w:rsidRPr="00131EED">
        <w:rPr>
          <w:rFonts w:cs="Arial"/>
        </w:rPr>
        <w:t>De la misma forma, muchos instrumentos de planeación a nivel mundial están orientando las intervenciones de adaptación para evitar el desarrollo de ciertos proyectos que, enmarcados en el ámbito de la gestión de riesgos y de la adaptación al cambio del clima resultan desproporcionados o costo-ineficientes, insostenibles o contraproducentes en relación con otros objetivos relevantes de largo plazo. También se pretende evitar aquellas acciones que hagan recaer los costos de la adaptación de forma desproporcionada sobre los más vulnerables, o que definan rutas de adaptación que comprometan de forma injusta las opciones para las generaciones futuras (Min. Transición ecológica, PNACC, 2021)</w:t>
      </w:r>
    </w:p>
    <w:p w14:paraId="05F21E1A" w14:textId="77777777" w:rsidR="00CC5A4D" w:rsidRPr="00131EED" w:rsidRDefault="00CC5A4D" w:rsidP="00CC5A4D">
      <w:pPr>
        <w:rPr>
          <w:rFonts w:cs="Arial"/>
        </w:rPr>
      </w:pPr>
    </w:p>
    <w:p w14:paraId="3479793A" w14:textId="77777777" w:rsidR="00CC5A4D" w:rsidRPr="00131EED" w:rsidRDefault="00CC5A4D" w:rsidP="00CC5A4D">
      <w:pPr>
        <w:rPr>
          <w:rFonts w:cs="Arial"/>
        </w:rPr>
      </w:pPr>
      <w:r w:rsidRPr="00131EED">
        <w:rPr>
          <w:rFonts w:cs="Arial"/>
        </w:rPr>
        <w:t xml:space="preserve">En la sabana de Bogotá está en cuestionamiento diferentes intervenciones e infraestructuras que comprometen las dinámicas ecohidrológicas de los ríos, quebradas, humedales, nacimientos y zonas de recarga de acuíferos.  </w:t>
      </w:r>
    </w:p>
    <w:p w14:paraId="332C7F3C" w14:textId="77777777" w:rsidR="00CC5A4D" w:rsidRPr="00131EED" w:rsidRDefault="00CC5A4D" w:rsidP="00CC5A4D">
      <w:pPr>
        <w:rPr>
          <w:rFonts w:cs="Arial"/>
        </w:rPr>
      </w:pPr>
    </w:p>
    <w:p w14:paraId="4D1A007B" w14:textId="77777777" w:rsidR="00CC5A4D" w:rsidRPr="00131EED" w:rsidRDefault="00CC5A4D" w:rsidP="00CC5A4D">
      <w:pPr>
        <w:rPr>
          <w:rFonts w:cs="Arial"/>
        </w:rPr>
      </w:pPr>
      <w:r w:rsidRPr="00131EED">
        <w:rPr>
          <w:rFonts w:cs="Arial"/>
        </w:rPr>
        <w:t xml:space="preserve">La ejecución de obras  que impliquen la remoción de sedimentos, modificación, ampliación o rectificación de las secciones de los cauces o cubetas , rectificación de las pendientes de fondo, construcción de diques o jarillones que limiten los pulsos de inundación o desborde tienen efectos en las conexiones eco hidrológicas; y en algunos casos efectos adversos que alteran el equilibrio ambiental, la preservación de la biodiversidad y los servicios ecosistémicos de las dinámicas fluviales, entre otros; por tal motivo requieren evaluar el impacto ambiental. (Ricaurte et al 2019). </w:t>
      </w:r>
    </w:p>
    <w:p w14:paraId="799146CC" w14:textId="77777777" w:rsidR="00CC5A4D" w:rsidRPr="00131EED" w:rsidRDefault="00CC5A4D" w:rsidP="00CC5A4D">
      <w:pPr>
        <w:rPr>
          <w:rFonts w:cs="Arial"/>
        </w:rPr>
      </w:pPr>
    </w:p>
    <w:p w14:paraId="7272BEB4" w14:textId="77777777" w:rsidR="00CC5A4D" w:rsidRPr="00131EED" w:rsidRDefault="00CC5A4D" w:rsidP="00CC5A4D">
      <w:pPr>
        <w:rPr>
          <w:rFonts w:cs="Arial"/>
        </w:rPr>
      </w:pPr>
      <w:r w:rsidRPr="00131EED">
        <w:rPr>
          <w:rFonts w:cs="Arial"/>
        </w:rPr>
        <w:t xml:space="preserve">Es importante que las intervenciones que se realicen tengan un enfoque prospectivo, que la ley 1523 de 2012 define como un </w:t>
      </w:r>
      <w:r w:rsidRPr="00131EED">
        <w:rPr>
          <w:rFonts w:cs="Arial"/>
          <w:i/>
        </w:rPr>
        <w:t>“</w:t>
      </w:r>
      <w:r w:rsidRPr="00131EED">
        <w:rPr>
          <w:i/>
        </w:rPr>
        <w:t>Proceso cuyo objetivo es garantizar que no surjan nuevas situaciones de riesgo a través de acciones de prevención, impidiendo que los elementos expuestos sean vulnerables o que lleguen a estar expuestos ante posibles eventos peligrosos. Su objetivo último es evitar nuevo riesgo y la necesidad de intervenciones correctivas en el futuro. La intervención prospectiva se realiza primordialmente a través de la planificación ambiental sostenible, el ordenamiento territorial, la planificación sectorial, la regulación y las especificaciones técnicas, los estudios de prefactibilidad y diseño adecuados, el control y seguimiento y en general todos aquellos mecanismos que contribuyan de manera anticipada a la localización, construcción y funcionamiento seguro de la infraestructura, los bienes y la población.”</w:t>
      </w:r>
      <w:r w:rsidRPr="00131EED">
        <w:t> </w:t>
      </w:r>
      <w:r w:rsidRPr="00131EED">
        <w:rPr>
          <w:rFonts w:cs="Arial"/>
        </w:rPr>
        <w:t xml:space="preserve"> Dichas intervenciones deben partir de una evaluación completa del riesgo a las inundaciones y no solamente de la identificación de la amenaza a inundación, pues dadas las características del ordenamiento territorial en el río Bogotá hacen que el riesgo cambie de acuerdo con las condiciones de vulnerabilidad y exposición. Por lo tanto, se requiere de estudios completos de gestión de riesgo de desastres, que evalúen la vulnerabilidad a partir de la identificación de los daños, y se tomen decisiones con base en la exposición de infraestructura, de pérdidas económicas del sector agrícola y las posibles pérdidas de vida. Solamente evaluando el riesgo de inundaciones de manera completa se pueden gestionar de manera adecuada las medidas de adaptación y mitigación.</w:t>
      </w:r>
    </w:p>
    <w:p w14:paraId="5D17E8AC" w14:textId="77777777" w:rsidR="00CC5A4D" w:rsidRPr="00131EED" w:rsidRDefault="00CC5A4D" w:rsidP="00CC5A4D">
      <w:pPr>
        <w:rPr>
          <w:rFonts w:cs="Arial"/>
        </w:rPr>
      </w:pPr>
    </w:p>
    <w:p w14:paraId="7946016C" w14:textId="166A2288" w:rsidR="00CC5A4D" w:rsidRPr="00131EED" w:rsidRDefault="00CC5A4D" w:rsidP="00CC5A4D">
      <w:pPr>
        <w:rPr>
          <w:rFonts w:cs="Arial"/>
        </w:rPr>
      </w:pPr>
      <w:r w:rsidRPr="00131EED">
        <w:rPr>
          <w:rFonts w:cs="Arial"/>
        </w:rPr>
        <w:t xml:space="preserve">Algunos de los ejemplos que el Ministerio de Ambiente y Desarrollo Sostenible ha identificado desde la Dirección de Gestión Integral del Recurso Hídrico, involucran proyectos que han generado “adecuaciones hidráulicas” en algunos ríos de la Sabana de Bogotá, por ejemplo, el Río Teusacá, </w:t>
      </w:r>
      <w:r w:rsidR="00A8618D" w:rsidRPr="00131EED">
        <w:rPr>
          <w:rFonts w:cs="Arial"/>
        </w:rPr>
        <w:t>C</w:t>
      </w:r>
      <w:r w:rsidRPr="00131EED">
        <w:rPr>
          <w:rFonts w:cs="Arial"/>
        </w:rPr>
        <w:t xml:space="preserve">hicú, </w:t>
      </w:r>
      <w:r w:rsidR="00A8618D" w:rsidRPr="00131EED">
        <w:rPr>
          <w:rFonts w:cs="Arial"/>
        </w:rPr>
        <w:t>B</w:t>
      </w:r>
      <w:r w:rsidRPr="00131EED">
        <w:rPr>
          <w:rFonts w:cs="Arial"/>
        </w:rPr>
        <w:t xml:space="preserve">alsillas, y el propio Río Bogotá. </w:t>
      </w:r>
    </w:p>
    <w:p w14:paraId="0DB17E81" w14:textId="77777777" w:rsidR="00CC5A4D" w:rsidRPr="00131EED" w:rsidRDefault="00CC5A4D" w:rsidP="00CC5A4D">
      <w:pPr>
        <w:rPr>
          <w:rFonts w:ascii="Baskerville" w:hAnsi="Baskerville" w:cs="Arial"/>
        </w:rPr>
      </w:pPr>
    </w:p>
    <w:p w14:paraId="03547106" w14:textId="78224020" w:rsidR="00CC5A4D" w:rsidRPr="00131EED" w:rsidRDefault="00244283" w:rsidP="00244283">
      <w:pPr>
        <w:pStyle w:val="Caption"/>
      </w:pPr>
      <w:bookmarkStart w:id="404" w:name="_Toc216468879"/>
      <w:r w:rsidRPr="00131EED">
        <w:t xml:space="preserve">Ilustración </w:t>
      </w:r>
      <w:fldSimple w:instr=" SEQ Ilustración \* ARABIC ">
        <w:r w:rsidR="00CE096F">
          <w:rPr>
            <w:noProof/>
          </w:rPr>
          <w:t>114</w:t>
        </w:r>
      </w:fldSimple>
      <w:r w:rsidRPr="00131EED">
        <w:t xml:space="preserve"> </w:t>
      </w:r>
      <w:r w:rsidR="00CC5A4D" w:rsidRPr="00131EED">
        <w:t>Maquinaria utilizada para labores de mantenimiento y adecuaciones hidráulicas.</w:t>
      </w:r>
      <w:bookmarkEnd w:id="404"/>
      <w:r w:rsidR="00CC5A4D" w:rsidRPr="00131EED">
        <w:t xml:space="preserve"> </w:t>
      </w:r>
    </w:p>
    <w:p w14:paraId="1546EAAE" w14:textId="77777777" w:rsidR="00244283" w:rsidRPr="00131EED" w:rsidRDefault="00244283" w:rsidP="00244283">
      <w:pPr>
        <w:jc w:val="center"/>
        <w:rPr>
          <w:rFonts w:ascii="Baskerville" w:hAnsi="Baskerville" w:cs="Arial"/>
          <w:sz w:val="20"/>
          <w:szCs w:val="20"/>
        </w:rPr>
      </w:pPr>
      <w:r w:rsidRPr="00131EED">
        <w:rPr>
          <w:rFonts w:ascii="Baskerville" w:hAnsi="Baskerville"/>
          <w:noProof/>
          <w:color w:val="2B579A"/>
          <w:shd w:val="clear" w:color="auto" w:fill="E6E6E6"/>
          <w:lang w:eastAsia="en-US"/>
        </w:rPr>
        <w:drawing>
          <wp:inline distT="0" distB="0" distL="0" distR="0" wp14:anchorId="62B9EF73" wp14:editId="1223E76C">
            <wp:extent cx="4182256" cy="2356127"/>
            <wp:effectExtent l="0" t="0" r="0" b="6350"/>
            <wp:docPr id="17288687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868735" name=""/>
                    <pic:cNvPicPr/>
                  </pic:nvPicPr>
                  <pic:blipFill>
                    <a:blip r:embed="rId190"/>
                    <a:stretch>
                      <a:fillRect/>
                    </a:stretch>
                  </pic:blipFill>
                  <pic:spPr>
                    <a:xfrm>
                      <a:off x="0" y="0"/>
                      <a:ext cx="4187237" cy="2358933"/>
                    </a:xfrm>
                    <a:prstGeom prst="rect">
                      <a:avLst/>
                    </a:prstGeom>
                  </pic:spPr>
                </pic:pic>
              </a:graphicData>
            </a:graphic>
          </wp:inline>
        </w:drawing>
      </w:r>
    </w:p>
    <w:p w14:paraId="5CA5E11D" w14:textId="65E28114" w:rsidR="00244283" w:rsidRPr="00131EED" w:rsidRDefault="00244283" w:rsidP="00244283">
      <w:pPr>
        <w:jc w:val="center"/>
        <w:rPr>
          <w:rFonts w:cs="Arial"/>
          <w:sz w:val="20"/>
          <w:szCs w:val="20"/>
        </w:rPr>
      </w:pPr>
      <w:r w:rsidRPr="00131EED">
        <w:rPr>
          <w:rFonts w:cs="Arial"/>
          <w:sz w:val="20"/>
          <w:szCs w:val="20"/>
        </w:rPr>
        <w:t>Fuente: CAR.</w:t>
      </w:r>
    </w:p>
    <w:p w14:paraId="3638DBB5" w14:textId="77777777" w:rsidR="00CC5A4D" w:rsidRPr="00131EED" w:rsidRDefault="00CC5A4D" w:rsidP="00CC5A4D">
      <w:pPr>
        <w:rPr>
          <w:rFonts w:cs="Arial"/>
        </w:rPr>
      </w:pPr>
      <w:r w:rsidRPr="00131EED">
        <w:rPr>
          <w:rFonts w:cs="Arial"/>
        </w:rPr>
        <w:t xml:space="preserve">Sobre el Río Teusacá, se tiene la información del inicio de obras de adecuación en el año 2018 por parte de la CAR Cundinamarca, en los municipios de Sopó, Guasca y la Calera, interviniendo aproximadamente 30 kilómetros. En dicho proyecto y con base en los resultados obtenidos por el estudio hidrológico e hidráulico, se diseñó una nueva sección hidráulica y rectificación del fondo del río Teusacá, diseño que requirió de la remoción de 256.810 metros cúbicos de material en los 11.7 kilómetros de la última fase y más de 1`092.900 metros cúbicos en los 30 kilómetros del río, además de la remoción de una cantidad importante de vegetación riparia del río. Los diseños presentados tuvieron el único objetivo de aumentar la capacidad hidráulica del río Teusacá para soportar un periodo de retorno de 100 años evitando su desbordamiento, esto requirió de una intervención de ingeniería que percibe el río como un canal y no como un ecosistema que de manera natural mantienen una conexión hídrica con zonas de amortiguamiento que se encuentran dentro de su ronda hídrica. </w:t>
      </w:r>
    </w:p>
    <w:p w14:paraId="3E518A77" w14:textId="77777777" w:rsidR="00CC5A4D" w:rsidRPr="00131EED" w:rsidRDefault="00CC5A4D" w:rsidP="00CC5A4D">
      <w:pPr>
        <w:rPr>
          <w:rFonts w:ascii="Baskerville" w:hAnsi="Baskerville" w:cs="Arial"/>
          <w:sz w:val="20"/>
          <w:szCs w:val="20"/>
        </w:rPr>
      </w:pPr>
    </w:p>
    <w:p w14:paraId="70739262" w14:textId="77777777" w:rsidR="00CC5A4D" w:rsidRPr="00131EED" w:rsidRDefault="00CC5A4D" w:rsidP="00CC5A4D">
      <w:pPr>
        <w:rPr>
          <w:rFonts w:cs="Arial"/>
        </w:rPr>
      </w:pPr>
      <w:r w:rsidRPr="00131EED">
        <w:rPr>
          <w:rFonts w:cs="Arial"/>
        </w:rPr>
        <w:t xml:space="preserve">Las obras de adecuación hidráulica en la sabana de Bogotá generan importantes impactos ambientales a los ríos, los ecosistemas y la biodiversidad. Algunos de los principales impactos y afectaciones identificados por las obras de adecuación hidráulica en los ríos de la Sabana del Río Bogotá son: alteración de las características físicas del suelo, concentración de nutrientes y sedimentos, los cambios en las dinámicas de erosión, socavación y curso del río, inestabilidad de taludes y fenómenos de remoción en masa, afectación en los flujos de agua superficial, alteración del equilibrio ecológico y de las cadenas tróficas, riesgos por toxicidad, pérdida de hábitat para la fauna, afectación de la biodiversidad incluyendo especies endémicas y en riesgos de extinción, generación o traslado de riesgos, poca efectividad a largo plazo en escenarios de cambio climático, afectación de entre otros. </w:t>
      </w:r>
    </w:p>
    <w:p w14:paraId="1CC3A2F4" w14:textId="77777777" w:rsidR="00CC5A4D" w:rsidRPr="00131EED" w:rsidRDefault="00CC5A4D" w:rsidP="00CC5A4D">
      <w:pPr>
        <w:rPr>
          <w:rFonts w:cs="Arial"/>
        </w:rPr>
      </w:pPr>
    </w:p>
    <w:p w14:paraId="184F2D1B" w14:textId="234AB265" w:rsidR="00CC5A4D" w:rsidRPr="00131EED" w:rsidRDefault="00CC5A4D" w:rsidP="00CC5A4D">
      <w:pPr>
        <w:rPr>
          <w:rFonts w:cs="Arial"/>
        </w:rPr>
      </w:pPr>
      <w:r w:rsidRPr="00131EED">
        <w:rPr>
          <w:rFonts w:cs="Arial"/>
        </w:rPr>
        <w:t>El acotamiento de la ronda hídrica (particularmente del Río Bogotá) en los términos del Decreto 2245 de 2017</w:t>
      </w:r>
      <w:r w:rsidR="00514398" w:rsidRPr="00131EED">
        <w:rPr>
          <w:rFonts w:cs="Arial"/>
        </w:rPr>
        <w:t xml:space="preserve"> y de lo dispuesto en la resolución 957 de 2018</w:t>
      </w:r>
      <w:r w:rsidRPr="00131EED">
        <w:rPr>
          <w:rFonts w:cs="Arial"/>
        </w:rPr>
        <w:t xml:space="preserve">, permite identificar el componente geomorfológico, hidrológico y ecosistémico de los </w:t>
      </w:r>
      <w:r w:rsidR="00514398" w:rsidRPr="00131EED">
        <w:rPr>
          <w:rFonts w:cs="Arial"/>
        </w:rPr>
        <w:t>cuerpos de agua naturales</w:t>
      </w:r>
      <w:r w:rsidRPr="00131EED">
        <w:rPr>
          <w:rFonts w:cs="Arial"/>
        </w:rPr>
        <w:t xml:space="preserve">, </w:t>
      </w:r>
      <w:r w:rsidR="00514398" w:rsidRPr="00131EED">
        <w:rPr>
          <w:rFonts w:cs="Arial"/>
        </w:rPr>
        <w:t>y</w:t>
      </w:r>
      <w:r w:rsidRPr="00131EED">
        <w:rPr>
          <w:rFonts w:cs="Arial"/>
        </w:rPr>
        <w:t xml:space="preserve"> tiene como principal objetivo conservar y/o recuperar la funcionalidad de los cuerpos de agua, cuya integridad no solamente depende del cauce permanente, sino de los ecosistemas acuáticos y terrestres asociados</w:t>
      </w:r>
      <w:r w:rsidR="00514398" w:rsidRPr="00131EED">
        <w:rPr>
          <w:rFonts w:cs="Arial"/>
        </w:rPr>
        <w:t xml:space="preserve"> a la zona de ribera</w:t>
      </w:r>
      <w:r w:rsidRPr="00131EED">
        <w:rPr>
          <w:rFonts w:cs="Arial"/>
        </w:rPr>
        <w:t xml:space="preserve">. Su acotamiento no es importante únicamente desde el punto de vista ecosistémico, también desde el punto de vista de la gestión del riesgo, pues se debe tener en cuenta la correcta ocupación de esta área por parte de las personas, bienes y servicios expuestos a la inundación, y que por el contrario pueden aumentar la vulnerabilidad a las inundaciones. Por esta razón antes de definir una intervención de adecuación hidráulica es necesario contar con el acotamiento </w:t>
      </w:r>
      <w:r w:rsidR="00514398" w:rsidRPr="00131EED">
        <w:rPr>
          <w:rFonts w:cs="Arial"/>
        </w:rPr>
        <w:t>de la ronda hídrica</w:t>
      </w:r>
      <w:r w:rsidRPr="00131EED">
        <w:rPr>
          <w:rFonts w:cs="Arial"/>
        </w:rPr>
        <w:t xml:space="preserve"> del cuerpo </w:t>
      </w:r>
      <w:r w:rsidR="00514398" w:rsidRPr="00131EED">
        <w:rPr>
          <w:rFonts w:cs="Arial"/>
        </w:rPr>
        <w:t>de agua</w:t>
      </w:r>
      <w:r w:rsidRPr="00131EED">
        <w:rPr>
          <w:rFonts w:cs="Arial"/>
        </w:rPr>
        <w:t>, esto permitirá contar con la información necesaria para la elaboración de posibles escenarios de intervención con el menor impacto.</w:t>
      </w:r>
    </w:p>
    <w:p w14:paraId="30821CB5" w14:textId="77777777" w:rsidR="00CC5A4D" w:rsidRPr="00131EED" w:rsidRDefault="00CC5A4D" w:rsidP="00CC5A4D">
      <w:pPr>
        <w:rPr>
          <w:rFonts w:cs="Arial"/>
        </w:rPr>
      </w:pPr>
    </w:p>
    <w:p w14:paraId="0A941291" w14:textId="29FB9967" w:rsidR="00CC5A4D" w:rsidRPr="00131EED" w:rsidRDefault="00CC5A4D" w:rsidP="00CC5A4D">
      <w:pPr>
        <w:rPr>
          <w:rFonts w:cs="Arial"/>
        </w:rPr>
      </w:pPr>
      <w:r w:rsidRPr="00131EED">
        <w:rPr>
          <w:rFonts w:cs="Arial"/>
        </w:rPr>
        <w:t xml:space="preserve">Cualquier intervención derivada de actividades con fines de mitigación del riesgo de inundaciones, que incluyan intervenciones con maquinaria amarilla o dragados dentro del cauce permanente o de la línea de mareas máximas, y la zona de delimitación del criterio </w:t>
      </w:r>
      <w:r w:rsidRPr="00131EED">
        <w:rPr>
          <w:rFonts w:eastAsia="Calibri" w:cs="Arial"/>
          <w:lang w:eastAsia="en-US"/>
        </w:rPr>
        <w:t xml:space="preserve">ecosistémico de la ronda hídrica o el borde de vegetación riparia de todos los cuerpos lénticos y lóticos, y que a su vez modifiquen la velocidad del flujo, la profundidad y permeabilidad del lecho, y alteren la dinámica de los sedimentos deberá contar con los estudios ambientales y soportes técnicos necesarios para garantizar el mínimo impacto a los </w:t>
      </w:r>
      <w:r w:rsidR="00514398" w:rsidRPr="00131EED">
        <w:rPr>
          <w:rFonts w:eastAsia="Calibri" w:cs="Arial"/>
          <w:lang w:eastAsia="en-US"/>
        </w:rPr>
        <w:t>cuerpos</w:t>
      </w:r>
      <w:r w:rsidRPr="00131EED">
        <w:rPr>
          <w:rFonts w:eastAsia="Calibri" w:cs="Arial"/>
          <w:lang w:eastAsia="en-US"/>
        </w:rPr>
        <w:t xml:space="preserve"> de </w:t>
      </w:r>
      <w:r w:rsidR="00514398" w:rsidRPr="00131EED">
        <w:rPr>
          <w:rFonts w:eastAsia="Calibri" w:cs="Arial"/>
          <w:lang w:eastAsia="en-US"/>
        </w:rPr>
        <w:t>agua, teniendo en cuenta, que la realización de cualquier actividad que involucre la ocupación permanente o temporal de la ronda hídrica está sujeta a lo dispuesto en las directrices para el establecimiento de estrategias para su manejo ambiental, y las actividades que allí se desarrollen no podrán alterar los atributos actuales identificados en sus tres componentes físico-bióticos:  Geoformas y procesos morfodinámicos asociados al flujo y almacenamiento temporal de agua y sedimentos, ajuste de la forma del cauce y sus patrones de alineamiento. Dinámica de los flujos de agua (y con ellos los de sedimentos y nutrientes) a lo largo de la red de drenaje de la cuenca hidrográfica. Papel de la vegetación de ribera en las condiciones microclimáticas y las condiciones de hábitat en los cuerpos de agua, corredor biológico, filtro de contaminantes que por escorrentía podrían llegar al cuerpo de agua, estabilidad de las orillas del cuerpo de agua, entre otras.</w:t>
      </w:r>
    </w:p>
    <w:p w14:paraId="6D98EABD" w14:textId="77777777" w:rsidR="00CC5A4D" w:rsidRPr="00131EED" w:rsidRDefault="00CC5A4D" w:rsidP="00CC5A4D">
      <w:pPr>
        <w:rPr>
          <w:rFonts w:cs="Arial"/>
        </w:rPr>
      </w:pPr>
    </w:p>
    <w:p w14:paraId="1E7238FE" w14:textId="77777777" w:rsidR="00CC5A4D" w:rsidRPr="00131EED" w:rsidRDefault="00CC5A4D" w:rsidP="00CC5A4D">
      <w:pPr>
        <w:rPr>
          <w:rFonts w:cs="Arial"/>
        </w:rPr>
      </w:pPr>
      <w:r w:rsidRPr="00131EED">
        <w:rPr>
          <w:rFonts w:cs="Arial"/>
        </w:rPr>
        <w:t>En consideración a la Guía Ambiental de proyectos subsector marítimo y fluvial (Presidencia de la República de Colombia, INVIAS, MAVDT, abril de 2011) en el numeral 3.3.3 a continuación se define dragado y dragado por mantenimiento:</w:t>
      </w:r>
    </w:p>
    <w:p w14:paraId="1F012425" w14:textId="77777777" w:rsidR="00CC5A4D" w:rsidRPr="00131EED" w:rsidRDefault="00CC5A4D" w:rsidP="00CC5A4D">
      <w:pPr>
        <w:rPr>
          <w:rFonts w:cs="Arial"/>
        </w:rPr>
      </w:pPr>
    </w:p>
    <w:p w14:paraId="09D457F1" w14:textId="77777777" w:rsidR="00CC5A4D" w:rsidRPr="00131EED" w:rsidRDefault="00CC5A4D" w:rsidP="00410194">
      <w:pPr>
        <w:pStyle w:val="ListParagraph"/>
        <w:numPr>
          <w:ilvl w:val="0"/>
          <w:numId w:val="18"/>
        </w:numPr>
        <w:spacing w:after="0"/>
        <w:rPr>
          <w:rFonts w:cs="Arial"/>
          <w:sz w:val="24"/>
          <w:szCs w:val="24"/>
        </w:rPr>
      </w:pPr>
      <w:r w:rsidRPr="00131EED">
        <w:rPr>
          <w:rFonts w:cs="Arial"/>
          <w:sz w:val="24"/>
          <w:szCs w:val="24"/>
          <w:u w:val="single"/>
        </w:rPr>
        <w:t>Dragado</w:t>
      </w:r>
      <w:r w:rsidRPr="00131EED">
        <w:rPr>
          <w:rFonts w:cs="Arial"/>
          <w:sz w:val="24"/>
          <w:szCs w:val="24"/>
        </w:rPr>
        <w:t>: Según la Ley 1242 de 2008 Código Nacional de Navegación y Actividades Portuarias Fluviales se entiende por Dragado la obra de ingeniería hidráulica correspondiente al procedimiento mecánico mediante el cual se remueve material del fondo o de la banca de un sistema fluvial en general de cualquier cuerpo de agua, para disponerlo en un sitio donde presumiblemente el sedimento no volverá a su sitio de origen.</w:t>
      </w:r>
    </w:p>
    <w:p w14:paraId="323E6A61" w14:textId="77777777" w:rsidR="00CC5A4D" w:rsidRPr="00131EED" w:rsidRDefault="00CC5A4D" w:rsidP="00CC5A4D">
      <w:pPr>
        <w:pStyle w:val="ListParagraph"/>
        <w:spacing w:after="0"/>
        <w:rPr>
          <w:rFonts w:cs="Arial"/>
          <w:sz w:val="24"/>
          <w:szCs w:val="24"/>
        </w:rPr>
      </w:pPr>
    </w:p>
    <w:p w14:paraId="1F83DD10" w14:textId="77777777" w:rsidR="00CC5A4D" w:rsidRPr="00131EED" w:rsidRDefault="00CC5A4D" w:rsidP="00410194">
      <w:pPr>
        <w:pStyle w:val="ListParagraph"/>
        <w:numPr>
          <w:ilvl w:val="0"/>
          <w:numId w:val="18"/>
        </w:numPr>
        <w:spacing w:after="0"/>
        <w:rPr>
          <w:rFonts w:cs="Arial"/>
          <w:sz w:val="24"/>
          <w:szCs w:val="24"/>
        </w:rPr>
      </w:pPr>
      <w:r w:rsidRPr="00131EED">
        <w:rPr>
          <w:rFonts w:cs="Arial"/>
          <w:sz w:val="24"/>
          <w:szCs w:val="24"/>
          <w:u w:val="single"/>
        </w:rPr>
        <w:t>Dragado por mantenimiento:</w:t>
      </w:r>
      <w:r w:rsidRPr="00131EED">
        <w:rPr>
          <w:rFonts w:cs="Arial"/>
          <w:sz w:val="24"/>
          <w:szCs w:val="24"/>
        </w:rPr>
        <w:t xml:space="preserve"> Por otro lado, la Resolución 664 de 1999 del Ministerio de Transporte por medio de la cual se expide el Reglamento de Construcción de Obras Fluviales, menciona que dragado es el procedimiento por el cual se remueve el material de fondo que contenga cualquier sistema de agua y según su finalidad anota que dragados de conservación o mantenimiento son realizados para retirar los materiales del fondo como consecuencia de arrastre de sedimentos y desprendimientos de taludes. Incluye actividades de excavación, transporte y disposición del material. </w:t>
      </w:r>
    </w:p>
    <w:p w14:paraId="20C46FC7" w14:textId="77777777" w:rsidR="00CC5A4D" w:rsidRPr="00131EED" w:rsidRDefault="00CC5A4D" w:rsidP="00CC5A4D">
      <w:pPr>
        <w:pStyle w:val="ListParagraph"/>
        <w:spacing w:after="0"/>
        <w:rPr>
          <w:rFonts w:ascii="Baskerville" w:hAnsi="Baskerville" w:cs="Arial"/>
        </w:rPr>
      </w:pPr>
    </w:p>
    <w:p w14:paraId="2B00EB47" w14:textId="77777777" w:rsidR="00CC5A4D" w:rsidRPr="00131EED" w:rsidRDefault="00CC5A4D" w:rsidP="00410194">
      <w:pPr>
        <w:pStyle w:val="Heading3"/>
        <w:numPr>
          <w:ilvl w:val="3"/>
          <w:numId w:val="31"/>
        </w:numPr>
      </w:pPr>
      <w:bookmarkStart w:id="405" w:name="_Toc216468755"/>
      <w:r w:rsidRPr="00131EED">
        <w:t>Las adecuaciones para el abastecimiento hídrico</w:t>
      </w:r>
      <w:bookmarkEnd w:id="405"/>
    </w:p>
    <w:p w14:paraId="5D4ECF4B" w14:textId="77777777" w:rsidR="00CC5A4D" w:rsidRPr="00131EED" w:rsidRDefault="00CC5A4D" w:rsidP="00CC5A4D">
      <w:pPr>
        <w:rPr>
          <w:rFonts w:ascii="Baskerville" w:hAnsi="Baskerville" w:cs="Arial"/>
          <w:sz w:val="20"/>
          <w:szCs w:val="20"/>
        </w:rPr>
      </w:pPr>
    </w:p>
    <w:p w14:paraId="33735B8B" w14:textId="47F1B1EB" w:rsidR="00CC5A4D" w:rsidRPr="00131EED" w:rsidRDefault="00CC5A4D" w:rsidP="00CC5A4D">
      <w:pPr>
        <w:rPr>
          <w:rFonts w:cs="Arial"/>
        </w:rPr>
      </w:pPr>
      <w:r w:rsidRPr="00131EED">
        <w:rPr>
          <w:rFonts w:cs="Arial"/>
        </w:rPr>
        <w:t xml:space="preserve">Las particularidades físico-geográficas que circundan la región de la sabana crean un escenario hídrico de abundancia, pero también de complejidad por sus sensibilidades ambientales y las dificultades en el manejo de cuerpos de agua altamente intervenidos y contaminados </w:t>
      </w:r>
      <w:sdt>
        <w:sdtPr>
          <w:rPr>
            <w:rFonts w:cs="Arial"/>
          </w:rPr>
          <w:id w:val="-862505793"/>
          <w:citation/>
        </w:sdtPr>
        <w:sdtEndPr/>
        <w:sdtContent>
          <w:r w:rsidRPr="00131EED">
            <w:rPr>
              <w:rFonts w:cs="Arial"/>
            </w:rPr>
            <w:fldChar w:fldCharType="begin"/>
          </w:r>
          <w:r w:rsidRPr="00131EED">
            <w:rPr>
              <w:rFonts w:cs="Arial"/>
            </w:rPr>
            <w:instrText xml:space="preserve"> CITATION Bol21 \l 3082 </w:instrText>
          </w:r>
          <w:r w:rsidRPr="00131EED">
            <w:rPr>
              <w:rFonts w:cs="Arial"/>
            </w:rPr>
            <w:fldChar w:fldCharType="separate"/>
          </w:r>
          <w:r w:rsidRPr="00131EED">
            <w:rPr>
              <w:rFonts w:cs="Arial"/>
            </w:rPr>
            <w:t>(Bolívar &amp; Montoya, 2021)</w:t>
          </w:r>
          <w:r w:rsidRPr="00131EED">
            <w:rPr>
              <w:rFonts w:cs="Arial"/>
            </w:rPr>
            <w:fldChar w:fldCharType="end"/>
          </w:r>
        </w:sdtContent>
      </w:sdt>
      <w:r w:rsidRPr="00131EED">
        <w:rPr>
          <w:rFonts w:cs="Arial"/>
        </w:rPr>
        <w:t xml:space="preserve">. Por un lado, los sistemas de páramos como Guerrero, Chingaza, Guacheneque y Sumapaz configuran importantes fuentes de abastecimiento de agua para la Región, y por otros, las características orográficas con páramos volcados a la vertiente oriental, mucho más húmeda, así como un patrón de vientos que facilita la circulación de humedad en ambas vertientes, permite un régimen de lluvias con precipitaciones de entre los 500 a los 1.500 mm/año, repartidas de manera bastante regular durante todo el año, garantizando un suministro constante </w:t>
      </w:r>
      <w:sdt>
        <w:sdtPr>
          <w:rPr>
            <w:rFonts w:cs="Arial"/>
          </w:rPr>
          <w:id w:val="1449652788"/>
          <w:citation/>
        </w:sdtPr>
        <w:sdtEndPr/>
        <w:sdtContent>
          <w:r w:rsidRPr="00131EED">
            <w:rPr>
              <w:rFonts w:cs="Arial"/>
            </w:rPr>
            <w:fldChar w:fldCharType="begin"/>
          </w:r>
          <w:r w:rsidRPr="00131EED">
            <w:rPr>
              <w:rFonts w:cs="Arial"/>
            </w:rPr>
            <w:instrText xml:space="preserve"> CITATION Bol21 \l 3082 </w:instrText>
          </w:r>
          <w:r w:rsidRPr="00131EED">
            <w:rPr>
              <w:rFonts w:cs="Arial"/>
            </w:rPr>
            <w:fldChar w:fldCharType="separate"/>
          </w:r>
          <w:r w:rsidRPr="00131EED">
            <w:rPr>
              <w:rFonts w:cs="Arial"/>
            </w:rPr>
            <w:t>(Bolívar &amp; Montoya, 2021)</w:t>
          </w:r>
          <w:r w:rsidRPr="00131EED">
            <w:rPr>
              <w:rFonts w:cs="Arial"/>
            </w:rPr>
            <w:fldChar w:fldCharType="end"/>
          </w:r>
        </w:sdtContent>
      </w:sdt>
      <w:r w:rsidRPr="00131EED">
        <w:rPr>
          <w:rFonts w:cs="Arial"/>
        </w:rPr>
        <w:t>.</w:t>
      </w:r>
    </w:p>
    <w:p w14:paraId="6B8BC187" w14:textId="77777777" w:rsidR="00CC5A4D" w:rsidRPr="00131EED" w:rsidRDefault="00CC5A4D" w:rsidP="00CC5A4D">
      <w:pPr>
        <w:rPr>
          <w:rFonts w:cs="Arial"/>
        </w:rPr>
      </w:pPr>
    </w:p>
    <w:p w14:paraId="6B8C56AB" w14:textId="77777777" w:rsidR="00CC5A4D" w:rsidRPr="00131EED" w:rsidRDefault="00CC5A4D" w:rsidP="00CC5A4D">
      <w:pPr>
        <w:rPr>
          <w:rFonts w:cs="Arial"/>
        </w:rPr>
      </w:pPr>
      <w:bookmarkStart w:id="406" w:name="_Toc162338933"/>
      <w:r w:rsidRPr="00131EED">
        <w:rPr>
          <w:rFonts w:cs="Arial"/>
        </w:rPr>
        <w:t>Históricamente, Bogotá y los municipios de la Región Sabana se han abastecido de ríos y de quebradas que nacen en los Cerros de la Sabana y que fluyen hacia el occidente, hasta llegar al río Bogotá; otras poblaciones han aprovechado nacimientos, quebradas y directamente el río Bogotá; así mismo, para algunas actividades se construyeron aljibes y pozos de agua subterránea.</w:t>
      </w:r>
    </w:p>
    <w:p w14:paraId="01E5DD6E" w14:textId="77777777" w:rsidR="00CC5A4D" w:rsidRPr="00131EED" w:rsidRDefault="00CC5A4D" w:rsidP="00CC5A4D">
      <w:pPr>
        <w:rPr>
          <w:rFonts w:ascii="Baskerville" w:hAnsi="Baskerville" w:cs="Arial"/>
        </w:rPr>
      </w:pPr>
    </w:p>
    <w:p w14:paraId="6A6C6973" w14:textId="77777777" w:rsidR="00CC5A4D" w:rsidRPr="00131EED" w:rsidRDefault="00CC5A4D" w:rsidP="00CC5A4D">
      <w:pPr>
        <w:rPr>
          <w:rFonts w:cs="Arial"/>
        </w:rPr>
      </w:pPr>
      <w:r w:rsidRPr="00131EED">
        <w:rPr>
          <w:rFonts w:cs="Arial"/>
        </w:rPr>
        <w:t xml:space="preserve">No obstante, el aumento de la población y de la demanda para consumo humano, riego, generación eléctrica e industria, creó la necesidad de tener obras de infraestructura hidráulica en la región, específicamente con los sistemas de regulación de caudales, por lo que los embalses de Neusa y de Sisga fueron construidos en el año de 1951 y, posteriormente, Tominé en 1962. Así mismo, el desarrollo industrial de Bogotá y agrícola en la Sabana demandó la extracción intensiva de aguas subterráneas del acuífero cuaternario de la Formación Sabana y del acuífero cretácico del Grupo Guadalupe. Adicionalmente, el incremento sucesivo de la demanda de agua, frente a la insuficiencia de los recursos de la Sabana de Bogotá, obligó al trasvase desde la cuenca del río Guatiquía, mediante el sistema Chingaza, y a la evaluación de otras fuentes externas, con el fin de conformar el plan de expansión para tener abastecimiento seguro en los próximos años.  </w:t>
      </w:r>
    </w:p>
    <w:p w14:paraId="5C164C3A" w14:textId="77777777" w:rsidR="00CC5A4D" w:rsidRPr="00131EED" w:rsidRDefault="00CC5A4D" w:rsidP="00CC5A4D">
      <w:pPr>
        <w:rPr>
          <w:rFonts w:cs="Arial"/>
        </w:rPr>
      </w:pPr>
    </w:p>
    <w:p w14:paraId="5E7729AE" w14:textId="77777777" w:rsidR="00CC5A4D" w:rsidRPr="00131EED" w:rsidRDefault="00CC5A4D" w:rsidP="00CC5A4D">
      <w:pPr>
        <w:pStyle w:val="Caption"/>
        <w:spacing w:after="0"/>
        <w:rPr>
          <w:rFonts w:ascii="Baskerville Old Face" w:hAnsi="Baskerville Old Face"/>
          <w:i w:val="0"/>
          <w:color w:val="auto"/>
          <w:sz w:val="24"/>
          <w:szCs w:val="24"/>
        </w:rPr>
      </w:pPr>
      <w:r w:rsidRPr="00131EED">
        <w:rPr>
          <w:rFonts w:ascii="Baskerville Old Face" w:hAnsi="Baskerville Old Face"/>
          <w:i w:val="0"/>
          <w:color w:val="auto"/>
          <w:sz w:val="24"/>
          <w:szCs w:val="24"/>
        </w:rPr>
        <w:t xml:space="preserve">En general, la mayor parte del abastecimiento en la región es por aguas superficiales que están controladas, en términos de captación, almacenamiento, potabilización y suministro por tres sistemas de abastecimiento de aguas superficiales a los que se les asocian ríos, infraestructura hidráulica como embalses, represas y plantas de tratamiento de agua potable tal como se describe a continuación: Sistema Chingaza (conformado por los embalses de Chuza y San Rafael, el río Blanco y la PTAP Francisco Wiesner); el Sistema Tibitoc cuenca alta del río Bogotá cuyo caudal es regulado durante sus crecidas por el conjunto de embalses conformados por Los Aposentos, Neusa, Sisga y Tominé (controlados por la Corporación Autónoma Regional de Cundinamarca  y la Empresa de Energía de Bogotá); y el Sistema Sumapaz (compuesto por la laguna Los Tunjos, los embalses Chisacá y La Regadera y las PTAP La Laguna, El Dorado, Yomasa y Vitelma). Un panorama general de estos tres sistemas operados por la Empresa de Acueducto y Alcantarillado de Bogotá, se indican a continuación. </w:t>
      </w:r>
    </w:p>
    <w:p w14:paraId="58C0EB48" w14:textId="77777777" w:rsidR="00A4471C" w:rsidRPr="00131EED" w:rsidRDefault="00A4471C" w:rsidP="00A4471C">
      <w:pPr>
        <w:rPr>
          <w:lang w:eastAsia="en-US"/>
        </w:rPr>
      </w:pPr>
    </w:p>
    <w:p w14:paraId="6A487BE6" w14:textId="77777777" w:rsidR="00A4471C" w:rsidRPr="00131EED" w:rsidRDefault="00A4471C" w:rsidP="00A4471C">
      <w:pPr>
        <w:rPr>
          <w:lang w:eastAsia="en-US"/>
        </w:rPr>
      </w:pPr>
    </w:p>
    <w:p w14:paraId="3C886EAC" w14:textId="77777777" w:rsidR="00A4471C" w:rsidRPr="00131EED" w:rsidRDefault="00A4471C" w:rsidP="00A4471C">
      <w:pPr>
        <w:rPr>
          <w:lang w:eastAsia="en-US"/>
        </w:rPr>
      </w:pPr>
    </w:p>
    <w:p w14:paraId="07BCAE3D" w14:textId="77777777" w:rsidR="00A4471C" w:rsidRPr="00131EED" w:rsidRDefault="00A4471C" w:rsidP="00A4471C">
      <w:pPr>
        <w:rPr>
          <w:lang w:eastAsia="en-US"/>
        </w:rPr>
      </w:pPr>
    </w:p>
    <w:p w14:paraId="63C69ECC" w14:textId="77777777" w:rsidR="00A4471C" w:rsidRPr="00131EED" w:rsidRDefault="00A4471C" w:rsidP="00A4471C">
      <w:pPr>
        <w:rPr>
          <w:lang w:eastAsia="en-US"/>
        </w:rPr>
      </w:pPr>
    </w:p>
    <w:p w14:paraId="484B9F1F" w14:textId="77777777" w:rsidR="00A4471C" w:rsidRPr="00131EED" w:rsidRDefault="00A4471C" w:rsidP="00A4471C">
      <w:pPr>
        <w:rPr>
          <w:lang w:eastAsia="en-US"/>
        </w:rPr>
      </w:pPr>
    </w:p>
    <w:p w14:paraId="25CB3706" w14:textId="77777777" w:rsidR="00F33D8B" w:rsidRPr="00131EED" w:rsidRDefault="00F33D8B" w:rsidP="00A4471C">
      <w:pPr>
        <w:rPr>
          <w:lang w:eastAsia="en-US"/>
        </w:rPr>
      </w:pPr>
    </w:p>
    <w:p w14:paraId="35A74CA5" w14:textId="77777777" w:rsidR="00F33D8B" w:rsidRPr="00131EED" w:rsidRDefault="00F33D8B" w:rsidP="00A4471C">
      <w:pPr>
        <w:rPr>
          <w:lang w:eastAsia="en-US"/>
        </w:rPr>
      </w:pPr>
    </w:p>
    <w:p w14:paraId="5066549B" w14:textId="77777777" w:rsidR="00CC5A4D" w:rsidRPr="00131EED" w:rsidRDefault="00CC5A4D" w:rsidP="00CC5A4D">
      <w:pPr>
        <w:rPr>
          <w:rFonts w:ascii="Baskerville" w:hAnsi="Baskerville"/>
        </w:rPr>
      </w:pPr>
    </w:p>
    <w:p w14:paraId="00C893E2" w14:textId="7D09142B" w:rsidR="00CC5A4D" w:rsidRPr="00131EED" w:rsidRDefault="001E413D" w:rsidP="00A4471C">
      <w:pPr>
        <w:pStyle w:val="Caption"/>
        <w:jc w:val="center"/>
      </w:pPr>
      <w:bookmarkStart w:id="407" w:name="_Toc216468880"/>
      <w:r w:rsidRPr="00131EED">
        <w:t xml:space="preserve">Ilustración </w:t>
      </w:r>
      <w:r w:rsidRPr="00131EED">
        <w:fldChar w:fldCharType="begin"/>
      </w:r>
      <w:r w:rsidRPr="00131EED">
        <w:instrText>SEQ Ilustración \* ARABIC</w:instrText>
      </w:r>
      <w:r w:rsidRPr="00131EED">
        <w:fldChar w:fldCharType="separate"/>
      </w:r>
      <w:r w:rsidR="00CE096F">
        <w:rPr>
          <w:noProof/>
        </w:rPr>
        <w:t>115</w:t>
      </w:r>
      <w:r w:rsidRPr="00131EED">
        <w:fldChar w:fldCharType="end"/>
      </w:r>
      <w:r w:rsidRPr="00131EED">
        <w:t xml:space="preserve"> </w:t>
      </w:r>
      <w:r w:rsidR="00CC5A4D" w:rsidRPr="00131EED">
        <w:t>Vista general de los tres sistemas de abastecimiento de fuentes superficiales región Sabana</w:t>
      </w:r>
      <w:bookmarkEnd w:id="406"/>
      <w:bookmarkEnd w:id="407"/>
    </w:p>
    <w:p w14:paraId="29DDE2DA" w14:textId="0E5240DA" w:rsidR="00CC5A4D" w:rsidRPr="00131EED" w:rsidRDefault="00CC5A4D" w:rsidP="00CC5A4D">
      <w:pPr>
        <w:jc w:val="center"/>
        <w:rPr>
          <w:rFonts w:ascii="Baskerville" w:hAnsi="Baskerville" w:cs="Arial"/>
        </w:rPr>
      </w:pPr>
      <w:r w:rsidRPr="00131EED">
        <w:rPr>
          <w:rFonts w:ascii="Baskerville" w:hAnsi="Baskerville" w:cs="Arial"/>
          <w:noProof/>
          <w:lang w:eastAsia="en-US"/>
        </w:rPr>
        <w:drawing>
          <wp:inline distT="0" distB="0" distL="0" distR="0" wp14:anchorId="095D57ED" wp14:editId="3D27A575">
            <wp:extent cx="3614468" cy="2544197"/>
            <wp:effectExtent l="19050" t="19050" r="24130" b="27940"/>
            <wp:docPr id="24" name="Imagen 24" descr="A map of a rou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descr="A map of a route&#10;&#10;AI-generated content may be incorrect."/>
                    <pic:cNvPicPr/>
                  </pic:nvPicPr>
                  <pic:blipFill>
                    <a:blip r:embed="rId191"/>
                    <a:stretch>
                      <a:fillRect/>
                    </a:stretch>
                  </pic:blipFill>
                  <pic:spPr>
                    <a:xfrm>
                      <a:off x="0" y="0"/>
                      <a:ext cx="3652373" cy="2570878"/>
                    </a:xfrm>
                    <a:prstGeom prst="rect">
                      <a:avLst/>
                    </a:prstGeom>
                    <a:ln>
                      <a:solidFill>
                        <a:schemeClr val="tx1"/>
                      </a:solidFill>
                    </a:ln>
                  </pic:spPr>
                </pic:pic>
              </a:graphicData>
            </a:graphic>
          </wp:inline>
        </w:drawing>
      </w:r>
    </w:p>
    <w:p w14:paraId="765CAD3A" w14:textId="7D06C6C1" w:rsidR="00B179BE" w:rsidRPr="00131EED" w:rsidRDefault="00CC5A4D" w:rsidP="006845C5">
      <w:pPr>
        <w:jc w:val="center"/>
        <w:rPr>
          <w:i/>
          <w:sz w:val="20"/>
          <w:szCs w:val="20"/>
        </w:rPr>
      </w:pPr>
      <w:r w:rsidRPr="00131EED">
        <w:rPr>
          <w:sz w:val="20"/>
          <w:szCs w:val="20"/>
        </w:rPr>
        <w:t xml:space="preserve">Fuente:  EAAB – ESP </w:t>
      </w:r>
      <w:sdt>
        <w:sdtPr>
          <w:rPr>
            <w:i/>
            <w:sz w:val="20"/>
            <w:szCs w:val="20"/>
          </w:rPr>
          <w:id w:val="-1822036748"/>
          <w:citation/>
        </w:sdtPr>
        <w:sdtEndPr/>
        <w:sdtContent>
          <w:r w:rsidRPr="00131EED">
            <w:rPr>
              <w:i/>
              <w:sz w:val="20"/>
              <w:szCs w:val="20"/>
            </w:rPr>
            <w:fldChar w:fldCharType="begin"/>
          </w:r>
          <w:r w:rsidRPr="00131EED">
            <w:rPr>
              <w:i/>
              <w:sz w:val="20"/>
              <w:szCs w:val="20"/>
            </w:rPr>
            <w:instrText xml:space="preserve">CITATION EAA23 \n  \t  \l 3082 </w:instrText>
          </w:r>
          <w:r w:rsidRPr="00131EED">
            <w:rPr>
              <w:i/>
              <w:sz w:val="20"/>
              <w:szCs w:val="20"/>
            </w:rPr>
            <w:fldChar w:fldCharType="separate"/>
          </w:r>
          <w:r w:rsidRPr="00131EED">
            <w:rPr>
              <w:sz w:val="20"/>
              <w:szCs w:val="20"/>
            </w:rPr>
            <w:t>(2023)</w:t>
          </w:r>
          <w:r w:rsidRPr="00131EED">
            <w:rPr>
              <w:i/>
              <w:sz w:val="20"/>
              <w:szCs w:val="20"/>
            </w:rPr>
            <w:fldChar w:fldCharType="end"/>
          </w:r>
        </w:sdtContent>
      </w:sdt>
    </w:p>
    <w:p w14:paraId="044A144A" w14:textId="77777777" w:rsidR="00CC5A4D" w:rsidRPr="00131EED" w:rsidRDefault="00CC5A4D" w:rsidP="006845C5">
      <w:pPr>
        <w:pStyle w:val="Caption"/>
        <w:spacing w:after="0"/>
        <w:jc w:val="center"/>
        <w:rPr>
          <w:rFonts w:ascii="Baskerville Old Face" w:hAnsi="Baskerville Old Face"/>
        </w:rPr>
      </w:pPr>
    </w:p>
    <w:p w14:paraId="28F917E0" w14:textId="77777777" w:rsidR="00CC5A4D" w:rsidRPr="00131EED" w:rsidRDefault="00CC5A4D" w:rsidP="00CC5A4D">
      <w:pPr>
        <w:rPr>
          <w:rFonts w:cs="Arial"/>
        </w:rPr>
      </w:pPr>
      <w:r w:rsidRPr="00131EED">
        <w:rPr>
          <w:rFonts w:cs="Arial"/>
        </w:rPr>
        <w:t>De manera general, estos sistemas de abastecimiento se encuentran soportados por caudales naturales de los ríos Bogotá y sus afluentes; se destacan los de los ríos Tejar, Checua, Frío, Subachoque y Chicú, que discurren en régimen natural, además de los caudales regulados por los embalses del Sisga (río San Francisco), Neusa (río Cubillos), Tominé (ríos Aves, Chipatá y Siecha), San Rafael (río Teusacá) y Muña (río Muna); en menores cantidades es aprovechable el agua subterránea. Para complementar el abastecimiento del consumo humano de Bogotá y de otras poblaciones de la Sabana, se utilizan los caudales de los ríos Guatiquía, Chuza y Blanco, trasvasados por el sistema Chingaza.</w:t>
      </w:r>
    </w:p>
    <w:p w14:paraId="7715C0AB" w14:textId="77777777" w:rsidR="00CC5A4D" w:rsidRPr="00131EED" w:rsidRDefault="00CC5A4D" w:rsidP="00CC5A4D">
      <w:pPr>
        <w:rPr>
          <w:rFonts w:cs="Arial"/>
          <w:sz w:val="20"/>
          <w:szCs w:val="20"/>
        </w:rPr>
      </w:pPr>
    </w:p>
    <w:p w14:paraId="188D473A" w14:textId="6EB33ACD" w:rsidR="00CC5A4D" w:rsidRPr="00131EED" w:rsidRDefault="00CC5A4D" w:rsidP="00DE4433">
      <w:pPr>
        <w:pStyle w:val="Caption"/>
        <w:jc w:val="center"/>
      </w:pPr>
      <w:bookmarkStart w:id="408" w:name="_Ref161577682"/>
      <w:bookmarkStart w:id="409" w:name="_Toc162340787"/>
      <w:bookmarkStart w:id="410" w:name="_Toc216468991"/>
      <w:r w:rsidRPr="00131EED">
        <w:t xml:space="preserve">Tabla </w:t>
      </w:r>
      <w:bookmarkEnd w:id="408"/>
      <w:r w:rsidRPr="00131EED">
        <w:fldChar w:fldCharType="begin"/>
      </w:r>
      <w:r w:rsidRPr="00131EED">
        <w:instrText xml:space="preserve"> SEQ Tabla \* ARABIC </w:instrText>
      </w:r>
      <w:r w:rsidRPr="00131EED">
        <w:fldChar w:fldCharType="separate"/>
      </w:r>
      <w:r w:rsidR="00CE096F">
        <w:rPr>
          <w:noProof/>
        </w:rPr>
        <w:t>81</w:t>
      </w:r>
      <w:r w:rsidRPr="00131EED">
        <w:fldChar w:fldCharType="end"/>
      </w:r>
      <w:r w:rsidRPr="00131EED">
        <w:t>. Volumen de almacenamiento de embalses en la Sabana de Bogotá</w:t>
      </w:r>
      <w:bookmarkEnd w:id="409"/>
      <w:bookmarkEnd w:id="410"/>
    </w:p>
    <w:tbl>
      <w:tblPr>
        <w:tblStyle w:val="GridTable1Light"/>
        <w:tblW w:w="8095" w:type="dxa"/>
        <w:jc w:val="center"/>
        <w:tblLook w:val="04A0" w:firstRow="1" w:lastRow="0" w:firstColumn="1" w:lastColumn="0" w:noHBand="0" w:noVBand="1"/>
      </w:tblPr>
      <w:tblGrid>
        <w:gridCol w:w="4685"/>
        <w:gridCol w:w="3410"/>
      </w:tblGrid>
      <w:tr w:rsidR="00CC5A4D" w:rsidRPr="00131EED" w14:paraId="3BBD0172" w14:textId="77777777" w:rsidTr="00053167">
        <w:trPr>
          <w:cnfStyle w:val="100000000000" w:firstRow="1" w:lastRow="0" w:firstColumn="0" w:lastColumn="0" w:oddVBand="0" w:evenVBand="0" w:oddHBand="0" w:evenHBand="0" w:firstRowFirstColumn="0" w:firstRowLastColumn="0" w:lastRowFirstColumn="0" w:lastRowLastColumn="0"/>
          <w:trHeight w:val="42"/>
          <w:jc w:val="center"/>
        </w:trPr>
        <w:tc>
          <w:tcPr>
            <w:cnfStyle w:val="001000000000" w:firstRow="0" w:lastRow="0" w:firstColumn="1" w:lastColumn="0" w:oddVBand="0" w:evenVBand="0" w:oddHBand="0" w:evenHBand="0" w:firstRowFirstColumn="0" w:firstRowLastColumn="0" w:lastRowFirstColumn="0" w:lastRowLastColumn="0"/>
            <w:tcW w:w="4685" w:type="dxa"/>
            <w:vAlign w:val="center"/>
          </w:tcPr>
          <w:p w14:paraId="7EF22D25" w14:textId="77777777" w:rsidR="00CC5A4D" w:rsidRPr="00131EED" w:rsidRDefault="00CC5A4D" w:rsidP="00B60DA2">
            <w:pPr>
              <w:jc w:val="center"/>
              <w:rPr>
                <w:rFonts w:cs="Arial"/>
                <w:sz w:val="20"/>
                <w:szCs w:val="20"/>
              </w:rPr>
            </w:pPr>
            <w:r w:rsidRPr="00131EED">
              <w:rPr>
                <w:rFonts w:cs="Arial"/>
                <w:spacing w:val="24"/>
                <w:sz w:val="20"/>
                <w:szCs w:val="20"/>
              </w:rPr>
              <w:t>CUERPO HÍDRICO</w:t>
            </w:r>
          </w:p>
        </w:tc>
        <w:tc>
          <w:tcPr>
            <w:tcW w:w="3410" w:type="dxa"/>
            <w:vAlign w:val="bottom"/>
          </w:tcPr>
          <w:p w14:paraId="2BBAE3AC" w14:textId="77777777" w:rsidR="00CC5A4D" w:rsidRPr="00131EED" w:rsidRDefault="00CC5A4D" w:rsidP="00B60DA2">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pacing w:val="24"/>
                <w:sz w:val="20"/>
                <w:szCs w:val="20"/>
              </w:rPr>
              <w:t>VOLUMEN DE ALMACENAMIENTO (hm</w:t>
            </w:r>
            <w:r w:rsidRPr="00131EED">
              <w:rPr>
                <w:rFonts w:cs="Arial"/>
                <w:spacing w:val="24"/>
                <w:sz w:val="20"/>
                <w:szCs w:val="20"/>
                <w:vertAlign w:val="superscript"/>
              </w:rPr>
              <w:t>3</w:t>
            </w:r>
            <w:r w:rsidRPr="00131EED">
              <w:rPr>
                <w:rFonts w:cs="Arial"/>
                <w:spacing w:val="24"/>
                <w:sz w:val="20"/>
                <w:szCs w:val="20"/>
              </w:rPr>
              <w:t>)</w:t>
            </w:r>
          </w:p>
        </w:tc>
      </w:tr>
      <w:tr w:rsidR="00CC5A4D" w:rsidRPr="00131EED" w14:paraId="15750D04" w14:textId="77777777" w:rsidTr="00053167">
        <w:trPr>
          <w:trHeight w:val="246"/>
          <w:jc w:val="center"/>
        </w:trPr>
        <w:tc>
          <w:tcPr>
            <w:cnfStyle w:val="001000000000" w:firstRow="0" w:lastRow="0" w:firstColumn="1" w:lastColumn="0" w:oddVBand="0" w:evenVBand="0" w:oddHBand="0" w:evenHBand="0" w:firstRowFirstColumn="0" w:firstRowLastColumn="0" w:lastRowFirstColumn="0" w:lastRowLastColumn="0"/>
            <w:tcW w:w="4685" w:type="dxa"/>
          </w:tcPr>
          <w:p w14:paraId="5CED4296" w14:textId="77777777" w:rsidR="00CC5A4D" w:rsidRPr="00131EED" w:rsidRDefault="00CC5A4D" w:rsidP="00B60DA2">
            <w:pPr>
              <w:jc w:val="center"/>
              <w:rPr>
                <w:rFonts w:cs="Arial"/>
                <w:b w:val="0"/>
                <w:sz w:val="20"/>
                <w:szCs w:val="20"/>
              </w:rPr>
            </w:pPr>
            <w:r w:rsidRPr="00131EED">
              <w:rPr>
                <w:rFonts w:cs="Arial"/>
                <w:b w:val="0"/>
                <w:sz w:val="20"/>
                <w:szCs w:val="20"/>
              </w:rPr>
              <w:t>Agregado Norte (Embalse del Neusa, Sisga y Tominé)</w:t>
            </w:r>
          </w:p>
        </w:tc>
        <w:tc>
          <w:tcPr>
            <w:tcW w:w="3410" w:type="dxa"/>
          </w:tcPr>
          <w:p w14:paraId="15205BF9" w14:textId="77777777" w:rsidR="00CC5A4D" w:rsidRPr="00131EED" w:rsidRDefault="00CC5A4D" w:rsidP="00B60DA2">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900</w:t>
            </w:r>
          </w:p>
        </w:tc>
      </w:tr>
      <w:tr w:rsidR="00CC5A4D" w:rsidRPr="00131EED" w14:paraId="02B19241" w14:textId="77777777" w:rsidTr="00053167">
        <w:trPr>
          <w:trHeight w:val="246"/>
          <w:jc w:val="center"/>
        </w:trPr>
        <w:tc>
          <w:tcPr>
            <w:cnfStyle w:val="001000000000" w:firstRow="0" w:lastRow="0" w:firstColumn="1" w:lastColumn="0" w:oddVBand="0" w:evenVBand="0" w:oddHBand="0" w:evenHBand="0" w:firstRowFirstColumn="0" w:firstRowLastColumn="0" w:lastRowFirstColumn="0" w:lastRowLastColumn="0"/>
            <w:tcW w:w="4685" w:type="dxa"/>
          </w:tcPr>
          <w:p w14:paraId="468116B6" w14:textId="77777777" w:rsidR="00CC5A4D" w:rsidRPr="00131EED" w:rsidRDefault="00CC5A4D" w:rsidP="00B60DA2">
            <w:pPr>
              <w:jc w:val="center"/>
              <w:rPr>
                <w:rFonts w:cs="Arial"/>
                <w:b w:val="0"/>
                <w:sz w:val="20"/>
                <w:szCs w:val="20"/>
              </w:rPr>
            </w:pPr>
            <w:r w:rsidRPr="00131EED">
              <w:rPr>
                <w:rFonts w:cs="Arial"/>
                <w:b w:val="0"/>
                <w:sz w:val="20"/>
                <w:szCs w:val="20"/>
              </w:rPr>
              <w:t>Embalse del Chuza</w:t>
            </w:r>
          </w:p>
        </w:tc>
        <w:tc>
          <w:tcPr>
            <w:tcW w:w="3410" w:type="dxa"/>
          </w:tcPr>
          <w:p w14:paraId="61513029" w14:textId="77777777" w:rsidR="00CC5A4D" w:rsidRPr="00131EED" w:rsidRDefault="00CC5A4D" w:rsidP="00B60DA2">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254</w:t>
            </w:r>
          </w:p>
        </w:tc>
      </w:tr>
      <w:tr w:rsidR="00CC5A4D" w:rsidRPr="00131EED" w14:paraId="3267DC63" w14:textId="77777777" w:rsidTr="00053167">
        <w:trPr>
          <w:trHeight w:val="246"/>
          <w:jc w:val="center"/>
        </w:trPr>
        <w:tc>
          <w:tcPr>
            <w:cnfStyle w:val="001000000000" w:firstRow="0" w:lastRow="0" w:firstColumn="1" w:lastColumn="0" w:oddVBand="0" w:evenVBand="0" w:oddHBand="0" w:evenHBand="0" w:firstRowFirstColumn="0" w:firstRowLastColumn="0" w:lastRowFirstColumn="0" w:lastRowLastColumn="0"/>
            <w:tcW w:w="4685" w:type="dxa"/>
          </w:tcPr>
          <w:p w14:paraId="714476AA" w14:textId="77777777" w:rsidR="00CC5A4D" w:rsidRPr="00131EED" w:rsidRDefault="00CC5A4D" w:rsidP="00B60DA2">
            <w:pPr>
              <w:jc w:val="center"/>
              <w:rPr>
                <w:rFonts w:cs="Arial"/>
                <w:b w:val="0"/>
                <w:sz w:val="20"/>
                <w:szCs w:val="20"/>
              </w:rPr>
            </w:pPr>
            <w:r w:rsidRPr="00131EED">
              <w:rPr>
                <w:rFonts w:cs="Arial"/>
                <w:b w:val="0"/>
                <w:sz w:val="20"/>
                <w:szCs w:val="20"/>
              </w:rPr>
              <w:t>Embalse Chisacá</w:t>
            </w:r>
          </w:p>
        </w:tc>
        <w:tc>
          <w:tcPr>
            <w:tcW w:w="3410" w:type="dxa"/>
          </w:tcPr>
          <w:p w14:paraId="6A895AA8" w14:textId="77777777" w:rsidR="00CC5A4D" w:rsidRPr="00131EED" w:rsidRDefault="00CC5A4D" w:rsidP="00B60DA2">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6,7</w:t>
            </w:r>
          </w:p>
        </w:tc>
      </w:tr>
      <w:tr w:rsidR="00CC5A4D" w:rsidRPr="00131EED" w14:paraId="49BB9011" w14:textId="77777777" w:rsidTr="00053167">
        <w:trPr>
          <w:trHeight w:val="241"/>
          <w:jc w:val="center"/>
        </w:trPr>
        <w:tc>
          <w:tcPr>
            <w:cnfStyle w:val="001000000000" w:firstRow="0" w:lastRow="0" w:firstColumn="1" w:lastColumn="0" w:oddVBand="0" w:evenVBand="0" w:oddHBand="0" w:evenHBand="0" w:firstRowFirstColumn="0" w:firstRowLastColumn="0" w:lastRowFirstColumn="0" w:lastRowLastColumn="0"/>
            <w:tcW w:w="4685" w:type="dxa"/>
          </w:tcPr>
          <w:p w14:paraId="557E9762" w14:textId="77777777" w:rsidR="00CC5A4D" w:rsidRPr="00131EED" w:rsidRDefault="00CC5A4D" w:rsidP="00B60DA2">
            <w:pPr>
              <w:jc w:val="center"/>
              <w:rPr>
                <w:rFonts w:cs="Arial"/>
                <w:b w:val="0"/>
                <w:sz w:val="20"/>
                <w:szCs w:val="20"/>
              </w:rPr>
            </w:pPr>
            <w:r w:rsidRPr="00131EED">
              <w:rPr>
                <w:rFonts w:cs="Arial"/>
                <w:b w:val="0"/>
                <w:sz w:val="20"/>
                <w:szCs w:val="20"/>
              </w:rPr>
              <w:t>Embalse La Regadera</w:t>
            </w:r>
          </w:p>
        </w:tc>
        <w:tc>
          <w:tcPr>
            <w:tcW w:w="3410" w:type="dxa"/>
          </w:tcPr>
          <w:p w14:paraId="74826723" w14:textId="77777777" w:rsidR="00CC5A4D" w:rsidRPr="00131EED" w:rsidRDefault="00CC5A4D" w:rsidP="00B60DA2">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3,7</w:t>
            </w:r>
          </w:p>
        </w:tc>
      </w:tr>
      <w:tr w:rsidR="00CC5A4D" w:rsidRPr="00131EED" w14:paraId="5EFCE304" w14:textId="77777777" w:rsidTr="00053167">
        <w:trPr>
          <w:trHeight w:val="246"/>
          <w:jc w:val="center"/>
        </w:trPr>
        <w:tc>
          <w:tcPr>
            <w:cnfStyle w:val="001000000000" w:firstRow="0" w:lastRow="0" w:firstColumn="1" w:lastColumn="0" w:oddVBand="0" w:evenVBand="0" w:oddHBand="0" w:evenHBand="0" w:firstRowFirstColumn="0" w:firstRowLastColumn="0" w:lastRowFirstColumn="0" w:lastRowLastColumn="0"/>
            <w:tcW w:w="4685" w:type="dxa"/>
          </w:tcPr>
          <w:p w14:paraId="3B92BAD0" w14:textId="77777777" w:rsidR="00CC5A4D" w:rsidRPr="00131EED" w:rsidRDefault="00CC5A4D" w:rsidP="00B60DA2">
            <w:pPr>
              <w:jc w:val="center"/>
              <w:rPr>
                <w:rFonts w:cs="Arial"/>
                <w:b w:val="0"/>
                <w:sz w:val="20"/>
                <w:szCs w:val="20"/>
              </w:rPr>
            </w:pPr>
            <w:r w:rsidRPr="00131EED">
              <w:rPr>
                <w:rFonts w:cs="Arial"/>
                <w:b w:val="0"/>
                <w:sz w:val="20"/>
                <w:szCs w:val="20"/>
              </w:rPr>
              <w:t>Laguna Los Tunjos</w:t>
            </w:r>
          </w:p>
        </w:tc>
        <w:tc>
          <w:tcPr>
            <w:tcW w:w="3410" w:type="dxa"/>
          </w:tcPr>
          <w:p w14:paraId="071580DA" w14:textId="77777777" w:rsidR="00CC5A4D" w:rsidRPr="00131EED" w:rsidRDefault="00CC5A4D" w:rsidP="00B60DA2">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1</w:t>
            </w:r>
          </w:p>
        </w:tc>
      </w:tr>
    </w:tbl>
    <w:p w14:paraId="269DF6A8" w14:textId="469CBC51" w:rsidR="00CC5A4D" w:rsidRPr="00131EED" w:rsidRDefault="00CC5A4D" w:rsidP="00CC5A4D">
      <w:pPr>
        <w:jc w:val="center"/>
        <w:rPr>
          <w:rFonts w:ascii="Baskerville" w:hAnsi="Baskerville" w:cs="Arial"/>
          <w:sz w:val="18"/>
          <w:szCs w:val="18"/>
        </w:rPr>
      </w:pPr>
      <w:r w:rsidRPr="00131EED">
        <w:rPr>
          <w:rFonts w:ascii="Baskerville" w:hAnsi="Baskerville" w:cs="Arial"/>
          <w:sz w:val="18"/>
          <w:szCs w:val="18"/>
        </w:rPr>
        <w:t>Fuente: EAAB - ESP</w:t>
      </w:r>
      <w:sdt>
        <w:sdtPr>
          <w:rPr>
            <w:rFonts w:ascii="Baskerville" w:hAnsi="Baskerville" w:cs="Arial"/>
            <w:sz w:val="18"/>
            <w:szCs w:val="18"/>
          </w:rPr>
          <w:id w:val="-247889484"/>
          <w:citation/>
        </w:sdtPr>
        <w:sdtEndPr/>
        <w:sdtContent>
          <w:r w:rsidRPr="00131EED">
            <w:rPr>
              <w:rFonts w:ascii="Baskerville" w:hAnsi="Baskerville" w:cs="Arial"/>
              <w:sz w:val="18"/>
              <w:szCs w:val="18"/>
            </w:rPr>
            <w:fldChar w:fldCharType="begin"/>
          </w:r>
          <w:r w:rsidRPr="00131EED">
            <w:rPr>
              <w:rFonts w:ascii="Baskerville" w:hAnsi="Baskerville" w:cs="Arial"/>
              <w:sz w:val="18"/>
              <w:szCs w:val="18"/>
            </w:rPr>
            <w:instrText xml:space="preserve">CITATION EAA23 \n  \t  \l 3082 </w:instrText>
          </w:r>
          <w:r w:rsidRPr="00131EED">
            <w:rPr>
              <w:rFonts w:ascii="Baskerville" w:hAnsi="Baskerville" w:cs="Arial"/>
              <w:sz w:val="18"/>
              <w:szCs w:val="18"/>
            </w:rPr>
            <w:fldChar w:fldCharType="separate"/>
          </w:r>
          <w:r w:rsidRPr="00131EED">
            <w:rPr>
              <w:rFonts w:ascii="Baskerville" w:hAnsi="Baskerville" w:cs="Arial"/>
              <w:sz w:val="18"/>
              <w:szCs w:val="18"/>
            </w:rPr>
            <w:t xml:space="preserve"> (2023)</w:t>
          </w:r>
          <w:r w:rsidRPr="00131EED">
            <w:rPr>
              <w:rFonts w:ascii="Baskerville" w:hAnsi="Baskerville" w:cs="Arial"/>
              <w:sz w:val="18"/>
              <w:szCs w:val="18"/>
            </w:rPr>
            <w:fldChar w:fldCharType="end"/>
          </w:r>
        </w:sdtContent>
      </w:sdt>
    </w:p>
    <w:p w14:paraId="150C5B95" w14:textId="77777777" w:rsidR="00CC5A4D" w:rsidRPr="00131EED" w:rsidRDefault="00CC5A4D" w:rsidP="00CC5A4D">
      <w:pPr>
        <w:rPr>
          <w:rFonts w:ascii="Baskerville" w:hAnsi="Baskerville" w:cs="Arial"/>
          <w:sz w:val="20"/>
          <w:szCs w:val="20"/>
        </w:rPr>
      </w:pPr>
    </w:p>
    <w:p w14:paraId="162220B9" w14:textId="537AC92F" w:rsidR="00CC5A4D" w:rsidRPr="00131EED" w:rsidRDefault="00CC5A4D" w:rsidP="00CC5A4D">
      <w:pPr>
        <w:rPr>
          <w:rFonts w:cs="Arial"/>
        </w:rPr>
      </w:pPr>
      <w:r w:rsidRPr="00131EED">
        <w:rPr>
          <w:rFonts w:cs="Arial"/>
        </w:rPr>
        <w:t xml:space="preserve">Los tres sistemas de abastecimiento anteriormente indicados, reflejan una capacidad de caudal confiable continuo en las fuentes de 25,97 </w:t>
      </w:r>
      <w:r w:rsidR="00727520" w:rsidRPr="00131EED">
        <w:rPr>
          <w:rFonts w:cs="Arial"/>
        </w:rPr>
        <w:t>m</w:t>
      </w:r>
      <w:r w:rsidR="00727520" w:rsidRPr="00131EED">
        <w:rPr>
          <w:rFonts w:cs="Arial"/>
          <w:vertAlign w:val="superscript"/>
        </w:rPr>
        <w:t>3</w:t>
      </w:r>
      <w:r w:rsidRPr="00131EED">
        <w:rPr>
          <w:rFonts w:cs="Arial"/>
        </w:rPr>
        <w:t xml:space="preserve">/s </w:t>
      </w:r>
      <w:sdt>
        <w:sdtPr>
          <w:rPr>
            <w:rFonts w:cs="Arial"/>
          </w:rPr>
          <w:id w:val="-264613208"/>
          <w:citation/>
        </w:sdtPr>
        <w:sdtEndPr/>
        <w:sdtContent>
          <w:r w:rsidRPr="00131EED">
            <w:rPr>
              <w:rFonts w:cs="Arial"/>
            </w:rPr>
            <w:fldChar w:fldCharType="begin"/>
          </w:r>
          <w:r w:rsidRPr="00131EED">
            <w:rPr>
              <w:rFonts w:cs="Arial"/>
            </w:rPr>
            <w:instrText xml:space="preserve">CITATION EAA23 \t  \l 3082 </w:instrText>
          </w:r>
          <w:r w:rsidRPr="00131EED">
            <w:rPr>
              <w:rFonts w:cs="Arial"/>
            </w:rPr>
            <w:fldChar w:fldCharType="separate"/>
          </w:r>
          <w:r w:rsidRPr="00131EED">
            <w:rPr>
              <w:rFonts w:cs="Arial"/>
            </w:rPr>
            <w:t>(EAAB- ESP, 2023)</w:t>
          </w:r>
          <w:r w:rsidRPr="00131EED">
            <w:rPr>
              <w:rFonts w:cs="Arial"/>
            </w:rPr>
            <w:fldChar w:fldCharType="end"/>
          </w:r>
        </w:sdtContent>
      </w:sdt>
      <w:r w:rsidRPr="00131EED">
        <w:rPr>
          <w:rFonts w:cs="Arial"/>
        </w:rPr>
        <w:t xml:space="preserve">, resultado de la construcción, desde 1938, de una red compleja de embalses, represas, tuberías, túneles, acueductos y alcantarillados que transportan y distribuyen el agua, ya sea desde la zona de captación a las zonas de almacenamiento y Plantas de Tratamiento de Agua Potable (PTAP); desde las PTAP hacia las zonas de consumo; o desde los espacios de consumo a las áreas de descarga. Respecto a las Plantas de Tratamiento de Agua Potable, se destacan aquellas pertenecientes a la EAB-ESP, ya que esta entidad, además de potabilizar y suministrar agua al Distrito Capital, también vende agua en bloque a los municipios de Soacha, Tocancipá, La Calera, Sopó, Cajicá, Chía, Funza, Madrid, Mosquera y Cota </w:t>
      </w:r>
      <w:sdt>
        <w:sdtPr>
          <w:rPr>
            <w:rFonts w:cs="Arial"/>
          </w:rPr>
          <w:id w:val="-1479373093"/>
          <w:citation/>
        </w:sdtPr>
        <w:sdtEndPr/>
        <w:sdtContent>
          <w:r w:rsidRPr="00131EED">
            <w:rPr>
              <w:rFonts w:cs="Arial"/>
            </w:rPr>
            <w:fldChar w:fldCharType="begin"/>
          </w:r>
          <w:r w:rsidRPr="00131EED">
            <w:rPr>
              <w:rFonts w:cs="Arial"/>
            </w:rPr>
            <w:instrText xml:space="preserve">CITATION Res18 \l 3082 </w:instrText>
          </w:r>
          <w:r w:rsidRPr="00131EED">
            <w:rPr>
              <w:rFonts w:cs="Arial"/>
            </w:rPr>
            <w:fldChar w:fldCharType="separate"/>
          </w:r>
          <w:r w:rsidRPr="00131EED">
            <w:rPr>
              <w:rFonts w:cs="Arial"/>
            </w:rPr>
            <w:t>(SIC, 2018)</w:t>
          </w:r>
          <w:r w:rsidRPr="00131EED">
            <w:rPr>
              <w:rFonts w:cs="Arial"/>
            </w:rPr>
            <w:fldChar w:fldCharType="end"/>
          </w:r>
        </w:sdtContent>
      </w:sdt>
      <w:r w:rsidRPr="00131EED">
        <w:rPr>
          <w:rFonts w:cs="Arial"/>
        </w:rPr>
        <w:t xml:space="preserve">. En la </w:t>
      </w:r>
      <w:r w:rsidRPr="00131EED">
        <w:rPr>
          <w:rFonts w:cs="Arial"/>
        </w:rPr>
        <w:fldChar w:fldCharType="begin"/>
      </w:r>
      <w:r w:rsidRPr="00131EED">
        <w:rPr>
          <w:rFonts w:cs="Arial"/>
        </w:rPr>
        <w:instrText xml:space="preserve"> REF _Ref161577682 \h  \* MERGEFORMAT </w:instrText>
      </w:r>
      <w:r w:rsidRPr="00131EED">
        <w:rPr>
          <w:rFonts w:cs="Arial"/>
        </w:rPr>
      </w:r>
      <w:r w:rsidRPr="00131EED">
        <w:rPr>
          <w:rFonts w:cs="Arial"/>
        </w:rPr>
        <w:fldChar w:fldCharType="separate"/>
      </w:r>
      <w:r w:rsidR="00CE096F" w:rsidRPr="00CE096F">
        <w:rPr>
          <w:rFonts w:cs="Arial"/>
        </w:rPr>
        <w:t>Tabla</w:t>
      </w:r>
      <w:r w:rsidR="00CE096F" w:rsidRPr="00131EED">
        <w:t xml:space="preserve"> </w:t>
      </w:r>
      <w:r w:rsidRPr="00131EED">
        <w:rPr>
          <w:rFonts w:cs="Arial"/>
        </w:rPr>
        <w:fldChar w:fldCharType="end"/>
      </w:r>
      <w:r w:rsidRPr="00131EED">
        <w:rPr>
          <w:rFonts w:cs="Arial"/>
        </w:rPr>
        <w:t xml:space="preserve">se muestra la capacidad de almacenamiento de los embalses y represas en la región Sabana de Bogotá. </w:t>
      </w:r>
    </w:p>
    <w:p w14:paraId="364E1886" w14:textId="77777777" w:rsidR="00CC5A4D" w:rsidRPr="00131EED" w:rsidRDefault="00CC5A4D" w:rsidP="00CC5A4D">
      <w:pPr>
        <w:rPr>
          <w:rFonts w:cs="Arial"/>
        </w:rPr>
      </w:pPr>
    </w:p>
    <w:p w14:paraId="6D0F92CF" w14:textId="77777777" w:rsidR="00CC5A4D" w:rsidRPr="00131EED" w:rsidRDefault="00CC5A4D" w:rsidP="00CC5A4D">
      <w:pPr>
        <w:rPr>
          <w:rFonts w:cs="Arial"/>
        </w:rPr>
      </w:pPr>
      <w:r w:rsidRPr="00131EED">
        <w:rPr>
          <w:rFonts w:cs="Arial"/>
        </w:rPr>
        <w:t>Otro tipo de infraestructura asociada a las fuentes hídricas de la zona son las centrales de energía hidráulica, materializadas en la cadena de plantas ubicadas sobre la ronda de la cuenca baja del río Bogotá y las localizadas en la región del Guavio - esta última propiedad de la empresa privada Enel-Emgesa y que si bien no está en la Región Sabana, es fundamental para el suministro de energía de la región- y las pequeñas estaciones hidroeléctricas de Santa Ana, Suba, Usaquén y Ventana controladas por la EAB-ESP para proveer de energía a una parte del Distrito Capital y municipios conexos.</w:t>
      </w:r>
    </w:p>
    <w:p w14:paraId="09801001" w14:textId="77777777" w:rsidR="00CC5A4D" w:rsidRPr="00131EED" w:rsidRDefault="00CC5A4D" w:rsidP="00CC5A4D">
      <w:pPr>
        <w:rPr>
          <w:rFonts w:cs="Arial"/>
        </w:rPr>
      </w:pPr>
    </w:p>
    <w:p w14:paraId="10F2B322" w14:textId="77777777" w:rsidR="00CC5A4D" w:rsidRPr="00131EED" w:rsidRDefault="00CC5A4D" w:rsidP="00410194">
      <w:pPr>
        <w:pStyle w:val="Heading3"/>
        <w:numPr>
          <w:ilvl w:val="3"/>
          <w:numId w:val="31"/>
        </w:numPr>
      </w:pPr>
      <w:bookmarkStart w:id="411" w:name="_Toc216468756"/>
      <w:r w:rsidRPr="00131EED">
        <w:t>Los cambios en la regulación hídrica en la Sabana</w:t>
      </w:r>
      <w:bookmarkEnd w:id="411"/>
    </w:p>
    <w:p w14:paraId="2043EC20" w14:textId="77777777" w:rsidR="00CC5A4D" w:rsidRPr="00131EED" w:rsidRDefault="00CC5A4D" w:rsidP="00CC5A4D">
      <w:pPr>
        <w:rPr>
          <w:rFonts w:ascii="Baskerville" w:hAnsi="Baskerville" w:cs="Arial"/>
          <w:sz w:val="20"/>
          <w:szCs w:val="20"/>
        </w:rPr>
      </w:pPr>
    </w:p>
    <w:p w14:paraId="2CE925C8" w14:textId="1BE29528" w:rsidR="00CC5A4D" w:rsidRPr="00131EED" w:rsidRDefault="00CC5A4D" w:rsidP="00CC5A4D">
      <w:r w:rsidRPr="00131EED">
        <w:rPr>
          <w:rFonts w:cs="Arial"/>
        </w:rPr>
        <w:t>De manera general, la hidrología de la región Sabana de Bogotá presenta diferentes estructuras hidráulicas (embalses, trasvases, compuertas y bocatomas) que han alterado el régimen hidrológico natural, es decir su capacidad de regulación y la variabilidad natural de sus caudales, por ejemplo</w:t>
      </w:r>
      <w:r w:rsidR="00CD2DF7" w:rsidRPr="00131EED">
        <w:rPr>
          <w:rFonts w:cs="Arial"/>
        </w:rPr>
        <w:t>,</w:t>
      </w:r>
      <w:r w:rsidRPr="00131EED">
        <w:rPr>
          <w:rFonts w:cs="Arial"/>
        </w:rPr>
        <w:t xml:space="preserve"> el 80% del agua que proviene de Chingaza termina aportando caudal de aguas grises y negras a la cuenca baja del Río Bogotá, por el trasvase, alterando la dinámica natural del ciclo hídrico. Lo anterior, conlleva a graves incidencias en la dinámica fluvial de los principales ríos y quebradas, y por supuesto, de los diferentes sistemas de humedales que dependen de régimen hidrológico natural del sistema, así como de la biodiversidad de los ríos y humedales y sus riberas principalmente. Muestra de ello, se evidencia en el índice de retención y regulación hídrica muy bajo, bajo o medio, principalmente en la cuenca Alta del R. Bogotá y en general al noroeste del territorio Sabana, así como en la zona sur de la región</w:t>
      </w:r>
      <w:r w:rsidRPr="00131EED">
        <w:rPr>
          <w:rFonts w:cs="Arial"/>
          <w:sz w:val="20"/>
          <w:szCs w:val="20"/>
        </w:rPr>
        <w:t xml:space="preserve">. </w:t>
      </w:r>
      <w:bookmarkStart w:id="412" w:name="_Toc162338934"/>
    </w:p>
    <w:p w14:paraId="075B47D8" w14:textId="1B944058" w:rsidR="00CC5A4D" w:rsidRPr="00131EED" w:rsidRDefault="00CC5A4D" w:rsidP="00CC5A4D">
      <w:pPr>
        <w:rPr>
          <w:rFonts w:ascii="Baskerville" w:hAnsi="Baskerville"/>
        </w:rPr>
      </w:pPr>
    </w:p>
    <w:p w14:paraId="217540F8" w14:textId="3C9CEC11" w:rsidR="00A8618D" w:rsidRPr="00131EED" w:rsidRDefault="00A8618D" w:rsidP="00CC5A4D">
      <w:pPr>
        <w:rPr>
          <w:rFonts w:ascii="Baskerville" w:hAnsi="Baskerville"/>
        </w:rPr>
      </w:pPr>
    </w:p>
    <w:p w14:paraId="6B19162D" w14:textId="48DD0C54" w:rsidR="00A8618D" w:rsidRPr="00131EED" w:rsidRDefault="00A8618D" w:rsidP="00CC5A4D">
      <w:pPr>
        <w:rPr>
          <w:rFonts w:ascii="Baskerville" w:hAnsi="Baskerville"/>
        </w:rPr>
      </w:pPr>
    </w:p>
    <w:p w14:paraId="632EBB45" w14:textId="65D514D3" w:rsidR="00A8618D" w:rsidRPr="00131EED" w:rsidRDefault="00A8618D" w:rsidP="00CC5A4D">
      <w:pPr>
        <w:rPr>
          <w:rFonts w:ascii="Baskerville" w:hAnsi="Baskerville"/>
        </w:rPr>
      </w:pPr>
    </w:p>
    <w:p w14:paraId="3A8CC2F0" w14:textId="18B1EA02" w:rsidR="00A8618D" w:rsidRPr="00131EED" w:rsidRDefault="00A8618D" w:rsidP="00CC5A4D">
      <w:pPr>
        <w:rPr>
          <w:rFonts w:ascii="Baskerville" w:hAnsi="Baskerville"/>
        </w:rPr>
      </w:pPr>
    </w:p>
    <w:p w14:paraId="7C6B057F" w14:textId="78925153" w:rsidR="00A8618D" w:rsidRPr="00131EED" w:rsidRDefault="00A8618D" w:rsidP="00CC5A4D">
      <w:pPr>
        <w:rPr>
          <w:rFonts w:ascii="Baskerville" w:hAnsi="Baskerville"/>
        </w:rPr>
      </w:pPr>
    </w:p>
    <w:p w14:paraId="2046C77A" w14:textId="78C16BAE" w:rsidR="00A8618D" w:rsidRPr="00131EED" w:rsidRDefault="00A8618D" w:rsidP="00CC5A4D">
      <w:pPr>
        <w:rPr>
          <w:rFonts w:ascii="Baskerville" w:hAnsi="Baskerville"/>
        </w:rPr>
      </w:pPr>
    </w:p>
    <w:p w14:paraId="2F4CE0E2" w14:textId="18A38F4F" w:rsidR="00A8618D" w:rsidRPr="00131EED" w:rsidRDefault="00A8618D" w:rsidP="00CC5A4D">
      <w:pPr>
        <w:rPr>
          <w:rFonts w:ascii="Baskerville" w:hAnsi="Baskerville"/>
        </w:rPr>
      </w:pPr>
    </w:p>
    <w:p w14:paraId="55BD8E7B" w14:textId="0A888879" w:rsidR="00A8618D" w:rsidRPr="00131EED" w:rsidRDefault="00A8618D" w:rsidP="00CC5A4D">
      <w:pPr>
        <w:rPr>
          <w:rFonts w:ascii="Baskerville" w:hAnsi="Baskerville"/>
        </w:rPr>
      </w:pPr>
    </w:p>
    <w:p w14:paraId="32E844DA" w14:textId="17A33ED6" w:rsidR="00A8618D" w:rsidRPr="00131EED" w:rsidRDefault="00A8618D" w:rsidP="00CC5A4D">
      <w:pPr>
        <w:rPr>
          <w:rFonts w:ascii="Baskerville" w:hAnsi="Baskerville"/>
        </w:rPr>
      </w:pPr>
    </w:p>
    <w:p w14:paraId="6CAE62BE" w14:textId="78B5BE03" w:rsidR="00A8618D" w:rsidRPr="00131EED" w:rsidRDefault="00A8618D" w:rsidP="00CC5A4D">
      <w:pPr>
        <w:rPr>
          <w:rFonts w:ascii="Baskerville" w:hAnsi="Baskerville"/>
        </w:rPr>
      </w:pPr>
    </w:p>
    <w:p w14:paraId="63986546" w14:textId="77777777" w:rsidR="00F33D8B" w:rsidRPr="00131EED" w:rsidRDefault="00F33D8B" w:rsidP="00CC5A4D">
      <w:pPr>
        <w:rPr>
          <w:rFonts w:ascii="Baskerville" w:hAnsi="Baskerville"/>
        </w:rPr>
      </w:pPr>
    </w:p>
    <w:p w14:paraId="7B8B7B87" w14:textId="77777777" w:rsidR="00F33D8B" w:rsidRPr="00131EED" w:rsidRDefault="00F33D8B" w:rsidP="00CC5A4D">
      <w:pPr>
        <w:rPr>
          <w:rFonts w:ascii="Baskerville" w:hAnsi="Baskerville"/>
        </w:rPr>
      </w:pPr>
    </w:p>
    <w:p w14:paraId="6F478008" w14:textId="77777777" w:rsidR="00A8618D" w:rsidRPr="00131EED" w:rsidRDefault="00A8618D" w:rsidP="00CC5A4D">
      <w:pPr>
        <w:rPr>
          <w:rFonts w:ascii="Baskerville" w:hAnsi="Baskerville"/>
        </w:rPr>
      </w:pPr>
    </w:p>
    <w:p w14:paraId="4E97BCD6" w14:textId="7EC489B4" w:rsidR="00DE4433" w:rsidRPr="00131EED" w:rsidRDefault="00DE4433" w:rsidP="00DE4433">
      <w:pPr>
        <w:pStyle w:val="Caption"/>
        <w:jc w:val="center"/>
      </w:pPr>
      <w:bookmarkStart w:id="413" w:name="_Toc216468881"/>
      <w:bookmarkEnd w:id="412"/>
      <w:r w:rsidRPr="00131EED">
        <w:t xml:space="preserve">Ilustración </w:t>
      </w:r>
      <w:r w:rsidRPr="00131EED">
        <w:fldChar w:fldCharType="begin"/>
      </w:r>
      <w:r w:rsidRPr="00131EED">
        <w:instrText>SEQ Ilustración \* ARABIC</w:instrText>
      </w:r>
      <w:r w:rsidRPr="00131EED">
        <w:fldChar w:fldCharType="separate"/>
      </w:r>
      <w:r w:rsidR="00CE096F">
        <w:rPr>
          <w:noProof/>
        </w:rPr>
        <w:t>116</w:t>
      </w:r>
      <w:r w:rsidRPr="00131EED">
        <w:fldChar w:fldCharType="end"/>
      </w:r>
      <w:r w:rsidRPr="00131EED">
        <w:t xml:space="preserve"> Índice de retención y regulación hídrica región Sabana de Bogotá</w:t>
      </w:r>
      <w:bookmarkEnd w:id="413"/>
    </w:p>
    <w:p w14:paraId="1CA7F0D8" w14:textId="04244C4B" w:rsidR="00CC5A4D" w:rsidRPr="00131EED" w:rsidRDefault="001B1C9C" w:rsidP="006845C5">
      <w:pPr>
        <w:jc w:val="center"/>
      </w:pPr>
      <w:r w:rsidRPr="00131EED">
        <w:rPr>
          <w:rFonts w:ascii="Times New Roman" w:hAnsi="Times New Roman"/>
          <w:noProof/>
          <w:lang w:eastAsia="en-US"/>
        </w:rPr>
        <w:drawing>
          <wp:inline distT="0" distB="0" distL="0" distR="0" wp14:anchorId="57E71B0F" wp14:editId="5CF2805F">
            <wp:extent cx="2641600" cy="3418119"/>
            <wp:effectExtent l="0" t="0" r="635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649813" cy="3428746"/>
                    </a:xfrm>
                    <a:prstGeom prst="rect">
                      <a:avLst/>
                    </a:prstGeom>
                    <a:noFill/>
                    <a:ln>
                      <a:noFill/>
                    </a:ln>
                  </pic:spPr>
                </pic:pic>
              </a:graphicData>
            </a:graphic>
          </wp:inline>
        </w:drawing>
      </w:r>
    </w:p>
    <w:p w14:paraId="71CF4DC8" w14:textId="7F8F951C" w:rsidR="00CC5A4D" w:rsidRPr="00131EED" w:rsidRDefault="00CC5A4D" w:rsidP="00CC5A4D">
      <w:pPr>
        <w:pStyle w:val="Caption"/>
        <w:spacing w:after="0"/>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 xml:space="preserve">Fuente:  </w:t>
      </w:r>
      <w:r w:rsidR="00596ABB" w:rsidRPr="00131EED">
        <w:rPr>
          <w:rFonts w:ascii="Baskerville Old Face" w:hAnsi="Baskerville Old Face"/>
          <w:i w:val="0"/>
          <w:color w:val="auto"/>
          <w:sz w:val="20"/>
          <w:szCs w:val="20"/>
        </w:rPr>
        <w:t>adaptado por los autores con base en el POMCA del río Bogotá</w:t>
      </w:r>
      <w:r w:rsidR="00596ABB" w:rsidRPr="00131EED" w:rsidDel="00596ABB">
        <w:rPr>
          <w:rFonts w:ascii="Baskerville Old Face" w:hAnsi="Baskerville Old Face"/>
          <w:i w:val="0"/>
          <w:color w:val="auto"/>
          <w:sz w:val="20"/>
          <w:szCs w:val="20"/>
        </w:rPr>
        <w:t xml:space="preserve"> </w:t>
      </w:r>
    </w:p>
    <w:p w14:paraId="38E7DE27" w14:textId="77777777" w:rsidR="00CC5A4D" w:rsidRPr="00131EED" w:rsidRDefault="00CC5A4D" w:rsidP="00CC5A4D">
      <w:pPr>
        <w:rPr>
          <w:rFonts w:cs="Arial"/>
          <w:sz w:val="20"/>
          <w:szCs w:val="20"/>
        </w:rPr>
      </w:pPr>
    </w:p>
    <w:p w14:paraId="3242589C" w14:textId="77777777" w:rsidR="00CC5A4D" w:rsidRPr="00131EED" w:rsidRDefault="00CC5A4D" w:rsidP="00CC5A4D">
      <w:pPr>
        <w:rPr>
          <w:rFonts w:cs="Arial"/>
        </w:rPr>
      </w:pPr>
      <w:r w:rsidRPr="00131EED">
        <w:rPr>
          <w:rFonts w:cs="Arial"/>
        </w:rPr>
        <w:t xml:space="preserve">Ahora bien, si se analiza comparativamente el cambio en el índice de retención y regulación hídrica (IRH) tomando como caso de estudio las Evaluaciones Regionales del Agua (ERA) para algunas subcuencas de la cuenca del río Bogotá, de la Corporación Autónoma Regional de Cundinamarca (CAR) primera edición (periodo 2012 – 2015), segunda edición (periodo 2015 – 2016) y tercera edición (periodo 2016 – 2021), se observa que con respecto a la subcuenca del Embalse del Sisga hay una disminución en 0.02 unidades del IRH entre el segundo periodo analizado y el último periodo analizado, para la subcuenca correspondiente al sector Sisga – Tibitoc se evidencia una disminución significativa pues para el primer periodo el IRH se encontraba en la categoría de alto con un valor de 0.85, mientras que para el segundo y tercer periodo analizado este indicador cambio a la categoría de bajo con un promedio de 0.53. Por su parte, el IRH en la subcuenca Embalse de Tominé se redujo en 0.14 unidades si se compara el primer periodo con el segundo pasando de bajo a muy bajo; así mismo, para el primer y segundo periodo la subcuenca del río Teusacá contaba con un IRH en categoría media, sin embargo, para el tercer periodo analizado la categoría cambió a bajo con una disminución del IRH de 0.13 unidades. En la subcuenca del río Balsillas se observa una reducción significativa pasando de Muy alto para el primer periodo analizado a bajo en el segundo y tercer periodo de estudio. De manera similar, en la subcuenca del Embalse del Muña también hay una reducción del IRH, aunque el indicador se mantuvo en la categoría de bajo. </w:t>
      </w:r>
    </w:p>
    <w:p w14:paraId="364E155D" w14:textId="77777777" w:rsidR="00CC5A4D" w:rsidRPr="00131EED" w:rsidRDefault="00CC5A4D" w:rsidP="00CC5A4D">
      <w:pPr>
        <w:rPr>
          <w:rFonts w:ascii="Baskerville" w:hAnsi="Baskerville" w:cs="Arial"/>
        </w:rPr>
      </w:pPr>
    </w:p>
    <w:p w14:paraId="6C966F91" w14:textId="4CFB8DA5" w:rsidR="00CC5A4D" w:rsidRPr="00131EED" w:rsidRDefault="00CC5A4D" w:rsidP="00DE4433">
      <w:pPr>
        <w:pStyle w:val="Caption"/>
        <w:jc w:val="center"/>
      </w:pPr>
      <w:bookmarkStart w:id="414" w:name="_Ref161582228"/>
      <w:bookmarkStart w:id="415" w:name="_Toc162340788"/>
      <w:bookmarkStart w:id="416" w:name="_Toc216468992"/>
      <w:r w:rsidRPr="00131EED">
        <w:t xml:space="preserve">Tabla </w:t>
      </w:r>
      <w:bookmarkEnd w:id="414"/>
      <w:r w:rsidRPr="00131EED">
        <w:fldChar w:fldCharType="begin"/>
      </w:r>
      <w:r w:rsidRPr="00131EED">
        <w:instrText xml:space="preserve"> SEQ Tabla \* ARABIC </w:instrText>
      </w:r>
      <w:r w:rsidRPr="00131EED">
        <w:fldChar w:fldCharType="separate"/>
      </w:r>
      <w:r w:rsidR="00CE096F">
        <w:rPr>
          <w:noProof/>
        </w:rPr>
        <w:t>82</w:t>
      </w:r>
      <w:r w:rsidRPr="00131EED">
        <w:fldChar w:fldCharType="end"/>
      </w:r>
      <w:r w:rsidRPr="00131EED">
        <w:t>. Comparación índice de regulación y retención hídrica (IRH)</w:t>
      </w:r>
      <w:bookmarkEnd w:id="415"/>
      <w:bookmarkEnd w:id="416"/>
    </w:p>
    <w:tbl>
      <w:tblPr>
        <w:tblStyle w:val="GridTable1Light"/>
        <w:tblW w:w="8929" w:type="dxa"/>
        <w:jc w:val="center"/>
        <w:tblLayout w:type="fixed"/>
        <w:tblLook w:val="04A0" w:firstRow="1" w:lastRow="0" w:firstColumn="1" w:lastColumn="0" w:noHBand="0" w:noVBand="1"/>
      </w:tblPr>
      <w:tblGrid>
        <w:gridCol w:w="2449"/>
        <w:gridCol w:w="1079"/>
        <w:gridCol w:w="1081"/>
        <w:gridCol w:w="1079"/>
        <w:gridCol w:w="1081"/>
        <w:gridCol w:w="1079"/>
        <w:gridCol w:w="1081"/>
      </w:tblGrid>
      <w:tr w:rsidR="00CC5A4D" w:rsidRPr="00131EED" w14:paraId="1E076AF5" w14:textId="77777777" w:rsidTr="00B60DA2">
        <w:trPr>
          <w:cnfStyle w:val="100000000000" w:firstRow="1" w:lastRow="0" w:firstColumn="0" w:lastColumn="0" w:oddVBand="0" w:evenVBand="0" w:oddHBand="0" w:evenHBand="0" w:firstRowFirstColumn="0" w:firstRowLastColumn="0" w:lastRowFirstColumn="0" w:lastRowLastColumn="0"/>
          <w:trHeight w:val="30"/>
          <w:jc w:val="center"/>
        </w:trPr>
        <w:tc>
          <w:tcPr>
            <w:cnfStyle w:val="001000000000" w:firstRow="0" w:lastRow="0" w:firstColumn="1" w:lastColumn="0" w:oddVBand="0" w:evenVBand="0" w:oddHBand="0" w:evenHBand="0" w:firstRowFirstColumn="0" w:firstRowLastColumn="0" w:lastRowFirstColumn="0" w:lastRowLastColumn="0"/>
            <w:tcW w:w="2449" w:type="dxa"/>
            <w:vAlign w:val="center"/>
          </w:tcPr>
          <w:p w14:paraId="62430542" w14:textId="77777777" w:rsidR="00CC5A4D" w:rsidRPr="00131EED" w:rsidRDefault="00CC5A4D" w:rsidP="006845C5">
            <w:pPr>
              <w:jc w:val="center"/>
              <w:rPr>
                <w:rFonts w:cs="Arial"/>
                <w:sz w:val="20"/>
                <w:szCs w:val="20"/>
              </w:rPr>
            </w:pPr>
            <w:r w:rsidRPr="00131EED">
              <w:rPr>
                <w:rFonts w:cs="Arial"/>
                <w:sz w:val="20"/>
                <w:szCs w:val="20"/>
              </w:rPr>
              <w:t>SUBCUENCA</w:t>
            </w:r>
          </w:p>
        </w:tc>
        <w:tc>
          <w:tcPr>
            <w:tcW w:w="2160" w:type="dxa"/>
            <w:gridSpan w:val="2"/>
            <w:vAlign w:val="bottom"/>
          </w:tcPr>
          <w:p w14:paraId="402DB148"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IRH 1° EDICIÓN</w:t>
            </w:r>
          </w:p>
        </w:tc>
        <w:tc>
          <w:tcPr>
            <w:tcW w:w="2160" w:type="dxa"/>
            <w:gridSpan w:val="2"/>
            <w:vAlign w:val="bottom"/>
          </w:tcPr>
          <w:p w14:paraId="33F6FE1C"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IRH 2° EDICIÓN</w:t>
            </w:r>
          </w:p>
        </w:tc>
        <w:tc>
          <w:tcPr>
            <w:tcW w:w="2160" w:type="dxa"/>
            <w:gridSpan w:val="2"/>
            <w:vAlign w:val="bottom"/>
          </w:tcPr>
          <w:p w14:paraId="257F41AE"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IRH 3° EDICIÓN</w:t>
            </w:r>
          </w:p>
        </w:tc>
      </w:tr>
      <w:tr w:rsidR="00CC5A4D" w:rsidRPr="00131EED" w14:paraId="46D3BFBE" w14:textId="77777777" w:rsidTr="00B60DA2">
        <w:trPr>
          <w:trHeight w:val="179"/>
          <w:jc w:val="center"/>
        </w:trPr>
        <w:tc>
          <w:tcPr>
            <w:cnfStyle w:val="001000000000" w:firstRow="0" w:lastRow="0" w:firstColumn="1" w:lastColumn="0" w:oddVBand="0" w:evenVBand="0" w:oddHBand="0" w:evenHBand="0" w:firstRowFirstColumn="0" w:firstRowLastColumn="0" w:lastRowFirstColumn="0" w:lastRowLastColumn="0"/>
            <w:tcW w:w="2449" w:type="dxa"/>
          </w:tcPr>
          <w:p w14:paraId="1D9EFC11" w14:textId="77777777" w:rsidR="00CC5A4D" w:rsidRPr="00131EED" w:rsidRDefault="00CC5A4D" w:rsidP="006845C5">
            <w:pPr>
              <w:jc w:val="center"/>
              <w:rPr>
                <w:rFonts w:cs="Arial"/>
                <w:b w:val="0"/>
                <w:sz w:val="20"/>
                <w:szCs w:val="20"/>
              </w:rPr>
            </w:pPr>
            <w:r w:rsidRPr="00131EED">
              <w:rPr>
                <w:rFonts w:cs="Arial"/>
                <w:b w:val="0"/>
                <w:sz w:val="20"/>
                <w:szCs w:val="20"/>
              </w:rPr>
              <w:t>Río Alto Bogotá</w:t>
            </w:r>
          </w:p>
        </w:tc>
        <w:tc>
          <w:tcPr>
            <w:tcW w:w="1079" w:type="dxa"/>
          </w:tcPr>
          <w:p w14:paraId="7738E174"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0.41</w:t>
            </w:r>
          </w:p>
        </w:tc>
        <w:tc>
          <w:tcPr>
            <w:tcW w:w="1081" w:type="dxa"/>
            <w:shd w:val="clear" w:color="auto" w:fill="FF0000"/>
          </w:tcPr>
          <w:p w14:paraId="5C2E11B4"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Muy bajo</w:t>
            </w:r>
          </w:p>
        </w:tc>
        <w:tc>
          <w:tcPr>
            <w:tcW w:w="1079" w:type="dxa"/>
          </w:tcPr>
          <w:p w14:paraId="6E6A1C4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0.51</w:t>
            </w:r>
          </w:p>
        </w:tc>
        <w:tc>
          <w:tcPr>
            <w:tcW w:w="1081" w:type="dxa"/>
            <w:shd w:val="clear" w:color="auto" w:fill="FFC000"/>
          </w:tcPr>
          <w:p w14:paraId="77CAB8BC"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c>
          <w:tcPr>
            <w:tcW w:w="1079" w:type="dxa"/>
          </w:tcPr>
          <w:p w14:paraId="371DFD4F"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0.51</w:t>
            </w:r>
          </w:p>
        </w:tc>
        <w:tc>
          <w:tcPr>
            <w:tcW w:w="1081" w:type="dxa"/>
            <w:shd w:val="clear" w:color="auto" w:fill="FFC000"/>
          </w:tcPr>
          <w:p w14:paraId="148B80A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r>
      <w:tr w:rsidR="00CC5A4D" w:rsidRPr="00131EED" w14:paraId="12D30F3A" w14:textId="77777777" w:rsidTr="00B60DA2">
        <w:trPr>
          <w:trHeight w:val="179"/>
          <w:jc w:val="center"/>
        </w:trPr>
        <w:tc>
          <w:tcPr>
            <w:cnfStyle w:val="001000000000" w:firstRow="0" w:lastRow="0" w:firstColumn="1" w:lastColumn="0" w:oddVBand="0" w:evenVBand="0" w:oddHBand="0" w:evenHBand="0" w:firstRowFirstColumn="0" w:firstRowLastColumn="0" w:lastRowFirstColumn="0" w:lastRowLastColumn="0"/>
            <w:tcW w:w="2449" w:type="dxa"/>
          </w:tcPr>
          <w:p w14:paraId="446FA886" w14:textId="5604D320" w:rsidR="00CC5A4D" w:rsidRPr="00131EED" w:rsidRDefault="00CC5A4D" w:rsidP="006845C5">
            <w:pPr>
              <w:jc w:val="center"/>
              <w:rPr>
                <w:rFonts w:cs="Arial"/>
                <w:b w:val="0"/>
                <w:sz w:val="20"/>
                <w:szCs w:val="20"/>
              </w:rPr>
            </w:pPr>
            <w:r w:rsidRPr="00131EED">
              <w:rPr>
                <w:rFonts w:cs="Arial"/>
                <w:b w:val="0"/>
                <w:sz w:val="20"/>
                <w:szCs w:val="20"/>
              </w:rPr>
              <w:t>Embalse del Sisga</w:t>
            </w:r>
          </w:p>
        </w:tc>
        <w:tc>
          <w:tcPr>
            <w:tcW w:w="1079" w:type="dxa"/>
          </w:tcPr>
          <w:p w14:paraId="0AA107FB"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0.63</w:t>
            </w:r>
          </w:p>
        </w:tc>
        <w:tc>
          <w:tcPr>
            <w:tcW w:w="1081" w:type="dxa"/>
            <w:shd w:val="clear" w:color="auto" w:fill="FFC000"/>
          </w:tcPr>
          <w:p w14:paraId="5EBBDFDB"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c>
          <w:tcPr>
            <w:tcW w:w="1079" w:type="dxa"/>
            <w:shd w:val="clear" w:color="auto" w:fill="FFFFFF" w:themeFill="background1"/>
          </w:tcPr>
          <w:p w14:paraId="6887ACD2"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0.63</w:t>
            </w:r>
          </w:p>
        </w:tc>
        <w:tc>
          <w:tcPr>
            <w:tcW w:w="1081" w:type="dxa"/>
            <w:shd w:val="clear" w:color="auto" w:fill="FFC000"/>
          </w:tcPr>
          <w:p w14:paraId="37FDF371"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c>
          <w:tcPr>
            <w:tcW w:w="1079" w:type="dxa"/>
            <w:shd w:val="clear" w:color="auto" w:fill="FFFFFF" w:themeFill="background1"/>
          </w:tcPr>
          <w:p w14:paraId="24711942"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0.61</w:t>
            </w:r>
          </w:p>
        </w:tc>
        <w:tc>
          <w:tcPr>
            <w:tcW w:w="1081" w:type="dxa"/>
            <w:shd w:val="clear" w:color="auto" w:fill="FFC000"/>
          </w:tcPr>
          <w:p w14:paraId="21E2BF56"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r>
      <w:tr w:rsidR="00CC5A4D" w:rsidRPr="00131EED" w14:paraId="308AB11F" w14:textId="77777777" w:rsidTr="00B60DA2">
        <w:trPr>
          <w:trHeight w:val="179"/>
          <w:jc w:val="center"/>
        </w:trPr>
        <w:tc>
          <w:tcPr>
            <w:cnfStyle w:val="001000000000" w:firstRow="0" w:lastRow="0" w:firstColumn="1" w:lastColumn="0" w:oddVBand="0" w:evenVBand="0" w:oddHBand="0" w:evenHBand="0" w:firstRowFirstColumn="0" w:firstRowLastColumn="0" w:lastRowFirstColumn="0" w:lastRowLastColumn="0"/>
            <w:tcW w:w="2449" w:type="dxa"/>
          </w:tcPr>
          <w:p w14:paraId="45FBD466" w14:textId="77777777" w:rsidR="00CC5A4D" w:rsidRPr="00131EED" w:rsidRDefault="00CC5A4D" w:rsidP="006845C5">
            <w:pPr>
              <w:jc w:val="center"/>
              <w:rPr>
                <w:rFonts w:cs="Arial"/>
                <w:b w:val="0"/>
                <w:sz w:val="20"/>
                <w:szCs w:val="20"/>
              </w:rPr>
            </w:pPr>
            <w:r w:rsidRPr="00131EED">
              <w:rPr>
                <w:rFonts w:cs="Arial"/>
                <w:b w:val="0"/>
                <w:sz w:val="20"/>
                <w:szCs w:val="20"/>
              </w:rPr>
              <w:t>Río Neusa</w:t>
            </w:r>
          </w:p>
        </w:tc>
        <w:tc>
          <w:tcPr>
            <w:tcW w:w="1079" w:type="dxa"/>
          </w:tcPr>
          <w:p w14:paraId="69102CF6"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0.37</w:t>
            </w:r>
          </w:p>
        </w:tc>
        <w:tc>
          <w:tcPr>
            <w:tcW w:w="1081" w:type="dxa"/>
            <w:shd w:val="clear" w:color="auto" w:fill="FF0000"/>
          </w:tcPr>
          <w:p w14:paraId="2C99C664"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Muy Bajo</w:t>
            </w:r>
          </w:p>
        </w:tc>
        <w:tc>
          <w:tcPr>
            <w:tcW w:w="1079" w:type="dxa"/>
            <w:shd w:val="clear" w:color="auto" w:fill="FFFFFF" w:themeFill="background1"/>
          </w:tcPr>
          <w:p w14:paraId="225CA8D2"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0.51</w:t>
            </w:r>
          </w:p>
        </w:tc>
        <w:tc>
          <w:tcPr>
            <w:tcW w:w="1081" w:type="dxa"/>
            <w:shd w:val="clear" w:color="auto" w:fill="FFC000"/>
          </w:tcPr>
          <w:p w14:paraId="57C5467F"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c>
          <w:tcPr>
            <w:tcW w:w="1079" w:type="dxa"/>
            <w:shd w:val="clear" w:color="auto" w:fill="FFFFFF" w:themeFill="background1"/>
          </w:tcPr>
          <w:p w14:paraId="462E578B"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0.55</w:t>
            </w:r>
          </w:p>
        </w:tc>
        <w:tc>
          <w:tcPr>
            <w:tcW w:w="1081" w:type="dxa"/>
            <w:shd w:val="clear" w:color="auto" w:fill="FFC000"/>
          </w:tcPr>
          <w:p w14:paraId="7AE14E6D"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r>
      <w:tr w:rsidR="00CC5A4D" w:rsidRPr="00131EED" w14:paraId="5ED05623" w14:textId="77777777" w:rsidTr="00B60DA2">
        <w:trPr>
          <w:trHeight w:val="179"/>
          <w:jc w:val="center"/>
        </w:trPr>
        <w:tc>
          <w:tcPr>
            <w:cnfStyle w:val="001000000000" w:firstRow="0" w:lastRow="0" w:firstColumn="1" w:lastColumn="0" w:oddVBand="0" w:evenVBand="0" w:oddHBand="0" w:evenHBand="0" w:firstRowFirstColumn="0" w:firstRowLastColumn="0" w:lastRowFirstColumn="0" w:lastRowLastColumn="0"/>
            <w:tcW w:w="2449" w:type="dxa"/>
          </w:tcPr>
          <w:p w14:paraId="53B9C01D" w14:textId="77777777" w:rsidR="00CC5A4D" w:rsidRPr="00131EED" w:rsidRDefault="00CC5A4D" w:rsidP="006845C5">
            <w:pPr>
              <w:jc w:val="center"/>
              <w:rPr>
                <w:rFonts w:cs="Arial"/>
                <w:b w:val="0"/>
                <w:sz w:val="20"/>
                <w:szCs w:val="20"/>
              </w:rPr>
            </w:pPr>
            <w:r w:rsidRPr="00131EED">
              <w:rPr>
                <w:rFonts w:cs="Arial"/>
                <w:b w:val="0"/>
                <w:sz w:val="20"/>
                <w:szCs w:val="20"/>
              </w:rPr>
              <w:t>Sector Sisga - Tibitoc</w:t>
            </w:r>
          </w:p>
        </w:tc>
        <w:tc>
          <w:tcPr>
            <w:tcW w:w="1079" w:type="dxa"/>
          </w:tcPr>
          <w:p w14:paraId="180BE7D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0.85</w:t>
            </w:r>
          </w:p>
        </w:tc>
        <w:tc>
          <w:tcPr>
            <w:tcW w:w="1081" w:type="dxa"/>
            <w:shd w:val="clear" w:color="auto" w:fill="00B050"/>
          </w:tcPr>
          <w:p w14:paraId="1BC8D0C9"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c>
          <w:tcPr>
            <w:tcW w:w="1079" w:type="dxa"/>
            <w:shd w:val="clear" w:color="auto" w:fill="FFFFFF" w:themeFill="background1"/>
          </w:tcPr>
          <w:p w14:paraId="01FE67AB"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0.51</w:t>
            </w:r>
          </w:p>
        </w:tc>
        <w:tc>
          <w:tcPr>
            <w:tcW w:w="1081" w:type="dxa"/>
            <w:shd w:val="clear" w:color="auto" w:fill="FFC000"/>
          </w:tcPr>
          <w:p w14:paraId="17DBCAE3"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c>
          <w:tcPr>
            <w:tcW w:w="1079" w:type="dxa"/>
            <w:shd w:val="clear" w:color="auto" w:fill="FFFFFF" w:themeFill="background1"/>
          </w:tcPr>
          <w:p w14:paraId="6603300B"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0.55</w:t>
            </w:r>
          </w:p>
        </w:tc>
        <w:tc>
          <w:tcPr>
            <w:tcW w:w="1081" w:type="dxa"/>
            <w:shd w:val="clear" w:color="auto" w:fill="FFC000"/>
          </w:tcPr>
          <w:p w14:paraId="23571514"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r>
      <w:tr w:rsidR="00CC5A4D" w:rsidRPr="00131EED" w14:paraId="48C8BB5B" w14:textId="77777777" w:rsidTr="00B60DA2">
        <w:trPr>
          <w:trHeight w:val="179"/>
          <w:jc w:val="center"/>
        </w:trPr>
        <w:tc>
          <w:tcPr>
            <w:cnfStyle w:val="001000000000" w:firstRow="0" w:lastRow="0" w:firstColumn="1" w:lastColumn="0" w:oddVBand="0" w:evenVBand="0" w:oddHBand="0" w:evenHBand="0" w:firstRowFirstColumn="0" w:firstRowLastColumn="0" w:lastRowFirstColumn="0" w:lastRowLastColumn="0"/>
            <w:tcW w:w="2449" w:type="dxa"/>
          </w:tcPr>
          <w:p w14:paraId="79856D8E" w14:textId="77777777" w:rsidR="00CC5A4D" w:rsidRPr="00131EED" w:rsidRDefault="00CC5A4D" w:rsidP="006845C5">
            <w:pPr>
              <w:jc w:val="center"/>
              <w:rPr>
                <w:rFonts w:cs="Arial"/>
                <w:b w:val="0"/>
                <w:sz w:val="20"/>
                <w:szCs w:val="20"/>
              </w:rPr>
            </w:pPr>
            <w:r w:rsidRPr="00131EED">
              <w:rPr>
                <w:rFonts w:cs="Arial"/>
                <w:b w:val="0"/>
                <w:sz w:val="20"/>
                <w:szCs w:val="20"/>
              </w:rPr>
              <w:t>Embalse de Tominé</w:t>
            </w:r>
          </w:p>
        </w:tc>
        <w:tc>
          <w:tcPr>
            <w:tcW w:w="1079" w:type="dxa"/>
          </w:tcPr>
          <w:p w14:paraId="0EC8CF8F"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0.59</w:t>
            </w:r>
          </w:p>
        </w:tc>
        <w:tc>
          <w:tcPr>
            <w:tcW w:w="1081" w:type="dxa"/>
            <w:shd w:val="clear" w:color="auto" w:fill="FFC000"/>
          </w:tcPr>
          <w:p w14:paraId="48CF54E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c>
          <w:tcPr>
            <w:tcW w:w="1079" w:type="dxa"/>
          </w:tcPr>
          <w:p w14:paraId="54F7EA7E"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0.45</w:t>
            </w:r>
          </w:p>
        </w:tc>
        <w:tc>
          <w:tcPr>
            <w:tcW w:w="1081" w:type="dxa"/>
            <w:shd w:val="clear" w:color="auto" w:fill="FF0000"/>
          </w:tcPr>
          <w:p w14:paraId="45EBCACD"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Muy bajo</w:t>
            </w:r>
          </w:p>
        </w:tc>
        <w:tc>
          <w:tcPr>
            <w:tcW w:w="1079" w:type="dxa"/>
          </w:tcPr>
          <w:p w14:paraId="01CFEAF3" w14:textId="1224633F"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0.67</w:t>
            </w:r>
          </w:p>
        </w:tc>
        <w:tc>
          <w:tcPr>
            <w:tcW w:w="1081" w:type="dxa"/>
            <w:shd w:val="clear" w:color="auto" w:fill="FFFF00"/>
          </w:tcPr>
          <w:p w14:paraId="207522E7"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Medio</w:t>
            </w:r>
          </w:p>
        </w:tc>
      </w:tr>
      <w:tr w:rsidR="00CC5A4D" w:rsidRPr="00131EED" w14:paraId="1F133926" w14:textId="77777777" w:rsidTr="00B60DA2">
        <w:trPr>
          <w:trHeight w:val="179"/>
          <w:jc w:val="center"/>
        </w:trPr>
        <w:tc>
          <w:tcPr>
            <w:cnfStyle w:val="001000000000" w:firstRow="0" w:lastRow="0" w:firstColumn="1" w:lastColumn="0" w:oddVBand="0" w:evenVBand="0" w:oddHBand="0" w:evenHBand="0" w:firstRowFirstColumn="0" w:firstRowLastColumn="0" w:lastRowFirstColumn="0" w:lastRowLastColumn="0"/>
            <w:tcW w:w="2449" w:type="dxa"/>
          </w:tcPr>
          <w:p w14:paraId="57C86ED2" w14:textId="77777777" w:rsidR="00CC5A4D" w:rsidRPr="00131EED" w:rsidRDefault="00CC5A4D" w:rsidP="006845C5">
            <w:pPr>
              <w:jc w:val="center"/>
              <w:rPr>
                <w:rFonts w:cs="Arial"/>
                <w:b w:val="0"/>
                <w:sz w:val="20"/>
                <w:szCs w:val="20"/>
              </w:rPr>
            </w:pPr>
            <w:r w:rsidRPr="00131EED">
              <w:rPr>
                <w:rFonts w:cs="Arial"/>
                <w:b w:val="0"/>
                <w:sz w:val="20"/>
                <w:szCs w:val="20"/>
              </w:rPr>
              <w:t>Río Frío</w:t>
            </w:r>
          </w:p>
        </w:tc>
        <w:tc>
          <w:tcPr>
            <w:tcW w:w="1079" w:type="dxa"/>
          </w:tcPr>
          <w:p w14:paraId="3F50432F"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0.51</w:t>
            </w:r>
          </w:p>
        </w:tc>
        <w:tc>
          <w:tcPr>
            <w:tcW w:w="1081" w:type="dxa"/>
            <w:shd w:val="clear" w:color="auto" w:fill="FFC000"/>
          </w:tcPr>
          <w:p w14:paraId="052E3433"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c>
          <w:tcPr>
            <w:tcW w:w="1079" w:type="dxa"/>
          </w:tcPr>
          <w:p w14:paraId="58953F0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0.58</w:t>
            </w:r>
          </w:p>
        </w:tc>
        <w:tc>
          <w:tcPr>
            <w:tcW w:w="1081" w:type="dxa"/>
            <w:shd w:val="clear" w:color="auto" w:fill="FFFF00"/>
          </w:tcPr>
          <w:p w14:paraId="709EBEDC"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c>
          <w:tcPr>
            <w:tcW w:w="1079" w:type="dxa"/>
          </w:tcPr>
          <w:p w14:paraId="150CF24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0.53</w:t>
            </w:r>
          </w:p>
        </w:tc>
        <w:tc>
          <w:tcPr>
            <w:tcW w:w="1081" w:type="dxa"/>
            <w:shd w:val="clear" w:color="auto" w:fill="FFC000" w:themeFill="accent4"/>
          </w:tcPr>
          <w:p w14:paraId="2CB7B7CF"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r>
      <w:tr w:rsidR="00CC5A4D" w:rsidRPr="00131EED" w14:paraId="09608336" w14:textId="77777777" w:rsidTr="00B60DA2">
        <w:trPr>
          <w:trHeight w:val="179"/>
          <w:jc w:val="center"/>
        </w:trPr>
        <w:tc>
          <w:tcPr>
            <w:cnfStyle w:val="001000000000" w:firstRow="0" w:lastRow="0" w:firstColumn="1" w:lastColumn="0" w:oddVBand="0" w:evenVBand="0" w:oddHBand="0" w:evenHBand="0" w:firstRowFirstColumn="0" w:firstRowLastColumn="0" w:lastRowFirstColumn="0" w:lastRowLastColumn="0"/>
            <w:tcW w:w="2449" w:type="dxa"/>
          </w:tcPr>
          <w:p w14:paraId="3F841C14" w14:textId="77777777" w:rsidR="00CC5A4D" w:rsidRPr="00131EED" w:rsidRDefault="00CC5A4D" w:rsidP="006845C5">
            <w:pPr>
              <w:jc w:val="center"/>
              <w:rPr>
                <w:rFonts w:cs="Arial"/>
                <w:b w:val="0"/>
                <w:sz w:val="20"/>
                <w:szCs w:val="20"/>
              </w:rPr>
            </w:pPr>
            <w:r w:rsidRPr="00131EED">
              <w:rPr>
                <w:rFonts w:cs="Arial"/>
                <w:b w:val="0"/>
                <w:sz w:val="20"/>
                <w:szCs w:val="20"/>
              </w:rPr>
              <w:t>Río Teusacá</w:t>
            </w:r>
          </w:p>
        </w:tc>
        <w:tc>
          <w:tcPr>
            <w:tcW w:w="1079" w:type="dxa"/>
          </w:tcPr>
          <w:p w14:paraId="4A360AB9"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0.66</w:t>
            </w:r>
          </w:p>
        </w:tc>
        <w:tc>
          <w:tcPr>
            <w:tcW w:w="1081" w:type="dxa"/>
            <w:shd w:val="clear" w:color="auto" w:fill="FFFF00"/>
          </w:tcPr>
          <w:p w14:paraId="164644C9"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Medio</w:t>
            </w:r>
          </w:p>
        </w:tc>
        <w:tc>
          <w:tcPr>
            <w:tcW w:w="1079" w:type="dxa"/>
          </w:tcPr>
          <w:p w14:paraId="20C983E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0.67</w:t>
            </w:r>
          </w:p>
        </w:tc>
        <w:tc>
          <w:tcPr>
            <w:tcW w:w="1081" w:type="dxa"/>
            <w:shd w:val="clear" w:color="auto" w:fill="FFFF00"/>
          </w:tcPr>
          <w:p w14:paraId="6DD4EC55"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Medio</w:t>
            </w:r>
          </w:p>
        </w:tc>
        <w:tc>
          <w:tcPr>
            <w:tcW w:w="1079" w:type="dxa"/>
          </w:tcPr>
          <w:p w14:paraId="1C7B6F6B"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0.54</w:t>
            </w:r>
          </w:p>
        </w:tc>
        <w:tc>
          <w:tcPr>
            <w:tcW w:w="1081" w:type="dxa"/>
            <w:shd w:val="clear" w:color="auto" w:fill="FFC000" w:themeFill="accent4"/>
          </w:tcPr>
          <w:p w14:paraId="466E1D22"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r>
      <w:tr w:rsidR="00CC5A4D" w:rsidRPr="00131EED" w14:paraId="1BCD0C80" w14:textId="77777777" w:rsidTr="00B60DA2">
        <w:trPr>
          <w:trHeight w:val="179"/>
          <w:jc w:val="center"/>
        </w:trPr>
        <w:tc>
          <w:tcPr>
            <w:cnfStyle w:val="001000000000" w:firstRow="0" w:lastRow="0" w:firstColumn="1" w:lastColumn="0" w:oddVBand="0" w:evenVBand="0" w:oddHBand="0" w:evenHBand="0" w:firstRowFirstColumn="0" w:firstRowLastColumn="0" w:lastRowFirstColumn="0" w:lastRowLastColumn="0"/>
            <w:tcW w:w="2449" w:type="dxa"/>
          </w:tcPr>
          <w:p w14:paraId="56966AA2" w14:textId="77777777" w:rsidR="00CC5A4D" w:rsidRPr="00131EED" w:rsidRDefault="00CC5A4D" w:rsidP="006845C5">
            <w:pPr>
              <w:jc w:val="center"/>
              <w:rPr>
                <w:rFonts w:cs="Arial"/>
                <w:b w:val="0"/>
                <w:sz w:val="20"/>
                <w:szCs w:val="20"/>
              </w:rPr>
            </w:pPr>
            <w:r w:rsidRPr="00131EED">
              <w:rPr>
                <w:rFonts w:cs="Arial"/>
                <w:b w:val="0"/>
                <w:sz w:val="20"/>
                <w:szCs w:val="20"/>
              </w:rPr>
              <w:t>Río Balsillas</w:t>
            </w:r>
          </w:p>
        </w:tc>
        <w:tc>
          <w:tcPr>
            <w:tcW w:w="1079" w:type="dxa"/>
          </w:tcPr>
          <w:p w14:paraId="6385B5A5"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0.91</w:t>
            </w:r>
          </w:p>
        </w:tc>
        <w:tc>
          <w:tcPr>
            <w:tcW w:w="1081" w:type="dxa"/>
            <w:shd w:val="clear" w:color="auto" w:fill="5B9BD5" w:themeFill="accent5"/>
          </w:tcPr>
          <w:p w14:paraId="1B967141"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Muy alto</w:t>
            </w:r>
          </w:p>
        </w:tc>
        <w:tc>
          <w:tcPr>
            <w:tcW w:w="1079" w:type="dxa"/>
          </w:tcPr>
          <w:p w14:paraId="75839D2E"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0.62</w:t>
            </w:r>
          </w:p>
        </w:tc>
        <w:tc>
          <w:tcPr>
            <w:tcW w:w="1081" w:type="dxa"/>
            <w:shd w:val="clear" w:color="auto" w:fill="FFC000"/>
          </w:tcPr>
          <w:p w14:paraId="5531F45B"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c>
          <w:tcPr>
            <w:tcW w:w="1079" w:type="dxa"/>
          </w:tcPr>
          <w:p w14:paraId="787830A1"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0.52</w:t>
            </w:r>
          </w:p>
        </w:tc>
        <w:tc>
          <w:tcPr>
            <w:tcW w:w="1081" w:type="dxa"/>
            <w:shd w:val="clear" w:color="auto" w:fill="FFC000" w:themeFill="accent4"/>
          </w:tcPr>
          <w:p w14:paraId="35EE8E12"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r>
      <w:tr w:rsidR="00CC5A4D" w:rsidRPr="00131EED" w14:paraId="67D21E76" w14:textId="77777777" w:rsidTr="00B60DA2">
        <w:trPr>
          <w:trHeight w:val="179"/>
          <w:jc w:val="center"/>
        </w:trPr>
        <w:tc>
          <w:tcPr>
            <w:cnfStyle w:val="001000000000" w:firstRow="0" w:lastRow="0" w:firstColumn="1" w:lastColumn="0" w:oddVBand="0" w:evenVBand="0" w:oddHBand="0" w:evenHBand="0" w:firstRowFirstColumn="0" w:firstRowLastColumn="0" w:lastRowFirstColumn="0" w:lastRowLastColumn="0"/>
            <w:tcW w:w="2449" w:type="dxa"/>
          </w:tcPr>
          <w:p w14:paraId="24655AAD" w14:textId="77777777" w:rsidR="00CC5A4D" w:rsidRPr="00131EED" w:rsidRDefault="00CC5A4D" w:rsidP="006845C5">
            <w:pPr>
              <w:jc w:val="center"/>
              <w:rPr>
                <w:rFonts w:cs="Arial"/>
                <w:b w:val="0"/>
                <w:sz w:val="20"/>
                <w:szCs w:val="20"/>
              </w:rPr>
            </w:pPr>
            <w:r w:rsidRPr="00131EED">
              <w:rPr>
                <w:rFonts w:cs="Arial"/>
                <w:b w:val="0"/>
                <w:sz w:val="20"/>
                <w:szCs w:val="20"/>
              </w:rPr>
              <w:t>Embalse del Muña</w:t>
            </w:r>
          </w:p>
        </w:tc>
        <w:tc>
          <w:tcPr>
            <w:tcW w:w="1079" w:type="dxa"/>
          </w:tcPr>
          <w:p w14:paraId="5F545FF5"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0.55</w:t>
            </w:r>
          </w:p>
        </w:tc>
        <w:tc>
          <w:tcPr>
            <w:tcW w:w="1081" w:type="dxa"/>
            <w:shd w:val="clear" w:color="auto" w:fill="FFC000" w:themeFill="accent4"/>
          </w:tcPr>
          <w:p w14:paraId="42F23449"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c>
          <w:tcPr>
            <w:tcW w:w="1079" w:type="dxa"/>
          </w:tcPr>
          <w:p w14:paraId="60CCBF24"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0.52</w:t>
            </w:r>
          </w:p>
        </w:tc>
        <w:tc>
          <w:tcPr>
            <w:tcW w:w="1081" w:type="dxa"/>
            <w:shd w:val="clear" w:color="auto" w:fill="FFC000" w:themeFill="accent4"/>
          </w:tcPr>
          <w:p w14:paraId="29CDB42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c>
          <w:tcPr>
            <w:tcW w:w="1079" w:type="dxa"/>
          </w:tcPr>
          <w:p w14:paraId="5384069E"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0.52</w:t>
            </w:r>
          </w:p>
        </w:tc>
        <w:tc>
          <w:tcPr>
            <w:tcW w:w="1081" w:type="dxa"/>
            <w:shd w:val="clear" w:color="auto" w:fill="FFC000" w:themeFill="accent4"/>
          </w:tcPr>
          <w:p w14:paraId="0AFEB0D2"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r>
    </w:tbl>
    <w:p w14:paraId="02E77B39" w14:textId="54EF8D04" w:rsidR="00CC5A4D" w:rsidRPr="00131EED" w:rsidRDefault="00CC5A4D" w:rsidP="006845C5">
      <w:pPr>
        <w:jc w:val="center"/>
        <w:rPr>
          <w:rFonts w:ascii="Baskerville" w:hAnsi="Baskerville" w:cs="Arial"/>
          <w:sz w:val="18"/>
          <w:szCs w:val="18"/>
        </w:rPr>
      </w:pPr>
      <w:r w:rsidRPr="00131EED">
        <w:rPr>
          <w:rFonts w:ascii="Baskerville" w:hAnsi="Baskerville" w:cs="Arial"/>
          <w:sz w:val="18"/>
          <w:szCs w:val="18"/>
        </w:rPr>
        <w:t xml:space="preserve">Fuente: elaborado por el autor con base en las ERA </w:t>
      </w:r>
      <w:sdt>
        <w:sdtPr>
          <w:rPr>
            <w:rFonts w:ascii="Baskerville" w:hAnsi="Baskerville" w:cs="Arial"/>
            <w:sz w:val="18"/>
            <w:szCs w:val="18"/>
          </w:rPr>
          <w:id w:val="-1848625503"/>
          <w:citation/>
        </w:sdtPr>
        <w:sdtEndPr/>
        <w:sdtContent>
          <w:r w:rsidRPr="00131EED">
            <w:rPr>
              <w:rFonts w:ascii="Baskerville" w:hAnsi="Baskerville" w:cs="Arial"/>
              <w:sz w:val="18"/>
              <w:szCs w:val="18"/>
            </w:rPr>
            <w:fldChar w:fldCharType="begin"/>
          </w:r>
          <w:r w:rsidRPr="00131EED">
            <w:rPr>
              <w:rFonts w:ascii="Baskerville" w:hAnsi="Baskerville" w:cs="Arial"/>
              <w:sz w:val="18"/>
              <w:szCs w:val="18"/>
            </w:rPr>
            <w:instrText xml:space="preserve">CITATION CAR21 \t  \l 3082 </w:instrText>
          </w:r>
          <w:r w:rsidRPr="00131EED">
            <w:rPr>
              <w:rFonts w:ascii="Baskerville" w:hAnsi="Baskerville" w:cs="Arial"/>
              <w:sz w:val="18"/>
              <w:szCs w:val="18"/>
            </w:rPr>
            <w:fldChar w:fldCharType="separate"/>
          </w:r>
          <w:r w:rsidRPr="00131EED">
            <w:rPr>
              <w:rFonts w:ascii="Baskerville" w:hAnsi="Baskerville" w:cs="Arial"/>
              <w:sz w:val="18"/>
              <w:szCs w:val="18"/>
            </w:rPr>
            <w:t>(CAR C. A., 2021)</w:t>
          </w:r>
          <w:r w:rsidRPr="00131EED">
            <w:rPr>
              <w:rFonts w:ascii="Baskerville" w:hAnsi="Baskerville" w:cs="Arial"/>
              <w:sz w:val="18"/>
              <w:szCs w:val="18"/>
            </w:rPr>
            <w:fldChar w:fldCharType="end"/>
          </w:r>
        </w:sdtContent>
      </w:sdt>
    </w:p>
    <w:p w14:paraId="056EF1D5" w14:textId="77777777" w:rsidR="00CC5A4D" w:rsidRPr="00131EED" w:rsidRDefault="00CC5A4D" w:rsidP="00CC5A4D">
      <w:pPr>
        <w:rPr>
          <w:rFonts w:ascii="Baskerville" w:hAnsi="Baskerville" w:cs="Arial"/>
          <w:sz w:val="20"/>
          <w:szCs w:val="20"/>
        </w:rPr>
      </w:pPr>
    </w:p>
    <w:p w14:paraId="65F3E791" w14:textId="391C088D" w:rsidR="005F3456" w:rsidRPr="00131EED" w:rsidRDefault="00CC5A4D" w:rsidP="00CC5A4D">
      <w:pPr>
        <w:rPr>
          <w:rFonts w:cs="Arial"/>
          <w:sz w:val="20"/>
          <w:szCs w:val="20"/>
        </w:rPr>
      </w:pPr>
      <w:r w:rsidRPr="00131EED">
        <w:rPr>
          <w:rFonts w:cs="Arial"/>
        </w:rPr>
        <w:t xml:space="preserve">La representación espacial de del cambio en el índice de retención y regulación hídrica de acuerdo con las Evaluaciones Regionales del Agua (ERA) 1°, 2° y 3° edición cuenca del río Bogotá </w:t>
      </w:r>
      <w:sdt>
        <w:sdtPr>
          <w:rPr>
            <w:rFonts w:cs="Arial"/>
          </w:rPr>
          <w:id w:val="-1515518605"/>
          <w:citation/>
        </w:sdtPr>
        <w:sdtEndPr/>
        <w:sdtContent>
          <w:r w:rsidRPr="00131EED">
            <w:rPr>
              <w:rFonts w:cs="Arial"/>
            </w:rPr>
            <w:fldChar w:fldCharType="begin"/>
          </w:r>
          <w:r w:rsidRPr="00131EED">
            <w:rPr>
              <w:rFonts w:cs="Arial"/>
            </w:rPr>
            <w:instrText xml:space="preserve">CITATION CAR21 \t  \l 3082 </w:instrText>
          </w:r>
          <w:r w:rsidRPr="00131EED">
            <w:rPr>
              <w:rFonts w:cs="Arial"/>
            </w:rPr>
            <w:fldChar w:fldCharType="separate"/>
          </w:r>
          <w:r w:rsidRPr="00131EED">
            <w:rPr>
              <w:rFonts w:cs="Arial"/>
            </w:rPr>
            <w:t>(CAR C. A., 2021)</w:t>
          </w:r>
          <w:r w:rsidRPr="00131EED">
            <w:rPr>
              <w:rFonts w:cs="Arial"/>
            </w:rPr>
            <w:fldChar w:fldCharType="end"/>
          </w:r>
        </w:sdtContent>
      </w:sdt>
      <w:r w:rsidRPr="00131EED">
        <w:rPr>
          <w:rFonts w:cs="Arial"/>
        </w:rPr>
        <w:t xml:space="preserve"> se presenta a continuación; se puede evidenciar la localización de los diferentes embalses e infraestructura de regulación hídrica en la región Sabana, que pueden explicar los resultados de este índice, incluyendo el Embalse del Tominé, el Embalse del Sisga, el Embalse del Neusa, entre otros. </w:t>
      </w:r>
      <w:bookmarkStart w:id="417" w:name="_Toc162338935"/>
    </w:p>
    <w:p w14:paraId="107CF393" w14:textId="23EA4446" w:rsidR="005F3456" w:rsidRPr="00131EED" w:rsidRDefault="005F3456" w:rsidP="00CC5A4D">
      <w:pPr>
        <w:rPr>
          <w:rFonts w:ascii="Baskerville" w:hAnsi="Baskerville" w:cs="Arial"/>
          <w:sz w:val="20"/>
          <w:szCs w:val="20"/>
        </w:rPr>
      </w:pPr>
    </w:p>
    <w:p w14:paraId="0AB1C1C0" w14:textId="77777777" w:rsidR="00DE4433" w:rsidRPr="00131EED" w:rsidRDefault="00DE4433" w:rsidP="00A4471C">
      <w:pPr>
        <w:jc w:val="center"/>
        <w:rPr>
          <w:rFonts w:ascii="Baskerville" w:hAnsi="Baskerville" w:cs="Arial"/>
          <w:sz w:val="20"/>
          <w:szCs w:val="20"/>
        </w:rPr>
      </w:pPr>
    </w:p>
    <w:p w14:paraId="1C4F1E68" w14:textId="3FE5FE34" w:rsidR="00CC5A4D" w:rsidRPr="00131EED" w:rsidRDefault="00DE4433" w:rsidP="00A4471C">
      <w:pPr>
        <w:pStyle w:val="Caption"/>
        <w:jc w:val="center"/>
      </w:pPr>
      <w:bookmarkStart w:id="418" w:name="_Toc216468882"/>
      <w:r w:rsidRPr="00131EED">
        <w:t xml:space="preserve">Ilustración </w:t>
      </w:r>
      <w:r w:rsidRPr="00131EED">
        <w:fldChar w:fldCharType="begin"/>
      </w:r>
      <w:r w:rsidRPr="00131EED">
        <w:instrText>SEQ Ilustración \* ARABIC</w:instrText>
      </w:r>
      <w:r w:rsidRPr="00131EED">
        <w:fldChar w:fldCharType="separate"/>
      </w:r>
      <w:r w:rsidR="00CE096F">
        <w:rPr>
          <w:noProof/>
        </w:rPr>
        <w:t>117</w:t>
      </w:r>
      <w:r w:rsidRPr="00131EED">
        <w:fldChar w:fldCharType="end"/>
      </w:r>
      <w:r w:rsidRPr="00131EED">
        <w:t xml:space="preserve"> </w:t>
      </w:r>
      <w:r w:rsidR="00CC5A4D" w:rsidRPr="00131EED">
        <w:t>Comparación Índice de retención y regulación hídrica región Sabana de Bogotá</w:t>
      </w:r>
      <w:bookmarkEnd w:id="417"/>
      <w:bookmarkEnd w:id="418"/>
    </w:p>
    <w:p w14:paraId="224E3328" w14:textId="257F5877" w:rsidR="00CC5A4D" w:rsidRPr="00131EED" w:rsidRDefault="00BF2668" w:rsidP="006845C5">
      <w:pPr>
        <w:pStyle w:val="NormalWeb"/>
        <w:spacing w:before="0" w:beforeAutospacing="0" w:after="0" w:afterAutospacing="0"/>
        <w:rPr>
          <w:rFonts w:ascii="Times New Roman" w:hAnsi="Times New Roman" w:cs="Times New Roman"/>
          <w:i/>
          <w:iCs/>
        </w:rPr>
      </w:pPr>
      <w:r w:rsidRPr="00131EED">
        <w:rPr>
          <w:rFonts w:ascii="Times New Roman" w:hAnsi="Times New Roman" w:cs="Times New Roman"/>
          <w:noProof/>
          <w:lang w:eastAsia="en-US"/>
        </w:rPr>
        <w:drawing>
          <wp:inline distT="0" distB="0" distL="0" distR="0" wp14:anchorId="6569AE10" wp14:editId="120AD557">
            <wp:extent cx="1842654" cy="2384526"/>
            <wp:effectExtent l="0" t="0" r="5715" b="0"/>
            <wp:docPr id="1168248835" name="Imagen 1168248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854323" cy="2399627"/>
                    </a:xfrm>
                    <a:prstGeom prst="rect">
                      <a:avLst/>
                    </a:prstGeom>
                    <a:noFill/>
                    <a:ln>
                      <a:noFill/>
                    </a:ln>
                  </pic:spPr>
                </pic:pic>
              </a:graphicData>
            </a:graphic>
          </wp:inline>
        </w:drawing>
      </w:r>
      <w:r w:rsidR="00A72FCC" w:rsidRPr="00131EED">
        <w:rPr>
          <w:rFonts w:ascii="Times New Roman" w:hAnsi="Times New Roman" w:cs="Times New Roman"/>
          <w:noProof/>
          <w:lang w:eastAsia="en-US"/>
        </w:rPr>
        <w:drawing>
          <wp:inline distT="0" distB="0" distL="0" distR="0" wp14:anchorId="7AC3E781" wp14:editId="40A0169C">
            <wp:extent cx="1835728" cy="2375562"/>
            <wp:effectExtent l="0" t="0" r="0" b="5715"/>
            <wp:docPr id="1168248836" name="Imagen 1168248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850596" cy="2394802"/>
                    </a:xfrm>
                    <a:prstGeom prst="rect">
                      <a:avLst/>
                    </a:prstGeom>
                    <a:noFill/>
                    <a:ln>
                      <a:noFill/>
                    </a:ln>
                  </pic:spPr>
                </pic:pic>
              </a:graphicData>
            </a:graphic>
          </wp:inline>
        </w:drawing>
      </w:r>
      <w:r w:rsidR="008F34A6" w:rsidRPr="00131EED">
        <w:rPr>
          <w:rFonts w:ascii="Times New Roman" w:hAnsi="Times New Roman" w:cs="Times New Roman"/>
          <w:noProof/>
          <w:lang w:eastAsia="en-US"/>
        </w:rPr>
        <w:drawing>
          <wp:inline distT="0" distB="0" distL="0" distR="0" wp14:anchorId="7E572A45" wp14:editId="619C7010">
            <wp:extent cx="1846501" cy="2389505"/>
            <wp:effectExtent l="0" t="0" r="1905" b="0"/>
            <wp:docPr id="1168248837" name="Imagen 1168248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853502" cy="2398565"/>
                    </a:xfrm>
                    <a:prstGeom prst="rect">
                      <a:avLst/>
                    </a:prstGeom>
                    <a:noFill/>
                    <a:ln>
                      <a:noFill/>
                    </a:ln>
                  </pic:spPr>
                </pic:pic>
              </a:graphicData>
            </a:graphic>
          </wp:inline>
        </w:drawing>
      </w:r>
    </w:p>
    <w:p w14:paraId="2D0D41ED" w14:textId="4F964548" w:rsidR="00CC5A4D" w:rsidRPr="00131EED" w:rsidRDefault="00CC5A4D" w:rsidP="006845C5">
      <w:pPr>
        <w:pStyle w:val="Caption"/>
        <w:spacing w:after="0"/>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 xml:space="preserve">Fuente:  adaptado por los autores con base en las ERA 1°, 2° y 3° edición cuenca del río Bogotá </w:t>
      </w:r>
      <w:sdt>
        <w:sdtPr>
          <w:rPr>
            <w:rFonts w:ascii="Baskerville Old Face" w:hAnsi="Baskerville Old Face"/>
            <w:i w:val="0"/>
            <w:color w:val="auto"/>
            <w:sz w:val="20"/>
            <w:szCs w:val="20"/>
          </w:rPr>
          <w:id w:val="-915397850"/>
          <w:citation/>
        </w:sdtPr>
        <w:sdtEndPr/>
        <w:sdtContent>
          <w:r w:rsidRPr="00131EED">
            <w:rPr>
              <w:rFonts w:ascii="Baskerville Old Face" w:hAnsi="Baskerville Old Face"/>
              <w:i w:val="0"/>
              <w:color w:val="auto"/>
              <w:sz w:val="20"/>
              <w:szCs w:val="20"/>
            </w:rPr>
            <w:fldChar w:fldCharType="begin"/>
          </w:r>
          <w:r w:rsidRPr="00131EED">
            <w:rPr>
              <w:rFonts w:ascii="Baskerville Old Face" w:hAnsi="Baskerville Old Face"/>
              <w:i w:val="0"/>
              <w:color w:val="auto"/>
              <w:sz w:val="20"/>
              <w:szCs w:val="20"/>
            </w:rPr>
            <w:instrText xml:space="preserve">CITATION CAR21 \t  \l 3082 </w:instrText>
          </w:r>
          <w:r w:rsidRPr="00131EED">
            <w:rPr>
              <w:rFonts w:ascii="Baskerville Old Face" w:hAnsi="Baskerville Old Face"/>
              <w:i w:val="0"/>
              <w:color w:val="auto"/>
              <w:sz w:val="20"/>
              <w:szCs w:val="20"/>
            </w:rPr>
            <w:fldChar w:fldCharType="separate"/>
          </w:r>
          <w:r w:rsidRPr="00131EED">
            <w:rPr>
              <w:rFonts w:ascii="Baskerville Old Face" w:hAnsi="Baskerville Old Face"/>
              <w:color w:val="auto"/>
              <w:sz w:val="20"/>
              <w:szCs w:val="20"/>
            </w:rPr>
            <w:t>(CAR C. A., 2021)</w:t>
          </w:r>
          <w:r w:rsidRPr="00131EED">
            <w:rPr>
              <w:rFonts w:ascii="Baskerville Old Face" w:hAnsi="Baskerville Old Face"/>
              <w:i w:val="0"/>
              <w:color w:val="auto"/>
              <w:sz w:val="20"/>
              <w:szCs w:val="20"/>
            </w:rPr>
            <w:fldChar w:fldCharType="end"/>
          </w:r>
        </w:sdtContent>
      </w:sdt>
    </w:p>
    <w:p w14:paraId="70A6E402" w14:textId="77777777" w:rsidR="00CC5A4D" w:rsidRPr="00131EED" w:rsidRDefault="00CC5A4D" w:rsidP="00CC5A4D">
      <w:pPr>
        <w:rPr>
          <w:rFonts w:cs="Arial"/>
        </w:rPr>
      </w:pPr>
    </w:p>
    <w:p w14:paraId="4D86026F" w14:textId="05113143" w:rsidR="00CC5A4D" w:rsidRPr="00131EED" w:rsidRDefault="00CC5A4D" w:rsidP="00CC5A4D">
      <w:pPr>
        <w:rPr>
          <w:rFonts w:cs="Arial"/>
        </w:rPr>
      </w:pPr>
      <w:r w:rsidRPr="00131EED">
        <w:rPr>
          <w:rFonts w:cs="Arial"/>
        </w:rPr>
        <w:t xml:space="preserve">De acuerdo con Romero </w:t>
      </w:r>
      <w:sdt>
        <w:sdtPr>
          <w:rPr>
            <w:rFonts w:cs="Arial"/>
          </w:rPr>
          <w:id w:val="391326140"/>
          <w:citation/>
        </w:sdtPr>
        <w:sdtEndPr/>
        <w:sdtContent>
          <w:r w:rsidRPr="00131EED">
            <w:rPr>
              <w:rFonts w:cs="Arial"/>
            </w:rPr>
            <w:fldChar w:fldCharType="begin"/>
          </w:r>
          <w:r w:rsidRPr="00131EED">
            <w:rPr>
              <w:rFonts w:cs="Arial"/>
            </w:rPr>
            <w:instrText xml:space="preserve">CITATION Rom22 \n  \t  \l 3082 </w:instrText>
          </w:r>
          <w:r w:rsidRPr="00131EED">
            <w:rPr>
              <w:rFonts w:cs="Arial"/>
            </w:rPr>
            <w:fldChar w:fldCharType="separate"/>
          </w:r>
          <w:r w:rsidRPr="00131EED">
            <w:rPr>
              <w:rFonts w:cs="Arial"/>
            </w:rPr>
            <w:t>(2022)</w:t>
          </w:r>
          <w:r w:rsidRPr="00131EED">
            <w:rPr>
              <w:rFonts w:cs="Arial"/>
            </w:rPr>
            <w:fldChar w:fldCharType="end"/>
          </w:r>
        </w:sdtContent>
      </w:sdt>
      <w:r w:rsidRPr="00131EED">
        <w:rPr>
          <w:rFonts w:cs="Arial"/>
        </w:rPr>
        <w:t xml:space="preserve"> el control del caudal resultante del desarrollo y funcionamiento de las presas de almacenamiento cambia la variabilidad del caudal aguas abajo de la presa. En la mayor parte de los casos, la magnitud y el momento de los picos de caudal son reducidos por las presas, el efecto de un embalse en los caudales de avenida individuales depende tanto de la relación de la capacidad de almacenamiento con respecto al volumen de caudal como de la manera en que funciona la presa </w:t>
      </w:r>
      <w:sdt>
        <w:sdtPr>
          <w:rPr>
            <w:rFonts w:cs="Arial"/>
          </w:rPr>
          <w:id w:val="1831247242"/>
          <w:citation/>
        </w:sdtPr>
        <w:sdtEndPr/>
        <w:sdtContent>
          <w:r w:rsidRPr="00131EED">
            <w:rPr>
              <w:rFonts w:cs="Arial"/>
            </w:rPr>
            <w:fldChar w:fldCharType="begin"/>
          </w:r>
          <w:r w:rsidRPr="00131EED">
            <w:rPr>
              <w:rFonts w:cs="Arial"/>
            </w:rPr>
            <w:instrText xml:space="preserve"> CITATION Rom22 \l 3082 </w:instrText>
          </w:r>
          <w:r w:rsidRPr="00131EED">
            <w:rPr>
              <w:rFonts w:cs="Arial"/>
            </w:rPr>
            <w:fldChar w:fldCharType="separate"/>
          </w:r>
          <w:r w:rsidRPr="00131EED">
            <w:rPr>
              <w:rFonts w:cs="Arial"/>
            </w:rPr>
            <w:t>(Romero, 2022)</w:t>
          </w:r>
          <w:r w:rsidRPr="00131EED">
            <w:rPr>
              <w:rFonts w:cs="Arial"/>
            </w:rPr>
            <w:fldChar w:fldCharType="end"/>
          </w:r>
        </w:sdtContent>
      </w:sdt>
      <w:r w:rsidRPr="00131EED">
        <w:rPr>
          <w:rFonts w:cs="Arial"/>
        </w:rPr>
        <w:t xml:space="preserve">. Los embalses que tienen una gran capacidad de almacenamiento con respecto a la escorrentía anual pueden ejercer un control casi completo del hidrograma anual del río aguas abajo. Sin embargo, incluso en los embalses con una reducida capacidad de retención puede conseguirse un elevado grado de regulación del caudal a través de una combinación de previsión de avenidas y régimen de gestión </w:t>
      </w:r>
      <w:sdt>
        <w:sdtPr>
          <w:rPr>
            <w:rFonts w:cs="Arial"/>
          </w:rPr>
          <w:id w:val="1743909612"/>
          <w:citation/>
        </w:sdtPr>
        <w:sdtEndPr/>
        <w:sdtContent>
          <w:r w:rsidRPr="00131EED">
            <w:rPr>
              <w:rFonts w:cs="Arial"/>
            </w:rPr>
            <w:fldChar w:fldCharType="begin"/>
          </w:r>
          <w:r w:rsidRPr="00131EED">
            <w:rPr>
              <w:rFonts w:cs="Arial"/>
            </w:rPr>
            <w:instrText xml:space="preserve"> CITATION Rom22 \l 3082 </w:instrText>
          </w:r>
          <w:r w:rsidRPr="00131EED">
            <w:rPr>
              <w:rFonts w:cs="Arial"/>
            </w:rPr>
            <w:fldChar w:fldCharType="separate"/>
          </w:r>
          <w:r w:rsidRPr="00131EED">
            <w:rPr>
              <w:rFonts w:cs="Arial"/>
            </w:rPr>
            <w:t>(Romero, 2022)</w:t>
          </w:r>
          <w:r w:rsidRPr="00131EED">
            <w:rPr>
              <w:rFonts w:cs="Arial"/>
            </w:rPr>
            <w:fldChar w:fldCharType="end"/>
          </w:r>
        </w:sdtContent>
      </w:sdt>
      <w:r w:rsidRPr="00131EED">
        <w:rPr>
          <w:rFonts w:cs="Arial"/>
        </w:rPr>
        <w:t xml:space="preserve">. Diversos procedimientos de operación pueden dar lugar a fluctuaciones del caudal que no se ajustan a las pautas de cambios naturales. Los casos más frecuentes son las demandas hidroeléctricas y las de riego, pero también se ha utilizado los desembalses con propósitos de navegación y para que se puedan llevar a cabo actividades recreativas (kayak, rafting, ...). Para muchos de estos propósitos se pueden producir subidas bruscas de caudal regularmente. Además de alterar los regímenes de caudal de los ríos, las presas también afectan al volumen total. Estos cambios pueden ser temporales o permanentes. Los cambios temporales derivan fundamentalmente del llenado del embalse, que puede llevar varios años en aquellos sitios en los que la capacidad de almacenamiento de la presa supere mucho el caudal anual medio. Los cambios permanentes se deben a que el agua es desviada para consumo humano y no retorna al río (por ejemplo, para riego o para trasvases entre cuencas) y a que el agua se pierde en el embalse por la evaporación </w:t>
      </w:r>
      <w:sdt>
        <w:sdtPr>
          <w:rPr>
            <w:rFonts w:cs="Arial"/>
          </w:rPr>
          <w:id w:val="1993592020"/>
          <w:citation/>
        </w:sdtPr>
        <w:sdtEndPr/>
        <w:sdtContent>
          <w:r w:rsidRPr="00131EED">
            <w:rPr>
              <w:rFonts w:cs="Arial"/>
            </w:rPr>
            <w:fldChar w:fldCharType="begin"/>
          </w:r>
          <w:r w:rsidRPr="00131EED">
            <w:rPr>
              <w:rFonts w:cs="Arial"/>
            </w:rPr>
            <w:instrText xml:space="preserve"> CITATION Rom22 \l 3082 </w:instrText>
          </w:r>
          <w:r w:rsidRPr="00131EED">
            <w:rPr>
              <w:rFonts w:cs="Arial"/>
            </w:rPr>
            <w:fldChar w:fldCharType="separate"/>
          </w:r>
          <w:r w:rsidRPr="00131EED">
            <w:rPr>
              <w:rFonts w:cs="Arial"/>
            </w:rPr>
            <w:t>(Romero, 2022)</w:t>
          </w:r>
          <w:r w:rsidRPr="00131EED">
            <w:rPr>
              <w:rFonts w:cs="Arial"/>
            </w:rPr>
            <w:fldChar w:fldCharType="end"/>
          </w:r>
        </w:sdtContent>
      </w:sdt>
      <w:r w:rsidRPr="00131EED">
        <w:rPr>
          <w:rFonts w:cs="Arial"/>
        </w:rPr>
        <w:t>.</w:t>
      </w:r>
    </w:p>
    <w:p w14:paraId="291830C5" w14:textId="77777777" w:rsidR="00CC5A4D" w:rsidRPr="00131EED" w:rsidRDefault="00CC5A4D" w:rsidP="00CC5A4D">
      <w:pPr>
        <w:rPr>
          <w:rFonts w:cs="Arial"/>
        </w:rPr>
      </w:pPr>
    </w:p>
    <w:p w14:paraId="2013C43E" w14:textId="7A23382A" w:rsidR="00CC5A4D" w:rsidRPr="00131EED" w:rsidRDefault="00CC5A4D" w:rsidP="00CC5A4D">
      <w:pPr>
        <w:rPr>
          <w:rFonts w:cs="Arial"/>
        </w:rPr>
      </w:pPr>
      <w:r w:rsidRPr="00131EED">
        <w:rPr>
          <w:rFonts w:cs="Arial"/>
        </w:rPr>
        <w:t xml:space="preserve">De otra parte, la complejidad del sistema de regulación antrópica de caudales descrito anteriormente en los sistemas de abastecimiento hídrico, permite entender el amplio espectro de actores que interactúan en el manejo del agua, ya sea para abastecimiento de agua potable, agroindustrial, o para el vertimiento de aguas residuales derivadas de las múltiples actividades </w:t>
      </w:r>
      <w:sdt>
        <w:sdtPr>
          <w:rPr>
            <w:rFonts w:cs="Arial"/>
          </w:rPr>
          <w:id w:val="-200173805"/>
          <w:citation/>
        </w:sdtPr>
        <w:sdtEndPr/>
        <w:sdtContent>
          <w:r w:rsidRPr="00131EED">
            <w:rPr>
              <w:rFonts w:cs="Arial"/>
            </w:rPr>
            <w:fldChar w:fldCharType="begin"/>
          </w:r>
          <w:r w:rsidRPr="00131EED">
            <w:rPr>
              <w:rFonts w:cs="Arial"/>
            </w:rPr>
            <w:instrText xml:space="preserve"> CITATION Bol21 \l 3082 </w:instrText>
          </w:r>
          <w:r w:rsidRPr="00131EED">
            <w:rPr>
              <w:rFonts w:cs="Arial"/>
            </w:rPr>
            <w:fldChar w:fldCharType="separate"/>
          </w:r>
          <w:r w:rsidRPr="00131EED">
            <w:rPr>
              <w:rFonts w:cs="Arial"/>
            </w:rPr>
            <w:t>(Bolívar &amp; Montoya, 2021)</w:t>
          </w:r>
          <w:r w:rsidRPr="00131EED">
            <w:rPr>
              <w:rFonts w:cs="Arial"/>
            </w:rPr>
            <w:fldChar w:fldCharType="end"/>
          </w:r>
        </w:sdtContent>
      </w:sdt>
      <w:r w:rsidRPr="00131EED">
        <w:rPr>
          <w:rFonts w:cs="Arial"/>
        </w:rPr>
        <w:t xml:space="preserve">. A ello se suma la intensa metropolización que ha experimentado la Sabana de Bogotá en las últimas décadas, junto a grandes dificultades para armonizar estos procesos con el ordenamiento territorial, el deficiente cumplimiento de los instrumentos de planificación y administración para la gestión del agua por parte de los actores responsables e involucrados en la implementación de los mismos, y una alta liberalización de las actividades económicas privadas sobre los suelos rurales que, aunque enmarcados en un complejo marco normativo, intervienen con amplia libertad en la gestión del agua, dada la incapacidad de fiscalización de las instituciones de control para actuar sobre la regulación y control en el aprovechamiento del agua superficial y subterránea, y el control de vertimientos, entre otros aspectos </w:t>
      </w:r>
      <w:sdt>
        <w:sdtPr>
          <w:rPr>
            <w:rFonts w:cs="Arial"/>
          </w:rPr>
          <w:id w:val="1953741502"/>
          <w:citation/>
        </w:sdtPr>
        <w:sdtEndPr/>
        <w:sdtContent>
          <w:r w:rsidRPr="00131EED">
            <w:rPr>
              <w:rFonts w:cs="Arial"/>
            </w:rPr>
            <w:fldChar w:fldCharType="begin"/>
          </w:r>
          <w:r w:rsidRPr="00131EED">
            <w:rPr>
              <w:rFonts w:cs="Arial"/>
            </w:rPr>
            <w:instrText xml:space="preserve"> CITATION Bol21 \l 3082 </w:instrText>
          </w:r>
          <w:r w:rsidRPr="00131EED">
            <w:rPr>
              <w:rFonts w:cs="Arial"/>
            </w:rPr>
            <w:fldChar w:fldCharType="separate"/>
          </w:r>
          <w:r w:rsidRPr="00131EED">
            <w:rPr>
              <w:rFonts w:cs="Arial"/>
            </w:rPr>
            <w:t>(Bolívar &amp; Montoya, 2021)</w:t>
          </w:r>
          <w:r w:rsidRPr="00131EED">
            <w:rPr>
              <w:rFonts w:cs="Arial"/>
            </w:rPr>
            <w:fldChar w:fldCharType="end"/>
          </w:r>
        </w:sdtContent>
      </w:sdt>
      <w:r w:rsidRPr="00131EED">
        <w:rPr>
          <w:rFonts w:cs="Arial"/>
        </w:rPr>
        <w:t>.</w:t>
      </w:r>
    </w:p>
    <w:p w14:paraId="315C4DB9" w14:textId="77777777" w:rsidR="00CC5A4D" w:rsidRPr="00131EED" w:rsidRDefault="00CC5A4D" w:rsidP="00CC5A4D">
      <w:pPr>
        <w:rPr>
          <w:rFonts w:cs="Arial"/>
        </w:rPr>
      </w:pPr>
    </w:p>
    <w:p w14:paraId="3D1E8BD2" w14:textId="04C2F82A" w:rsidR="00CC5A4D" w:rsidRPr="00131EED" w:rsidRDefault="00CC5A4D" w:rsidP="00CC5A4D">
      <w:pPr>
        <w:rPr>
          <w:rFonts w:cs="Arial"/>
        </w:rPr>
      </w:pPr>
      <w:r w:rsidRPr="00131EED">
        <w:rPr>
          <w:rFonts w:cs="Arial"/>
        </w:rPr>
        <w:t xml:space="preserve">El anterior panorama plantea una serie de retos, no solo los referidos al desarrollo y aplicación de instrumentos técnicos y operativos que actúen en atenuar las alteraciones del régimen hidrológico en la región, sino también en avanzar en la construcción de  la gobernanza del agua, aspecto que hoy día cobra importancia ante un contexto internacional de lucha contra el cambio climático y ambiental, y en una zona que con cierta frecuencia recibe los efectos de la Oscilación del Sur-Niño (ENSO), con alteraciones importantes tanto de sequía en periodo "Niño", como de inundaciones en periodo "Niña". En este punto, es importante mencionar que precisamente, una de las posibles manifestaciones asociadas con la alteración del régimen hidrológico en la región, es la vulnerabilidad a los eventos torrenciales como consecuencia de la variabilidad en los caudales, índice que de acuerdo con los resultados de la ERA </w:t>
      </w:r>
      <w:sdt>
        <w:sdtPr>
          <w:rPr>
            <w:rFonts w:cs="Arial"/>
          </w:rPr>
          <w:id w:val="482050896"/>
          <w:citation/>
        </w:sdtPr>
        <w:sdtEndPr/>
        <w:sdtContent>
          <w:r w:rsidRPr="00131EED">
            <w:rPr>
              <w:rFonts w:cs="Arial"/>
            </w:rPr>
            <w:fldChar w:fldCharType="begin"/>
          </w:r>
          <w:r w:rsidRPr="00131EED">
            <w:rPr>
              <w:rFonts w:cs="Arial"/>
            </w:rPr>
            <w:instrText xml:space="preserve">CITATION CAR21 \n  \t  \l 3082 </w:instrText>
          </w:r>
          <w:r w:rsidRPr="00131EED">
            <w:rPr>
              <w:rFonts w:cs="Arial"/>
            </w:rPr>
            <w:fldChar w:fldCharType="separate"/>
          </w:r>
          <w:r w:rsidRPr="00131EED">
            <w:rPr>
              <w:rFonts w:cs="Arial"/>
            </w:rPr>
            <w:t>(2021)</w:t>
          </w:r>
          <w:r w:rsidRPr="00131EED">
            <w:rPr>
              <w:rFonts w:cs="Arial"/>
            </w:rPr>
            <w:fldChar w:fldCharType="end"/>
          </w:r>
        </w:sdtContent>
      </w:sdt>
      <w:r w:rsidRPr="00131EED">
        <w:rPr>
          <w:rFonts w:cs="Arial"/>
        </w:rPr>
        <w:t xml:space="preserve"> es medio, alto y muy alto en las subcuencas asociadas a la región Sabana de Bogotá para las cuales se cuenta con información. </w:t>
      </w:r>
    </w:p>
    <w:p w14:paraId="57E6DA6B" w14:textId="77777777" w:rsidR="00CC5A4D" w:rsidRPr="00131EED" w:rsidRDefault="00CC5A4D" w:rsidP="00CC5A4D">
      <w:pPr>
        <w:pStyle w:val="Caption"/>
        <w:keepNext/>
        <w:spacing w:after="0"/>
        <w:rPr>
          <w:rFonts w:ascii="Baskerville" w:hAnsi="Baskerville"/>
        </w:rPr>
      </w:pPr>
      <w:bookmarkStart w:id="419" w:name="_Toc162338936"/>
    </w:p>
    <w:p w14:paraId="4E5620A0" w14:textId="2B83E2E6" w:rsidR="00CC5A4D" w:rsidRPr="00131EED" w:rsidRDefault="00DE4433" w:rsidP="00A4471C">
      <w:pPr>
        <w:pStyle w:val="Caption"/>
        <w:jc w:val="center"/>
      </w:pPr>
      <w:bookmarkStart w:id="420" w:name="_Toc216468883"/>
      <w:r w:rsidRPr="00131EED">
        <w:t xml:space="preserve">Ilustración </w:t>
      </w:r>
      <w:r w:rsidRPr="00131EED">
        <w:fldChar w:fldCharType="begin"/>
      </w:r>
      <w:r w:rsidRPr="00131EED">
        <w:instrText>SEQ Ilustración \* ARABIC</w:instrText>
      </w:r>
      <w:r w:rsidRPr="00131EED">
        <w:fldChar w:fldCharType="separate"/>
      </w:r>
      <w:r w:rsidR="00CE096F">
        <w:rPr>
          <w:noProof/>
        </w:rPr>
        <w:t>118</w:t>
      </w:r>
      <w:r w:rsidRPr="00131EED">
        <w:fldChar w:fldCharType="end"/>
      </w:r>
      <w:r w:rsidRPr="00131EED">
        <w:t xml:space="preserve"> </w:t>
      </w:r>
      <w:r w:rsidR="00CC5A4D" w:rsidRPr="00131EED">
        <w:t>Índice de vulnerabilidad a los eventos torrenciales región Sabana de Bogotá</w:t>
      </w:r>
      <w:bookmarkEnd w:id="419"/>
      <w:bookmarkEnd w:id="420"/>
    </w:p>
    <w:p w14:paraId="592E673A" w14:textId="217194DD" w:rsidR="00CC5A4D" w:rsidRPr="00131EED" w:rsidRDefault="0069371B" w:rsidP="006845C5">
      <w:pPr>
        <w:pStyle w:val="NormalWeb"/>
        <w:spacing w:before="0" w:beforeAutospacing="0" w:after="0" w:afterAutospacing="0"/>
        <w:jc w:val="center"/>
        <w:rPr>
          <w:rFonts w:ascii="Times New Roman" w:hAnsi="Times New Roman" w:cs="Times New Roman"/>
        </w:rPr>
      </w:pPr>
      <w:r w:rsidRPr="00131EED">
        <w:rPr>
          <w:rFonts w:ascii="Times New Roman" w:hAnsi="Times New Roman" w:cs="Times New Roman"/>
          <w:noProof/>
          <w:lang w:eastAsia="en-US"/>
        </w:rPr>
        <w:drawing>
          <wp:inline distT="0" distB="0" distL="0" distR="0" wp14:anchorId="61623C00" wp14:editId="0492BD43">
            <wp:extent cx="2778251" cy="3595254"/>
            <wp:effectExtent l="0" t="0" r="3175" b="5715"/>
            <wp:docPr id="1168248838" name="Imagen 1168248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782268" cy="3600453"/>
                    </a:xfrm>
                    <a:prstGeom prst="rect">
                      <a:avLst/>
                    </a:prstGeom>
                    <a:noFill/>
                    <a:ln>
                      <a:noFill/>
                    </a:ln>
                  </pic:spPr>
                </pic:pic>
              </a:graphicData>
            </a:graphic>
          </wp:inline>
        </w:drawing>
      </w:r>
    </w:p>
    <w:p w14:paraId="643AF263" w14:textId="4C0223BB" w:rsidR="00CC5A4D" w:rsidRPr="00131EED" w:rsidRDefault="00CC5A4D">
      <w:pPr>
        <w:pStyle w:val="Caption"/>
        <w:spacing w:after="0"/>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 xml:space="preserve">Fuente: elaborado por el autor con base en CAR </w:t>
      </w:r>
      <w:sdt>
        <w:sdtPr>
          <w:rPr>
            <w:rFonts w:ascii="Baskerville Old Face" w:hAnsi="Baskerville Old Face"/>
            <w:i w:val="0"/>
            <w:color w:val="auto"/>
            <w:sz w:val="20"/>
            <w:szCs w:val="20"/>
          </w:rPr>
          <w:id w:val="67314616"/>
          <w:citation/>
        </w:sdtPr>
        <w:sdtEndPr/>
        <w:sdtContent>
          <w:r w:rsidRPr="00131EED">
            <w:rPr>
              <w:rFonts w:ascii="Baskerville Old Face" w:hAnsi="Baskerville Old Face"/>
              <w:i w:val="0"/>
              <w:color w:val="auto"/>
              <w:sz w:val="20"/>
              <w:szCs w:val="20"/>
            </w:rPr>
            <w:fldChar w:fldCharType="begin"/>
          </w:r>
          <w:r w:rsidRPr="00131EED">
            <w:rPr>
              <w:rFonts w:ascii="Baskerville Old Face" w:hAnsi="Baskerville Old Face"/>
              <w:i w:val="0"/>
              <w:color w:val="auto"/>
              <w:sz w:val="20"/>
              <w:szCs w:val="20"/>
            </w:rPr>
            <w:instrText xml:space="preserve">CITATION CAR21 \n  \t  \l 3082 </w:instrText>
          </w:r>
          <w:r w:rsidRPr="00131EED">
            <w:rPr>
              <w:rFonts w:ascii="Baskerville Old Face" w:hAnsi="Baskerville Old Face"/>
              <w:i w:val="0"/>
              <w:color w:val="auto"/>
              <w:sz w:val="20"/>
              <w:szCs w:val="20"/>
            </w:rPr>
            <w:fldChar w:fldCharType="separate"/>
          </w:r>
          <w:r w:rsidRPr="00131EED">
            <w:rPr>
              <w:rFonts w:ascii="Baskerville Old Face" w:hAnsi="Baskerville Old Face"/>
              <w:color w:val="auto"/>
              <w:sz w:val="20"/>
              <w:szCs w:val="20"/>
            </w:rPr>
            <w:t>(2021)</w:t>
          </w:r>
          <w:r w:rsidRPr="00131EED">
            <w:rPr>
              <w:rFonts w:ascii="Baskerville Old Face" w:hAnsi="Baskerville Old Face"/>
              <w:i w:val="0"/>
              <w:color w:val="auto"/>
              <w:sz w:val="20"/>
              <w:szCs w:val="20"/>
            </w:rPr>
            <w:fldChar w:fldCharType="end"/>
          </w:r>
        </w:sdtContent>
      </w:sdt>
    </w:p>
    <w:p w14:paraId="4471A365" w14:textId="77777777" w:rsidR="00CC5A4D" w:rsidRPr="00131EED" w:rsidRDefault="00CC5A4D" w:rsidP="00CC5A4D">
      <w:pPr>
        <w:rPr>
          <w:rFonts w:cs="Arial"/>
        </w:rPr>
      </w:pPr>
    </w:p>
    <w:p w14:paraId="569634F4" w14:textId="520F35AD" w:rsidR="00CC5A4D" w:rsidRPr="00131EED" w:rsidRDefault="00CC5A4D" w:rsidP="00CC5A4D">
      <w:pPr>
        <w:rPr>
          <w:rFonts w:cs="Arial"/>
        </w:rPr>
      </w:pPr>
      <w:r w:rsidRPr="00131EED">
        <w:rPr>
          <w:rFonts w:cs="Arial"/>
        </w:rPr>
        <w:t>La situación de la cuenca del Río Bogotá no es ajena a las áreas conexas del territorio, un ejemplo de ello y según se indica en el documento PGAR 2024-2035 de la CAR Cundinamarca, es el impacto antropogénico en las dinámicas hidrológicas de la cuencas del río Alto Suárez, el cual ha experimentado considerables alteraciones hidromorfológicas inducidas por actividades humanas; estas modificaciones incluyen la rectificación, desviación y confinamiento de cauces, así como la construcción de estructuras de control hidráulico. Estas acciones, ejecutadas por la Corporación Autónoma Regional de Cundinamarca (CAR), buscaban optimizar el drenaje y redirigir los flujos hídricos en las cuencas asociadas respondiendo a enfoques e intervenciones que</w:t>
      </w:r>
      <w:r w:rsidR="00FD4BC7" w:rsidRPr="00131EED">
        <w:rPr>
          <w:rFonts w:cs="Arial"/>
        </w:rPr>
        <w:t>,</w:t>
      </w:r>
      <w:r w:rsidRPr="00131EED">
        <w:rPr>
          <w:rFonts w:cs="Arial"/>
        </w:rPr>
        <w:t xml:space="preserve"> entre otras, implicaba por parte de la CAR la administración y gestión de extensas áreas bajo la figura de Distritos de Riego y Drenaje. En el caso de La Ramada, las acciones incluso promovieron la ampliación de la frontera agrícola, mientras que en los complejos hídricos de Fúquene, Cucunubá y Palacio se implementaron medidas para su desecación.</w:t>
      </w:r>
    </w:p>
    <w:p w14:paraId="5B7A579F" w14:textId="77777777" w:rsidR="00CC5A4D" w:rsidRPr="00131EED" w:rsidRDefault="00CC5A4D" w:rsidP="00CC5A4D">
      <w:pPr>
        <w:rPr>
          <w:rFonts w:cs="Arial"/>
        </w:rPr>
      </w:pPr>
    </w:p>
    <w:p w14:paraId="7F804693" w14:textId="77777777" w:rsidR="00CC5A4D" w:rsidRPr="00131EED" w:rsidRDefault="00CC5A4D" w:rsidP="00CC5A4D">
      <w:pPr>
        <w:rPr>
          <w:rFonts w:cs="Arial"/>
        </w:rPr>
      </w:pPr>
      <w:r w:rsidRPr="00131EED">
        <w:rPr>
          <w:rFonts w:cs="Arial"/>
        </w:rPr>
        <w:t xml:space="preserve">Bajo este contexto, dentro de las acciones tendientes a atenuar las alteraciones del régimen hidrológico, se deben buscar estrategias de gestión del agua en el territorio, donde los sistemas de regulación de caudales en el </w:t>
      </w:r>
      <w:bookmarkStart w:id="421" w:name="_Hlk160661868"/>
      <w:r w:rsidRPr="00131EED">
        <w:rPr>
          <w:rFonts w:cs="Arial"/>
        </w:rPr>
        <w:t>río Bogotá y sus afluentes</w:t>
      </w:r>
      <w:bookmarkEnd w:id="421"/>
      <w:r w:rsidRPr="00131EED">
        <w:rPr>
          <w:rFonts w:cs="Arial"/>
        </w:rPr>
        <w:t xml:space="preserve"> consideren la </w:t>
      </w:r>
      <w:r w:rsidRPr="00131EED">
        <w:rPr>
          <w:rFonts w:cs="Arial"/>
          <w:i/>
        </w:rPr>
        <w:t xml:space="preserve">implementación de un régimen de caudales ambientales </w:t>
      </w:r>
      <w:r w:rsidRPr="00131EED">
        <w:rPr>
          <w:rFonts w:cs="Arial"/>
        </w:rPr>
        <w:t>que garanticen los servicios ecosistémicos relacionados más directa o indirectamente con el agua y que permitan evaluar en el tiempo si los caudales circulantes y su régimen permiten mantener en el tiempo dichos servicios ecosistémicos, de tal manera que se garantice y haga compatibles los usos del suelo del territorio con la conservación de la biodiversidad, los paisajes, la seguridad alimentaria, el abastecimiento de agua de la población, entre otros fines.</w:t>
      </w:r>
    </w:p>
    <w:p w14:paraId="7720711B" w14:textId="77777777" w:rsidR="00CC5A4D" w:rsidRPr="00131EED" w:rsidRDefault="00CC5A4D" w:rsidP="00CC5A4D">
      <w:pPr>
        <w:rPr>
          <w:rFonts w:cs="Arial"/>
        </w:rPr>
      </w:pPr>
    </w:p>
    <w:p w14:paraId="32A014D1" w14:textId="77777777" w:rsidR="00CC5A4D" w:rsidRPr="00131EED" w:rsidRDefault="00CC5A4D" w:rsidP="00CC5A4D">
      <w:pPr>
        <w:rPr>
          <w:rFonts w:cs="Arial"/>
        </w:rPr>
      </w:pPr>
      <w:r w:rsidRPr="00131EED">
        <w:rPr>
          <w:rFonts w:cs="Arial"/>
        </w:rPr>
        <w:t xml:space="preserve">De igual manera, considerando las perturbaciones sobre la conectividad ecológica de los sistemas de humedales con el río Bogotá y sus afluentes, entre otros aspectos, por la alteración del régimen hidrológico, será importante buscar </w:t>
      </w:r>
      <w:r w:rsidRPr="00131EED">
        <w:rPr>
          <w:rFonts w:cs="Arial"/>
          <w:i/>
        </w:rPr>
        <w:t>estrategias de restauración ecológica</w:t>
      </w:r>
      <w:r w:rsidRPr="00131EED">
        <w:rPr>
          <w:rFonts w:cs="Arial"/>
        </w:rPr>
        <w:t xml:space="preserve"> de estos ecosistemas, que de manera particular busquen su conectividad ecohidrológica con el sistema hídrico de la cuenca, con el fin de garantizar su funcionalidad ecosistémica de regulación hídrica y los servicios ecosistémicos derivados de ésta.</w:t>
      </w:r>
    </w:p>
    <w:p w14:paraId="424B6114" w14:textId="77777777" w:rsidR="00CC5A4D" w:rsidRPr="00131EED" w:rsidRDefault="00CC5A4D" w:rsidP="00CC5A4D">
      <w:pPr>
        <w:rPr>
          <w:rFonts w:cs="Arial"/>
        </w:rPr>
      </w:pPr>
    </w:p>
    <w:p w14:paraId="60D81D39" w14:textId="77777777" w:rsidR="00CC5A4D" w:rsidRPr="00131EED" w:rsidRDefault="00CC5A4D" w:rsidP="00CC5A4D">
      <w:pPr>
        <w:rPr>
          <w:rFonts w:cs="Arial"/>
        </w:rPr>
      </w:pPr>
      <w:r w:rsidRPr="00131EED">
        <w:rPr>
          <w:rFonts w:cs="Arial"/>
        </w:rPr>
        <w:t xml:space="preserve">Aunado a ello, es pertinente la definición de </w:t>
      </w:r>
      <w:r w:rsidRPr="00131EED">
        <w:rPr>
          <w:rFonts w:cs="Arial"/>
          <w:i/>
        </w:rPr>
        <w:t>criterios para la operación de las infraestructuras hidráulicas</w:t>
      </w:r>
      <w:r w:rsidRPr="00131EED">
        <w:rPr>
          <w:rFonts w:cs="Arial"/>
        </w:rPr>
        <w:t xml:space="preserve"> de tal manera que no constituyan ejercicios de maladaptación al cambio climático y que comprometan la posibilidad del mantenimiento de un régimen ambiental de caudales en el territorio, junto con espacios de coordinación de las entidades operadoras de dichas infraestructuras y sistemas de veeduría ciudadana para el control social en la implementación del régimen ambiental de caudales.</w:t>
      </w:r>
    </w:p>
    <w:p w14:paraId="5DE5EF31" w14:textId="77777777" w:rsidR="00CC5A4D" w:rsidRPr="00131EED" w:rsidRDefault="00CC5A4D" w:rsidP="00CC5A4D">
      <w:pPr>
        <w:rPr>
          <w:rFonts w:cs="Arial"/>
        </w:rPr>
      </w:pPr>
    </w:p>
    <w:p w14:paraId="591622AF" w14:textId="77777777" w:rsidR="00CC5A4D" w:rsidRPr="00131EED" w:rsidRDefault="00CC5A4D" w:rsidP="00CC5A4D">
      <w:pPr>
        <w:rPr>
          <w:rFonts w:cs="Arial"/>
        </w:rPr>
      </w:pPr>
      <w:r w:rsidRPr="00131EED">
        <w:rPr>
          <w:rFonts w:cs="Arial"/>
        </w:rPr>
        <w:t xml:space="preserve">La promoción de una nueva visión sobre la manera como se acometen procesos de recuperación y adecuación hidráulica del Río Bogotá y sus afluentes, acogiendo una serie de </w:t>
      </w:r>
      <w:r w:rsidRPr="00131EED">
        <w:rPr>
          <w:rFonts w:cs="Arial"/>
          <w:i/>
        </w:rPr>
        <w:t>principios derivados del entendimiento ecohidrológico de estos ecosistemas</w:t>
      </w:r>
      <w:r w:rsidRPr="00131EED">
        <w:rPr>
          <w:rFonts w:cs="Arial"/>
        </w:rPr>
        <w:t xml:space="preserve"> permitirá avanzar en procesos de restauración ecológica.</w:t>
      </w:r>
    </w:p>
    <w:p w14:paraId="413D8564" w14:textId="77777777" w:rsidR="00CC5A4D" w:rsidRPr="00131EED" w:rsidRDefault="00CC5A4D" w:rsidP="00CC5A4D">
      <w:pPr>
        <w:rPr>
          <w:rFonts w:cs="Arial"/>
        </w:rPr>
      </w:pPr>
    </w:p>
    <w:p w14:paraId="703323CB" w14:textId="77777777" w:rsidR="00CC5A4D" w:rsidRPr="00131EED" w:rsidRDefault="00CC5A4D" w:rsidP="00CC5A4D">
      <w:pPr>
        <w:rPr>
          <w:rFonts w:cs="Arial"/>
        </w:rPr>
      </w:pPr>
      <w:r w:rsidRPr="00131EED">
        <w:rPr>
          <w:rFonts w:cs="Arial"/>
        </w:rPr>
        <w:t>Finalmente, será importante avanzar en la</w:t>
      </w:r>
      <w:r w:rsidRPr="00131EED">
        <w:rPr>
          <w:rFonts w:cs="Arial"/>
          <w:i/>
        </w:rPr>
        <w:t xml:space="preserve"> optimización de la red de monitoreo hidrológico y meteorológico y biológico</w:t>
      </w:r>
      <w:r w:rsidRPr="00131EED">
        <w:rPr>
          <w:rFonts w:cs="Arial"/>
        </w:rPr>
        <w:t>, que igualmente, monitoree la implementación del régimen de caudales ambientales y los procesos de recuperación ambiental de los ecosistemas hídricos en el territorio; lo anterior complementado con ejercicios de monitoreo ambiental comunitario.</w:t>
      </w:r>
    </w:p>
    <w:p w14:paraId="5F9D6FA1" w14:textId="77777777" w:rsidR="00CC5A4D" w:rsidRPr="00131EED" w:rsidRDefault="00CC5A4D" w:rsidP="00410194">
      <w:pPr>
        <w:pStyle w:val="Heading3"/>
        <w:numPr>
          <w:ilvl w:val="2"/>
          <w:numId w:val="31"/>
        </w:numPr>
      </w:pPr>
      <w:bookmarkStart w:id="422" w:name="_Toc216468757"/>
      <w:r w:rsidRPr="00131EED">
        <w:t>Alta vulnerabilidad al desabastecimiento hídrico por presión de la demanda con respecto a la oferta y cambio climático</w:t>
      </w:r>
      <w:bookmarkEnd w:id="422"/>
    </w:p>
    <w:p w14:paraId="35D05E43" w14:textId="77777777" w:rsidR="00CC5A4D" w:rsidRPr="00131EED" w:rsidRDefault="00CC5A4D" w:rsidP="00CC5A4D">
      <w:pPr>
        <w:rPr>
          <w:rFonts w:ascii="Baskerville" w:hAnsi="Baskerville" w:cs="Arial"/>
        </w:rPr>
      </w:pPr>
    </w:p>
    <w:p w14:paraId="15BD03F6" w14:textId="77777777" w:rsidR="00CC5A4D" w:rsidRPr="00131EED" w:rsidRDefault="00CC5A4D" w:rsidP="00CC5A4D">
      <w:pPr>
        <w:rPr>
          <w:rFonts w:cs="Arial"/>
        </w:rPr>
      </w:pPr>
      <w:r w:rsidRPr="00131EED">
        <w:rPr>
          <w:rFonts w:cs="Arial"/>
        </w:rPr>
        <w:t xml:space="preserve">La vulnerabilidad al desabastecimiento se refiere a la fragilidad de los ecosistemas para garantizar el suministro de agua, especialmente durante periodos de escasez prolongada o eventos climáticos extremos como El Niño o escenarios de cambio climático. En la región de la sabana de Bogotá, esta vulnerabilidad se considera generalmente alta, lo que significa que existe un riesgo significativo de escasez de agua ante tales amenazas. </w:t>
      </w:r>
    </w:p>
    <w:p w14:paraId="0F4DC31F" w14:textId="77777777" w:rsidR="00CC5A4D" w:rsidRPr="00131EED" w:rsidRDefault="00CC5A4D" w:rsidP="00CC5A4D">
      <w:pPr>
        <w:rPr>
          <w:rFonts w:cs="Arial"/>
        </w:rPr>
      </w:pPr>
    </w:p>
    <w:p w14:paraId="35432C11" w14:textId="77777777" w:rsidR="00CC5A4D" w:rsidRPr="00131EED" w:rsidRDefault="00CC5A4D" w:rsidP="00CC5A4D">
      <w:pPr>
        <w:rPr>
          <w:rFonts w:cs="Arial"/>
        </w:rPr>
      </w:pPr>
      <w:r w:rsidRPr="00131EED">
        <w:rPr>
          <w:rFonts w:cs="Arial"/>
        </w:rPr>
        <w:t xml:space="preserve">Entre estas causas destacan la baja calidad del agua de las fuentes de abastecimiento, que puede requerir procesos costosos de tratamiento para hacerla potable y segura para el consumo humano. Además, el aumento de la demanda debido al crecimiento poblacional exacerba aún más esta presión, ejerciendo una carga adicional sobre el agua disponible. Las falencias en el uso eficiente del agua y la baja implementación de tecnologías alternativas de abastecimiento también contribuyen al problema, al no aprovechar al máximo las fuentes disponibles y no diversificar las fuentes de abastecimiento. Asimismo, la deficiencia en prácticas de reúso de agua agrava la situación al desperdiciar un recurso que podría ser utilizado de manera más eficiente. La falta de aplicación de instrumentos que vinculen la oferta hídrica disponible, junto con las pérdidas de agua asociadas a falencias en la infraestructura de empresas prestadoras, y conexiones erradas y la falta de control a conexiones fraudulentas, contribuyen a una gestión ineficiente del recurso. Por último, la incidencia del cambio climático en la oferta hídrica añade una capa adicional de incertidumbre y presión sobre los sistemas hídricos, exacerbando los desafíos existentes y requiriendo una gestión adaptativa y resiliente para garantizar la seguridad hídrica a largo plazo. A continuación, se describen con mayor detalle las evidencias de la presión existente de la oferta sobre la demanda, incrementando la vulnerabilidad al desabastecimiento. </w:t>
      </w:r>
    </w:p>
    <w:p w14:paraId="6CFE5DAB" w14:textId="77777777" w:rsidR="00CC5A4D" w:rsidRPr="00131EED" w:rsidRDefault="00CC5A4D" w:rsidP="00CC5A4D">
      <w:pPr>
        <w:rPr>
          <w:rFonts w:cs="Arial"/>
        </w:rPr>
      </w:pPr>
    </w:p>
    <w:p w14:paraId="755C4C9F" w14:textId="30F7D2FB" w:rsidR="00CC5A4D" w:rsidRPr="00131EED" w:rsidRDefault="00CC5A4D" w:rsidP="00CC5A4D">
      <w:pPr>
        <w:rPr>
          <w:rFonts w:cs="Arial"/>
        </w:rPr>
      </w:pPr>
      <w:r w:rsidRPr="00131EED">
        <w:rPr>
          <w:rFonts w:cs="Arial"/>
        </w:rPr>
        <w:t>Como se mencionó en el capítulo anterior, el suministro de agua en la Sabana de Bogotá proviene principalmente de fuentes superficiales controladas por tres sistemas de abastecimiento. Estos sistemas incluyen embalses, represas y plantas de tratamiento de agua potable. El Sistema Chingaza cuenta con los embalses de Chuza y San Rafael, el río Blanco y la Planta de Tratamiento de Agua Potable (PTAP) Francisco Wiesner. El Sistema Tibitoc, en la cuenca alta del río Bogotá, está compuesto por los embalses Los Aposentos, Neusa, Sisga y Tominé. El Sistema Sumapaz incluye la laguna Los Tunjos, los embalses Chisacá y La Regadera, y las PTAP La Laguna, El Dorado, Yomasa y Vitelma. Estos sistemas se apoyan en los caudales naturales de los ríos Bogotá y sus afluentes, así como en el agua subterránea en menor medida. Además, se trasvasan caudales de otros ríos como el Guatiquía, Chuza y Blanco mediante el sistema Chingaza para complementar el abastecimiento. En conjunto, estos sistemas garantizan un caudal aparentemente confiable continuo de 25,97 m</w:t>
      </w:r>
      <w:r w:rsidRPr="00131EED">
        <w:rPr>
          <w:rFonts w:cs="Arial"/>
          <w:vertAlign w:val="superscript"/>
        </w:rPr>
        <w:t>3</w:t>
      </w:r>
      <w:r w:rsidRPr="00131EED">
        <w:rPr>
          <w:rFonts w:cs="Arial"/>
        </w:rPr>
        <w:t xml:space="preserve">/s </w:t>
      </w:r>
      <w:sdt>
        <w:sdtPr>
          <w:rPr>
            <w:rFonts w:cs="Arial"/>
          </w:rPr>
          <w:id w:val="-1122292673"/>
          <w:citation/>
        </w:sdtPr>
        <w:sdtEndPr/>
        <w:sdtContent>
          <w:r w:rsidRPr="00131EED">
            <w:rPr>
              <w:rFonts w:cs="Arial"/>
            </w:rPr>
            <w:fldChar w:fldCharType="begin"/>
          </w:r>
          <w:r w:rsidRPr="00131EED">
            <w:rPr>
              <w:rFonts w:cs="Arial"/>
            </w:rPr>
            <w:instrText xml:space="preserve">CITATION EAA23 \t  \l 3082 </w:instrText>
          </w:r>
          <w:r w:rsidRPr="00131EED">
            <w:rPr>
              <w:rFonts w:cs="Arial"/>
            </w:rPr>
            <w:fldChar w:fldCharType="separate"/>
          </w:r>
          <w:r w:rsidRPr="00131EED">
            <w:rPr>
              <w:rFonts w:cs="Arial"/>
            </w:rPr>
            <w:t>(EAAB- ESP, 2023)</w:t>
          </w:r>
          <w:r w:rsidRPr="00131EED">
            <w:rPr>
              <w:rFonts w:cs="Arial"/>
            </w:rPr>
            <w:fldChar w:fldCharType="end"/>
          </w:r>
        </w:sdtContent>
      </w:sdt>
      <w:r w:rsidRPr="00131EED">
        <w:rPr>
          <w:rFonts w:cs="Arial"/>
        </w:rPr>
        <w:t xml:space="preserve">, resultado de una infraestructura compleja que transporta y distribuye el agua desde su captación hasta las zonas de consumo, incluyendo la potabilización a cargo de la EAB-ESP, que también abastece a más de once (11) municipios aledaños a Bogotá. </w:t>
      </w:r>
    </w:p>
    <w:p w14:paraId="70F4785A" w14:textId="77777777" w:rsidR="00CC5A4D" w:rsidRPr="00131EED" w:rsidRDefault="00CC5A4D" w:rsidP="00CC5A4D">
      <w:pPr>
        <w:rPr>
          <w:rFonts w:cs="Arial"/>
        </w:rPr>
      </w:pPr>
    </w:p>
    <w:p w14:paraId="6DBA19FE" w14:textId="10B22F6E" w:rsidR="00CC5A4D" w:rsidRPr="00131EED" w:rsidRDefault="00CC5A4D" w:rsidP="00CC5A4D">
      <w:pPr>
        <w:rPr>
          <w:rFonts w:cs="Arial"/>
        </w:rPr>
      </w:pPr>
      <w:bookmarkStart w:id="423" w:name="_Toc162338937"/>
      <w:r w:rsidRPr="00131EED">
        <w:rPr>
          <w:rFonts w:cs="Arial"/>
        </w:rPr>
        <w:t xml:space="preserve">Así mismo, de acuerdo con datos de la Corporación Autónoma Regional de Cundinamarca en la Sabana de Bogotá se encuentran censados 4.181 pozos, 959 aljibes y 565 manantiales </w:t>
      </w:r>
      <w:sdt>
        <w:sdtPr>
          <w:rPr>
            <w:rFonts w:cs="Arial"/>
            <w:color w:val="2B579A"/>
            <w:shd w:val="clear" w:color="auto" w:fill="E6E6E6"/>
          </w:rPr>
          <w:id w:val="117965487"/>
          <w:citation/>
        </w:sdtPr>
        <w:sdtEndPr/>
        <w:sdtContent>
          <w:r w:rsidRPr="00131EED">
            <w:rPr>
              <w:rFonts w:cs="Arial"/>
              <w:color w:val="2B579A"/>
              <w:shd w:val="clear" w:color="auto" w:fill="E6E6E6"/>
            </w:rPr>
            <w:fldChar w:fldCharType="begin"/>
          </w:r>
          <w:r w:rsidRPr="00131EED">
            <w:rPr>
              <w:rFonts w:cs="Arial"/>
            </w:rPr>
            <w:instrText xml:space="preserve">CITATION CAR08 \t  \l 3082 </w:instrText>
          </w:r>
          <w:r w:rsidRPr="00131EED">
            <w:rPr>
              <w:rFonts w:cs="Arial"/>
              <w:color w:val="2B579A"/>
              <w:shd w:val="clear" w:color="auto" w:fill="E6E6E6"/>
            </w:rPr>
            <w:fldChar w:fldCharType="separate"/>
          </w:r>
          <w:r w:rsidRPr="00131EED">
            <w:rPr>
              <w:rFonts w:cs="Arial"/>
            </w:rPr>
            <w:t>(CAR C. A., 2008)</w:t>
          </w:r>
          <w:r w:rsidRPr="00131EED">
            <w:rPr>
              <w:rFonts w:cs="Arial"/>
              <w:color w:val="2B579A"/>
              <w:shd w:val="clear" w:color="auto" w:fill="E6E6E6"/>
            </w:rPr>
            <w:fldChar w:fldCharType="end"/>
          </w:r>
        </w:sdtContent>
      </w:sdt>
      <w:r w:rsidRPr="00131EED">
        <w:rPr>
          <w:rFonts w:cs="Arial"/>
        </w:rPr>
        <w:t xml:space="preserve">, lo anterior, pone de manifiesto la alta demanda de agua subterránea en la región. De estas fuentes se extraen en promedio 37.91 l/s, es decir el 70 % del volumen total de agua extraída del subsuelo del departamento </w:t>
      </w:r>
      <w:sdt>
        <w:sdtPr>
          <w:rPr>
            <w:rFonts w:cs="Arial"/>
            <w:color w:val="2B579A"/>
            <w:shd w:val="clear" w:color="auto" w:fill="E6E6E6"/>
          </w:rPr>
          <w:id w:val="-171950103"/>
          <w:citation/>
        </w:sdtPr>
        <w:sdtEndPr/>
        <w:sdtContent>
          <w:r w:rsidRPr="00131EED">
            <w:rPr>
              <w:rFonts w:cs="Arial"/>
              <w:color w:val="2B579A"/>
              <w:shd w:val="clear" w:color="auto" w:fill="E6E6E6"/>
            </w:rPr>
            <w:fldChar w:fldCharType="begin"/>
          </w:r>
          <w:r w:rsidRPr="00131EED">
            <w:rPr>
              <w:rFonts w:cs="Arial"/>
            </w:rPr>
            <w:instrText xml:space="preserve">CITATION CAR \t  \l 3082 </w:instrText>
          </w:r>
          <w:r w:rsidRPr="00131EED">
            <w:rPr>
              <w:rFonts w:cs="Arial"/>
              <w:color w:val="2B579A"/>
              <w:shd w:val="clear" w:color="auto" w:fill="E6E6E6"/>
            </w:rPr>
            <w:fldChar w:fldCharType="separate"/>
          </w:r>
          <w:r w:rsidRPr="00131EED">
            <w:rPr>
              <w:rFonts w:cs="Arial"/>
            </w:rPr>
            <w:t>(CAR C. A., 2012)</w:t>
          </w:r>
          <w:r w:rsidRPr="00131EED">
            <w:rPr>
              <w:rFonts w:cs="Arial"/>
              <w:color w:val="2B579A"/>
              <w:shd w:val="clear" w:color="auto" w:fill="E6E6E6"/>
            </w:rPr>
            <w:fldChar w:fldCharType="end"/>
          </w:r>
        </w:sdtContent>
      </w:sdt>
      <w:r w:rsidRPr="00131EED">
        <w:rPr>
          <w:rFonts w:cs="Arial"/>
        </w:rPr>
        <w:t xml:space="preserve"> y cuyo uso es principalmente para consumo doméstico, floricultura y minería </w:t>
      </w:r>
      <w:sdt>
        <w:sdtPr>
          <w:rPr>
            <w:rFonts w:cs="Arial"/>
            <w:color w:val="2B579A"/>
            <w:shd w:val="clear" w:color="auto" w:fill="E6E6E6"/>
          </w:rPr>
          <w:id w:val="-1508672799"/>
          <w:citation/>
        </w:sdtPr>
        <w:sdtEndPr/>
        <w:sdtContent>
          <w:r w:rsidRPr="00131EED">
            <w:rPr>
              <w:rFonts w:cs="Arial"/>
              <w:color w:val="2B579A"/>
              <w:shd w:val="clear" w:color="auto" w:fill="E6E6E6"/>
            </w:rPr>
            <w:fldChar w:fldCharType="begin"/>
          </w:r>
          <w:r w:rsidRPr="00131EED">
            <w:rPr>
              <w:rFonts w:cs="Arial"/>
            </w:rPr>
            <w:instrText xml:space="preserve"> CITATION Bol21 \l 3082 </w:instrText>
          </w:r>
          <w:r w:rsidRPr="00131EED">
            <w:rPr>
              <w:rFonts w:cs="Arial"/>
              <w:color w:val="2B579A"/>
              <w:shd w:val="clear" w:color="auto" w:fill="E6E6E6"/>
            </w:rPr>
            <w:fldChar w:fldCharType="separate"/>
          </w:r>
          <w:r w:rsidRPr="00131EED">
            <w:rPr>
              <w:rFonts w:cs="Arial"/>
            </w:rPr>
            <w:t>(Bolívar &amp; Montoya, 2021)</w:t>
          </w:r>
          <w:r w:rsidRPr="00131EED">
            <w:rPr>
              <w:rFonts w:cs="Arial"/>
              <w:color w:val="2B579A"/>
              <w:shd w:val="clear" w:color="auto" w:fill="E6E6E6"/>
            </w:rPr>
            <w:fldChar w:fldCharType="end"/>
          </w:r>
        </w:sdtContent>
      </w:sdt>
      <w:r w:rsidRPr="00131EED">
        <w:rPr>
          <w:rFonts w:cs="Arial"/>
        </w:rPr>
        <w:t xml:space="preserve">. </w:t>
      </w:r>
    </w:p>
    <w:p w14:paraId="5FFC616F" w14:textId="77777777" w:rsidR="00802244" w:rsidRPr="00131EED" w:rsidRDefault="00802244" w:rsidP="00CC5A4D">
      <w:pPr>
        <w:rPr>
          <w:rFonts w:cs="Arial"/>
        </w:rPr>
      </w:pPr>
    </w:p>
    <w:p w14:paraId="56ABEFC1" w14:textId="15C8AD87" w:rsidR="00802244" w:rsidRPr="00131EED" w:rsidRDefault="00802244" w:rsidP="00802244">
      <w:r w:rsidRPr="00131EED">
        <w:t xml:space="preserve">Por su parte, según datos de la SDA </w:t>
      </w:r>
      <w:r w:rsidR="0895C0B0" w:rsidRPr="00131EED">
        <w:t>(</w:t>
      </w:r>
      <w:r w:rsidRPr="00131EED">
        <w:t>2025), la ciudad de Bogotá cuenta con un inventario total de 529 captaciones de aguas subterráneas clasificados en cinco (5) categorías</w:t>
      </w:r>
      <w:r w:rsidR="008F12F1" w:rsidRPr="00131EED">
        <w:t xml:space="preserve"> las cuales se observan en la </w:t>
      </w:r>
      <w:r w:rsidR="008F12F1" w:rsidRPr="00131EED">
        <w:fldChar w:fldCharType="begin"/>
      </w:r>
      <w:r w:rsidR="008F12F1" w:rsidRPr="00131EED">
        <w:instrText xml:space="preserve"> REF _Ref211338601 \h </w:instrText>
      </w:r>
      <w:r w:rsidR="008F12F1" w:rsidRPr="00131EED">
        <w:fldChar w:fldCharType="separate"/>
      </w:r>
      <w:r w:rsidR="00CE096F" w:rsidRPr="00131EED">
        <w:t xml:space="preserve">Ilustración </w:t>
      </w:r>
      <w:r w:rsidR="00CE096F">
        <w:rPr>
          <w:noProof/>
        </w:rPr>
        <w:t>119</w:t>
      </w:r>
      <w:r w:rsidR="008F12F1" w:rsidRPr="00131EED">
        <w:fldChar w:fldCharType="end"/>
      </w:r>
      <w:r w:rsidRPr="00131EED">
        <w:t>:</w:t>
      </w:r>
    </w:p>
    <w:p w14:paraId="1D199F2C" w14:textId="77777777" w:rsidR="00802244" w:rsidRPr="00131EED" w:rsidRDefault="00802244" w:rsidP="00802244"/>
    <w:p w14:paraId="1E1D44A3" w14:textId="6EA94370" w:rsidR="00802244" w:rsidRPr="00131EED" w:rsidRDefault="00DE4433" w:rsidP="00DE4433">
      <w:pPr>
        <w:pStyle w:val="Caption"/>
        <w:jc w:val="center"/>
      </w:pPr>
      <w:bookmarkStart w:id="424" w:name="_Ref211338601"/>
      <w:bookmarkStart w:id="425" w:name="_Toc216468884"/>
      <w:r w:rsidRPr="00131EED">
        <w:t xml:space="preserve">Ilustración </w:t>
      </w:r>
      <w:r w:rsidRPr="00131EED">
        <w:fldChar w:fldCharType="begin"/>
      </w:r>
      <w:r w:rsidRPr="00131EED">
        <w:instrText>SEQ Ilustración \* ARABIC</w:instrText>
      </w:r>
      <w:r w:rsidRPr="00131EED">
        <w:fldChar w:fldCharType="separate"/>
      </w:r>
      <w:r w:rsidR="00CE096F">
        <w:rPr>
          <w:noProof/>
        </w:rPr>
        <w:t>119</w:t>
      </w:r>
      <w:r w:rsidRPr="00131EED">
        <w:fldChar w:fldCharType="end"/>
      </w:r>
      <w:bookmarkEnd w:id="424"/>
      <w:r w:rsidR="008F12F1" w:rsidRPr="00131EED">
        <w:t xml:space="preserve"> </w:t>
      </w:r>
      <w:r w:rsidR="00802244" w:rsidRPr="00131EED">
        <w:t>Puntos de agua con seguimiento y control por parte de la SDA</w:t>
      </w:r>
      <w:bookmarkEnd w:id="425"/>
    </w:p>
    <w:p w14:paraId="63DEE9F8" w14:textId="77777777" w:rsidR="00802244" w:rsidRPr="00131EED" w:rsidRDefault="00802244" w:rsidP="00802244">
      <w:pPr>
        <w:jc w:val="center"/>
        <w:rPr>
          <w:rFonts w:ascii="Baskerville" w:eastAsiaTheme="minorEastAsia" w:hAnsi="Baskerville" w:cstheme="minorBidi"/>
          <w:kern w:val="2"/>
          <w14:ligatures w14:val="standardContextual"/>
        </w:rPr>
      </w:pPr>
      <w:r w:rsidRPr="00131EED">
        <w:rPr>
          <w:rFonts w:ascii="Baskerville" w:eastAsiaTheme="minorEastAsia" w:hAnsi="Baskerville" w:cstheme="minorBidi"/>
          <w:noProof/>
          <w:kern w:val="2"/>
          <w:lang w:eastAsia="en-US"/>
          <w14:ligatures w14:val="standardContextual"/>
        </w:rPr>
        <w:drawing>
          <wp:inline distT="0" distB="0" distL="0" distR="0" wp14:anchorId="3DFCB1CC" wp14:editId="223DA4B8">
            <wp:extent cx="4918363" cy="3221589"/>
            <wp:effectExtent l="0" t="0" r="0" b="0"/>
            <wp:docPr id="1168248855" name="Imagen 1168248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4919763" cy="3222506"/>
                    </a:xfrm>
                    <a:prstGeom prst="rect">
                      <a:avLst/>
                    </a:prstGeom>
                  </pic:spPr>
                </pic:pic>
              </a:graphicData>
            </a:graphic>
          </wp:inline>
        </w:drawing>
      </w:r>
    </w:p>
    <w:p w14:paraId="6549AE2D" w14:textId="13AC199A" w:rsidR="00802244" w:rsidRPr="00131EED" w:rsidRDefault="00802244" w:rsidP="006845C5">
      <w:pPr>
        <w:jc w:val="center"/>
        <w:rPr>
          <w:rFonts w:ascii="Baskerville" w:hAnsi="Baskerville" w:cs="Arial"/>
          <w:sz w:val="18"/>
          <w:szCs w:val="18"/>
        </w:rPr>
      </w:pPr>
      <w:r w:rsidRPr="00131EED">
        <w:rPr>
          <w:rFonts w:ascii="Baskerville" w:hAnsi="Baskerville" w:cs="Arial"/>
          <w:sz w:val="18"/>
          <w:szCs w:val="18"/>
        </w:rPr>
        <w:t>Fuente: Secretaría Distrital de Ambiente, 2025</w:t>
      </w:r>
    </w:p>
    <w:p w14:paraId="17840483" w14:textId="77777777" w:rsidR="00CC5A4D" w:rsidRPr="00131EED" w:rsidRDefault="00CC5A4D" w:rsidP="00CC5A4D">
      <w:pPr>
        <w:rPr>
          <w:rFonts w:ascii="Baskerville" w:hAnsi="Baskerville" w:cs="Arial"/>
        </w:rPr>
      </w:pPr>
    </w:p>
    <w:p w14:paraId="20F8B2F3" w14:textId="77777777" w:rsidR="008F12F1" w:rsidRPr="00131EED" w:rsidRDefault="008F12F1" w:rsidP="00410194">
      <w:pPr>
        <w:pStyle w:val="ListParagraph"/>
        <w:numPr>
          <w:ilvl w:val="0"/>
          <w:numId w:val="28"/>
        </w:numPr>
        <w:rPr>
          <w:rFonts w:eastAsia="Times New Roman" w:cs="Times New Roman"/>
          <w:sz w:val="24"/>
          <w:szCs w:val="24"/>
        </w:rPr>
      </w:pPr>
      <w:r w:rsidRPr="00131EED">
        <w:rPr>
          <w:rFonts w:eastAsia="Times New Roman" w:cs="Times New Roman"/>
          <w:sz w:val="24"/>
          <w:szCs w:val="24"/>
          <w:lang w:eastAsia="es-MX"/>
        </w:rPr>
        <w:t xml:space="preserve">Concesión (61): Puntos de agua subterránea, que cuenta con permiso otorgado por la SDA, para extraer el recurso hídrico subterráneo y que debe cumplir con una serie de obligaciones </w:t>
      </w:r>
      <w:r w:rsidRPr="00131EED">
        <w:rPr>
          <w:sz w:val="24"/>
          <w:szCs w:val="24"/>
        </w:rPr>
        <w:t>para garantizar la protección del recurso y del acuífero.</w:t>
      </w:r>
    </w:p>
    <w:p w14:paraId="7FF5C7E6" w14:textId="77777777" w:rsidR="008F12F1" w:rsidRPr="00131EED" w:rsidRDefault="008F12F1" w:rsidP="00410194">
      <w:pPr>
        <w:pStyle w:val="ListParagraph"/>
        <w:numPr>
          <w:ilvl w:val="0"/>
          <w:numId w:val="27"/>
        </w:numPr>
        <w:rPr>
          <w:rFonts w:eastAsia="Times New Roman"/>
          <w:sz w:val="24"/>
          <w:szCs w:val="24"/>
        </w:rPr>
      </w:pPr>
      <w:r w:rsidRPr="00131EED">
        <w:rPr>
          <w:rFonts w:eastAsia="Times New Roman" w:cs="Times New Roman"/>
          <w:sz w:val="24"/>
          <w:szCs w:val="24"/>
          <w:lang w:eastAsia="es-MX"/>
        </w:rPr>
        <w:t xml:space="preserve">Sellamiento definitivo (317): Puntos de agua subterránea con placa de concreto, rellenado en </w:t>
      </w:r>
      <w:r w:rsidRPr="00131EED">
        <w:rPr>
          <w:sz w:val="24"/>
          <w:szCs w:val="24"/>
        </w:rPr>
        <w:t>su interior con grava, bentonita y cemento. No es posible su reactivación.</w:t>
      </w:r>
    </w:p>
    <w:p w14:paraId="1302C888" w14:textId="77777777" w:rsidR="008F12F1" w:rsidRPr="00131EED" w:rsidRDefault="008F12F1" w:rsidP="00410194">
      <w:pPr>
        <w:pStyle w:val="ListParagraph"/>
        <w:numPr>
          <w:ilvl w:val="0"/>
          <w:numId w:val="27"/>
        </w:numPr>
        <w:rPr>
          <w:rFonts w:eastAsia="Times New Roman"/>
          <w:sz w:val="24"/>
          <w:szCs w:val="24"/>
        </w:rPr>
      </w:pPr>
      <w:r w:rsidRPr="00131EED">
        <w:rPr>
          <w:rFonts w:eastAsia="Times New Roman" w:cs="Times New Roman"/>
          <w:sz w:val="24"/>
          <w:szCs w:val="24"/>
          <w:lang w:eastAsia="es-MX"/>
        </w:rPr>
        <w:t xml:space="preserve">Sellamiento temporal (91) Puntos de agua subterránea, sin tubería de producción ni sistema </w:t>
      </w:r>
      <w:r w:rsidRPr="00131EED">
        <w:rPr>
          <w:sz w:val="24"/>
          <w:szCs w:val="24"/>
        </w:rPr>
        <w:t>de explotación, se puede reactivar, una vez se otorgue la respectiva concesión autorizada por la SDA.</w:t>
      </w:r>
    </w:p>
    <w:p w14:paraId="6CD3B430" w14:textId="77777777" w:rsidR="008F12F1" w:rsidRPr="00131EED" w:rsidRDefault="008F12F1" w:rsidP="00410194">
      <w:pPr>
        <w:pStyle w:val="ListParagraph"/>
        <w:numPr>
          <w:ilvl w:val="0"/>
          <w:numId w:val="27"/>
        </w:numPr>
        <w:rPr>
          <w:rFonts w:eastAsia="Times New Roman"/>
          <w:sz w:val="24"/>
          <w:szCs w:val="24"/>
        </w:rPr>
      </w:pPr>
      <w:r w:rsidRPr="00131EED">
        <w:rPr>
          <w:rFonts w:eastAsia="Times New Roman" w:cs="Times New Roman"/>
          <w:sz w:val="24"/>
          <w:szCs w:val="24"/>
          <w:lang w:eastAsia="es-MX"/>
        </w:rPr>
        <w:t xml:space="preserve">Trámite ambiental (50): Puntos de agua subterránea, en espera que un acto administrativo </w:t>
      </w:r>
      <w:r w:rsidRPr="00131EED">
        <w:rPr>
          <w:sz w:val="24"/>
          <w:szCs w:val="24"/>
        </w:rPr>
        <w:t>defina su situación jurídica: sellamiento, concesión o traslado.</w:t>
      </w:r>
    </w:p>
    <w:p w14:paraId="10B48AC7" w14:textId="77777777" w:rsidR="008F12F1" w:rsidRPr="00131EED" w:rsidRDefault="008F12F1" w:rsidP="00410194">
      <w:pPr>
        <w:pStyle w:val="ListParagraph"/>
        <w:numPr>
          <w:ilvl w:val="0"/>
          <w:numId w:val="27"/>
        </w:numPr>
        <w:rPr>
          <w:rFonts w:eastAsiaTheme="minorEastAsia" w:cstheme="minorBidi"/>
          <w:kern w:val="2"/>
          <w:sz w:val="24"/>
          <w:szCs w:val="24"/>
          <w14:ligatures w14:val="standardContextual"/>
        </w:rPr>
      </w:pPr>
      <w:r w:rsidRPr="00131EED">
        <w:rPr>
          <w:rFonts w:eastAsia="Times New Roman"/>
          <w:sz w:val="24"/>
          <w:szCs w:val="24"/>
        </w:rPr>
        <w:t>Traslado a CAR (10): Puntos de agua subterr</w:t>
      </w:r>
      <w:r w:rsidRPr="00131EED">
        <w:rPr>
          <w:rFonts w:eastAsia="Times New Roman" w:cs="Times New Roman"/>
          <w:sz w:val="24"/>
          <w:szCs w:val="24"/>
        </w:rPr>
        <w:t>á</w:t>
      </w:r>
      <w:r w:rsidRPr="00131EED">
        <w:rPr>
          <w:rFonts w:eastAsia="Times New Roman"/>
          <w:sz w:val="24"/>
          <w:szCs w:val="24"/>
        </w:rPr>
        <w:t>nea que por jurisdicción no se encuentra</w:t>
      </w:r>
      <w:r w:rsidRPr="00131EED">
        <w:rPr>
          <w:sz w:val="24"/>
          <w:szCs w:val="24"/>
        </w:rPr>
        <w:t xml:space="preserve"> ubicado en el perímetro urbano del Distrito Capital y se resignó a la CAR</w:t>
      </w:r>
    </w:p>
    <w:p w14:paraId="3EADC3F9" w14:textId="096D36A9" w:rsidR="00CC5A4D" w:rsidRPr="00131EED" w:rsidRDefault="00CC5A4D" w:rsidP="00CC5A4D">
      <w:pPr>
        <w:rPr>
          <w:rFonts w:cs="Arial"/>
        </w:rPr>
      </w:pPr>
      <w:r w:rsidRPr="00131EED">
        <w:rPr>
          <w:rFonts w:cs="Arial"/>
        </w:rPr>
        <w:t xml:space="preserve">Con respecto a la demanda de agua en la cuenca del río Bogotá, el Observatorio Regional Ambiental y de Desarrollo Sostenible del río Bogotá </w:t>
      </w:r>
      <w:sdt>
        <w:sdtPr>
          <w:rPr>
            <w:rFonts w:cs="Arial"/>
            <w:color w:val="2B579A"/>
            <w:shd w:val="clear" w:color="auto" w:fill="E6E6E6"/>
          </w:rPr>
          <w:id w:val="-413708738"/>
          <w:citation/>
        </w:sdtPr>
        <w:sdtEndPr/>
        <w:sdtContent>
          <w:r w:rsidRPr="00131EED">
            <w:rPr>
              <w:rFonts w:cs="Arial"/>
              <w:color w:val="2B579A"/>
              <w:shd w:val="clear" w:color="auto" w:fill="E6E6E6"/>
            </w:rPr>
            <w:fldChar w:fldCharType="begin"/>
          </w:r>
          <w:r w:rsidRPr="00131EED">
            <w:rPr>
              <w:rFonts w:cs="Arial"/>
            </w:rPr>
            <w:instrText xml:space="preserve">CITATION ORA \t  \l 3082 </w:instrText>
          </w:r>
          <w:r w:rsidRPr="00131EED">
            <w:rPr>
              <w:rFonts w:cs="Arial"/>
              <w:color w:val="2B579A"/>
              <w:shd w:val="clear" w:color="auto" w:fill="E6E6E6"/>
            </w:rPr>
            <w:fldChar w:fldCharType="separate"/>
          </w:r>
          <w:r w:rsidRPr="00131EED">
            <w:rPr>
              <w:rFonts w:cs="Arial"/>
            </w:rPr>
            <w:t>(ORARBO, 2023)</w:t>
          </w:r>
          <w:r w:rsidRPr="00131EED">
            <w:rPr>
              <w:rFonts w:cs="Arial"/>
              <w:color w:val="2B579A"/>
              <w:shd w:val="clear" w:color="auto" w:fill="E6E6E6"/>
            </w:rPr>
            <w:fldChar w:fldCharType="end"/>
          </w:r>
        </w:sdtContent>
      </w:sdt>
      <w:r w:rsidRPr="00131EED">
        <w:rPr>
          <w:rFonts w:cs="Arial"/>
        </w:rPr>
        <w:t xml:space="preserve"> proporciona datos sobre el caudal concesionado por año, según los reportes de las entidades responsables de otorgar las concesiones.</w:t>
      </w:r>
    </w:p>
    <w:p w14:paraId="2B43EBA5" w14:textId="2EB64C5C" w:rsidR="00CC5A4D" w:rsidRPr="00131EED" w:rsidRDefault="00CC5A4D" w:rsidP="00CC5A4D">
      <w:pPr>
        <w:rPr>
          <w:rFonts w:ascii="Baskerville" w:hAnsi="Baskerville" w:cs="Arial"/>
          <w:sz w:val="20"/>
          <w:szCs w:val="20"/>
        </w:rPr>
      </w:pPr>
    </w:p>
    <w:p w14:paraId="3B076010" w14:textId="77777777" w:rsidR="00165BBB" w:rsidRPr="00131EED" w:rsidRDefault="00165BBB" w:rsidP="00CC5A4D">
      <w:pPr>
        <w:rPr>
          <w:rFonts w:ascii="Baskerville" w:hAnsi="Baskerville" w:cs="Arial"/>
          <w:sz w:val="20"/>
          <w:szCs w:val="20"/>
        </w:rPr>
      </w:pPr>
    </w:p>
    <w:p w14:paraId="68DFB094" w14:textId="7CD846D6" w:rsidR="007A394B" w:rsidRPr="00131EED" w:rsidRDefault="00165BBB" w:rsidP="00165BBB">
      <w:pPr>
        <w:pStyle w:val="Caption"/>
        <w:jc w:val="center"/>
      </w:pPr>
      <w:bookmarkStart w:id="426" w:name="_Toc216468885"/>
      <w:bookmarkEnd w:id="423"/>
      <w:r w:rsidRPr="00131EED">
        <w:t xml:space="preserve">Ilustración </w:t>
      </w:r>
      <w:r w:rsidRPr="00131EED">
        <w:fldChar w:fldCharType="begin"/>
      </w:r>
      <w:r w:rsidRPr="00131EED">
        <w:instrText>SEQ Ilustración \* ARABIC</w:instrText>
      </w:r>
      <w:r w:rsidRPr="00131EED">
        <w:fldChar w:fldCharType="separate"/>
      </w:r>
      <w:r w:rsidR="00CE096F">
        <w:rPr>
          <w:noProof/>
        </w:rPr>
        <w:t>120</w:t>
      </w:r>
      <w:r w:rsidRPr="00131EED">
        <w:fldChar w:fldCharType="end"/>
      </w:r>
      <w:r w:rsidRPr="00131EED">
        <w:t xml:space="preserve"> </w:t>
      </w:r>
      <w:r w:rsidR="007A394B" w:rsidRPr="00131EED">
        <w:t>Gráfica caudal concesionado cuenca río Bogotá</w:t>
      </w:r>
      <w:bookmarkEnd w:id="426"/>
    </w:p>
    <w:p w14:paraId="79652324" w14:textId="77777777" w:rsidR="00CC5A4D" w:rsidRPr="00131EED" w:rsidRDefault="00CC5A4D" w:rsidP="00CC5A4D">
      <w:pPr>
        <w:jc w:val="center"/>
        <w:rPr>
          <w:rFonts w:ascii="Baskerville" w:hAnsi="Baskerville" w:cs="Arial"/>
        </w:rPr>
      </w:pPr>
      <w:r w:rsidRPr="00131EED">
        <w:rPr>
          <w:rFonts w:ascii="Baskerville" w:hAnsi="Baskerville" w:cs="Arial"/>
          <w:noProof/>
          <w:lang w:eastAsia="en-US"/>
        </w:rPr>
        <w:drawing>
          <wp:inline distT="0" distB="0" distL="0" distR="0" wp14:anchorId="6954A398" wp14:editId="30713313">
            <wp:extent cx="3995225" cy="2039654"/>
            <wp:effectExtent l="0" t="0" r="5715" b="5080"/>
            <wp:docPr id="1" name="Imagen 1" descr="A graph with blu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A graph with blue squares&#10;&#10;AI-generated content may be incorrect."/>
                    <pic:cNvPicPr/>
                  </pic:nvPicPr>
                  <pic:blipFill>
                    <a:blip r:embed="rId198"/>
                    <a:stretch>
                      <a:fillRect/>
                    </a:stretch>
                  </pic:blipFill>
                  <pic:spPr>
                    <a:xfrm>
                      <a:off x="0" y="0"/>
                      <a:ext cx="4010602" cy="2047504"/>
                    </a:xfrm>
                    <a:prstGeom prst="rect">
                      <a:avLst/>
                    </a:prstGeom>
                  </pic:spPr>
                </pic:pic>
              </a:graphicData>
            </a:graphic>
          </wp:inline>
        </w:drawing>
      </w:r>
    </w:p>
    <w:p w14:paraId="3802177C" w14:textId="3450A1FE" w:rsidR="00CC5A4D" w:rsidRPr="00131EED" w:rsidRDefault="00CC5A4D" w:rsidP="00CC5A4D">
      <w:pPr>
        <w:pStyle w:val="Caption"/>
        <w:spacing w:after="0"/>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 xml:space="preserve">Fuente:  ORARBO </w:t>
      </w:r>
      <w:sdt>
        <w:sdtPr>
          <w:rPr>
            <w:rFonts w:ascii="Baskerville Old Face" w:hAnsi="Baskerville Old Face"/>
            <w:i w:val="0"/>
            <w:color w:val="auto"/>
            <w:sz w:val="20"/>
            <w:szCs w:val="20"/>
          </w:rPr>
          <w:id w:val="-2035873453"/>
          <w:citation/>
        </w:sdtPr>
        <w:sdtEndPr/>
        <w:sdtContent>
          <w:r w:rsidRPr="00131EED">
            <w:rPr>
              <w:rFonts w:ascii="Baskerville Old Face" w:hAnsi="Baskerville Old Face"/>
              <w:i w:val="0"/>
              <w:color w:val="auto"/>
              <w:sz w:val="20"/>
              <w:szCs w:val="20"/>
            </w:rPr>
            <w:fldChar w:fldCharType="begin"/>
          </w:r>
          <w:r w:rsidRPr="00131EED">
            <w:rPr>
              <w:rFonts w:ascii="Baskerville Old Face" w:hAnsi="Baskerville Old Face"/>
              <w:i w:val="0"/>
              <w:color w:val="auto"/>
              <w:sz w:val="20"/>
              <w:szCs w:val="20"/>
            </w:rPr>
            <w:instrText xml:space="preserve">CITATION ORA \n  \t  \l 3082 </w:instrText>
          </w:r>
          <w:r w:rsidRPr="00131EED">
            <w:rPr>
              <w:rFonts w:ascii="Baskerville Old Face" w:hAnsi="Baskerville Old Face"/>
              <w:i w:val="0"/>
              <w:color w:val="auto"/>
              <w:sz w:val="20"/>
              <w:szCs w:val="20"/>
            </w:rPr>
            <w:fldChar w:fldCharType="separate"/>
          </w:r>
          <w:r w:rsidRPr="00131EED">
            <w:rPr>
              <w:rFonts w:ascii="Baskerville Old Face" w:hAnsi="Baskerville Old Face"/>
              <w:color w:val="auto"/>
              <w:sz w:val="20"/>
              <w:szCs w:val="20"/>
            </w:rPr>
            <w:t>(2023)</w:t>
          </w:r>
          <w:r w:rsidRPr="00131EED">
            <w:rPr>
              <w:rFonts w:ascii="Baskerville Old Face" w:hAnsi="Baskerville Old Face"/>
              <w:i w:val="0"/>
              <w:color w:val="auto"/>
              <w:sz w:val="20"/>
              <w:szCs w:val="20"/>
            </w:rPr>
            <w:fldChar w:fldCharType="end"/>
          </w:r>
        </w:sdtContent>
      </w:sdt>
    </w:p>
    <w:p w14:paraId="24E4136F" w14:textId="77777777" w:rsidR="00A4471C" w:rsidRPr="00131EED" w:rsidRDefault="00A4471C" w:rsidP="00CC5A4D">
      <w:pPr>
        <w:rPr>
          <w:rFonts w:ascii="Baskerville" w:hAnsi="Baskerville"/>
        </w:rPr>
      </w:pPr>
    </w:p>
    <w:p w14:paraId="4E7E5046" w14:textId="3A69200A" w:rsidR="00CC5A4D" w:rsidRPr="00131EED" w:rsidRDefault="00CC5A4D" w:rsidP="002C66C4">
      <w:pPr>
        <w:pStyle w:val="Caption"/>
        <w:jc w:val="center"/>
      </w:pPr>
      <w:bookmarkStart w:id="427" w:name="_Toc162340789"/>
      <w:bookmarkStart w:id="428" w:name="_Toc216468993"/>
      <w:r w:rsidRPr="00131EED">
        <w:t xml:space="preserve">Tabla </w:t>
      </w:r>
      <w:fldSimple w:instr=" SEQ Tabla \* ARABIC ">
        <w:r w:rsidR="00CE096F">
          <w:rPr>
            <w:noProof/>
          </w:rPr>
          <w:t>83</w:t>
        </w:r>
      </w:fldSimple>
      <w:r w:rsidRPr="00131EED">
        <w:t>.Caudal concesionado cuenca del río Bogotá</w:t>
      </w:r>
      <w:bookmarkEnd w:id="427"/>
      <w:bookmarkEnd w:id="428"/>
    </w:p>
    <w:p w14:paraId="5685248F" w14:textId="77777777" w:rsidR="00A4471C" w:rsidRPr="00131EED" w:rsidRDefault="00A4471C" w:rsidP="00A4471C">
      <w:pPr>
        <w:rPr>
          <w:lang w:eastAsia="en-US"/>
        </w:rPr>
      </w:pPr>
    </w:p>
    <w:tbl>
      <w:tblPr>
        <w:tblStyle w:val="GridTable1Light"/>
        <w:tblW w:w="7225" w:type="dxa"/>
        <w:jc w:val="center"/>
        <w:tblLayout w:type="fixed"/>
        <w:tblLook w:val="04A0" w:firstRow="1" w:lastRow="0" w:firstColumn="1" w:lastColumn="0" w:noHBand="0" w:noVBand="1"/>
      </w:tblPr>
      <w:tblGrid>
        <w:gridCol w:w="2405"/>
        <w:gridCol w:w="4820"/>
      </w:tblGrid>
      <w:tr w:rsidR="00CC5A4D" w:rsidRPr="00131EED" w14:paraId="32152105" w14:textId="77777777" w:rsidTr="00B60DA2">
        <w:trPr>
          <w:cnfStyle w:val="100000000000" w:firstRow="1" w:lastRow="0" w:firstColumn="0" w:lastColumn="0" w:oddVBand="0" w:evenVBand="0" w:oddHBand="0" w:evenHBand="0" w:firstRowFirstColumn="0" w:firstRowLastColumn="0" w:lastRowFirstColumn="0" w:lastRowLastColumn="0"/>
          <w:trHeight w:val="34"/>
          <w:tblHeader/>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14:paraId="5EDA65EB" w14:textId="77777777" w:rsidR="00CC5A4D" w:rsidRPr="00131EED" w:rsidRDefault="00CC5A4D" w:rsidP="00B60DA2">
            <w:pPr>
              <w:jc w:val="center"/>
              <w:rPr>
                <w:rFonts w:ascii="Baskerville" w:hAnsi="Baskerville" w:cs="Arial"/>
                <w:sz w:val="20"/>
                <w:szCs w:val="20"/>
              </w:rPr>
            </w:pPr>
            <w:r w:rsidRPr="00131EED">
              <w:rPr>
                <w:rFonts w:ascii="Baskerville" w:hAnsi="Baskerville" w:cs="Arial"/>
                <w:sz w:val="20"/>
                <w:szCs w:val="20"/>
              </w:rPr>
              <w:t>AÑO</w:t>
            </w:r>
          </w:p>
        </w:tc>
        <w:tc>
          <w:tcPr>
            <w:tcW w:w="4820" w:type="dxa"/>
            <w:vAlign w:val="bottom"/>
          </w:tcPr>
          <w:p w14:paraId="7B84D610" w14:textId="77777777" w:rsidR="00CC5A4D" w:rsidRPr="00131EED" w:rsidRDefault="00CC5A4D" w:rsidP="00B60DA2">
            <w:pPr>
              <w:jc w:val="center"/>
              <w:cnfStyle w:val="100000000000" w:firstRow="1" w:lastRow="0" w:firstColumn="0" w:lastColumn="0" w:oddVBand="0" w:evenVBand="0" w:oddHBand="0" w:evenHBand="0" w:firstRowFirstColumn="0" w:firstRowLastColumn="0" w:lastRowFirstColumn="0" w:lastRowLastColumn="0"/>
              <w:rPr>
                <w:rFonts w:ascii="Baskerville" w:hAnsi="Baskerville" w:cs="Arial"/>
                <w:sz w:val="20"/>
                <w:szCs w:val="20"/>
              </w:rPr>
            </w:pPr>
            <w:r w:rsidRPr="00131EED">
              <w:rPr>
                <w:rFonts w:ascii="Baskerville" w:hAnsi="Baskerville" w:cs="Arial"/>
                <w:sz w:val="20"/>
                <w:szCs w:val="20"/>
              </w:rPr>
              <w:t>CAUDAL CONCESIONADO (m3/seg)</w:t>
            </w:r>
          </w:p>
        </w:tc>
      </w:tr>
      <w:tr w:rsidR="00CC5A4D" w:rsidRPr="00131EED" w14:paraId="1E5FF19C" w14:textId="77777777" w:rsidTr="00B60DA2">
        <w:trPr>
          <w:trHeight w:val="214"/>
          <w:jc w:val="center"/>
        </w:trPr>
        <w:tc>
          <w:tcPr>
            <w:cnfStyle w:val="001000000000" w:firstRow="0" w:lastRow="0" w:firstColumn="1" w:lastColumn="0" w:oddVBand="0" w:evenVBand="0" w:oddHBand="0" w:evenHBand="0" w:firstRowFirstColumn="0" w:firstRowLastColumn="0" w:lastRowFirstColumn="0" w:lastRowLastColumn="0"/>
            <w:tcW w:w="2405" w:type="dxa"/>
          </w:tcPr>
          <w:p w14:paraId="6FA0845F" w14:textId="77777777" w:rsidR="00CC5A4D" w:rsidRPr="00131EED" w:rsidRDefault="00CC5A4D" w:rsidP="00B60DA2">
            <w:pPr>
              <w:jc w:val="center"/>
              <w:rPr>
                <w:rFonts w:ascii="Baskerville" w:hAnsi="Baskerville" w:cs="Arial"/>
                <w:b w:val="0"/>
                <w:sz w:val="20"/>
                <w:szCs w:val="20"/>
              </w:rPr>
            </w:pPr>
            <w:r w:rsidRPr="00131EED">
              <w:rPr>
                <w:rFonts w:ascii="Baskerville" w:hAnsi="Baskerville" w:cs="Arial"/>
                <w:b w:val="0"/>
                <w:sz w:val="20"/>
                <w:szCs w:val="20"/>
              </w:rPr>
              <w:t>2015</w:t>
            </w:r>
          </w:p>
        </w:tc>
        <w:tc>
          <w:tcPr>
            <w:tcW w:w="4820" w:type="dxa"/>
          </w:tcPr>
          <w:p w14:paraId="7C031C41" w14:textId="77777777" w:rsidR="00CC5A4D" w:rsidRPr="00131EED" w:rsidRDefault="00CC5A4D" w:rsidP="00B60DA2">
            <w:pPr>
              <w:jc w:val="center"/>
              <w:cnfStyle w:val="000000000000" w:firstRow="0" w:lastRow="0" w:firstColumn="0" w:lastColumn="0" w:oddVBand="0" w:evenVBand="0" w:oddHBand="0" w:evenHBand="0" w:firstRowFirstColumn="0" w:firstRowLastColumn="0" w:lastRowFirstColumn="0" w:lastRowLastColumn="0"/>
              <w:rPr>
                <w:rFonts w:ascii="Baskerville" w:hAnsi="Baskerville" w:cs="Arial"/>
                <w:sz w:val="20"/>
                <w:szCs w:val="20"/>
              </w:rPr>
            </w:pPr>
            <w:r w:rsidRPr="00131EED">
              <w:rPr>
                <w:rFonts w:ascii="Baskerville" w:hAnsi="Baskerville" w:cs="Arial"/>
                <w:sz w:val="20"/>
                <w:szCs w:val="20"/>
              </w:rPr>
              <w:t>45.62</w:t>
            </w:r>
          </w:p>
        </w:tc>
      </w:tr>
      <w:tr w:rsidR="00CC5A4D" w:rsidRPr="00131EED" w14:paraId="254213AA" w14:textId="77777777" w:rsidTr="00B60DA2">
        <w:trPr>
          <w:trHeight w:val="214"/>
          <w:jc w:val="center"/>
        </w:trPr>
        <w:tc>
          <w:tcPr>
            <w:cnfStyle w:val="001000000000" w:firstRow="0" w:lastRow="0" w:firstColumn="1" w:lastColumn="0" w:oddVBand="0" w:evenVBand="0" w:oddHBand="0" w:evenHBand="0" w:firstRowFirstColumn="0" w:firstRowLastColumn="0" w:lastRowFirstColumn="0" w:lastRowLastColumn="0"/>
            <w:tcW w:w="2405" w:type="dxa"/>
          </w:tcPr>
          <w:p w14:paraId="61C4BB39" w14:textId="77777777" w:rsidR="00CC5A4D" w:rsidRPr="00131EED" w:rsidRDefault="00CC5A4D" w:rsidP="00B60DA2">
            <w:pPr>
              <w:jc w:val="center"/>
              <w:rPr>
                <w:rFonts w:ascii="Baskerville" w:hAnsi="Baskerville" w:cs="Arial"/>
                <w:b w:val="0"/>
                <w:sz w:val="20"/>
                <w:szCs w:val="20"/>
              </w:rPr>
            </w:pPr>
            <w:r w:rsidRPr="00131EED">
              <w:rPr>
                <w:rFonts w:ascii="Baskerville" w:hAnsi="Baskerville" w:cs="Arial"/>
                <w:b w:val="0"/>
                <w:sz w:val="20"/>
                <w:szCs w:val="20"/>
              </w:rPr>
              <w:t>2016</w:t>
            </w:r>
          </w:p>
        </w:tc>
        <w:tc>
          <w:tcPr>
            <w:tcW w:w="4820" w:type="dxa"/>
          </w:tcPr>
          <w:p w14:paraId="534F5378" w14:textId="77777777" w:rsidR="00CC5A4D" w:rsidRPr="00131EED" w:rsidRDefault="00CC5A4D" w:rsidP="00B60DA2">
            <w:pPr>
              <w:jc w:val="center"/>
              <w:cnfStyle w:val="000000000000" w:firstRow="0" w:lastRow="0" w:firstColumn="0" w:lastColumn="0" w:oddVBand="0" w:evenVBand="0" w:oddHBand="0" w:evenHBand="0" w:firstRowFirstColumn="0" w:firstRowLastColumn="0" w:lastRowFirstColumn="0" w:lastRowLastColumn="0"/>
              <w:rPr>
                <w:rFonts w:ascii="Baskerville" w:hAnsi="Baskerville" w:cs="Arial"/>
                <w:sz w:val="20"/>
                <w:szCs w:val="20"/>
              </w:rPr>
            </w:pPr>
            <w:r w:rsidRPr="00131EED">
              <w:rPr>
                <w:rFonts w:ascii="Baskerville" w:hAnsi="Baskerville" w:cs="Arial"/>
                <w:sz w:val="20"/>
                <w:szCs w:val="20"/>
              </w:rPr>
              <w:t>45.61</w:t>
            </w:r>
          </w:p>
        </w:tc>
      </w:tr>
      <w:tr w:rsidR="00CC5A4D" w:rsidRPr="00131EED" w14:paraId="5F9400B3" w14:textId="77777777" w:rsidTr="00B60DA2">
        <w:trPr>
          <w:trHeight w:val="214"/>
          <w:jc w:val="center"/>
        </w:trPr>
        <w:tc>
          <w:tcPr>
            <w:cnfStyle w:val="001000000000" w:firstRow="0" w:lastRow="0" w:firstColumn="1" w:lastColumn="0" w:oddVBand="0" w:evenVBand="0" w:oddHBand="0" w:evenHBand="0" w:firstRowFirstColumn="0" w:firstRowLastColumn="0" w:lastRowFirstColumn="0" w:lastRowLastColumn="0"/>
            <w:tcW w:w="2405" w:type="dxa"/>
          </w:tcPr>
          <w:p w14:paraId="72F917E7" w14:textId="77777777" w:rsidR="00CC5A4D" w:rsidRPr="00131EED" w:rsidRDefault="00CC5A4D" w:rsidP="00B60DA2">
            <w:pPr>
              <w:jc w:val="center"/>
              <w:rPr>
                <w:rFonts w:ascii="Baskerville" w:hAnsi="Baskerville" w:cs="Arial"/>
                <w:b w:val="0"/>
                <w:sz w:val="20"/>
                <w:szCs w:val="20"/>
              </w:rPr>
            </w:pPr>
            <w:r w:rsidRPr="00131EED">
              <w:rPr>
                <w:rFonts w:ascii="Baskerville" w:hAnsi="Baskerville" w:cs="Arial"/>
                <w:b w:val="0"/>
                <w:sz w:val="20"/>
                <w:szCs w:val="20"/>
              </w:rPr>
              <w:t>2017</w:t>
            </w:r>
          </w:p>
        </w:tc>
        <w:tc>
          <w:tcPr>
            <w:tcW w:w="4820" w:type="dxa"/>
          </w:tcPr>
          <w:p w14:paraId="5916ED21" w14:textId="77777777" w:rsidR="00CC5A4D" w:rsidRPr="00131EED" w:rsidRDefault="00CC5A4D" w:rsidP="00B60DA2">
            <w:pPr>
              <w:jc w:val="center"/>
              <w:cnfStyle w:val="000000000000" w:firstRow="0" w:lastRow="0" w:firstColumn="0" w:lastColumn="0" w:oddVBand="0" w:evenVBand="0" w:oddHBand="0" w:evenHBand="0" w:firstRowFirstColumn="0" w:firstRowLastColumn="0" w:lastRowFirstColumn="0" w:lastRowLastColumn="0"/>
              <w:rPr>
                <w:rFonts w:ascii="Baskerville" w:hAnsi="Baskerville" w:cs="Arial"/>
                <w:sz w:val="20"/>
                <w:szCs w:val="20"/>
              </w:rPr>
            </w:pPr>
            <w:r w:rsidRPr="00131EED">
              <w:rPr>
                <w:rFonts w:ascii="Baskerville" w:hAnsi="Baskerville" w:cs="Arial"/>
                <w:sz w:val="20"/>
                <w:szCs w:val="20"/>
              </w:rPr>
              <w:t>46.94</w:t>
            </w:r>
          </w:p>
        </w:tc>
      </w:tr>
      <w:tr w:rsidR="00CC5A4D" w:rsidRPr="00131EED" w14:paraId="1476DF2C" w14:textId="77777777" w:rsidTr="00B60DA2">
        <w:trPr>
          <w:trHeight w:val="214"/>
          <w:jc w:val="center"/>
        </w:trPr>
        <w:tc>
          <w:tcPr>
            <w:cnfStyle w:val="001000000000" w:firstRow="0" w:lastRow="0" w:firstColumn="1" w:lastColumn="0" w:oddVBand="0" w:evenVBand="0" w:oddHBand="0" w:evenHBand="0" w:firstRowFirstColumn="0" w:firstRowLastColumn="0" w:lastRowFirstColumn="0" w:lastRowLastColumn="0"/>
            <w:tcW w:w="2405" w:type="dxa"/>
          </w:tcPr>
          <w:p w14:paraId="4BEBBA94" w14:textId="77777777" w:rsidR="00CC5A4D" w:rsidRPr="00131EED" w:rsidRDefault="00CC5A4D" w:rsidP="00B60DA2">
            <w:pPr>
              <w:jc w:val="center"/>
              <w:rPr>
                <w:rFonts w:ascii="Baskerville" w:hAnsi="Baskerville" w:cs="Arial"/>
                <w:b w:val="0"/>
                <w:sz w:val="20"/>
                <w:szCs w:val="20"/>
              </w:rPr>
            </w:pPr>
            <w:r w:rsidRPr="00131EED">
              <w:rPr>
                <w:rFonts w:ascii="Baskerville" w:hAnsi="Baskerville" w:cs="Arial"/>
                <w:b w:val="0"/>
                <w:sz w:val="20"/>
                <w:szCs w:val="20"/>
              </w:rPr>
              <w:t>2018</w:t>
            </w:r>
          </w:p>
        </w:tc>
        <w:tc>
          <w:tcPr>
            <w:tcW w:w="4820" w:type="dxa"/>
          </w:tcPr>
          <w:p w14:paraId="2D619AA8" w14:textId="77777777" w:rsidR="00CC5A4D" w:rsidRPr="00131EED" w:rsidRDefault="00CC5A4D" w:rsidP="00B60DA2">
            <w:pPr>
              <w:jc w:val="center"/>
              <w:cnfStyle w:val="000000000000" w:firstRow="0" w:lastRow="0" w:firstColumn="0" w:lastColumn="0" w:oddVBand="0" w:evenVBand="0" w:oddHBand="0" w:evenHBand="0" w:firstRowFirstColumn="0" w:firstRowLastColumn="0" w:lastRowFirstColumn="0" w:lastRowLastColumn="0"/>
              <w:rPr>
                <w:rFonts w:ascii="Baskerville" w:hAnsi="Baskerville" w:cs="Arial"/>
                <w:sz w:val="20"/>
                <w:szCs w:val="20"/>
              </w:rPr>
            </w:pPr>
            <w:r w:rsidRPr="00131EED">
              <w:rPr>
                <w:rFonts w:ascii="Baskerville" w:hAnsi="Baskerville" w:cs="Arial"/>
                <w:sz w:val="20"/>
                <w:szCs w:val="20"/>
              </w:rPr>
              <w:t>45.22</w:t>
            </w:r>
          </w:p>
        </w:tc>
      </w:tr>
      <w:tr w:rsidR="00CC5A4D" w:rsidRPr="00131EED" w14:paraId="577BDA68" w14:textId="77777777" w:rsidTr="00B60DA2">
        <w:trPr>
          <w:trHeight w:val="214"/>
          <w:jc w:val="center"/>
        </w:trPr>
        <w:tc>
          <w:tcPr>
            <w:cnfStyle w:val="001000000000" w:firstRow="0" w:lastRow="0" w:firstColumn="1" w:lastColumn="0" w:oddVBand="0" w:evenVBand="0" w:oddHBand="0" w:evenHBand="0" w:firstRowFirstColumn="0" w:firstRowLastColumn="0" w:lastRowFirstColumn="0" w:lastRowLastColumn="0"/>
            <w:tcW w:w="2405" w:type="dxa"/>
          </w:tcPr>
          <w:p w14:paraId="2F5C610B" w14:textId="77777777" w:rsidR="00CC5A4D" w:rsidRPr="00131EED" w:rsidRDefault="00CC5A4D" w:rsidP="00B60DA2">
            <w:pPr>
              <w:jc w:val="center"/>
              <w:rPr>
                <w:rFonts w:ascii="Baskerville" w:hAnsi="Baskerville" w:cs="Arial"/>
                <w:b w:val="0"/>
                <w:sz w:val="20"/>
                <w:szCs w:val="20"/>
              </w:rPr>
            </w:pPr>
            <w:r w:rsidRPr="00131EED">
              <w:rPr>
                <w:rFonts w:ascii="Baskerville" w:hAnsi="Baskerville" w:cs="Arial"/>
                <w:b w:val="0"/>
                <w:sz w:val="20"/>
                <w:szCs w:val="20"/>
              </w:rPr>
              <w:t>2019</w:t>
            </w:r>
          </w:p>
        </w:tc>
        <w:tc>
          <w:tcPr>
            <w:tcW w:w="4820" w:type="dxa"/>
          </w:tcPr>
          <w:p w14:paraId="0603B678" w14:textId="77777777" w:rsidR="00CC5A4D" w:rsidRPr="00131EED" w:rsidRDefault="00CC5A4D" w:rsidP="00B60DA2">
            <w:pPr>
              <w:jc w:val="center"/>
              <w:cnfStyle w:val="000000000000" w:firstRow="0" w:lastRow="0" w:firstColumn="0" w:lastColumn="0" w:oddVBand="0" w:evenVBand="0" w:oddHBand="0" w:evenHBand="0" w:firstRowFirstColumn="0" w:firstRowLastColumn="0" w:lastRowFirstColumn="0" w:lastRowLastColumn="0"/>
              <w:rPr>
                <w:rFonts w:ascii="Baskerville" w:hAnsi="Baskerville" w:cs="Arial"/>
                <w:sz w:val="20"/>
                <w:szCs w:val="20"/>
              </w:rPr>
            </w:pPr>
            <w:r w:rsidRPr="00131EED">
              <w:rPr>
                <w:rFonts w:ascii="Baskerville" w:hAnsi="Baskerville" w:cs="Arial"/>
                <w:sz w:val="20"/>
                <w:szCs w:val="20"/>
              </w:rPr>
              <w:t>96.0</w:t>
            </w:r>
          </w:p>
        </w:tc>
      </w:tr>
      <w:tr w:rsidR="00CC5A4D" w:rsidRPr="00131EED" w14:paraId="6CB4110B" w14:textId="77777777" w:rsidTr="00B60DA2">
        <w:trPr>
          <w:trHeight w:val="214"/>
          <w:jc w:val="center"/>
        </w:trPr>
        <w:tc>
          <w:tcPr>
            <w:cnfStyle w:val="001000000000" w:firstRow="0" w:lastRow="0" w:firstColumn="1" w:lastColumn="0" w:oddVBand="0" w:evenVBand="0" w:oddHBand="0" w:evenHBand="0" w:firstRowFirstColumn="0" w:firstRowLastColumn="0" w:lastRowFirstColumn="0" w:lastRowLastColumn="0"/>
            <w:tcW w:w="2405" w:type="dxa"/>
          </w:tcPr>
          <w:p w14:paraId="4576A631" w14:textId="77777777" w:rsidR="00CC5A4D" w:rsidRPr="00131EED" w:rsidRDefault="00CC5A4D" w:rsidP="00B60DA2">
            <w:pPr>
              <w:jc w:val="center"/>
              <w:rPr>
                <w:rFonts w:ascii="Baskerville" w:hAnsi="Baskerville" w:cs="Arial"/>
                <w:b w:val="0"/>
                <w:sz w:val="20"/>
                <w:szCs w:val="20"/>
              </w:rPr>
            </w:pPr>
            <w:r w:rsidRPr="00131EED">
              <w:rPr>
                <w:rFonts w:ascii="Baskerville" w:hAnsi="Baskerville" w:cs="Arial"/>
                <w:b w:val="0"/>
                <w:sz w:val="20"/>
                <w:szCs w:val="20"/>
              </w:rPr>
              <w:t>2021</w:t>
            </w:r>
          </w:p>
        </w:tc>
        <w:tc>
          <w:tcPr>
            <w:tcW w:w="4820" w:type="dxa"/>
          </w:tcPr>
          <w:p w14:paraId="73D27A8B" w14:textId="77777777" w:rsidR="00CC5A4D" w:rsidRPr="00131EED" w:rsidRDefault="00CC5A4D" w:rsidP="00B60DA2">
            <w:pPr>
              <w:jc w:val="center"/>
              <w:cnfStyle w:val="000000000000" w:firstRow="0" w:lastRow="0" w:firstColumn="0" w:lastColumn="0" w:oddVBand="0" w:evenVBand="0" w:oddHBand="0" w:evenHBand="0" w:firstRowFirstColumn="0" w:firstRowLastColumn="0" w:lastRowFirstColumn="0" w:lastRowLastColumn="0"/>
              <w:rPr>
                <w:rFonts w:ascii="Baskerville" w:hAnsi="Baskerville" w:cs="Arial"/>
                <w:sz w:val="20"/>
                <w:szCs w:val="20"/>
              </w:rPr>
            </w:pPr>
            <w:r w:rsidRPr="00131EED">
              <w:rPr>
                <w:rFonts w:ascii="Baskerville" w:hAnsi="Baskerville" w:cs="Arial"/>
                <w:sz w:val="20"/>
                <w:szCs w:val="20"/>
              </w:rPr>
              <w:t>260.64</w:t>
            </w:r>
          </w:p>
        </w:tc>
      </w:tr>
      <w:tr w:rsidR="00CC5A4D" w:rsidRPr="00131EED" w14:paraId="20DFFE27" w14:textId="77777777" w:rsidTr="00B60DA2">
        <w:trPr>
          <w:trHeight w:val="214"/>
          <w:jc w:val="center"/>
        </w:trPr>
        <w:tc>
          <w:tcPr>
            <w:cnfStyle w:val="001000000000" w:firstRow="0" w:lastRow="0" w:firstColumn="1" w:lastColumn="0" w:oddVBand="0" w:evenVBand="0" w:oddHBand="0" w:evenHBand="0" w:firstRowFirstColumn="0" w:firstRowLastColumn="0" w:lastRowFirstColumn="0" w:lastRowLastColumn="0"/>
            <w:tcW w:w="2405" w:type="dxa"/>
          </w:tcPr>
          <w:p w14:paraId="52FEB839" w14:textId="77777777" w:rsidR="00CC5A4D" w:rsidRPr="00131EED" w:rsidRDefault="00CC5A4D" w:rsidP="00B60DA2">
            <w:pPr>
              <w:jc w:val="center"/>
              <w:rPr>
                <w:rFonts w:ascii="Baskerville" w:hAnsi="Baskerville" w:cs="Arial"/>
                <w:b w:val="0"/>
                <w:sz w:val="20"/>
                <w:szCs w:val="20"/>
              </w:rPr>
            </w:pPr>
            <w:r w:rsidRPr="00131EED">
              <w:rPr>
                <w:rFonts w:ascii="Baskerville" w:hAnsi="Baskerville" w:cs="Arial"/>
                <w:b w:val="0"/>
                <w:sz w:val="20"/>
                <w:szCs w:val="20"/>
              </w:rPr>
              <w:t>2022</w:t>
            </w:r>
          </w:p>
        </w:tc>
        <w:tc>
          <w:tcPr>
            <w:tcW w:w="4820" w:type="dxa"/>
          </w:tcPr>
          <w:p w14:paraId="10EE4BD6" w14:textId="77777777" w:rsidR="00CC5A4D" w:rsidRPr="00131EED" w:rsidRDefault="00CC5A4D" w:rsidP="00B60DA2">
            <w:pPr>
              <w:jc w:val="center"/>
              <w:cnfStyle w:val="000000000000" w:firstRow="0" w:lastRow="0" w:firstColumn="0" w:lastColumn="0" w:oddVBand="0" w:evenVBand="0" w:oddHBand="0" w:evenHBand="0" w:firstRowFirstColumn="0" w:firstRowLastColumn="0" w:lastRowFirstColumn="0" w:lastRowLastColumn="0"/>
              <w:rPr>
                <w:rFonts w:ascii="Baskerville" w:hAnsi="Baskerville" w:cs="Arial"/>
                <w:sz w:val="20"/>
                <w:szCs w:val="20"/>
              </w:rPr>
            </w:pPr>
            <w:r w:rsidRPr="00131EED">
              <w:rPr>
                <w:rFonts w:ascii="Baskerville" w:hAnsi="Baskerville" w:cs="Arial"/>
                <w:sz w:val="20"/>
                <w:szCs w:val="20"/>
              </w:rPr>
              <w:t>89.24</w:t>
            </w:r>
          </w:p>
        </w:tc>
      </w:tr>
      <w:tr w:rsidR="00CC5A4D" w:rsidRPr="00131EED" w14:paraId="0CDBB046" w14:textId="77777777" w:rsidTr="00B60DA2">
        <w:trPr>
          <w:trHeight w:val="214"/>
          <w:jc w:val="center"/>
        </w:trPr>
        <w:tc>
          <w:tcPr>
            <w:cnfStyle w:val="001000000000" w:firstRow="0" w:lastRow="0" w:firstColumn="1" w:lastColumn="0" w:oddVBand="0" w:evenVBand="0" w:oddHBand="0" w:evenHBand="0" w:firstRowFirstColumn="0" w:firstRowLastColumn="0" w:lastRowFirstColumn="0" w:lastRowLastColumn="0"/>
            <w:tcW w:w="2405" w:type="dxa"/>
          </w:tcPr>
          <w:p w14:paraId="4C25D47E" w14:textId="77777777" w:rsidR="00CC5A4D" w:rsidRPr="00131EED" w:rsidRDefault="00CC5A4D" w:rsidP="00B60DA2">
            <w:pPr>
              <w:jc w:val="center"/>
              <w:rPr>
                <w:rFonts w:ascii="Baskerville" w:hAnsi="Baskerville" w:cs="Arial"/>
                <w:b w:val="0"/>
                <w:sz w:val="20"/>
                <w:szCs w:val="20"/>
              </w:rPr>
            </w:pPr>
            <w:r w:rsidRPr="00131EED">
              <w:rPr>
                <w:rFonts w:ascii="Baskerville" w:hAnsi="Baskerville" w:cs="Arial"/>
                <w:b w:val="0"/>
                <w:sz w:val="20"/>
                <w:szCs w:val="20"/>
              </w:rPr>
              <w:t>2023</w:t>
            </w:r>
          </w:p>
        </w:tc>
        <w:tc>
          <w:tcPr>
            <w:tcW w:w="4820" w:type="dxa"/>
          </w:tcPr>
          <w:p w14:paraId="6255B3B2" w14:textId="77777777" w:rsidR="00CC5A4D" w:rsidRPr="00131EED" w:rsidRDefault="00CC5A4D" w:rsidP="00B60DA2">
            <w:pPr>
              <w:jc w:val="center"/>
              <w:cnfStyle w:val="000000000000" w:firstRow="0" w:lastRow="0" w:firstColumn="0" w:lastColumn="0" w:oddVBand="0" w:evenVBand="0" w:oddHBand="0" w:evenHBand="0" w:firstRowFirstColumn="0" w:firstRowLastColumn="0" w:lastRowFirstColumn="0" w:lastRowLastColumn="0"/>
              <w:rPr>
                <w:rFonts w:ascii="Baskerville" w:hAnsi="Baskerville" w:cs="Arial"/>
                <w:sz w:val="20"/>
                <w:szCs w:val="20"/>
              </w:rPr>
            </w:pPr>
            <w:r w:rsidRPr="00131EED">
              <w:rPr>
                <w:rFonts w:ascii="Baskerville" w:hAnsi="Baskerville" w:cs="Arial"/>
                <w:sz w:val="20"/>
                <w:szCs w:val="20"/>
              </w:rPr>
              <w:t>56.88</w:t>
            </w:r>
          </w:p>
        </w:tc>
      </w:tr>
    </w:tbl>
    <w:p w14:paraId="63062387" w14:textId="795A0217" w:rsidR="00CC5A4D" w:rsidRPr="00131EED" w:rsidRDefault="00CC5A4D" w:rsidP="00CC5A4D">
      <w:pPr>
        <w:jc w:val="center"/>
        <w:rPr>
          <w:rFonts w:cs="Arial"/>
          <w:sz w:val="20"/>
          <w:szCs w:val="20"/>
        </w:rPr>
      </w:pPr>
      <w:r w:rsidRPr="00131EED">
        <w:rPr>
          <w:rFonts w:cs="Arial"/>
          <w:sz w:val="20"/>
          <w:szCs w:val="20"/>
        </w:rPr>
        <w:t xml:space="preserve">Fuente: ORARBO </w:t>
      </w:r>
      <w:sdt>
        <w:sdtPr>
          <w:rPr>
            <w:rFonts w:cs="Arial"/>
            <w:sz w:val="20"/>
            <w:szCs w:val="20"/>
          </w:rPr>
          <w:id w:val="1840497844"/>
          <w:citation/>
        </w:sdtPr>
        <w:sdtEndPr/>
        <w:sdtContent>
          <w:r w:rsidRPr="00131EED">
            <w:rPr>
              <w:rFonts w:cs="Arial"/>
              <w:sz w:val="20"/>
              <w:szCs w:val="20"/>
            </w:rPr>
            <w:fldChar w:fldCharType="begin"/>
          </w:r>
          <w:r w:rsidRPr="00131EED">
            <w:rPr>
              <w:rFonts w:cs="Arial"/>
              <w:sz w:val="20"/>
              <w:szCs w:val="20"/>
            </w:rPr>
            <w:instrText xml:space="preserve">CITATION ORA \n  \t  \l 3082 </w:instrText>
          </w:r>
          <w:r w:rsidRPr="00131EED">
            <w:rPr>
              <w:rFonts w:cs="Arial"/>
              <w:sz w:val="20"/>
              <w:szCs w:val="20"/>
            </w:rPr>
            <w:fldChar w:fldCharType="separate"/>
          </w:r>
          <w:r w:rsidRPr="00131EED">
            <w:rPr>
              <w:rFonts w:cs="Arial"/>
              <w:sz w:val="20"/>
              <w:szCs w:val="20"/>
            </w:rPr>
            <w:t>(2023)</w:t>
          </w:r>
          <w:r w:rsidRPr="00131EED">
            <w:rPr>
              <w:rFonts w:cs="Arial"/>
              <w:sz w:val="20"/>
              <w:szCs w:val="20"/>
            </w:rPr>
            <w:fldChar w:fldCharType="end"/>
          </w:r>
        </w:sdtContent>
      </w:sdt>
    </w:p>
    <w:p w14:paraId="7D8DD16C" w14:textId="77777777" w:rsidR="00CC5A4D" w:rsidRPr="00131EED" w:rsidRDefault="00CC5A4D" w:rsidP="00CC5A4D">
      <w:pPr>
        <w:rPr>
          <w:rFonts w:ascii="Baskerville" w:hAnsi="Baskerville" w:cs="Arial"/>
          <w:sz w:val="20"/>
          <w:szCs w:val="20"/>
        </w:rPr>
      </w:pPr>
    </w:p>
    <w:p w14:paraId="6A90E6C4" w14:textId="77777777" w:rsidR="00A4471C" w:rsidRPr="00131EED" w:rsidRDefault="00A4471C" w:rsidP="00CC5A4D">
      <w:pPr>
        <w:rPr>
          <w:rFonts w:ascii="Baskerville" w:hAnsi="Baskerville" w:cs="Arial"/>
          <w:sz w:val="20"/>
          <w:szCs w:val="20"/>
        </w:rPr>
      </w:pPr>
    </w:p>
    <w:p w14:paraId="44A82534" w14:textId="77777777" w:rsidR="00CC5A4D" w:rsidRPr="00131EED" w:rsidRDefault="00CC5A4D" w:rsidP="00CC5A4D">
      <w:pPr>
        <w:rPr>
          <w:rFonts w:cs="Arial"/>
        </w:rPr>
      </w:pPr>
      <w:r w:rsidRPr="00131EED">
        <w:rPr>
          <w:rFonts w:cs="Arial"/>
        </w:rPr>
        <w:t>El análisis del comportamiento del caudal concesionado en la cuenca del río Bogotá muestra cierta variabilidad a lo largo de los años evaluados. En los años 2015, 2016 y 2018, se observa cierta estabilidad en los niveles de caudal concesionado, con valores cercanos a los 45-46 m³/s. Esto podría indicar una relativa consistencia en la gestión y asignación de agua durante esos años.</w:t>
      </w:r>
    </w:p>
    <w:p w14:paraId="01A8173B" w14:textId="77777777" w:rsidR="00CC5A4D" w:rsidRPr="00131EED" w:rsidRDefault="00CC5A4D" w:rsidP="00CC5A4D">
      <w:pPr>
        <w:rPr>
          <w:rFonts w:cs="Arial"/>
        </w:rPr>
      </w:pPr>
    </w:p>
    <w:p w14:paraId="288FF605" w14:textId="77777777" w:rsidR="00CC5A4D" w:rsidRPr="00131EED" w:rsidRDefault="00CC5A4D" w:rsidP="00CC5A4D">
      <w:pPr>
        <w:rPr>
          <w:rFonts w:cs="Arial"/>
        </w:rPr>
      </w:pPr>
      <w:r w:rsidRPr="00131EED">
        <w:rPr>
          <w:rFonts w:cs="Arial"/>
        </w:rPr>
        <w:t xml:space="preserve">Sin embargo, en el año 2019 se registra un aumento significativo en el caudal concesionado, alcanzando los 96 m³/s. Este incremento notable podría estar relacionado con cambios en la regulación del agua, proyectos de infraestructura o la identificación de necesidades adicionales de suministro de agua en la región. El año 2021 destaca con un aumento drástico en el caudal concesionado, llegando a 260.64 m³/s. </w:t>
      </w:r>
    </w:p>
    <w:p w14:paraId="35DDF183" w14:textId="77777777" w:rsidR="00CC5A4D" w:rsidRPr="00131EED" w:rsidRDefault="00CC5A4D" w:rsidP="00CC5A4D">
      <w:pPr>
        <w:rPr>
          <w:rFonts w:cs="Arial"/>
        </w:rPr>
      </w:pPr>
    </w:p>
    <w:p w14:paraId="1E870FD0" w14:textId="3409BAAA" w:rsidR="00CC5A4D" w:rsidRPr="00131EED" w:rsidRDefault="00CC5A4D" w:rsidP="00CC5A4D">
      <w:pPr>
        <w:rPr>
          <w:rFonts w:cs="Arial"/>
        </w:rPr>
      </w:pPr>
      <w:r w:rsidRPr="00131EED">
        <w:rPr>
          <w:rFonts w:cs="Arial"/>
        </w:rPr>
        <w:t xml:space="preserve">Finalmente, en el año 2022 se observa una disminución en el caudal concesionado en comparación con el año anterior, aunque aún se mantiene en un nivel relativamente alto, con 89.24 m³/s. Esta reducción podría estar relacionada con ajustes en la gestión del agua o cambios en las condiciones hidrológicas de la región. Entonces, el análisis del caudal concesionado muestra una variabilidad significativa a lo largo de los años, lo que refleja la dinámica y los desafíos asociados con la gestión del agua en la cuenca del río Bogotá. Así mismo, para la cuenca del río Bogotá se evidencia un incremento en las captaciones reportadas en el Observatorio Regional Ambiental y de Desarrollo Sostenible del río Bogotá </w:t>
      </w:r>
      <w:sdt>
        <w:sdtPr>
          <w:rPr>
            <w:rFonts w:cs="Arial"/>
            <w:color w:val="2B579A"/>
            <w:shd w:val="clear" w:color="auto" w:fill="E6E6E6"/>
          </w:rPr>
          <w:id w:val="-376319497"/>
          <w:citation/>
        </w:sdtPr>
        <w:sdtEndPr/>
        <w:sdtContent>
          <w:r w:rsidRPr="00131EED">
            <w:rPr>
              <w:rFonts w:cs="Arial"/>
              <w:color w:val="2B579A"/>
              <w:shd w:val="clear" w:color="auto" w:fill="E6E6E6"/>
            </w:rPr>
            <w:fldChar w:fldCharType="begin"/>
          </w:r>
          <w:r w:rsidRPr="00131EED">
            <w:rPr>
              <w:rFonts w:cs="Arial"/>
            </w:rPr>
            <w:instrText xml:space="preserve">CITATION ORA \t  \l 3082 </w:instrText>
          </w:r>
          <w:r w:rsidRPr="00131EED">
            <w:rPr>
              <w:rFonts w:cs="Arial"/>
              <w:color w:val="2B579A"/>
              <w:shd w:val="clear" w:color="auto" w:fill="E6E6E6"/>
            </w:rPr>
            <w:fldChar w:fldCharType="separate"/>
          </w:r>
          <w:r w:rsidRPr="00131EED">
            <w:rPr>
              <w:rFonts w:cs="Arial"/>
            </w:rPr>
            <w:t>(ORARBO, 2023)</w:t>
          </w:r>
          <w:r w:rsidRPr="00131EED">
            <w:rPr>
              <w:rFonts w:cs="Arial"/>
              <w:color w:val="2B579A"/>
              <w:shd w:val="clear" w:color="auto" w:fill="E6E6E6"/>
            </w:rPr>
            <w:fldChar w:fldCharType="end"/>
          </w:r>
        </w:sdtContent>
      </w:sdt>
      <w:r w:rsidRPr="00131EED">
        <w:rPr>
          <w:rFonts w:cs="Arial"/>
        </w:rPr>
        <w:t xml:space="preserve"> como se muestra en la figura siguiente.</w:t>
      </w:r>
    </w:p>
    <w:p w14:paraId="3E7658DB" w14:textId="77777777" w:rsidR="00CC5A4D" w:rsidRPr="00131EED" w:rsidRDefault="00CC5A4D" w:rsidP="00CC5A4D">
      <w:pPr>
        <w:rPr>
          <w:rFonts w:ascii="Baskerville" w:hAnsi="Baskerville" w:cs="Arial"/>
          <w:sz w:val="20"/>
          <w:szCs w:val="20"/>
        </w:rPr>
      </w:pPr>
    </w:p>
    <w:p w14:paraId="558D813B" w14:textId="18877E48" w:rsidR="00BE6A72" w:rsidRPr="00131EED" w:rsidRDefault="00165BBB" w:rsidP="00165BBB">
      <w:pPr>
        <w:pStyle w:val="Caption"/>
        <w:jc w:val="center"/>
      </w:pPr>
      <w:bookmarkStart w:id="429" w:name="_Toc216468886"/>
      <w:r w:rsidRPr="00131EED">
        <w:t xml:space="preserve">Ilustración </w:t>
      </w:r>
      <w:r w:rsidRPr="00131EED">
        <w:fldChar w:fldCharType="begin"/>
      </w:r>
      <w:r w:rsidRPr="00131EED">
        <w:instrText>SEQ Ilustración \* ARABIC</w:instrText>
      </w:r>
      <w:r w:rsidRPr="00131EED">
        <w:fldChar w:fldCharType="separate"/>
      </w:r>
      <w:r w:rsidR="00CE096F">
        <w:rPr>
          <w:noProof/>
        </w:rPr>
        <w:t>121</w:t>
      </w:r>
      <w:r w:rsidRPr="00131EED">
        <w:fldChar w:fldCharType="end"/>
      </w:r>
      <w:r w:rsidRPr="00131EED">
        <w:t xml:space="preserve"> C</w:t>
      </w:r>
      <w:r w:rsidR="00BE6A72" w:rsidRPr="00131EED">
        <w:t>aptaciones cuenca río Bogotá</w:t>
      </w:r>
      <w:bookmarkEnd w:id="429"/>
    </w:p>
    <w:p w14:paraId="55C9FCC6" w14:textId="77777777" w:rsidR="00CC5A4D" w:rsidRPr="00131EED" w:rsidRDefault="00CC5A4D" w:rsidP="00CC5A4D">
      <w:pPr>
        <w:jc w:val="center"/>
        <w:rPr>
          <w:rFonts w:ascii="Baskerville" w:hAnsi="Baskerville" w:cs="Arial"/>
          <w:sz w:val="12"/>
          <w:szCs w:val="12"/>
        </w:rPr>
      </w:pPr>
    </w:p>
    <w:p w14:paraId="40F3283F" w14:textId="77777777" w:rsidR="00CC5A4D" w:rsidRPr="00131EED" w:rsidRDefault="00CC5A4D" w:rsidP="00CC5A4D">
      <w:pPr>
        <w:jc w:val="center"/>
        <w:rPr>
          <w:rFonts w:ascii="Baskerville" w:hAnsi="Baskerville" w:cs="Arial"/>
        </w:rPr>
      </w:pPr>
      <w:r w:rsidRPr="00131EED">
        <w:rPr>
          <w:rFonts w:ascii="Baskerville" w:hAnsi="Baskerville" w:cs="Arial"/>
          <w:noProof/>
          <w:lang w:eastAsia="en-US"/>
        </w:rPr>
        <w:drawing>
          <wp:inline distT="0" distB="0" distL="0" distR="0" wp14:anchorId="0FD9704B" wp14:editId="01C11AF4">
            <wp:extent cx="4149969" cy="1718589"/>
            <wp:effectExtent l="0" t="0" r="3175" b="0"/>
            <wp:docPr id="5" name="Imagen 5" descr="A graph with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A graph with blue bars&#10;&#10;AI-generated content may be incorrect."/>
                    <pic:cNvPicPr/>
                  </pic:nvPicPr>
                  <pic:blipFill rotWithShape="1">
                    <a:blip r:embed="rId199"/>
                    <a:srcRect t="1" b="17456"/>
                    <a:stretch/>
                  </pic:blipFill>
                  <pic:spPr bwMode="auto">
                    <a:xfrm>
                      <a:off x="0" y="0"/>
                      <a:ext cx="4164201" cy="1724483"/>
                    </a:xfrm>
                    <a:prstGeom prst="rect">
                      <a:avLst/>
                    </a:prstGeom>
                    <a:ln>
                      <a:noFill/>
                    </a:ln>
                    <a:extLst>
                      <a:ext uri="{53640926-AAD7-44D8-BBD7-CCE9431645EC}">
                        <a14:shadowObscured xmlns:a14="http://schemas.microsoft.com/office/drawing/2010/main"/>
                      </a:ext>
                    </a:extLst>
                  </pic:spPr>
                </pic:pic>
              </a:graphicData>
            </a:graphic>
          </wp:inline>
        </w:drawing>
      </w:r>
    </w:p>
    <w:p w14:paraId="1E4B08C0" w14:textId="717AAD8A" w:rsidR="00CC5A4D" w:rsidRPr="00131EED" w:rsidRDefault="00CC5A4D" w:rsidP="00CC5A4D">
      <w:pPr>
        <w:pStyle w:val="Caption"/>
        <w:spacing w:after="0"/>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 xml:space="preserve">Fuente:  ORARBO </w:t>
      </w:r>
      <w:sdt>
        <w:sdtPr>
          <w:rPr>
            <w:rFonts w:ascii="Baskerville Old Face" w:hAnsi="Baskerville Old Face"/>
            <w:i w:val="0"/>
            <w:color w:val="auto"/>
            <w:sz w:val="20"/>
            <w:szCs w:val="20"/>
          </w:rPr>
          <w:id w:val="1471473433"/>
          <w:citation/>
        </w:sdtPr>
        <w:sdtEndPr/>
        <w:sdtContent>
          <w:r w:rsidRPr="00131EED">
            <w:rPr>
              <w:rFonts w:ascii="Baskerville Old Face" w:hAnsi="Baskerville Old Face"/>
              <w:i w:val="0"/>
              <w:color w:val="auto"/>
              <w:sz w:val="20"/>
              <w:szCs w:val="20"/>
            </w:rPr>
            <w:fldChar w:fldCharType="begin"/>
          </w:r>
          <w:r w:rsidRPr="00131EED">
            <w:rPr>
              <w:rFonts w:ascii="Baskerville Old Face" w:hAnsi="Baskerville Old Face"/>
              <w:i w:val="0"/>
              <w:color w:val="auto"/>
              <w:sz w:val="20"/>
              <w:szCs w:val="20"/>
            </w:rPr>
            <w:instrText xml:space="preserve">CITATION ORA \n  \t  \l 3082 </w:instrText>
          </w:r>
          <w:r w:rsidRPr="00131EED">
            <w:rPr>
              <w:rFonts w:ascii="Baskerville Old Face" w:hAnsi="Baskerville Old Face"/>
              <w:i w:val="0"/>
              <w:color w:val="auto"/>
              <w:sz w:val="20"/>
              <w:szCs w:val="20"/>
            </w:rPr>
            <w:fldChar w:fldCharType="separate"/>
          </w:r>
          <w:r w:rsidRPr="00131EED">
            <w:rPr>
              <w:rFonts w:ascii="Baskerville Old Face" w:hAnsi="Baskerville Old Face"/>
              <w:color w:val="auto"/>
              <w:sz w:val="20"/>
              <w:szCs w:val="20"/>
            </w:rPr>
            <w:t>(2023)</w:t>
          </w:r>
          <w:r w:rsidRPr="00131EED">
            <w:rPr>
              <w:rFonts w:ascii="Baskerville Old Face" w:hAnsi="Baskerville Old Face"/>
              <w:i w:val="0"/>
              <w:color w:val="auto"/>
              <w:sz w:val="20"/>
              <w:szCs w:val="20"/>
            </w:rPr>
            <w:fldChar w:fldCharType="end"/>
          </w:r>
        </w:sdtContent>
      </w:sdt>
    </w:p>
    <w:p w14:paraId="3657173D" w14:textId="77777777" w:rsidR="00B179BE" w:rsidRPr="00131EED" w:rsidRDefault="00B179BE" w:rsidP="006845C5">
      <w:pPr>
        <w:rPr>
          <w:i/>
          <w:iCs/>
        </w:rPr>
      </w:pPr>
    </w:p>
    <w:p w14:paraId="3F9B7947" w14:textId="77777777" w:rsidR="00CC5A4D" w:rsidRPr="00131EED" w:rsidRDefault="00CC5A4D" w:rsidP="00CC5A4D">
      <w:pPr>
        <w:rPr>
          <w:rFonts w:cs="Arial"/>
        </w:rPr>
      </w:pPr>
      <w:r w:rsidRPr="00131EED">
        <w:rPr>
          <w:rFonts w:cs="Arial"/>
        </w:rPr>
        <w:t xml:space="preserve">El mapa presentado a continuación, muestra el índice del uso de agua en la región Sabana de Bogotá. </w:t>
      </w:r>
    </w:p>
    <w:p w14:paraId="250B2944" w14:textId="77777777" w:rsidR="00A4471C" w:rsidRPr="00131EED" w:rsidRDefault="00A4471C" w:rsidP="00CC5A4D">
      <w:pPr>
        <w:rPr>
          <w:rFonts w:cs="Arial"/>
        </w:rPr>
      </w:pPr>
    </w:p>
    <w:p w14:paraId="44612312" w14:textId="2A4B7F42" w:rsidR="00A4471C" w:rsidRPr="00131EED" w:rsidRDefault="00A4471C" w:rsidP="00CC5A4D">
      <w:pPr>
        <w:rPr>
          <w:rFonts w:cs="Arial"/>
        </w:rPr>
      </w:pPr>
    </w:p>
    <w:p w14:paraId="2D5DDA39" w14:textId="35D1EEDB" w:rsidR="002C66C4" w:rsidRPr="00131EED" w:rsidRDefault="002C66C4" w:rsidP="00CC5A4D">
      <w:pPr>
        <w:rPr>
          <w:rFonts w:cs="Arial"/>
        </w:rPr>
      </w:pPr>
    </w:p>
    <w:p w14:paraId="51C52358" w14:textId="69E79EB2" w:rsidR="002C66C4" w:rsidRPr="00131EED" w:rsidRDefault="002C66C4" w:rsidP="00CC5A4D">
      <w:pPr>
        <w:rPr>
          <w:rFonts w:cs="Arial"/>
        </w:rPr>
      </w:pPr>
    </w:p>
    <w:p w14:paraId="75BFF4D1" w14:textId="62691F9F" w:rsidR="002C66C4" w:rsidRPr="00131EED" w:rsidRDefault="002C66C4" w:rsidP="00CC5A4D">
      <w:pPr>
        <w:rPr>
          <w:rFonts w:cs="Arial"/>
        </w:rPr>
      </w:pPr>
    </w:p>
    <w:p w14:paraId="67455CE1" w14:textId="77777777" w:rsidR="00D02D64" w:rsidRPr="00131EED" w:rsidRDefault="00D02D64" w:rsidP="00CC5A4D">
      <w:pPr>
        <w:rPr>
          <w:rFonts w:cs="Arial"/>
        </w:rPr>
      </w:pPr>
    </w:p>
    <w:p w14:paraId="5439B9D3" w14:textId="77777777" w:rsidR="00D02D64" w:rsidRPr="00131EED" w:rsidRDefault="00D02D64" w:rsidP="00CC5A4D">
      <w:pPr>
        <w:rPr>
          <w:rFonts w:cs="Arial"/>
        </w:rPr>
      </w:pPr>
    </w:p>
    <w:p w14:paraId="59241646" w14:textId="77777777" w:rsidR="00D02D64" w:rsidRPr="00131EED" w:rsidRDefault="00D02D64" w:rsidP="00CC5A4D">
      <w:pPr>
        <w:rPr>
          <w:rFonts w:cs="Arial"/>
        </w:rPr>
      </w:pPr>
    </w:p>
    <w:p w14:paraId="75EF3FA6" w14:textId="77777777" w:rsidR="00D02D64" w:rsidRPr="00131EED" w:rsidRDefault="00D02D64" w:rsidP="00CC5A4D">
      <w:pPr>
        <w:rPr>
          <w:rFonts w:cs="Arial"/>
        </w:rPr>
      </w:pPr>
    </w:p>
    <w:p w14:paraId="503F3DD6" w14:textId="77777777" w:rsidR="00D02D64" w:rsidRPr="00131EED" w:rsidRDefault="00D02D64" w:rsidP="00CC5A4D">
      <w:pPr>
        <w:rPr>
          <w:rFonts w:cs="Arial"/>
        </w:rPr>
      </w:pPr>
    </w:p>
    <w:p w14:paraId="5DCC3E59" w14:textId="77777777" w:rsidR="00D02D64" w:rsidRPr="00131EED" w:rsidRDefault="00D02D64" w:rsidP="00CC5A4D">
      <w:pPr>
        <w:rPr>
          <w:rFonts w:cs="Arial"/>
        </w:rPr>
      </w:pPr>
    </w:p>
    <w:p w14:paraId="75EF0534" w14:textId="42C48DA0" w:rsidR="002C66C4" w:rsidRPr="00131EED" w:rsidRDefault="002C66C4" w:rsidP="00CC5A4D">
      <w:pPr>
        <w:rPr>
          <w:rFonts w:cs="Arial"/>
        </w:rPr>
      </w:pPr>
    </w:p>
    <w:p w14:paraId="0979F9A3" w14:textId="77777777" w:rsidR="002C66C4" w:rsidRPr="00131EED" w:rsidRDefault="002C66C4" w:rsidP="00CC5A4D">
      <w:pPr>
        <w:rPr>
          <w:rFonts w:cs="Arial"/>
        </w:rPr>
      </w:pPr>
    </w:p>
    <w:p w14:paraId="702C7C50" w14:textId="6E72DD81" w:rsidR="00CC5A4D" w:rsidRPr="00131EED" w:rsidRDefault="00165BBB" w:rsidP="00165BBB">
      <w:pPr>
        <w:pStyle w:val="Caption"/>
        <w:jc w:val="center"/>
      </w:pPr>
      <w:bookmarkStart w:id="430" w:name="_Toc162338939"/>
      <w:bookmarkStart w:id="431" w:name="_Toc216468887"/>
      <w:r w:rsidRPr="00131EED">
        <w:t xml:space="preserve">Ilustración </w:t>
      </w:r>
      <w:r w:rsidRPr="00131EED">
        <w:fldChar w:fldCharType="begin"/>
      </w:r>
      <w:r w:rsidRPr="00131EED">
        <w:instrText>SEQ Ilustración \* ARABIC</w:instrText>
      </w:r>
      <w:r w:rsidRPr="00131EED">
        <w:fldChar w:fldCharType="separate"/>
      </w:r>
      <w:r w:rsidR="00CE096F">
        <w:rPr>
          <w:noProof/>
        </w:rPr>
        <w:t>122</w:t>
      </w:r>
      <w:r w:rsidRPr="00131EED">
        <w:fldChar w:fldCharType="end"/>
      </w:r>
      <w:r w:rsidRPr="00131EED">
        <w:t xml:space="preserve"> </w:t>
      </w:r>
      <w:r w:rsidR="00CC5A4D" w:rsidRPr="00131EED">
        <w:t>Índice de uso del agua región Sabana de Bogotá</w:t>
      </w:r>
      <w:bookmarkEnd w:id="430"/>
      <w:bookmarkEnd w:id="431"/>
    </w:p>
    <w:p w14:paraId="75AA02D1" w14:textId="06AFD570" w:rsidR="00CC5A4D" w:rsidRPr="00131EED" w:rsidRDefault="006B2B7C" w:rsidP="006845C5">
      <w:pPr>
        <w:pStyle w:val="NormalWeb"/>
        <w:spacing w:before="0" w:beforeAutospacing="0" w:after="0" w:afterAutospacing="0"/>
        <w:jc w:val="center"/>
        <w:rPr>
          <w:rFonts w:ascii="Times New Roman" w:hAnsi="Times New Roman" w:cs="Times New Roman"/>
        </w:rPr>
      </w:pPr>
      <w:r w:rsidRPr="00131EED">
        <w:rPr>
          <w:rFonts w:ascii="Times New Roman" w:hAnsi="Times New Roman" w:cs="Times New Roman"/>
          <w:noProof/>
          <w:lang w:eastAsia="en-US"/>
        </w:rPr>
        <w:drawing>
          <wp:inline distT="0" distB="0" distL="0" distR="0" wp14:anchorId="67DFFE68" wp14:editId="5B57E79B">
            <wp:extent cx="2815969" cy="3643745"/>
            <wp:effectExtent l="0" t="0" r="381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818584" cy="3647129"/>
                    </a:xfrm>
                    <a:prstGeom prst="rect">
                      <a:avLst/>
                    </a:prstGeom>
                    <a:noFill/>
                    <a:ln>
                      <a:noFill/>
                    </a:ln>
                  </pic:spPr>
                </pic:pic>
              </a:graphicData>
            </a:graphic>
          </wp:inline>
        </w:drawing>
      </w:r>
    </w:p>
    <w:p w14:paraId="163B1293" w14:textId="37119655" w:rsidR="00CC5A4D" w:rsidRPr="00131EED" w:rsidRDefault="00CC5A4D" w:rsidP="00CC5A4D">
      <w:pPr>
        <w:pStyle w:val="Caption"/>
        <w:spacing w:after="0"/>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 xml:space="preserve">Fuente:  </w:t>
      </w:r>
      <w:r w:rsidR="00596ABB" w:rsidRPr="00131EED">
        <w:rPr>
          <w:rFonts w:ascii="Baskerville Old Face" w:hAnsi="Baskerville Old Face"/>
          <w:i w:val="0"/>
          <w:color w:val="auto"/>
          <w:sz w:val="20"/>
          <w:szCs w:val="20"/>
        </w:rPr>
        <w:t>adaptado por los autores con base en el POMCA del río Bogotá</w:t>
      </w:r>
      <w:r w:rsidR="00596ABB" w:rsidRPr="00131EED" w:rsidDel="00596ABB">
        <w:rPr>
          <w:rFonts w:ascii="Baskerville Old Face" w:hAnsi="Baskerville Old Face"/>
          <w:i w:val="0"/>
          <w:color w:val="auto"/>
          <w:sz w:val="20"/>
          <w:szCs w:val="20"/>
        </w:rPr>
        <w:t xml:space="preserve"> </w:t>
      </w:r>
    </w:p>
    <w:p w14:paraId="7344549C" w14:textId="77777777" w:rsidR="00CC5A4D" w:rsidRPr="00131EED" w:rsidRDefault="00CC5A4D" w:rsidP="00CC5A4D">
      <w:pPr>
        <w:rPr>
          <w:rFonts w:cs="Arial"/>
        </w:rPr>
      </w:pPr>
    </w:p>
    <w:p w14:paraId="1F6EE241" w14:textId="77777777" w:rsidR="00CC5A4D" w:rsidRPr="00131EED" w:rsidRDefault="00CC5A4D" w:rsidP="00CC5A4D">
      <w:pPr>
        <w:rPr>
          <w:rFonts w:cs="Arial"/>
        </w:rPr>
      </w:pPr>
      <w:r w:rsidRPr="00131EED">
        <w:rPr>
          <w:rFonts w:cs="Arial"/>
        </w:rPr>
        <w:t xml:space="preserve">En la región Sabana de Bogotá, existe una presión importante de la demanda total de agua, la cual incluye la demanda de tipo residencial agrícola, pecuario e industrial, con respecto a la oferta hídrica regional disponible, la cual se puede evaluar a través del índice de uso del agua (IUA). A continuación, se presenta el índice de uso del agua para la región sabana de Bogotá de acuerdo con las Evaluaciones Regionales del Agua (ERA) de las cuencas que conforman dicha región. </w:t>
      </w:r>
    </w:p>
    <w:p w14:paraId="7BEA9B92" w14:textId="77777777" w:rsidR="00CC5A4D" w:rsidRPr="00131EED" w:rsidRDefault="00CC5A4D" w:rsidP="006845C5">
      <w:pPr>
        <w:jc w:val="center"/>
        <w:rPr>
          <w:rFonts w:ascii="Baskerville" w:hAnsi="Baskerville" w:cs="Arial"/>
          <w:sz w:val="20"/>
          <w:szCs w:val="20"/>
        </w:rPr>
      </w:pPr>
    </w:p>
    <w:p w14:paraId="725F2693" w14:textId="4DDDFE7F" w:rsidR="00CC5A4D" w:rsidRPr="00131EED" w:rsidRDefault="00CC5A4D" w:rsidP="00165BBB">
      <w:pPr>
        <w:pStyle w:val="Caption"/>
      </w:pPr>
      <w:bookmarkStart w:id="432" w:name="_Ref161742873"/>
      <w:bookmarkStart w:id="433" w:name="_Toc162340790"/>
      <w:bookmarkStart w:id="434" w:name="_Toc216468994"/>
      <w:r w:rsidRPr="00131EED">
        <w:t xml:space="preserve">Tabla </w:t>
      </w:r>
      <w:bookmarkEnd w:id="432"/>
      <w:r w:rsidRPr="00131EED">
        <w:fldChar w:fldCharType="begin"/>
      </w:r>
      <w:r w:rsidRPr="00131EED">
        <w:instrText xml:space="preserve"> SEQ Tabla \* ARABIC </w:instrText>
      </w:r>
      <w:r w:rsidRPr="00131EED">
        <w:fldChar w:fldCharType="separate"/>
      </w:r>
      <w:r w:rsidR="00CE096F">
        <w:rPr>
          <w:noProof/>
        </w:rPr>
        <w:t>84</w:t>
      </w:r>
      <w:r w:rsidRPr="00131EED">
        <w:fldChar w:fldCharType="end"/>
      </w:r>
      <w:r w:rsidRPr="00131EED">
        <w:t>. Comparación índice de uso del agua (IUA), oferta y demanda subcuencas Sabana de Bogotá (m3/s)</w:t>
      </w:r>
      <w:bookmarkEnd w:id="433"/>
      <w:bookmarkEnd w:id="434"/>
    </w:p>
    <w:tbl>
      <w:tblPr>
        <w:tblStyle w:val="GridTable1Light"/>
        <w:tblW w:w="10733" w:type="dxa"/>
        <w:jc w:val="center"/>
        <w:tblLayout w:type="fixed"/>
        <w:tblLook w:val="04A0" w:firstRow="1" w:lastRow="0" w:firstColumn="1" w:lastColumn="0" w:noHBand="0" w:noVBand="1"/>
      </w:tblPr>
      <w:tblGrid>
        <w:gridCol w:w="1456"/>
        <w:gridCol w:w="795"/>
        <w:gridCol w:w="926"/>
        <w:gridCol w:w="528"/>
        <w:gridCol w:w="800"/>
        <w:gridCol w:w="794"/>
        <w:gridCol w:w="926"/>
        <w:gridCol w:w="528"/>
        <w:gridCol w:w="800"/>
        <w:gridCol w:w="794"/>
        <w:gridCol w:w="927"/>
        <w:gridCol w:w="660"/>
        <w:gridCol w:w="799"/>
      </w:tblGrid>
      <w:tr w:rsidR="00CC5A4D" w:rsidRPr="00131EED" w14:paraId="44136E6A" w14:textId="77777777" w:rsidTr="00A4471C">
        <w:trPr>
          <w:cnfStyle w:val="100000000000" w:firstRow="1" w:lastRow="0" w:firstColumn="0" w:lastColumn="0" w:oddVBand="0" w:evenVBand="0" w:oddHBand="0" w:evenHBand="0" w:firstRowFirstColumn="0" w:firstRowLastColumn="0" w:lastRowFirstColumn="0" w:lastRowLastColumn="0"/>
          <w:trHeight w:val="37"/>
          <w:tblHeader/>
          <w:jc w:val="center"/>
        </w:trPr>
        <w:tc>
          <w:tcPr>
            <w:cnfStyle w:val="001000000000" w:firstRow="0" w:lastRow="0" w:firstColumn="1" w:lastColumn="0" w:oddVBand="0" w:evenVBand="0" w:oddHBand="0" w:evenHBand="0" w:firstRowFirstColumn="0" w:firstRowLastColumn="0" w:lastRowFirstColumn="0" w:lastRowLastColumn="0"/>
            <w:tcW w:w="1456" w:type="dxa"/>
            <w:vMerge w:val="restart"/>
            <w:vAlign w:val="center"/>
          </w:tcPr>
          <w:p w14:paraId="4757BD07" w14:textId="77777777" w:rsidR="00CC5A4D" w:rsidRPr="00131EED" w:rsidRDefault="00CC5A4D" w:rsidP="006845C5">
            <w:pPr>
              <w:jc w:val="center"/>
              <w:rPr>
                <w:rFonts w:cs="Arial"/>
                <w:sz w:val="14"/>
                <w:szCs w:val="14"/>
              </w:rPr>
            </w:pPr>
            <w:r w:rsidRPr="00131EED">
              <w:rPr>
                <w:rFonts w:cs="Arial"/>
                <w:sz w:val="14"/>
                <w:szCs w:val="14"/>
              </w:rPr>
              <w:t>SUBCUENCA</w:t>
            </w:r>
          </w:p>
        </w:tc>
        <w:tc>
          <w:tcPr>
            <w:tcW w:w="3049" w:type="dxa"/>
            <w:gridSpan w:val="4"/>
            <w:vAlign w:val="bottom"/>
          </w:tcPr>
          <w:p w14:paraId="0BFB977A"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1° EDICIÓN</w:t>
            </w:r>
          </w:p>
        </w:tc>
        <w:tc>
          <w:tcPr>
            <w:tcW w:w="3048" w:type="dxa"/>
            <w:gridSpan w:val="4"/>
          </w:tcPr>
          <w:p w14:paraId="4DEEE64E"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2° EDICIÓN</w:t>
            </w:r>
          </w:p>
        </w:tc>
        <w:tc>
          <w:tcPr>
            <w:tcW w:w="3180" w:type="dxa"/>
            <w:gridSpan w:val="4"/>
          </w:tcPr>
          <w:p w14:paraId="61062702"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3° EDICIÓN</w:t>
            </w:r>
          </w:p>
        </w:tc>
      </w:tr>
      <w:tr w:rsidR="00CC5A4D" w:rsidRPr="00131EED" w14:paraId="3643DB75" w14:textId="77777777" w:rsidTr="00A4471C">
        <w:trPr>
          <w:cnfStyle w:val="100000000000" w:firstRow="1" w:lastRow="0" w:firstColumn="0" w:lastColumn="0" w:oddVBand="0" w:evenVBand="0" w:oddHBand="0" w:evenHBand="0" w:firstRowFirstColumn="0" w:firstRowLastColumn="0" w:lastRowFirstColumn="0" w:lastRowLastColumn="0"/>
          <w:trHeight w:val="37"/>
          <w:tblHeader/>
          <w:jc w:val="center"/>
        </w:trPr>
        <w:tc>
          <w:tcPr>
            <w:cnfStyle w:val="001000000000" w:firstRow="0" w:lastRow="0" w:firstColumn="1" w:lastColumn="0" w:oddVBand="0" w:evenVBand="0" w:oddHBand="0" w:evenHBand="0" w:firstRowFirstColumn="0" w:firstRowLastColumn="0" w:lastRowFirstColumn="0" w:lastRowLastColumn="0"/>
            <w:tcW w:w="1456" w:type="dxa"/>
            <w:vMerge/>
            <w:vAlign w:val="center"/>
          </w:tcPr>
          <w:p w14:paraId="387FA78F" w14:textId="77777777" w:rsidR="00CC5A4D" w:rsidRPr="00131EED" w:rsidRDefault="00CC5A4D" w:rsidP="006845C5">
            <w:pPr>
              <w:jc w:val="center"/>
              <w:rPr>
                <w:rFonts w:cs="Arial"/>
                <w:sz w:val="14"/>
                <w:szCs w:val="14"/>
              </w:rPr>
            </w:pPr>
          </w:p>
        </w:tc>
        <w:tc>
          <w:tcPr>
            <w:tcW w:w="795" w:type="dxa"/>
            <w:vAlign w:val="bottom"/>
          </w:tcPr>
          <w:p w14:paraId="144BE4A1" w14:textId="46235A93"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b w:val="0"/>
                <w:sz w:val="14"/>
                <w:szCs w:val="14"/>
              </w:rPr>
            </w:pPr>
            <w:r w:rsidRPr="00131EED">
              <w:rPr>
                <w:rFonts w:cs="Arial"/>
                <w:sz w:val="14"/>
                <w:szCs w:val="14"/>
              </w:rPr>
              <w:t>OFERTA</w:t>
            </w:r>
          </w:p>
        </w:tc>
        <w:tc>
          <w:tcPr>
            <w:tcW w:w="926" w:type="dxa"/>
            <w:vAlign w:val="bottom"/>
          </w:tcPr>
          <w:p w14:paraId="3E8EB97F"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b w:val="0"/>
                <w:sz w:val="14"/>
                <w:szCs w:val="14"/>
              </w:rPr>
            </w:pPr>
            <w:r w:rsidRPr="00131EED">
              <w:rPr>
                <w:rFonts w:cs="Arial"/>
                <w:sz w:val="14"/>
                <w:szCs w:val="14"/>
              </w:rPr>
              <w:t>DEMANDA</w:t>
            </w:r>
          </w:p>
        </w:tc>
        <w:tc>
          <w:tcPr>
            <w:tcW w:w="1328" w:type="dxa"/>
            <w:gridSpan w:val="2"/>
          </w:tcPr>
          <w:p w14:paraId="046F2225"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b w:val="0"/>
                <w:sz w:val="14"/>
                <w:szCs w:val="14"/>
              </w:rPr>
            </w:pPr>
            <w:r w:rsidRPr="00131EED">
              <w:rPr>
                <w:rFonts w:cs="Arial"/>
                <w:sz w:val="14"/>
                <w:szCs w:val="14"/>
              </w:rPr>
              <w:t>IUA</w:t>
            </w:r>
          </w:p>
        </w:tc>
        <w:tc>
          <w:tcPr>
            <w:tcW w:w="794" w:type="dxa"/>
          </w:tcPr>
          <w:p w14:paraId="367D9339"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b w:val="0"/>
                <w:sz w:val="14"/>
                <w:szCs w:val="14"/>
              </w:rPr>
            </w:pPr>
            <w:r w:rsidRPr="00131EED">
              <w:rPr>
                <w:rFonts w:cs="Arial"/>
                <w:sz w:val="14"/>
                <w:szCs w:val="14"/>
              </w:rPr>
              <w:t>OFERTA</w:t>
            </w:r>
          </w:p>
        </w:tc>
        <w:tc>
          <w:tcPr>
            <w:tcW w:w="926" w:type="dxa"/>
          </w:tcPr>
          <w:p w14:paraId="0A85CAE0"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b w:val="0"/>
                <w:sz w:val="14"/>
                <w:szCs w:val="14"/>
              </w:rPr>
            </w:pPr>
            <w:r w:rsidRPr="00131EED">
              <w:rPr>
                <w:rFonts w:cs="Arial"/>
                <w:sz w:val="14"/>
                <w:szCs w:val="14"/>
              </w:rPr>
              <w:t>DEMANDA</w:t>
            </w:r>
          </w:p>
        </w:tc>
        <w:tc>
          <w:tcPr>
            <w:tcW w:w="1328" w:type="dxa"/>
            <w:gridSpan w:val="2"/>
            <w:vAlign w:val="bottom"/>
          </w:tcPr>
          <w:p w14:paraId="49C4ACB2"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b w:val="0"/>
                <w:sz w:val="14"/>
                <w:szCs w:val="14"/>
              </w:rPr>
            </w:pPr>
            <w:r w:rsidRPr="00131EED">
              <w:rPr>
                <w:rFonts w:cs="Arial"/>
                <w:sz w:val="14"/>
                <w:szCs w:val="14"/>
              </w:rPr>
              <w:t>UIA</w:t>
            </w:r>
          </w:p>
        </w:tc>
        <w:tc>
          <w:tcPr>
            <w:tcW w:w="794" w:type="dxa"/>
          </w:tcPr>
          <w:p w14:paraId="192200C8"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b w:val="0"/>
                <w:sz w:val="14"/>
                <w:szCs w:val="14"/>
              </w:rPr>
            </w:pPr>
            <w:r w:rsidRPr="00131EED">
              <w:rPr>
                <w:rFonts w:cs="Arial"/>
                <w:sz w:val="14"/>
                <w:szCs w:val="14"/>
              </w:rPr>
              <w:t>OFERTA</w:t>
            </w:r>
          </w:p>
        </w:tc>
        <w:tc>
          <w:tcPr>
            <w:tcW w:w="927" w:type="dxa"/>
          </w:tcPr>
          <w:p w14:paraId="4884C382"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b w:val="0"/>
                <w:sz w:val="14"/>
                <w:szCs w:val="14"/>
              </w:rPr>
            </w:pPr>
            <w:r w:rsidRPr="00131EED">
              <w:rPr>
                <w:rFonts w:cs="Arial"/>
                <w:sz w:val="14"/>
                <w:szCs w:val="14"/>
              </w:rPr>
              <w:t>DEMANDA</w:t>
            </w:r>
          </w:p>
        </w:tc>
        <w:tc>
          <w:tcPr>
            <w:tcW w:w="1459" w:type="dxa"/>
            <w:gridSpan w:val="2"/>
          </w:tcPr>
          <w:p w14:paraId="284D3DAD"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b w:val="0"/>
                <w:sz w:val="14"/>
                <w:szCs w:val="14"/>
              </w:rPr>
            </w:pPr>
            <w:r w:rsidRPr="00131EED">
              <w:rPr>
                <w:rFonts w:cs="Arial"/>
                <w:sz w:val="14"/>
                <w:szCs w:val="14"/>
              </w:rPr>
              <w:t>IUA</w:t>
            </w:r>
          </w:p>
        </w:tc>
      </w:tr>
      <w:tr w:rsidR="000C677A" w:rsidRPr="00131EED" w14:paraId="67EB97F9" w14:textId="77777777" w:rsidTr="00165BBB">
        <w:trPr>
          <w:trHeight w:val="239"/>
          <w:jc w:val="center"/>
        </w:trPr>
        <w:tc>
          <w:tcPr>
            <w:cnfStyle w:val="001000000000" w:firstRow="0" w:lastRow="0" w:firstColumn="1" w:lastColumn="0" w:oddVBand="0" w:evenVBand="0" w:oddHBand="0" w:evenHBand="0" w:firstRowFirstColumn="0" w:firstRowLastColumn="0" w:lastRowFirstColumn="0" w:lastRowLastColumn="0"/>
            <w:tcW w:w="1456" w:type="dxa"/>
          </w:tcPr>
          <w:p w14:paraId="6446E787" w14:textId="77777777" w:rsidR="00CC5A4D" w:rsidRPr="00131EED" w:rsidRDefault="00CC5A4D" w:rsidP="006845C5">
            <w:pPr>
              <w:jc w:val="center"/>
              <w:rPr>
                <w:rFonts w:cs="Arial"/>
                <w:b w:val="0"/>
                <w:sz w:val="14"/>
                <w:szCs w:val="14"/>
              </w:rPr>
            </w:pPr>
            <w:r w:rsidRPr="00131EED">
              <w:rPr>
                <w:rFonts w:cs="Arial"/>
                <w:b w:val="0"/>
                <w:sz w:val="14"/>
                <w:szCs w:val="14"/>
              </w:rPr>
              <w:t>Río Alto Bogotá</w:t>
            </w:r>
          </w:p>
        </w:tc>
        <w:tc>
          <w:tcPr>
            <w:tcW w:w="795" w:type="dxa"/>
          </w:tcPr>
          <w:p w14:paraId="0F2CFF96"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3.401</w:t>
            </w:r>
          </w:p>
        </w:tc>
        <w:tc>
          <w:tcPr>
            <w:tcW w:w="926" w:type="dxa"/>
          </w:tcPr>
          <w:p w14:paraId="4C55D34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1.931</w:t>
            </w:r>
          </w:p>
        </w:tc>
        <w:tc>
          <w:tcPr>
            <w:tcW w:w="528" w:type="dxa"/>
          </w:tcPr>
          <w:p w14:paraId="1397A7C2"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62.0</w:t>
            </w:r>
          </w:p>
        </w:tc>
        <w:tc>
          <w:tcPr>
            <w:tcW w:w="799" w:type="dxa"/>
            <w:shd w:val="clear" w:color="auto" w:fill="FF0000"/>
          </w:tcPr>
          <w:p w14:paraId="3C0B8A34"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Muy alto</w:t>
            </w:r>
          </w:p>
        </w:tc>
        <w:tc>
          <w:tcPr>
            <w:tcW w:w="794" w:type="dxa"/>
          </w:tcPr>
          <w:p w14:paraId="21C1C6BB"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2.9</w:t>
            </w:r>
          </w:p>
        </w:tc>
        <w:tc>
          <w:tcPr>
            <w:tcW w:w="926" w:type="dxa"/>
          </w:tcPr>
          <w:p w14:paraId="21F1C59C"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1.189</w:t>
            </w:r>
          </w:p>
        </w:tc>
        <w:tc>
          <w:tcPr>
            <w:tcW w:w="528" w:type="dxa"/>
          </w:tcPr>
          <w:p w14:paraId="5336A4B2"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41.0</w:t>
            </w:r>
          </w:p>
        </w:tc>
        <w:tc>
          <w:tcPr>
            <w:tcW w:w="799" w:type="dxa"/>
            <w:shd w:val="clear" w:color="auto" w:fill="FFC000"/>
          </w:tcPr>
          <w:p w14:paraId="7259354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Alto</w:t>
            </w:r>
          </w:p>
        </w:tc>
        <w:tc>
          <w:tcPr>
            <w:tcW w:w="794" w:type="dxa"/>
            <w:shd w:val="clear" w:color="auto" w:fill="FFFFFF" w:themeFill="background1"/>
          </w:tcPr>
          <w:p w14:paraId="635CCA5D"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2.64</w:t>
            </w:r>
          </w:p>
        </w:tc>
        <w:tc>
          <w:tcPr>
            <w:tcW w:w="927" w:type="dxa"/>
            <w:shd w:val="clear" w:color="auto" w:fill="FFFFFF" w:themeFill="background1"/>
          </w:tcPr>
          <w:p w14:paraId="79CC4433"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0.92</w:t>
            </w:r>
          </w:p>
        </w:tc>
        <w:tc>
          <w:tcPr>
            <w:tcW w:w="660" w:type="dxa"/>
            <w:shd w:val="clear" w:color="auto" w:fill="FFFFFF" w:themeFill="background1"/>
          </w:tcPr>
          <w:p w14:paraId="2C614061"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45.5</w:t>
            </w:r>
          </w:p>
        </w:tc>
        <w:tc>
          <w:tcPr>
            <w:tcW w:w="798" w:type="dxa"/>
            <w:shd w:val="clear" w:color="auto" w:fill="FFC000"/>
          </w:tcPr>
          <w:p w14:paraId="29EF99C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Alto</w:t>
            </w:r>
          </w:p>
        </w:tc>
      </w:tr>
      <w:tr w:rsidR="000C677A" w:rsidRPr="00131EED" w14:paraId="7009B1BF" w14:textId="77777777" w:rsidTr="00165BBB">
        <w:trPr>
          <w:trHeight w:val="239"/>
          <w:jc w:val="center"/>
        </w:trPr>
        <w:tc>
          <w:tcPr>
            <w:cnfStyle w:val="001000000000" w:firstRow="0" w:lastRow="0" w:firstColumn="1" w:lastColumn="0" w:oddVBand="0" w:evenVBand="0" w:oddHBand="0" w:evenHBand="0" w:firstRowFirstColumn="0" w:firstRowLastColumn="0" w:lastRowFirstColumn="0" w:lastRowLastColumn="0"/>
            <w:tcW w:w="1456" w:type="dxa"/>
          </w:tcPr>
          <w:p w14:paraId="54321122" w14:textId="555683F4" w:rsidR="00CC5A4D" w:rsidRPr="00131EED" w:rsidRDefault="00CC5A4D" w:rsidP="006845C5">
            <w:pPr>
              <w:jc w:val="center"/>
              <w:rPr>
                <w:rFonts w:cs="Arial"/>
                <w:b w:val="0"/>
                <w:sz w:val="14"/>
                <w:szCs w:val="14"/>
              </w:rPr>
            </w:pPr>
            <w:r w:rsidRPr="00131EED">
              <w:rPr>
                <w:rFonts w:cs="Arial"/>
                <w:b w:val="0"/>
                <w:sz w:val="14"/>
                <w:szCs w:val="14"/>
              </w:rPr>
              <w:t>Embalse del Sisga</w:t>
            </w:r>
          </w:p>
        </w:tc>
        <w:tc>
          <w:tcPr>
            <w:tcW w:w="795" w:type="dxa"/>
          </w:tcPr>
          <w:p w14:paraId="1FC831D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2.80</w:t>
            </w:r>
          </w:p>
        </w:tc>
        <w:tc>
          <w:tcPr>
            <w:tcW w:w="926" w:type="dxa"/>
            <w:shd w:val="clear" w:color="auto" w:fill="FFFFFF" w:themeFill="background1"/>
          </w:tcPr>
          <w:p w14:paraId="5E2D2C45"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0.922</w:t>
            </w:r>
          </w:p>
        </w:tc>
        <w:tc>
          <w:tcPr>
            <w:tcW w:w="528" w:type="dxa"/>
            <w:shd w:val="clear" w:color="auto" w:fill="FFFFFF" w:themeFill="background1"/>
          </w:tcPr>
          <w:p w14:paraId="0608362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33.0</w:t>
            </w:r>
          </w:p>
        </w:tc>
        <w:tc>
          <w:tcPr>
            <w:tcW w:w="799" w:type="dxa"/>
            <w:shd w:val="clear" w:color="auto" w:fill="FFC000"/>
          </w:tcPr>
          <w:p w14:paraId="0411220D"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Alto</w:t>
            </w:r>
          </w:p>
        </w:tc>
        <w:tc>
          <w:tcPr>
            <w:tcW w:w="794" w:type="dxa"/>
            <w:shd w:val="clear" w:color="auto" w:fill="FFFFFF" w:themeFill="background1"/>
          </w:tcPr>
          <w:p w14:paraId="2053F795"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1.8</w:t>
            </w:r>
          </w:p>
        </w:tc>
        <w:tc>
          <w:tcPr>
            <w:tcW w:w="926" w:type="dxa"/>
            <w:shd w:val="clear" w:color="auto" w:fill="FFFFFF" w:themeFill="background1"/>
          </w:tcPr>
          <w:p w14:paraId="504DE512"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0.648</w:t>
            </w:r>
          </w:p>
        </w:tc>
        <w:tc>
          <w:tcPr>
            <w:tcW w:w="528" w:type="dxa"/>
            <w:shd w:val="clear" w:color="auto" w:fill="FFFFFF" w:themeFill="background1"/>
          </w:tcPr>
          <w:p w14:paraId="5759CA7D"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36.0</w:t>
            </w:r>
          </w:p>
        </w:tc>
        <w:tc>
          <w:tcPr>
            <w:tcW w:w="799" w:type="dxa"/>
            <w:shd w:val="clear" w:color="auto" w:fill="FFC000"/>
          </w:tcPr>
          <w:p w14:paraId="2ABA0D48"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Alto</w:t>
            </w:r>
          </w:p>
        </w:tc>
        <w:tc>
          <w:tcPr>
            <w:tcW w:w="794" w:type="dxa"/>
            <w:shd w:val="clear" w:color="auto" w:fill="FFFFFF" w:themeFill="background1"/>
          </w:tcPr>
          <w:p w14:paraId="3E9C3DE7"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3.11</w:t>
            </w:r>
          </w:p>
        </w:tc>
        <w:tc>
          <w:tcPr>
            <w:tcW w:w="927" w:type="dxa"/>
            <w:shd w:val="clear" w:color="auto" w:fill="FFFFFF" w:themeFill="background1"/>
          </w:tcPr>
          <w:p w14:paraId="0AFF89FB"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0.16</w:t>
            </w:r>
          </w:p>
        </w:tc>
        <w:tc>
          <w:tcPr>
            <w:tcW w:w="660" w:type="dxa"/>
            <w:shd w:val="clear" w:color="auto" w:fill="FFFFFF" w:themeFill="background1"/>
          </w:tcPr>
          <w:p w14:paraId="085D2B78"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12.9</w:t>
            </w:r>
          </w:p>
        </w:tc>
        <w:tc>
          <w:tcPr>
            <w:tcW w:w="798" w:type="dxa"/>
            <w:shd w:val="clear" w:color="auto" w:fill="FFFF00"/>
          </w:tcPr>
          <w:p w14:paraId="7959406E"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Medio</w:t>
            </w:r>
          </w:p>
        </w:tc>
      </w:tr>
      <w:tr w:rsidR="000C677A" w:rsidRPr="00131EED" w14:paraId="5FCD4A2C" w14:textId="77777777" w:rsidTr="00165BBB">
        <w:trPr>
          <w:trHeight w:val="239"/>
          <w:jc w:val="center"/>
        </w:trPr>
        <w:tc>
          <w:tcPr>
            <w:cnfStyle w:val="001000000000" w:firstRow="0" w:lastRow="0" w:firstColumn="1" w:lastColumn="0" w:oddVBand="0" w:evenVBand="0" w:oddHBand="0" w:evenHBand="0" w:firstRowFirstColumn="0" w:firstRowLastColumn="0" w:lastRowFirstColumn="0" w:lastRowLastColumn="0"/>
            <w:tcW w:w="1456" w:type="dxa"/>
          </w:tcPr>
          <w:p w14:paraId="3EF4DAE8" w14:textId="77777777" w:rsidR="00CC5A4D" w:rsidRPr="00131EED" w:rsidRDefault="00CC5A4D" w:rsidP="006845C5">
            <w:pPr>
              <w:jc w:val="center"/>
              <w:rPr>
                <w:rFonts w:cs="Arial"/>
                <w:b w:val="0"/>
                <w:sz w:val="14"/>
                <w:szCs w:val="14"/>
              </w:rPr>
            </w:pPr>
            <w:r w:rsidRPr="00131EED">
              <w:rPr>
                <w:rFonts w:cs="Arial"/>
                <w:b w:val="0"/>
                <w:sz w:val="14"/>
                <w:szCs w:val="14"/>
              </w:rPr>
              <w:t>Río Neusa</w:t>
            </w:r>
          </w:p>
        </w:tc>
        <w:tc>
          <w:tcPr>
            <w:tcW w:w="795" w:type="dxa"/>
          </w:tcPr>
          <w:p w14:paraId="527ECD1F"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3.37</w:t>
            </w:r>
          </w:p>
        </w:tc>
        <w:tc>
          <w:tcPr>
            <w:tcW w:w="926" w:type="dxa"/>
            <w:shd w:val="clear" w:color="auto" w:fill="FFFFFF" w:themeFill="background1"/>
          </w:tcPr>
          <w:p w14:paraId="65900C1B"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2.49</w:t>
            </w:r>
          </w:p>
        </w:tc>
        <w:tc>
          <w:tcPr>
            <w:tcW w:w="528" w:type="dxa"/>
            <w:shd w:val="clear" w:color="auto" w:fill="FFFFFF" w:themeFill="background1"/>
          </w:tcPr>
          <w:p w14:paraId="622D4C96"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74.0</w:t>
            </w:r>
          </w:p>
        </w:tc>
        <w:tc>
          <w:tcPr>
            <w:tcW w:w="799" w:type="dxa"/>
            <w:shd w:val="clear" w:color="auto" w:fill="FF0000"/>
          </w:tcPr>
          <w:p w14:paraId="7EDFFC17"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Muy alto</w:t>
            </w:r>
          </w:p>
        </w:tc>
        <w:tc>
          <w:tcPr>
            <w:tcW w:w="794" w:type="dxa"/>
            <w:shd w:val="clear" w:color="auto" w:fill="FFFFFF" w:themeFill="background1"/>
          </w:tcPr>
          <w:p w14:paraId="71D70A3E"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2.08</w:t>
            </w:r>
          </w:p>
        </w:tc>
        <w:tc>
          <w:tcPr>
            <w:tcW w:w="926" w:type="dxa"/>
            <w:shd w:val="clear" w:color="auto" w:fill="FFFFFF" w:themeFill="background1"/>
          </w:tcPr>
          <w:p w14:paraId="61B0F185"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1.04</w:t>
            </w:r>
          </w:p>
        </w:tc>
        <w:tc>
          <w:tcPr>
            <w:tcW w:w="528" w:type="dxa"/>
            <w:shd w:val="clear" w:color="auto" w:fill="FFFFFF" w:themeFill="background1"/>
          </w:tcPr>
          <w:p w14:paraId="5C2E650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50.0</w:t>
            </w:r>
          </w:p>
        </w:tc>
        <w:tc>
          <w:tcPr>
            <w:tcW w:w="799" w:type="dxa"/>
            <w:shd w:val="clear" w:color="auto" w:fill="FF0000"/>
          </w:tcPr>
          <w:p w14:paraId="7AE715C8"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Muy alto</w:t>
            </w:r>
          </w:p>
        </w:tc>
        <w:tc>
          <w:tcPr>
            <w:tcW w:w="794" w:type="dxa"/>
            <w:shd w:val="clear" w:color="auto" w:fill="FFFFFF" w:themeFill="background1"/>
          </w:tcPr>
          <w:p w14:paraId="0E3BA21B"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2.1</w:t>
            </w:r>
          </w:p>
        </w:tc>
        <w:tc>
          <w:tcPr>
            <w:tcW w:w="927" w:type="dxa"/>
            <w:shd w:val="clear" w:color="auto" w:fill="FFFFFF" w:themeFill="background1"/>
          </w:tcPr>
          <w:p w14:paraId="20C69072"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0.55</w:t>
            </w:r>
          </w:p>
        </w:tc>
        <w:tc>
          <w:tcPr>
            <w:tcW w:w="660" w:type="dxa"/>
            <w:shd w:val="clear" w:color="auto" w:fill="FFFFFF" w:themeFill="background1"/>
          </w:tcPr>
          <w:p w14:paraId="7CA02673"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26.2</w:t>
            </w:r>
          </w:p>
        </w:tc>
        <w:tc>
          <w:tcPr>
            <w:tcW w:w="798" w:type="dxa"/>
            <w:shd w:val="clear" w:color="auto" w:fill="FFC000"/>
          </w:tcPr>
          <w:p w14:paraId="26EFFD18"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Alto</w:t>
            </w:r>
          </w:p>
        </w:tc>
      </w:tr>
      <w:tr w:rsidR="000C677A" w:rsidRPr="00131EED" w14:paraId="317C55F5" w14:textId="77777777" w:rsidTr="00165BBB">
        <w:trPr>
          <w:trHeight w:val="239"/>
          <w:jc w:val="center"/>
        </w:trPr>
        <w:tc>
          <w:tcPr>
            <w:cnfStyle w:val="001000000000" w:firstRow="0" w:lastRow="0" w:firstColumn="1" w:lastColumn="0" w:oddVBand="0" w:evenVBand="0" w:oddHBand="0" w:evenHBand="0" w:firstRowFirstColumn="0" w:firstRowLastColumn="0" w:lastRowFirstColumn="0" w:lastRowLastColumn="0"/>
            <w:tcW w:w="1456" w:type="dxa"/>
          </w:tcPr>
          <w:p w14:paraId="61A36C9F" w14:textId="77777777" w:rsidR="00CC5A4D" w:rsidRPr="00131EED" w:rsidRDefault="00CC5A4D" w:rsidP="006845C5">
            <w:pPr>
              <w:jc w:val="center"/>
              <w:rPr>
                <w:rFonts w:cs="Arial"/>
                <w:b w:val="0"/>
                <w:sz w:val="14"/>
                <w:szCs w:val="14"/>
              </w:rPr>
            </w:pPr>
            <w:r w:rsidRPr="00131EED">
              <w:rPr>
                <w:rFonts w:cs="Arial"/>
                <w:b w:val="0"/>
                <w:sz w:val="14"/>
                <w:szCs w:val="14"/>
              </w:rPr>
              <w:t>Sector Sisga - Tibitoc</w:t>
            </w:r>
          </w:p>
        </w:tc>
        <w:tc>
          <w:tcPr>
            <w:tcW w:w="795" w:type="dxa"/>
          </w:tcPr>
          <w:p w14:paraId="558B0C84"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8.28</w:t>
            </w:r>
          </w:p>
        </w:tc>
        <w:tc>
          <w:tcPr>
            <w:tcW w:w="926" w:type="dxa"/>
            <w:shd w:val="clear" w:color="auto" w:fill="FFFFFF" w:themeFill="background1"/>
          </w:tcPr>
          <w:p w14:paraId="526C0E5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2.7</w:t>
            </w:r>
          </w:p>
        </w:tc>
        <w:tc>
          <w:tcPr>
            <w:tcW w:w="528" w:type="dxa"/>
            <w:shd w:val="clear" w:color="auto" w:fill="FFFFFF" w:themeFill="background1"/>
          </w:tcPr>
          <w:p w14:paraId="166F69D7"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32.6</w:t>
            </w:r>
          </w:p>
        </w:tc>
        <w:tc>
          <w:tcPr>
            <w:tcW w:w="799" w:type="dxa"/>
            <w:shd w:val="clear" w:color="auto" w:fill="FFC000"/>
          </w:tcPr>
          <w:p w14:paraId="4B3C1A19"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Alto</w:t>
            </w:r>
          </w:p>
        </w:tc>
        <w:tc>
          <w:tcPr>
            <w:tcW w:w="794" w:type="dxa"/>
            <w:shd w:val="clear" w:color="auto" w:fill="FFFFFF" w:themeFill="background1"/>
          </w:tcPr>
          <w:p w14:paraId="5BC2056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3.68</w:t>
            </w:r>
          </w:p>
        </w:tc>
        <w:tc>
          <w:tcPr>
            <w:tcW w:w="926" w:type="dxa"/>
            <w:shd w:val="clear" w:color="auto" w:fill="FFFFFF" w:themeFill="background1"/>
          </w:tcPr>
          <w:p w14:paraId="3D551AF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1.95</w:t>
            </w:r>
          </w:p>
        </w:tc>
        <w:tc>
          <w:tcPr>
            <w:tcW w:w="528" w:type="dxa"/>
            <w:shd w:val="clear" w:color="auto" w:fill="FFFFFF" w:themeFill="background1"/>
          </w:tcPr>
          <w:p w14:paraId="04F8C044"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53.0</w:t>
            </w:r>
          </w:p>
        </w:tc>
        <w:tc>
          <w:tcPr>
            <w:tcW w:w="799" w:type="dxa"/>
            <w:shd w:val="clear" w:color="auto" w:fill="FFC000"/>
          </w:tcPr>
          <w:p w14:paraId="55F4A334"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Muy alto</w:t>
            </w:r>
          </w:p>
        </w:tc>
        <w:tc>
          <w:tcPr>
            <w:tcW w:w="794" w:type="dxa"/>
            <w:shd w:val="clear" w:color="auto" w:fill="FFFFFF" w:themeFill="background1"/>
          </w:tcPr>
          <w:p w14:paraId="2525EC11"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8.36</w:t>
            </w:r>
          </w:p>
        </w:tc>
        <w:tc>
          <w:tcPr>
            <w:tcW w:w="927" w:type="dxa"/>
            <w:shd w:val="clear" w:color="auto" w:fill="FFFFFF" w:themeFill="background1"/>
          </w:tcPr>
          <w:p w14:paraId="3ADE0A6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1.19</w:t>
            </w:r>
          </w:p>
        </w:tc>
        <w:tc>
          <w:tcPr>
            <w:tcW w:w="660" w:type="dxa"/>
            <w:shd w:val="clear" w:color="auto" w:fill="FFFFFF" w:themeFill="background1"/>
          </w:tcPr>
          <w:p w14:paraId="73424DDC"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14.42</w:t>
            </w:r>
          </w:p>
        </w:tc>
        <w:tc>
          <w:tcPr>
            <w:tcW w:w="798" w:type="dxa"/>
            <w:shd w:val="clear" w:color="auto" w:fill="FFFF00"/>
          </w:tcPr>
          <w:p w14:paraId="51B1EA74"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Medio</w:t>
            </w:r>
          </w:p>
        </w:tc>
      </w:tr>
      <w:tr w:rsidR="000C677A" w:rsidRPr="00131EED" w14:paraId="16475758" w14:textId="77777777" w:rsidTr="00165BBB">
        <w:trPr>
          <w:trHeight w:val="239"/>
          <w:jc w:val="center"/>
        </w:trPr>
        <w:tc>
          <w:tcPr>
            <w:cnfStyle w:val="001000000000" w:firstRow="0" w:lastRow="0" w:firstColumn="1" w:lastColumn="0" w:oddVBand="0" w:evenVBand="0" w:oddHBand="0" w:evenHBand="0" w:firstRowFirstColumn="0" w:firstRowLastColumn="0" w:lastRowFirstColumn="0" w:lastRowLastColumn="0"/>
            <w:tcW w:w="1456" w:type="dxa"/>
          </w:tcPr>
          <w:p w14:paraId="09FA6E7A" w14:textId="77777777" w:rsidR="00CC5A4D" w:rsidRPr="00131EED" w:rsidRDefault="00CC5A4D" w:rsidP="006845C5">
            <w:pPr>
              <w:jc w:val="center"/>
              <w:rPr>
                <w:rFonts w:cs="Arial"/>
                <w:b w:val="0"/>
                <w:sz w:val="14"/>
                <w:szCs w:val="14"/>
              </w:rPr>
            </w:pPr>
            <w:r w:rsidRPr="00131EED">
              <w:rPr>
                <w:rFonts w:cs="Arial"/>
                <w:b w:val="0"/>
                <w:sz w:val="14"/>
                <w:szCs w:val="14"/>
              </w:rPr>
              <w:t>Embalse de Tominé</w:t>
            </w:r>
          </w:p>
        </w:tc>
        <w:tc>
          <w:tcPr>
            <w:tcW w:w="795" w:type="dxa"/>
          </w:tcPr>
          <w:p w14:paraId="676CE2F5"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4.27</w:t>
            </w:r>
          </w:p>
        </w:tc>
        <w:tc>
          <w:tcPr>
            <w:tcW w:w="926" w:type="dxa"/>
          </w:tcPr>
          <w:p w14:paraId="574BCA63"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2.43</w:t>
            </w:r>
          </w:p>
        </w:tc>
        <w:tc>
          <w:tcPr>
            <w:tcW w:w="528" w:type="dxa"/>
          </w:tcPr>
          <w:p w14:paraId="11A01BB3"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57.0</w:t>
            </w:r>
          </w:p>
        </w:tc>
        <w:tc>
          <w:tcPr>
            <w:tcW w:w="799" w:type="dxa"/>
            <w:shd w:val="clear" w:color="auto" w:fill="FF0000"/>
          </w:tcPr>
          <w:p w14:paraId="46534C7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Muy alto</w:t>
            </w:r>
          </w:p>
        </w:tc>
        <w:tc>
          <w:tcPr>
            <w:tcW w:w="794" w:type="dxa"/>
          </w:tcPr>
          <w:p w14:paraId="04A8373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3.3</w:t>
            </w:r>
          </w:p>
        </w:tc>
        <w:tc>
          <w:tcPr>
            <w:tcW w:w="926" w:type="dxa"/>
          </w:tcPr>
          <w:p w14:paraId="4459DF64"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0.66</w:t>
            </w:r>
          </w:p>
        </w:tc>
        <w:tc>
          <w:tcPr>
            <w:tcW w:w="528" w:type="dxa"/>
          </w:tcPr>
          <w:p w14:paraId="46DBC696"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20.0</w:t>
            </w:r>
          </w:p>
        </w:tc>
        <w:tc>
          <w:tcPr>
            <w:tcW w:w="799" w:type="dxa"/>
            <w:shd w:val="clear" w:color="auto" w:fill="FFC000"/>
          </w:tcPr>
          <w:p w14:paraId="785E385D"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Alto</w:t>
            </w:r>
          </w:p>
        </w:tc>
        <w:tc>
          <w:tcPr>
            <w:tcW w:w="794" w:type="dxa"/>
            <w:shd w:val="clear" w:color="auto" w:fill="FFFFFF" w:themeFill="background1"/>
          </w:tcPr>
          <w:p w14:paraId="51A539C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6.48</w:t>
            </w:r>
          </w:p>
        </w:tc>
        <w:tc>
          <w:tcPr>
            <w:tcW w:w="927" w:type="dxa"/>
            <w:shd w:val="clear" w:color="auto" w:fill="FFFFFF" w:themeFill="background1"/>
          </w:tcPr>
          <w:p w14:paraId="4AA55F3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0.16</w:t>
            </w:r>
          </w:p>
        </w:tc>
        <w:tc>
          <w:tcPr>
            <w:tcW w:w="660" w:type="dxa"/>
            <w:shd w:val="clear" w:color="auto" w:fill="FFFFFF" w:themeFill="background1"/>
          </w:tcPr>
          <w:p w14:paraId="4543242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3.96</w:t>
            </w:r>
          </w:p>
        </w:tc>
        <w:tc>
          <w:tcPr>
            <w:tcW w:w="798" w:type="dxa"/>
            <w:shd w:val="clear" w:color="auto" w:fill="00B050"/>
          </w:tcPr>
          <w:p w14:paraId="3BCF2EE8"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Bajo</w:t>
            </w:r>
          </w:p>
        </w:tc>
      </w:tr>
      <w:tr w:rsidR="000C677A" w:rsidRPr="00131EED" w14:paraId="3BEC3807" w14:textId="77777777" w:rsidTr="00165BBB">
        <w:trPr>
          <w:trHeight w:val="239"/>
          <w:jc w:val="center"/>
        </w:trPr>
        <w:tc>
          <w:tcPr>
            <w:cnfStyle w:val="001000000000" w:firstRow="0" w:lastRow="0" w:firstColumn="1" w:lastColumn="0" w:oddVBand="0" w:evenVBand="0" w:oddHBand="0" w:evenHBand="0" w:firstRowFirstColumn="0" w:firstRowLastColumn="0" w:lastRowFirstColumn="0" w:lastRowLastColumn="0"/>
            <w:tcW w:w="1456" w:type="dxa"/>
          </w:tcPr>
          <w:p w14:paraId="49EE955F" w14:textId="77777777" w:rsidR="00CC5A4D" w:rsidRPr="00131EED" w:rsidRDefault="00CC5A4D" w:rsidP="006845C5">
            <w:pPr>
              <w:jc w:val="center"/>
              <w:rPr>
                <w:rFonts w:cs="Arial"/>
                <w:b w:val="0"/>
                <w:sz w:val="14"/>
                <w:szCs w:val="14"/>
              </w:rPr>
            </w:pPr>
            <w:r w:rsidRPr="00131EED">
              <w:rPr>
                <w:rFonts w:cs="Arial"/>
                <w:b w:val="0"/>
                <w:sz w:val="14"/>
                <w:szCs w:val="14"/>
              </w:rPr>
              <w:t>Río Frío</w:t>
            </w:r>
          </w:p>
        </w:tc>
        <w:tc>
          <w:tcPr>
            <w:tcW w:w="795" w:type="dxa"/>
          </w:tcPr>
          <w:p w14:paraId="60E54583"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No info.</w:t>
            </w:r>
          </w:p>
        </w:tc>
        <w:tc>
          <w:tcPr>
            <w:tcW w:w="926" w:type="dxa"/>
          </w:tcPr>
          <w:p w14:paraId="56A890EC"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Sin infor.</w:t>
            </w:r>
          </w:p>
        </w:tc>
        <w:tc>
          <w:tcPr>
            <w:tcW w:w="528" w:type="dxa"/>
          </w:tcPr>
          <w:p w14:paraId="1BCCA1E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51</w:t>
            </w:r>
          </w:p>
        </w:tc>
        <w:tc>
          <w:tcPr>
            <w:tcW w:w="799" w:type="dxa"/>
            <w:shd w:val="clear" w:color="auto" w:fill="FF0000"/>
          </w:tcPr>
          <w:p w14:paraId="146AD6AF"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Muy alto</w:t>
            </w:r>
          </w:p>
        </w:tc>
        <w:tc>
          <w:tcPr>
            <w:tcW w:w="794" w:type="dxa"/>
          </w:tcPr>
          <w:p w14:paraId="61BAB5E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2.17</w:t>
            </w:r>
          </w:p>
        </w:tc>
        <w:tc>
          <w:tcPr>
            <w:tcW w:w="926" w:type="dxa"/>
          </w:tcPr>
          <w:p w14:paraId="52E1B0A4"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0.35</w:t>
            </w:r>
          </w:p>
        </w:tc>
        <w:tc>
          <w:tcPr>
            <w:tcW w:w="528" w:type="dxa"/>
          </w:tcPr>
          <w:p w14:paraId="37426D3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16.0</w:t>
            </w:r>
          </w:p>
        </w:tc>
        <w:tc>
          <w:tcPr>
            <w:tcW w:w="799" w:type="dxa"/>
            <w:shd w:val="clear" w:color="auto" w:fill="FFFF00"/>
          </w:tcPr>
          <w:p w14:paraId="0A652842"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Medio</w:t>
            </w:r>
          </w:p>
        </w:tc>
        <w:tc>
          <w:tcPr>
            <w:tcW w:w="794" w:type="dxa"/>
            <w:shd w:val="clear" w:color="auto" w:fill="FFFFFF" w:themeFill="background1"/>
          </w:tcPr>
          <w:p w14:paraId="65C62BD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2.07</w:t>
            </w:r>
          </w:p>
        </w:tc>
        <w:tc>
          <w:tcPr>
            <w:tcW w:w="927" w:type="dxa"/>
            <w:shd w:val="clear" w:color="auto" w:fill="FFFFFF" w:themeFill="background1"/>
          </w:tcPr>
          <w:p w14:paraId="7E8BC178"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0.51</w:t>
            </w:r>
          </w:p>
        </w:tc>
        <w:tc>
          <w:tcPr>
            <w:tcW w:w="660" w:type="dxa"/>
            <w:shd w:val="clear" w:color="auto" w:fill="FFFFFF" w:themeFill="background1"/>
          </w:tcPr>
          <w:p w14:paraId="528A22E9"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29.7</w:t>
            </w:r>
          </w:p>
        </w:tc>
        <w:tc>
          <w:tcPr>
            <w:tcW w:w="798" w:type="dxa"/>
            <w:shd w:val="clear" w:color="auto" w:fill="FFC000"/>
          </w:tcPr>
          <w:p w14:paraId="186A2A7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Alto</w:t>
            </w:r>
          </w:p>
        </w:tc>
      </w:tr>
      <w:tr w:rsidR="000C677A" w:rsidRPr="00131EED" w14:paraId="135B0612" w14:textId="77777777" w:rsidTr="00165BBB">
        <w:trPr>
          <w:trHeight w:val="239"/>
          <w:jc w:val="center"/>
        </w:trPr>
        <w:tc>
          <w:tcPr>
            <w:cnfStyle w:val="001000000000" w:firstRow="0" w:lastRow="0" w:firstColumn="1" w:lastColumn="0" w:oddVBand="0" w:evenVBand="0" w:oddHBand="0" w:evenHBand="0" w:firstRowFirstColumn="0" w:firstRowLastColumn="0" w:lastRowFirstColumn="0" w:lastRowLastColumn="0"/>
            <w:tcW w:w="1456" w:type="dxa"/>
          </w:tcPr>
          <w:p w14:paraId="702E36BD" w14:textId="77777777" w:rsidR="00CC5A4D" w:rsidRPr="00131EED" w:rsidRDefault="00CC5A4D" w:rsidP="006845C5">
            <w:pPr>
              <w:jc w:val="center"/>
              <w:rPr>
                <w:rFonts w:cs="Arial"/>
                <w:b w:val="0"/>
                <w:sz w:val="14"/>
                <w:szCs w:val="14"/>
              </w:rPr>
            </w:pPr>
            <w:r w:rsidRPr="00131EED">
              <w:rPr>
                <w:rFonts w:cs="Arial"/>
                <w:b w:val="0"/>
                <w:sz w:val="14"/>
                <w:szCs w:val="14"/>
              </w:rPr>
              <w:t>Río Balsillas</w:t>
            </w:r>
          </w:p>
        </w:tc>
        <w:tc>
          <w:tcPr>
            <w:tcW w:w="795" w:type="dxa"/>
          </w:tcPr>
          <w:p w14:paraId="37F6D477"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Sin infor.</w:t>
            </w:r>
          </w:p>
        </w:tc>
        <w:tc>
          <w:tcPr>
            <w:tcW w:w="926" w:type="dxa"/>
          </w:tcPr>
          <w:p w14:paraId="1341B0F9"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Sin infor.</w:t>
            </w:r>
          </w:p>
        </w:tc>
        <w:tc>
          <w:tcPr>
            <w:tcW w:w="528" w:type="dxa"/>
          </w:tcPr>
          <w:p w14:paraId="5A2F0ED5"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34</w:t>
            </w:r>
          </w:p>
        </w:tc>
        <w:tc>
          <w:tcPr>
            <w:tcW w:w="799" w:type="dxa"/>
            <w:shd w:val="clear" w:color="auto" w:fill="FFC000"/>
          </w:tcPr>
          <w:p w14:paraId="5A58DB11"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Alto</w:t>
            </w:r>
          </w:p>
        </w:tc>
        <w:tc>
          <w:tcPr>
            <w:tcW w:w="794" w:type="dxa"/>
          </w:tcPr>
          <w:p w14:paraId="1DD90547"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2.49</w:t>
            </w:r>
          </w:p>
        </w:tc>
        <w:tc>
          <w:tcPr>
            <w:tcW w:w="926" w:type="dxa"/>
          </w:tcPr>
          <w:p w14:paraId="29AC301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1.29</w:t>
            </w:r>
          </w:p>
        </w:tc>
        <w:tc>
          <w:tcPr>
            <w:tcW w:w="528" w:type="dxa"/>
          </w:tcPr>
          <w:p w14:paraId="4DBCA34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52.0</w:t>
            </w:r>
          </w:p>
        </w:tc>
        <w:tc>
          <w:tcPr>
            <w:tcW w:w="799" w:type="dxa"/>
            <w:shd w:val="clear" w:color="auto" w:fill="FF0000"/>
          </w:tcPr>
          <w:p w14:paraId="58D120AD"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Muy alto</w:t>
            </w:r>
          </w:p>
        </w:tc>
        <w:tc>
          <w:tcPr>
            <w:tcW w:w="794" w:type="dxa"/>
            <w:shd w:val="clear" w:color="auto" w:fill="FFFFFF" w:themeFill="background1"/>
          </w:tcPr>
          <w:p w14:paraId="69DF8209"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4.20</w:t>
            </w:r>
          </w:p>
        </w:tc>
        <w:tc>
          <w:tcPr>
            <w:tcW w:w="927" w:type="dxa"/>
            <w:shd w:val="clear" w:color="auto" w:fill="FFFFFF" w:themeFill="background1"/>
          </w:tcPr>
          <w:p w14:paraId="3E8C7068"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2.26</w:t>
            </w:r>
          </w:p>
        </w:tc>
        <w:tc>
          <w:tcPr>
            <w:tcW w:w="660" w:type="dxa"/>
            <w:shd w:val="clear" w:color="auto" w:fill="FFFFFF" w:themeFill="background1"/>
          </w:tcPr>
          <w:p w14:paraId="2CC11728"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57.51</w:t>
            </w:r>
          </w:p>
        </w:tc>
        <w:tc>
          <w:tcPr>
            <w:tcW w:w="798" w:type="dxa"/>
            <w:shd w:val="clear" w:color="auto" w:fill="FF0000"/>
          </w:tcPr>
          <w:p w14:paraId="06A2170D"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Muy alto</w:t>
            </w:r>
          </w:p>
        </w:tc>
      </w:tr>
      <w:tr w:rsidR="000C677A" w:rsidRPr="00131EED" w14:paraId="57FFC4BB" w14:textId="77777777" w:rsidTr="00165BBB">
        <w:trPr>
          <w:trHeight w:val="239"/>
          <w:jc w:val="center"/>
        </w:trPr>
        <w:tc>
          <w:tcPr>
            <w:cnfStyle w:val="001000000000" w:firstRow="0" w:lastRow="0" w:firstColumn="1" w:lastColumn="0" w:oddVBand="0" w:evenVBand="0" w:oddHBand="0" w:evenHBand="0" w:firstRowFirstColumn="0" w:firstRowLastColumn="0" w:lastRowFirstColumn="0" w:lastRowLastColumn="0"/>
            <w:tcW w:w="1456" w:type="dxa"/>
          </w:tcPr>
          <w:p w14:paraId="2604AACB" w14:textId="77777777" w:rsidR="00CC5A4D" w:rsidRPr="00131EED" w:rsidRDefault="00CC5A4D" w:rsidP="006845C5">
            <w:pPr>
              <w:jc w:val="center"/>
              <w:rPr>
                <w:rFonts w:cs="Arial"/>
                <w:b w:val="0"/>
                <w:sz w:val="14"/>
                <w:szCs w:val="14"/>
              </w:rPr>
            </w:pPr>
            <w:r w:rsidRPr="00131EED">
              <w:rPr>
                <w:rFonts w:cs="Arial"/>
                <w:b w:val="0"/>
                <w:sz w:val="14"/>
                <w:szCs w:val="14"/>
              </w:rPr>
              <w:t>Embalse del Muña</w:t>
            </w:r>
          </w:p>
        </w:tc>
        <w:tc>
          <w:tcPr>
            <w:tcW w:w="795" w:type="dxa"/>
          </w:tcPr>
          <w:p w14:paraId="1C1907D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Sin infor.</w:t>
            </w:r>
          </w:p>
        </w:tc>
        <w:tc>
          <w:tcPr>
            <w:tcW w:w="926" w:type="dxa"/>
          </w:tcPr>
          <w:p w14:paraId="074D76C8"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Sin infor.</w:t>
            </w:r>
          </w:p>
        </w:tc>
        <w:tc>
          <w:tcPr>
            <w:tcW w:w="528" w:type="dxa"/>
          </w:tcPr>
          <w:p w14:paraId="41D27D52"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27</w:t>
            </w:r>
          </w:p>
        </w:tc>
        <w:tc>
          <w:tcPr>
            <w:tcW w:w="799" w:type="dxa"/>
            <w:shd w:val="clear" w:color="auto" w:fill="FFC000"/>
          </w:tcPr>
          <w:p w14:paraId="431E8223"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Alto</w:t>
            </w:r>
          </w:p>
        </w:tc>
        <w:tc>
          <w:tcPr>
            <w:tcW w:w="794" w:type="dxa"/>
          </w:tcPr>
          <w:p w14:paraId="04736045"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0.3</w:t>
            </w:r>
          </w:p>
        </w:tc>
        <w:tc>
          <w:tcPr>
            <w:tcW w:w="926" w:type="dxa"/>
          </w:tcPr>
          <w:p w14:paraId="5940EB97"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0.204</w:t>
            </w:r>
          </w:p>
        </w:tc>
        <w:tc>
          <w:tcPr>
            <w:tcW w:w="528" w:type="dxa"/>
          </w:tcPr>
          <w:p w14:paraId="2A9AE65C"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68.0</w:t>
            </w:r>
          </w:p>
        </w:tc>
        <w:tc>
          <w:tcPr>
            <w:tcW w:w="799" w:type="dxa"/>
            <w:shd w:val="clear" w:color="auto" w:fill="FF0000"/>
          </w:tcPr>
          <w:p w14:paraId="13841D7C"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Muy alto</w:t>
            </w:r>
          </w:p>
        </w:tc>
        <w:tc>
          <w:tcPr>
            <w:tcW w:w="794" w:type="dxa"/>
            <w:shd w:val="clear" w:color="auto" w:fill="FFFFFF" w:themeFill="background1"/>
          </w:tcPr>
          <w:p w14:paraId="4E6BCB27"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2.43</w:t>
            </w:r>
          </w:p>
        </w:tc>
        <w:tc>
          <w:tcPr>
            <w:tcW w:w="927" w:type="dxa"/>
            <w:shd w:val="clear" w:color="auto" w:fill="FFFFFF" w:themeFill="background1"/>
          </w:tcPr>
          <w:p w14:paraId="185D7E59"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0.28</w:t>
            </w:r>
          </w:p>
        </w:tc>
        <w:tc>
          <w:tcPr>
            <w:tcW w:w="660" w:type="dxa"/>
            <w:shd w:val="clear" w:color="auto" w:fill="FFFFFF" w:themeFill="background1"/>
          </w:tcPr>
          <w:p w14:paraId="55C4D461"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13.51</w:t>
            </w:r>
          </w:p>
        </w:tc>
        <w:tc>
          <w:tcPr>
            <w:tcW w:w="798" w:type="dxa"/>
            <w:shd w:val="clear" w:color="auto" w:fill="FFFF00"/>
          </w:tcPr>
          <w:p w14:paraId="7B1461FB"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14"/>
                <w:szCs w:val="14"/>
              </w:rPr>
            </w:pPr>
            <w:r w:rsidRPr="00131EED">
              <w:rPr>
                <w:rFonts w:cs="Arial"/>
                <w:sz w:val="14"/>
                <w:szCs w:val="14"/>
              </w:rPr>
              <w:t>Medio</w:t>
            </w:r>
          </w:p>
        </w:tc>
      </w:tr>
    </w:tbl>
    <w:p w14:paraId="0A2B1F2A" w14:textId="77356CC9" w:rsidR="00CC5A4D" w:rsidRPr="00131EED" w:rsidRDefault="00CC5A4D" w:rsidP="006845C5">
      <w:pPr>
        <w:jc w:val="center"/>
        <w:rPr>
          <w:rFonts w:cs="Arial"/>
          <w:sz w:val="20"/>
          <w:szCs w:val="20"/>
        </w:rPr>
      </w:pPr>
      <w:r w:rsidRPr="00131EED">
        <w:rPr>
          <w:rFonts w:cs="Arial"/>
          <w:sz w:val="20"/>
          <w:szCs w:val="20"/>
        </w:rPr>
        <w:t xml:space="preserve">Fuente: elaborado por el autor con base en las ERA </w:t>
      </w:r>
      <w:sdt>
        <w:sdtPr>
          <w:rPr>
            <w:rFonts w:cs="Arial"/>
            <w:sz w:val="20"/>
            <w:szCs w:val="20"/>
          </w:rPr>
          <w:id w:val="-408461169"/>
          <w:citation/>
        </w:sdtPr>
        <w:sdtEndPr/>
        <w:sdtContent>
          <w:r w:rsidRPr="00131EED">
            <w:rPr>
              <w:rFonts w:cs="Arial"/>
              <w:sz w:val="20"/>
              <w:szCs w:val="20"/>
            </w:rPr>
            <w:fldChar w:fldCharType="begin"/>
          </w:r>
          <w:r w:rsidRPr="00131EED">
            <w:rPr>
              <w:rFonts w:cs="Arial"/>
              <w:sz w:val="20"/>
              <w:szCs w:val="20"/>
            </w:rPr>
            <w:instrText xml:space="preserve">CITATION CAR21 \t  \l 3082 </w:instrText>
          </w:r>
          <w:r w:rsidRPr="00131EED">
            <w:rPr>
              <w:rFonts w:cs="Arial"/>
              <w:sz w:val="20"/>
              <w:szCs w:val="20"/>
            </w:rPr>
            <w:fldChar w:fldCharType="separate"/>
          </w:r>
          <w:r w:rsidRPr="00131EED">
            <w:rPr>
              <w:rFonts w:cs="Arial"/>
              <w:sz w:val="20"/>
              <w:szCs w:val="20"/>
            </w:rPr>
            <w:t>(CAR C. A., 2021)</w:t>
          </w:r>
          <w:r w:rsidRPr="00131EED">
            <w:rPr>
              <w:rFonts w:cs="Arial"/>
              <w:sz w:val="20"/>
              <w:szCs w:val="20"/>
            </w:rPr>
            <w:fldChar w:fldCharType="end"/>
          </w:r>
        </w:sdtContent>
      </w:sdt>
    </w:p>
    <w:p w14:paraId="37C920B7" w14:textId="77777777" w:rsidR="00CC5A4D" w:rsidRPr="00131EED" w:rsidRDefault="00CC5A4D" w:rsidP="00CC5A4D">
      <w:pPr>
        <w:rPr>
          <w:rFonts w:cs="Arial"/>
        </w:rPr>
      </w:pPr>
      <w:r w:rsidRPr="00131EED">
        <w:rPr>
          <w:rFonts w:cs="Arial"/>
        </w:rPr>
        <w:t>Se presenta el análisis comparativo del cambio del IUA tomando como caso de estudio las Evaluaciones Regionales del Agua (ERA) para algunas subcuencas de la cuenca del río Bogotá, de la Corporación Autónoma Regional de Cundinamarca (CAR) primera edición (periodo 2012 – 2015), segunda edición (periodo 2015 – 2016) y tercera edición (periodo 2016 – 2021).</w:t>
      </w:r>
    </w:p>
    <w:p w14:paraId="39F8ED4A" w14:textId="77777777" w:rsidR="00CC5A4D" w:rsidRPr="00131EED" w:rsidRDefault="00CC5A4D" w:rsidP="00CC5A4D">
      <w:pPr>
        <w:rPr>
          <w:rFonts w:cs="Arial"/>
        </w:rPr>
      </w:pPr>
      <w:r w:rsidRPr="00131EED">
        <w:rPr>
          <w:rFonts w:cs="Arial"/>
        </w:rPr>
        <w:br/>
        <w:t>El índice de Uso del Agua (IUA) ofrece una perspectiva clara sobre la relación entre la demanda total y la oferta hídrica regional disponible en las diferentes subcuencas. Se observa una disminución en la presión de la demanda en algunas subcuencas a lo largo de las tres ediciones del estudio, como se evidencia en el Embalse del Sisga y el Embalse de Tominé, donde la presión pasó de alto en las primeras ediciones a un nivel medio o bajo en la última edición. Sin embargo, en otras subcuencas como el Río Neusa y el Río Balsillas, la presión de la demanda se ha mantenido alta o incluso ha aumentado, indicando una mayor necesidad de gestión y conservación del agua en esas áreas. Estos resultados resaltan la importancia de implementar medidas adecuadas de manejo del agua para garantizar la sostenibilidad y el equilibrio en el uso del agua en la región.</w:t>
      </w:r>
    </w:p>
    <w:p w14:paraId="1DB3FD70" w14:textId="77777777" w:rsidR="00CC5A4D" w:rsidRPr="00131EED" w:rsidRDefault="00CC5A4D" w:rsidP="00CC5A4D">
      <w:pPr>
        <w:rPr>
          <w:rFonts w:cs="Arial"/>
        </w:rPr>
      </w:pPr>
    </w:p>
    <w:p w14:paraId="1D0E6517" w14:textId="050EB323" w:rsidR="00CC5A4D" w:rsidRPr="00131EED" w:rsidRDefault="00CC5A4D" w:rsidP="00CC5A4D">
      <w:pPr>
        <w:rPr>
          <w:rFonts w:cs="Arial"/>
        </w:rPr>
      </w:pPr>
      <w:r w:rsidRPr="00131EED">
        <w:rPr>
          <w:rFonts w:cs="Arial"/>
        </w:rPr>
        <w:t xml:space="preserve">La representación espacial del cambio en el índice de uso del agua de acuerdo con las Evaluaciones Regionales del Agua (ERA) 1°, 2° y 3° edición cuenca del R. Bogotá </w:t>
      </w:r>
      <w:sdt>
        <w:sdtPr>
          <w:rPr>
            <w:rFonts w:cs="Arial"/>
          </w:rPr>
          <w:id w:val="1936702620"/>
          <w:citation/>
        </w:sdtPr>
        <w:sdtEndPr/>
        <w:sdtContent>
          <w:r w:rsidRPr="00131EED">
            <w:rPr>
              <w:rFonts w:cs="Arial"/>
            </w:rPr>
            <w:fldChar w:fldCharType="begin"/>
          </w:r>
          <w:r w:rsidRPr="00131EED">
            <w:rPr>
              <w:rFonts w:cs="Arial"/>
            </w:rPr>
            <w:instrText xml:space="preserve">CITATION CAR21 \t  \l 3082 </w:instrText>
          </w:r>
          <w:r w:rsidRPr="00131EED">
            <w:rPr>
              <w:rFonts w:cs="Arial"/>
            </w:rPr>
            <w:fldChar w:fldCharType="separate"/>
          </w:r>
          <w:r w:rsidRPr="00131EED">
            <w:rPr>
              <w:rFonts w:cs="Arial"/>
            </w:rPr>
            <w:t>(CAR C. A., 2021)</w:t>
          </w:r>
          <w:r w:rsidRPr="00131EED">
            <w:rPr>
              <w:rFonts w:cs="Arial"/>
            </w:rPr>
            <w:fldChar w:fldCharType="end"/>
          </w:r>
        </w:sdtContent>
      </w:sdt>
      <w:r w:rsidRPr="00131EED">
        <w:rPr>
          <w:rFonts w:cs="Arial"/>
        </w:rPr>
        <w:t xml:space="preserve"> se presenta a continuación. </w:t>
      </w:r>
    </w:p>
    <w:p w14:paraId="4277603A" w14:textId="77777777" w:rsidR="00CC5A4D" w:rsidRPr="00131EED" w:rsidRDefault="00CC5A4D" w:rsidP="00CC5A4D">
      <w:pPr>
        <w:rPr>
          <w:rFonts w:ascii="Baskerville" w:hAnsi="Baskerville" w:cs="Arial"/>
          <w:sz w:val="20"/>
          <w:szCs w:val="20"/>
        </w:rPr>
      </w:pPr>
    </w:p>
    <w:p w14:paraId="78B37446" w14:textId="507C0CA9" w:rsidR="00CC5A4D" w:rsidRPr="00131EED" w:rsidRDefault="00165BBB" w:rsidP="00165BBB">
      <w:pPr>
        <w:pStyle w:val="Caption"/>
        <w:jc w:val="center"/>
      </w:pPr>
      <w:bookmarkStart w:id="435" w:name="_Toc162338940"/>
      <w:bookmarkStart w:id="436" w:name="_Toc216468888"/>
      <w:r w:rsidRPr="00131EED">
        <w:t xml:space="preserve">Ilustración </w:t>
      </w:r>
      <w:r w:rsidRPr="00131EED">
        <w:fldChar w:fldCharType="begin"/>
      </w:r>
      <w:r w:rsidRPr="00131EED">
        <w:instrText>SEQ Ilustración \* ARABIC</w:instrText>
      </w:r>
      <w:r w:rsidRPr="00131EED">
        <w:fldChar w:fldCharType="separate"/>
      </w:r>
      <w:r w:rsidR="00CE096F">
        <w:rPr>
          <w:noProof/>
        </w:rPr>
        <w:t>123</w:t>
      </w:r>
      <w:r w:rsidRPr="00131EED">
        <w:fldChar w:fldCharType="end"/>
      </w:r>
      <w:r w:rsidRPr="00131EED">
        <w:t xml:space="preserve"> </w:t>
      </w:r>
      <w:r w:rsidR="00CC5A4D" w:rsidRPr="00131EED">
        <w:t>Comparación índice de uso del agua región Sabana de Bogotá</w:t>
      </w:r>
      <w:bookmarkEnd w:id="435"/>
      <w:bookmarkEnd w:id="436"/>
    </w:p>
    <w:p w14:paraId="46C38960" w14:textId="6B9E4318" w:rsidR="00C13B72" w:rsidRPr="00131EED" w:rsidRDefault="008F0FE2" w:rsidP="006845C5">
      <w:pPr>
        <w:pStyle w:val="NormalWeb"/>
        <w:spacing w:before="0" w:beforeAutospacing="0" w:after="0" w:afterAutospacing="0"/>
        <w:rPr>
          <w:rFonts w:ascii="Times New Roman" w:hAnsi="Times New Roman" w:cs="Times New Roman"/>
        </w:rPr>
      </w:pPr>
      <w:r w:rsidRPr="00131EED">
        <w:rPr>
          <w:rFonts w:ascii="Times New Roman" w:hAnsi="Times New Roman" w:cs="Times New Roman"/>
          <w:noProof/>
          <w:lang w:eastAsia="en-US"/>
        </w:rPr>
        <w:drawing>
          <wp:inline distT="0" distB="0" distL="0" distR="0" wp14:anchorId="5EF28414" wp14:editId="3C80C0AD">
            <wp:extent cx="1849581" cy="2393488"/>
            <wp:effectExtent l="0" t="0" r="0" b="6985"/>
            <wp:docPr id="1168248840" name="Imagen 1168248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63977" cy="2412117"/>
                    </a:xfrm>
                    <a:prstGeom prst="rect">
                      <a:avLst/>
                    </a:prstGeom>
                    <a:noFill/>
                    <a:ln>
                      <a:noFill/>
                    </a:ln>
                  </pic:spPr>
                </pic:pic>
              </a:graphicData>
            </a:graphic>
          </wp:inline>
        </w:drawing>
      </w:r>
      <w:r w:rsidR="00497CEE" w:rsidRPr="00131EED">
        <w:rPr>
          <w:rFonts w:ascii="Times New Roman" w:hAnsi="Times New Roman" w:cs="Times New Roman"/>
          <w:noProof/>
          <w:lang w:eastAsia="en-US"/>
        </w:rPr>
        <w:drawing>
          <wp:inline distT="0" distB="0" distL="0" distR="0" wp14:anchorId="002AF8F1" wp14:editId="236B4236">
            <wp:extent cx="1851387" cy="2395825"/>
            <wp:effectExtent l="0" t="0" r="0" b="5080"/>
            <wp:docPr id="1168248842" name="Imagen 1168248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863223" cy="2411142"/>
                    </a:xfrm>
                    <a:prstGeom prst="rect">
                      <a:avLst/>
                    </a:prstGeom>
                    <a:noFill/>
                    <a:ln>
                      <a:noFill/>
                    </a:ln>
                  </pic:spPr>
                </pic:pic>
              </a:graphicData>
            </a:graphic>
          </wp:inline>
        </w:drawing>
      </w:r>
      <w:r w:rsidR="00CC5A4D" w:rsidRPr="00131EED">
        <w:rPr>
          <w:rFonts w:ascii="Baskerville" w:hAnsi="Baskerville" w:cs="Arial"/>
        </w:rPr>
        <w:t xml:space="preserve"> </w:t>
      </w:r>
      <w:r w:rsidR="00C13B72" w:rsidRPr="00131EED">
        <w:rPr>
          <w:rFonts w:ascii="Times New Roman" w:hAnsi="Times New Roman" w:cs="Times New Roman"/>
          <w:noProof/>
          <w:lang w:eastAsia="en-US"/>
        </w:rPr>
        <w:drawing>
          <wp:inline distT="0" distB="0" distL="0" distR="0" wp14:anchorId="47454060" wp14:editId="6C7B4371">
            <wp:extent cx="1858144" cy="2404570"/>
            <wp:effectExtent l="0" t="0" r="8890" b="0"/>
            <wp:docPr id="1168248843" name="Imagen 1168248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872532" cy="2423190"/>
                    </a:xfrm>
                    <a:prstGeom prst="rect">
                      <a:avLst/>
                    </a:prstGeom>
                    <a:noFill/>
                    <a:ln>
                      <a:noFill/>
                    </a:ln>
                  </pic:spPr>
                </pic:pic>
              </a:graphicData>
            </a:graphic>
          </wp:inline>
        </w:drawing>
      </w:r>
    </w:p>
    <w:p w14:paraId="39DA3739" w14:textId="1AB386AA" w:rsidR="00CC5A4D" w:rsidRPr="00131EED" w:rsidRDefault="00CC5A4D" w:rsidP="006845C5">
      <w:pPr>
        <w:pStyle w:val="Caption"/>
        <w:spacing w:after="0"/>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 xml:space="preserve">Fuente:  adaptado por los autores con base en las ERA 1°, 2° y 3° edición cuenca del río Bogotá </w:t>
      </w:r>
      <w:sdt>
        <w:sdtPr>
          <w:rPr>
            <w:rFonts w:ascii="Baskerville Old Face" w:hAnsi="Baskerville Old Face"/>
            <w:i w:val="0"/>
            <w:color w:val="auto"/>
            <w:sz w:val="20"/>
            <w:szCs w:val="20"/>
          </w:rPr>
          <w:id w:val="2113553134"/>
          <w:citation/>
        </w:sdtPr>
        <w:sdtEndPr/>
        <w:sdtContent>
          <w:r w:rsidRPr="00131EED">
            <w:rPr>
              <w:rFonts w:ascii="Baskerville Old Face" w:hAnsi="Baskerville Old Face"/>
              <w:i w:val="0"/>
              <w:color w:val="auto"/>
              <w:sz w:val="20"/>
              <w:szCs w:val="20"/>
            </w:rPr>
            <w:fldChar w:fldCharType="begin"/>
          </w:r>
          <w:r w:rsidRPr="00131EED">
            <w:rPr>
              <w:rFonts w:ascii="Baskerville Old Face" w:hAnsi="Baskerville Old Face"/>
              <w:i w:val="0"/>
              <w:color w:val="auto"/>
              <w:sz w:val="20"/>
              <w:szCs w:val="20"/>
            </w:rPr>
            <w:instrText xml:space="preserve">CITATION CAR21 \t  \l 3082 </w:instrText>
          </w:r>
          <w:r w:rsidRPr="00131EED">
            <w:rPr>
              <w:rFonts w:ascii="Baskerville Old Face" w:hAnsi="Baskerville Old Face"/>
              <w:i w:val="0"/>
              <w:color w:val="auto"/>
              <w:sz w:val="20"/>
              <w:szCs w:val="20"/>
            </w:rPr>
            <w:fldChar w:fldCharType="separate"/>
          </w:r>
          <w:r w:rsidRPr="00131EED">
            <w:rPr>
              <w:rFonts w:ascii="Baskerville Old Face" w:hAnsi="Baskerville Old Face"/>
              <w:color w:val="auto"/>
              <w:sz w:val="20"/>
              <w:szCs w:val="20"/>
            </w:rPr>
            <w:t>(CAR C. A., 2021)</w:t>
          </w:r>
          <w:r w:rsidRPr="00131EED">
            <w:rPr>
              <w:rFonts w:ascii="Baskerville Old Face" w:hAnsi="Baskerville Old Face"/>
              <w:i w:val="0"/>
              <w:color w:val="auto"/>
              <w:sz w:val="20"/>
              <w:szCs w:val="20"/>
            </w:rPr>
            <w:fldChar w:fldCharType="end"/>
          </w:r>
        </w:sdtContent>
      </w:sdt>
    </w:p>
    <w:p w14:paraId="2F41E8F0" w14:textId="20CCBC04" w:rsidR="00CC5A4D" w:rsidRPr="00131EED" w:rsidRDefault="00CC5A4D" w:rsidP="00CC5A4D">
      <w:pPr>
        <w:rPr>
          <w:rFonts w:cs="Arial"/>
        </w:rPr>
      </w:pPr>
      <w:r w:rsidRPr="00131EED">
        <w:rPr>
          <w:rFonts w:cs="Arial"/>
        </w:rPr>
        <w:t xml:space="preserve">Ahora bien, la alta presión de la demanda sobre la oferta hídrica puede generar una notable afectación al índice de vulnerabilidad al desabastecimiento de agua (IVDH). Este índice refleja el grado de fragilidad del sistema hídrico para mantener una oferta suficiente para el abastecimiento de agua potable. Cuando la demanda de agua supera significativamente la capacidad de suministro, ya sea debido a periodos prolongados de sequía o eventos climáticos extremos como el Fenómeno Cálido del Pacífico (El Niño) o la materialización de escenarios de cambio climático, se aumenta la probabilidad de que se presenten riesgos de desabastecimiento, lo que pone en peligro la disponibilidad de agua cruda para uso humano, la biodiversidad y otras actividades vitales. En este contexto, es crucial gestionar de manera eficiente el agua y adoptar medidas adecuadas de adaptación y mitigación para reducir la vulnerabilidad frente a estos eventos. La </w:t>
      </w:r>
      <w:r w:rsidRPr="00131EED">
        <w:rPr>
          <w:rFonts w:cs="Arial"/>
        </w:rPr>
        <w:fldChar w:fldCharType="begin"/>
      </w:r>
      <w:r w:rsidRPr="00131EED">
        <w:rPr>
          <w:rFonts w:cs="Arial"/>
        </w:rPr>
        <w:instrText xml:space="preserve"> REF _Ref161819148 \h  \* MERGEFORMAT </w:instrText>
      </w:r>
      <w:r w:rsidRPr="00131EED">
        <w:rPr>
          <w:rFonts w:cs="Arial"/>
        </w:rPr>
      </w:r>
      <w:r w:rsidRPr="00131EED">
        <w:rPr>
          <w:rFonts w:cs="Arial"/>
        </w:rPr>
        <w:fldChar w:fldCharType="separate"/>
      </w:r>
      <w:r w:rsidR="00CE096F" w:rsidRPr="00CE096F">
        <w:rPr>
          <w:rFonts w:cs="Arial"/>
        </w:rPr>
        <w:t>Tabla</w:t>
      </w:r>
      <w:r w:rsidRPr="00131EED">
        <w:rPr>
          <w:rFonts w:cs="Arial"/>
        </w:rPr>
        <w:fldChar w:fldCharType="end"/>
      </w:r>
      <w:r w:rsidRPr="00131EED">
        <w:rPr>
          <w:rFonts w:cs="Arial"/>
        </w:rPr>
        <w:t xml:space="preserve">presenta los datos comparativos del cambio del IVDH tomando como caso de estudio las Evaluaciones Regionales del Agua (ERA) para algunas subcuencas de la cuenca del río Bogotá, de la Corporación Autónoma Regional de Cundinamarca (CAR) primera edición (periodo 2012 – 2015), segunda edición (periodo 2015 – 2016) y tercera edición (periodo 2016 – 2021). </w:t>
      </w:r>
    </w:p>
    <w:p w14:paraId="0E920639" w14:textId="77777777" w:rsidR="00CC5A4D" w:rsidRPr="00131EED" w:rsidRDefault="00CC5A4D" w:rsidP="00CC5A4D">
      <w:pPr>
        <w:rPr>
          <w:rFonts w:ascii="Baskerville" w:hAnsi="Baskerville" w:cs="Arial"/>
          <w:sz w:val="20"/>
          <w:szCs w:val="20"/>
        </w:rPr>
      </w:pPr>
    </w:p>
    <w:p w14:paraId="130573AE" w14:textId="2E97A0DD" w:rsidR="00CC5A4D" w:rsidRPr="00131EED" w:rsidRDefault="00CC5A4D" w:rsidP="006845C5">
      <w:pPr>
        <w:pStyle w:val="Caption"/>
        <w:keepNext/>
        <w:spacing w:after="0"/>
        <w:jc w:val="center"/>
        <w:rPr>
          <w:rFonts w:ascii="Baskerville" w:hAnsi="Baskerville"/>
          <w:i w:val="0"/>
          <w:color w:val="auto"/>
        </w:rPr>
      </w:pPr>
      <w:bookmarkStart w:id="437" w:name="_Ref161819148"/>
      <w:bookmarkStart w:id="438" w:name="_Toc162340791"/>
      <w:r w:rsidRPr="00131EED">
        <w:t>Tabla</w:t>
      </w:r>
      <w:bookmarkEnd w:id="437"/>
      <w:r w:rsidRPr="00131EED">
        <w:t>. Comparación índice de vulnerabilidad al desabastecimiento (IVDH</w:t>
      </w:r>
      <w:r w:rsidRPr="00131EED">
        <w:rPr>
          <w:rFonts w:ascii="Baskerville" w:hAnsi="Baskerville"/>
          <w:i w:val="0"/>
          <w:color w:val="auto"/>
        </w:rPr>
        <w:t>)</w:t>
      </w:r>
      <w:bookmarkEnd w:id="438"/>
    </w:p>
    <w:p w14:paraId="24E15202" w14:textId="77777777" w:rsidR="00A4471C" w:rsidRPr="00131EED" w:rsidRDefault="00A4471C" w:rsidP="00A4471C">
      <w:pPr>
        <w:rPr>
          <w:lang w:eastAsia="en-US"/>
        </w:rPr>
      </w:pPr>
    </w:p>
    <w:tbl>
      <w:tblPr>
        <w:tblStyle w:val="GridTable1Light"/>
        <w:tblW w:w="9078" w:type="dxa"/>
        <w:jc w:val="center"/>
        <w:tblLayout w:type="fixed"/>
        <w:tblLook w:val="04A0" w:firstRow="1" w:lastRow="0" w:firstColumn="1" w:lastColumn="0" w:noHBand="0" w:noVBand="1"/>
      </w:tblPr>
      <w:tblGrid>
        <w:gridCol w:w="2490"/>
        <w:gridCol w:w="2196"/>
        <w:gridCol w:w="2196"/>
        <w:gridCol w:w="2196"/>
      </w:tblGrid>
      <w:tr w:rsidR="00CC5A4D" w:rsidRPr="00131EED" w14:paraId="33B7C329" w14:textId="77777777" w:rsidTr="00550F11">
        <w:trPr>
          <w:cnfStyle w:val="100000000000" w:firstRow="1" w:lastRow="0" w:firstColumn="0" w:lastColumn="0" w:oddVBand="0" w:evenVBand="0" w:oddHBand="0" w:evenHBand="0" w:firstRowFirstColumn="0" w:firstRowLastColumn="0" w:lastRowFirstColumn="0" w:lastRowLastColumn="0"/>
          <w:trHeight w:val="33"/>
          <w:tblHeader/>
          <w:jc w:val="center"/>
        </w:trPr>
        <w:tc>
          <w:tcPr>
            <w:cnfStyle w:val="001000000000" w:firstRow="0" w:lastRow="0" w:firstColumn="1" w:lastColumn="0" w:oddVBand="0" w:evenVBand="0" w:oddHBand="0" w:evenHBand="0" w:firstRowFirstColumn="0" w:firstRowLastColumn="0" w:lastRowFirstColumn="0" w:lastRowLastColumn="0"/>
            <w:tcW w:w="2490" w:type="dxa"/>
            <w:vAlign w:val="center"/>
          </w:tcPr>
          <w:p w14:paraId="53338BD0" w14:textId="77777777" w:rsidR="00CC5A4D" w:rsidRPr="00131EED" w:rsidRDefault="00CC5A4D" w:rsidP="006845C5">
            <w:pPr>
              <w:jc w:val="center"/>
              <w:rPr>
                <w:rFonts w:cs="Arial"/>
                <w:sz w:val="20"/>
                <w:szCs w:val="20"/>
              </w:rPr>
            </w:pPr>
            <w:r w:rsidRPr="00131EED">
              <w:rPr>
                <w:rFonts w:cs="Arial"/>
                <w:sz w:val="20"/>
                <w:szCs w:val="20"/>
              </w:rPr>
              <w:t>SUBCUENCA</w:t>
            </w:r>
          </w:p>
        </w:tc>
        <w:tc>
          <w:tcPr>
            <w:tcW w:w="2196" w:type="dxa"/>
            <w:vAlign w:val="bottom"/>
          </w:tcPr>
          <w:p w14:paraId="7B878DD7"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IVDH 1° EDICIÓN</w:t>
            </w:r>
          </w:p>
        </w:tc>
        <w:tc>
          <w:tcPr>
            <w:tcW w:w="2196" w:type="dxa"/>
            <w:vAlign w:val="bottom"/>
          </w:tcPr>
          <w:p w14:paraId="1A5964CC"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IVDH 2° EDICIÓN</w:t>
            </w:r>
          </w:p>
        </w:tc>
        <w:tc>
          <w:tcPr>
            <w:tcW w:w="2196" w:type="dxa"/>
            <w:vAlign w:val="bottom"/>
          </w:tcPr>
          <w:p w14:paraId="727CAAF7" w14:textId="77777777" w:rsidR="00CC5A4D" w:rsidRPr="00131EED" w:rsidRDefault="00CC5A4D" w:rsidP="006845C5">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IVDH 3° EDICIÓN</w:t>
            </w:r>
          </w:p>
        </w:tc>
      </w:tr>
      <w:tr w:rsidR="00CC5A4D" w:rsidRPr="00131EED" w14:paraId="01C5BA78" w14:textId="77777777" w:rsidTr="00550F11">
        <w:trPr>
          <w:trHeight w:val="201"/>
          <w:jc w:val="center"/>
        </w:trPr>
        <w:tc>
          <w:tcPr>
            <w:cnfStyle w:val="001000000000" w:firstRow="0" w:lastRow="0" w:firstColumn="1" w:lastColumn="0" w:oddVBand="0" w:evenVBand="0" w:oddHBand="0" w:evenHBand="0" w:firstRowFirstColumn="0" w:firstRowLastColumn="0" w:lastRowFirstColumn="0" w:lastRowLastColumn="0"/>
            <w:tcW w:w="2490" w:type="dxa"/>
          </w:tcPr>
          <w:p w14:paraId="2BC6D86F" w14:textId="77777777" w:rsidR="00CC5A4D" w:rsidRPr="00131EED" w:rsidRDefault="00CC5A4D" w:rsidP="006845C5">
            <w:pPr>
              <w:jc w:val="center"/>
              <w:rPr>
                <w:rFonts w:cs="Arial"/>
                <w:b w:val="0"/>
                <w:sz w:val="20"/>
                <w:szCs w:val="20"/>
              </w:rPr>
            </w:pPr>
            <w:r w:rsidRPr="00131EED">
              <w:rPr>
                <w:rFonts w:cs="Arial"/>
                <w:b w:val="0"/>
                <w:sz w:val="20"/>
                <w:szCs w:val="20"/>
              </w:rPr>
              <w:t>Río Alto Bogotá</w:t>
            </w:r>
          </w:p>
        </w:tc>
        <w:tc>
          <w:tcPr>
            <w:tcW w:w="2196" w:type="dxa"/>
            <w:shd w:val="clear" w:color="auto" w:fill="FF0000"/>
          </w:tcPr>
          <w:p w14:paraId="0669DA51"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Muy alto</w:t>
            </w:r>
          </w:p>
        </w:tc>
        <w:tc>
          <w:tcPr>
            <w:tcW w:w="2196" w:type="dxa"/>
            <w:shd w:val="clear" w:color="auto" w:fill="ED7D31" w:themeFill="accent2"/>
          </w:tcPr>
          <w:p w14:paraId="25E90D8D"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c>
          <w:tcPr>
            <w:tcW w:w="2196" w:type="dxa"/>
            <w:shd w:val="clear" w:color="auto" w:fill="ED7D31" w:themeFill="accent2"/>
          </w:tcPr>
          <w:p w14:paraId="78B98F92"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r>
      <w:tr w:rsidR="00CC5A4D" w:rsidRPr="00131EED" w14:paraId="452AE664" w14:textId="77777777" w:rsidTr="00550F11">
        <w:trPr>
          <w:trHeight w:val="201"/>
          <w:jc w:val="center"/>
        </w:trPr>
        <w:tc>
          <w:tcPr>
            <w:cnfStyle w:val="001000000000" w:firstRow="0" w:lastRow="0" w:firstColumn="1" w:lastColumn="0" w:oddVBand="0" w:evenVBand="0" w:oddHBand="0" w:evenHBand="0" w:firstRowFirstColumn="0" w:firstRowLastColumn="0" w:lastRowFirstColumn="0" w:lastRowLastColumn="0"/>
            <w:tcW w:w="2490" w:type="dxa"/>
          </w:tcPr>
          <w:p w14:paraId="198F4CC3" w14:textId="73111D93" w:rsidR="00CC5A4D" w:rsidRPr="00131EED" w:rsidRDefault="00CC5A4D" w:rsidP="006845C5">
            <w:pPr>
              <w:jc w:val="center"/>
              <w:rPr>
                <w:rFonts w:cs="Arial"/>
                <w:b w:val="0"/>
                <w:sz w:val="20"/>
                <w:szCs w:val="20"/>
              </w:rPr>
            </w:pPr>
            <w:r w:rsidRPr="00131EED">
              <w:rPr>
                <w:rFonts w:cs="Arial"/>
                <w:b w:val="0"/>
                <w:sz w:val="20"/>
                <w:szCs w:val="20"/>
              </w:rPr>
              <w:t>Embalse del Sisga</w:t>
            </w:r>
          </w:p>
        </w:tc>
        <w:tc>
          <w:tcPr>
            <w:tcW w:w="2196" w:type="dxa"/>
            <w:shd w:val="clear" w:color="auto" w:fill="ED7D31" w:themeFill="accent2"/>
          </w:tcPr>
          <w:p w14:paraId="29808D0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c>
          <w:tcPr>
            <w:tcW w:w="2196" w:type="dxa"/>
            <w:shd w:val="clear" w:color="auto" w:fill="ED7D31" w:themeFill="accent2"/>
          </w:tcPr>
          <w:p w14:paraId="43AF8BF4"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c>
          <w:tcPr>
            <w:tcW w:w="2196" w:type="dxa"/>
            <w:shd w:val="clear" w:color="auto" w:fill="ED7D31" w:themeFill="accent2"/>
          </w:tcPr>
          <w:p w14:paraId="4098E8E1"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r>
      <w:tr w:rsidR="00CC5A4D" w:rsidRPr="00131EED" w14:paraId="30B6C406" w14:textId="77777777" w:rsidTr="00550F11">
        <w:trPr>
          <w:trHeight w:val="201"/>
          <w:jc w:val="center"/>
        </w:trPr>
        <w:tc>
          <w:tcPr>
            <w:cnfStyle w:val="001000000000" w:firstRow="0" w:lastRow="0" w:firstColumn="1" w:lastColumn="0" w:oddVBand="0" w:evenVBand="0" w:oddHBand="0" w:evenHBand="0" w:firstRowFirstColumn="0" w:firstRowLastColumn="0" w:lastRowFirstColumn="0" w:lastRowLastColumn="0"/>
            <w:tcW w:w="2490" w:type="dxa"/>
          </w:tcPr>
          <w:p w14:paraId="19D55E53" w14:textId="77777777" w:rsidR="00CC5A4D" w:rsidRPr="00131EED" w:rsidRDefault="00CC5A4D" w:rsidP="006845C5">
            <w:pPr>
              <w:jc w:val="center"/>
              <w:rPr>
                <w:rFonts w:cs="Arial"/>
                <w:b w:val="0"/>
                <w:sz w:val="20"/>
                <w:szCs w:val="20"/>
              </w:rPr>
            </w:pPr>
            <w:r w:rsidRPr="00131EED">
              <w:rPr>
                <w:rFonts w:cs="Arial"/>
                <w:b w:val="0"/>
                <w:sz w:val="20"/>
                <w:szCs w:val="20"/>
              </w:rPr>
              <w:t>Río Neusa</w:t>
            </w:r>
          </w:p>
        </w:tc>
        <w:tc>
          <w:tcPr>
            <w:tcW w:w="2196" w:type="dxa"/>
            <w:shd w:val="clear" w:color="auto" w:fill="FF0000"/>
          </w:tcPr>
          <w:p w14:paraId="29906162"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Muy alto</w:t>
            </w:r>
          </w:p>
        </w:tc>
        <w:tc>
          <w:tcPr>
            <w:tcW w:w="2196" w:type="dxa"/>
            <w:shd w:val="clear" w:color="auto" w:fill="ED7D31" w:themeFill="accent2"/>
          </w:tcPr>
          <w:p w14:paraId="22F4AE2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c>
          <w:tcPr>
            <w:tcW w:w="2196" w:type="dxa"/>
            <w:shd w:val="clear" w:color="auto" w:fill="ED7D31" w:themeFill="accent2"/>
          </w:tcPr>
          <w:p w14:paraId="1FCA58A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r>
      <w:tr w:rsidR="00CC5A4D" w:rsidRPr="00131EED" w14:paraId="0130E2A2" w14:textId="77777777" w:rsidTr="00550F11">
        <w:trPr>
          <w:trHeight w:val="201"/>
          <w:jc w:val="center"/>
        </w:trPr>
        <w:tc>
          <w:tcPr>
            <w:cnfStyle w:val="001000000000" w:firstRow="0" w:lastRow="0" w:firstColumn="1" w:lastColumn="0" w:oddVBand="0" w:evenVBand="0" w:oddHBand="0" w:evenHBand="0" w:firstRowFirstColumn="0" w:firstRowLastColumn="0" w:lastRowFirstColumn="0" w:lastRowLastColumn="0"/>
            <w:tcW w:w="2490" w:type="dxa"/>
          </w:tcPr>
          <w:p w14:paraId="6E8AE21C" w14:textId="77777777" w:rsidR="00CC5A4D" w:rsidRPr="00131EED" w:rsidRDefault="00CC5A4D" w:rsidP="006845C5">
            <w:pPr>
              <w:jc w:val="center"/>
              <w:rPr>
                <w:rFonts w:cs="Arial"/>
                <w:b w:val="0"/>
                <w:sz w:val="20"/>
                <w:szCs w:val="20"/>
              </w:rPr>
            </w:pPr>
            <w:r w:rsidRPr="00131EED">
              <w:rPr>
                <w:rFonts w:cs="Arial"/>
                <w:b w:val="0"/>
                <w:sz w:val="20"/>
                <w:szCs w:val="20"/>
              </w:rPr>
              <w:t>Sector Sisga - Tibitoc</w:t>
            </w:r>
          </w:p>
        </w:tc>
        <w:tc>
          <w:tcPr>
            <w:tcW w:w="2196" w:type="dxa"/>
            <w:shd w:val="clear" w:color="auto" w:fill="FFFF00"/>
          </w:tcPr>
          <w:p w14:paraId="61113465"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Medio</w:t>
            </w:r>
          </w:p>
        </w:tc>
        <w:tc>
          <w:tcPr>
            <w:tcW w:w="2196" w:type="dxa"/>
            <w:shd w:val="clear" w:color="auto" w:fill="ED7D31" w:themeFill="accent2"/>
          </w:tcPr>
          <w:p w14:paraId="6C13FA01"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c>
          <w:tcPr>
            <w:tcW w:w="2196" w:type="dxa"/>
            <w:shd w:val="clear" w:color="auto" w:fill="ED7D31" w:themeFill="accent2"/>
          </w:tcPr>
          <w:p w14:paraId="556AE71B"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r>
      <w:tr w:rsidR="00CC5A4D" w:rsidRPr="00131EED" w14:paraId="0F8F0981" w14:textId="77777777" w:rsidTr="00550F11">
        <w:trPr>
          <w:trHeight w:val="201"/>
          <w:jc w:val="center"/>
        </w:trPr>
        <w:tc>
          <w:tcPr>
            <w:cnfStyle w:val="001000000000" w:firstRow="0" w:lastRow="0" w:firstColumn="1" w:lastColumn="0" w:oddVBand="0" w:evenVBand="0" w:oddHBand="0" w:evenHBand="0" w:firstRowFirstColumn="0" w:firstRowLastColumn="0" w:lastRowFirstColumn="0" w:lastRowLastColumn="0"/>
            <w:tcW w:w="2490" w:type="dxa"/>
          </w:tcPr>
          <w:p w14:paraId="4B7322F0" w14:textId="77777777" w:rsidR="00CC5A4D" w:rsidRPr="00131EED" w:rsidRDefault="00CC5A4D" w:rsidP="006845C5">
            <w:pPr>
              <w:jc w:val="center"/>
              <w:rPr>
                <w:rFonts w:cs="Arial"/>
                <w:b w:val="0"/>
                <w:sz w:val="20"/>
                <w:szCs w:val="20"/>
              </w:rPr>
            </w:pPr>
            <w:r w:rsidRPr="00131EED">
              <w:rPr>
                <w:rFonts w:cs="Arial"/>
                <w:b w:val="0"/>
                <w:sz w:val="20"/>
                <w:szCs w:val="20"/>
              </w:rPr>
              <w:t>Embalse de Tominé</w:t>
            </w:r>
          </w:p>
        </w:tc>
        <w:tc>
          <w:tcPr>
            <w:tcW w:w="2196" w:type="dxa"/>
            <w:shd w:val="clear" w:color="auto" w:fill="ED7D31" w:themeFill="accent2"/>
          </w:tcPr>
          <w:p w14:paraId="1B1032F9"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c>
          <w:tcPr>
            <w:tcW w:w="2196" w:type="dxa"/>
            <w:shd w:val="clear" w:color="auto" w:fill="FF0000"/>
          </w:tcPr>
          <w:p w14:paraId="57803AF8"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Muy alto</w:t>
            </w:r>
          </w:p>
        </w:tc>
        <w:tc>
          <w:tcPr>
            <w:tcW w:w="2196" w:type="dxa"/>
            <w:shd w:val="clear" w:color="auto" w:fill="92D050"/>
          </w:tcPr>
          <w:p w14:paraId="6D6324FE"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Bajo</w:t>
            </w:r>
          </w:p>
        </w:tc>
      </w:tr>
      <w:tr w:rsidR="00CC5A4D" w:rsidRPr="00131EED" w14:paraId="3BF5E6C8" w14:textId="77777777" w:rsidTr="00550F11">
        <w:trPr>
          <w:trHeight w:val="201"/>
          <w:jc w:val="center"/>
        </w:trPr>
        <w:tc>
          <w:tcPr>
            <w:cnfStyle w:val="001000000000" w:firstRow="0" w:lastRow="0" w:firstColumn="1" w:lastColumn="0" w:oddVBand="0" w:evenVBand="0" w:oddHBand="0" w:evenHBand="0" w:firstRowFirstColumn="0" w:firstRowLastColumn="0" w:lastRowFirstColumn="0" w:lastRowLastColumn="0"/>
            <w:tcW w:w="2490" w:type="dxa"/>
          </w:tcPr>
          <w:p w14:paraId="7D6C5C9F" w14:textId="77777777" w:rsidR="00CC5A4D" w:rsidRPr="00131EED" w:rsidRDefault="00CC5A4D" w:rsidP="006845C5">
            <w:pPr>
              <w:jc w:val="center"/>
              <w:rPr>
                <w:rFonts w:cs="Arial"/>
                <w:b w:val="0"/>
                <w:sz w:val="20"/>
                <w:szCs w:val="20"/>
              </w:rPr>
            </w:pPr>
            <w:r w:rsidRPr="00131EED">
              <w:rPr>
                <w:rFonts w:cs="Arial"/>
                <w:b w:val="0"/>
                <w:sz w:val="20"/>
                <w:szCs w:val="20"/>
              </w:rPr>
              <w:t>Río Frío</w:t>
            </w:r>
          </w:p>
        </w:tc>
        <w:tc>
          <w:tcPr>
            <w:tcW w:w="2196" w:type="dxa"/>
            <w:shd w:val="clear" w:color="auto" w:fill="ED7D31" w:themeFill="accent2"/>
          </w:tcPr>
          <w:p w14:paraId="412A39E5"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c>
          <w:tcPr>
            <w:tcW w:w="2196" w:type="dxa"/>
            <w:shd w:val="clear" w:color="auto" w:fill="ED7D31" w:themeFill="accent2"/>
          </w:tcPr>
          <w:p w14:paraId="0BFBE308"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c>
          <w:tcPr>
            <w:tcW w:w="2196" w:type="dxa"/>
            <w:shd w:val="clear" w:color="auto" w:fill="ED7D31" w:themeFill="accent2"/>
          </w:tcPr>
          <w:p w14:paraId="59415F67"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r>
      <w:tr w:rsidR="00CC5A4D" w:rsidRPr="00131EED" w14:paraId="162F0AFD" w14:textId="77777777" w:rsidTr="00550F11">
        <w:trPr>
          <w:trHeight w:val="201"/>
          <w:jc w:val="center"/>
        </w:trPr>
        <w:tc>
          <w:tcPr>
            <w:cnfStyle w:val="001000000000" w:firstRow="0" w:lastRow="0" w:firstColumn="1" w:lastColumn="0" w:oddVBand="0" w:evenVBand="0" w:oddHBand="0" w:evenHBand="0" w:firstRowFirstColumn="0" w:firstRowLastColumn="0" w:lastRowFirstColumn="0" w:lastRowLastColumn="0"/>
            <w:tcW w:w="2490" w:type="dxa"/>
          </w:tcPr>
          <w:p w14:paraId="63A363DD" w14:textId="77777777" w:rsidR="00CC5A4D" w:rsidRPr="00131EED" w:rsidRDefault="00CC5A4D" w:rsidP="006845C5">
            <w:pPr>
              <w:jc w:val="center"/>
              <w:rPr>
                <w:rFonts w:cs="Arial"/>
                <w:b w:val="0"/>
                <w:sz w:val="20"/>
                <w:szCs w:val="20"/>
              </w:rPr>
            </w:pPr>
            <w:r w:rsidRPr="00131EED">
              <w:rPr>
                <w:rFonts w:cs="Arial"/>
                <w:b w:val="0"/>
                <w:sz w:val="20"/>
                <w:szCs w:val="20"/>
              </w:rPr>
              <w:t>Río Teusacá</w:t>
            </w:r>
          </w:p>
        </w:tc>
        <w:tc>
          <w:tcPr>
            <w:tcW w:w="2196" w:type="dxa"/>
            <w:shd w:val="clear" w:color="auto" w:fill="ED7D31" w:themeFill="accent2"/>
          </w:tcPr>
          <w:p w14:paraId="0E3B13FE"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c>
          <w:tcPr>
            <w:tcW w:w="2196" w:type="dxa"/>
          </w:tcPr>
          <w:p w14:paraId="0B7AB0AC"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tcW w:w="2196" w:type="dxa"/>
            <w:shd w:val="clear" w:color="auto" w:fill="ED7D31" w:themeFill="accent2"/>
          </w:tcPr>
          <w:p w14:paraId="7CD86F34"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r>
      <w:tr w:rsidR="00CC5A4D" w:rsidRPr="00131EED" w14:paraId="6F87CC14" w14:textId="77777777" w:rsidTr="00550F11">
        <w:trPr>
          <w:trHeight w:val="201"/>
          <w:jc w:val="center"/>
        </w:trPr>
        <w:tc>
          <w:tcPr>
            <w:cnfStyle w:val="001000000000" w:firstRow="0" w:lastRow="0" w:firstColumn="1" w:lastColumn="0" w:oddVBand="0" w:evenVBand="0" w:oddHBand="0" w:evenHBand="0" w:firstRowFirstColumn="0" w:firstRowLastColumn="0" w:lastRowFirstColumn="0" w:lastRowLastColumn="0"/>
            <w:tcW w:w="2490" w:type="dxa"/>
          </w:tcPr>
          <w:p w14:paraId="25C5515F" w14:textId="77777777" w:rsidR="00CC5A4D" w:rsidRPr="00131EED" w:rsidRDefault="00CC5A4D" w:rsidP="006845C5">
            <w:pPr>
              <w:jc w:val="center"/>
              <w:rPr>
                <w:rFonts w:cs="Arial"/>
                <w:b w:val="0"/>
                <w:sz w:val="20"/>
                <w:szCs w:val="20"/>
              </w:rPr>
            </w:pPr>
            <w:r w:rsidRPr="00131EED">
              <w:rPr>
                <w:rFonts w:cs="Arial"/>
                <w:b w:val="0"/>
                <w:sz w:val="20"/>
                <w:szCs w:val="20"/>
              </w:rPr>
              <w:t>Río Balsillas</w:t>
            </w:r>
          </w:p>
        </w:tc>
        <w:tc>
          <w:tcPr>
            <w:tcW w:w="2196" w:type="dxa"/>
            <w:shd w:val="clear" w:color="auto" w:fill="FFFF00"/>
          </w:tcPr>
          <w:p w14:paraId="1DCF6B9A"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Medio</w:t>
            </w:r>
          </w:p>
        </w:tc>
        <w:tc>
          <w:tcPr>
            <w:tcW w:w="2196" w:type="dxa"/>
            <w:shd w:val="clear" w:color="auto" w:fill="ED7D31" w:themeFill="accent2"/>
          </w:tcPr>
          <w:p w14:paraId="395FAE5D"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c>
          <w:tcPr>
            <w:tcW w:w="2196" w:type="dxa"/>
            <w:shd w:val="clear" w:color="auto" w:fill="ED7D31" w:themeFill="accent2"/>
          </w:tcPr>
          <w:p w14:paraId="26B10133"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r>
      <w:tr w:rsidR="00CC5A4D" w:rsidRPr="00131EED" w14:paraId="303A6285" w14:textId="77777777" w:rsidTr="00550F11">
        <w:trPr>
          <w:trHeight w:val="201"/>
          <w:jc w:val="center"/>
        </w:trPr>
        <w:tc>
          <w:tcPr>
            <w:cnfStyle w:val="001000000000" w:firstRow="0" w:lastRow="0" w:firstColumn="1" w:lastColumn="0" w:oddVBand="0" w:evenVBand="0" w:oddHBand="0" w:evenHBand="0" w:firstRowFirstColumn="0" w:firstRowLastColumn="0" w:lastRowFirstColumn="0" w:lastRowLastColumn="0"/>
            <w:tcW w:w="2490" w:type="dxa"/>
          </w:tcPr>
          <w:p w14:paraId="47AD1134" w14:textId="77777777" w:rsidR="00CC5A4D" w:rsidRPr="00131EED" w:rsidRDefault="00CC5A4D" w:rsidP="006845C5">
            <w:pPr>
              <w:jc w:val="center"/>
              <w:rPr>
                <w:rFonts w:cs="Arial"/>
                <w:b w:val="0"/>
                <w:sz w:val="20"/>
                <w:szCs w:val="20"/>
              </w:rPr>
            </w:pPr>
            <w:r w:rsidRPr="00131EED">
              <w:rPr>
                <w:rFonts w:cs="Arial"/>
                <w:b w:val="0"/>
                <w:sz w:val="20"/>
                <w:szCs w:val="20"/>
              </w:rPr>
              <w:t>Embalse del Muña</w:t>
            </w:r>
          </w:p>
        </w:tc>
        <w:tc>
          <w:tcPr>
            <w:tcW w:w="2196" w:type="dxa"/>
            <w:shd w:val="clear" w:color="auto" w:fill="ED7D31" w:themeFill="accent2"/>
          </w:tcPr>
          <w:p w14:paraId="5579CE22"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c>
          <w:tcPr>
            <w:tcW w:w="2196" w:type="dxa"/>
            <w:shd w:val="clear" w:color="auto" w:fill="ED7D31" w:themeFill="accent2"/>
          </w:tcPr>
          <w:p w14:paraId="3CE5CAD0"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c>
          <w:tcPr>
            <w:tcW w:w="2196" w:type="dxa"/>
            <w:shd w:val="clear" w:color="auto" w:fill="ED7D31" w:themeFill="accent2"/>
          </w:tcPr>
          <w:p w14:paraId="56A26CF2" w14:textId="77777777" w:rsidR="00CC5A4D" w:rsidRPr="00131EED" w:rsidRDefault="00CC5A4D" w:rsidP="006845C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Alto</w:t>
            </w:r>
          </w:p>
        </w:tc>
      </w:tr>
    </w:tbl>
    <w:p w14:paraId="4AE263A7" w14:textId="5B57EE90" w:rsidR="00CC5A4D" w:rsidRPr="00131EED" w:rsidRDefault="00CC5A4D" w:rsidP="006845C5">
      <w:pPr>
        <w:jc w:val="center"/>
        <w:rPr>
          <w:rFonts w:cs="Arial"/>
          <w:sz w:val="20"/>
          <w:szCs w:val="20"/>
        </w:rPr>
      </w:pPr>
      <w:r w:rsidRPr="00131EED">
        <w:rPr>
          <w:rFonts w:cs="Arial"/>
          <w:sz w:val="20"/>
          <w:szCs w:val="20"/>
        </w:rPr>
        <w:t xml:space="preserve">Fuente: elaborado por el autor con base en las ERA </w:t>
      </w:r>
      <w:sdt>
        <w:sdtPr>
          <w:rPr>
            <w:rFonts w:cs="Arial"/>
            <w:sz w:val="20"/>
            <w:szCs w:val="20"/>
          </w:rPr>
          <w:id w:val="-793914347"/>
          <w:citation/>
        </w:sdtPr>
        <w:sdtEndPr/>
        <w:sdtContent>
          <w:r w:rsidRPr="00131EED">
            <w:rPr>
              <w:rFonts w:cs="Arial"/>
              <w:sz w:val="20"/>
              <w:szCs w:val="20"/>
            </w:rPr>
            <w:fldChar w:fldCharType="begin"/>
          </w:r>
          <w:r w:rsidRPr="00131EED">
            <w:rPr>
              <w:rFonts w:cs="Arial"/>
              <w:sz w:val="20"/>
              <w:szCs w:val="20"/>
            </w:rPr>
            <w:instrText xml:space="preserve">CITATION CAR21 \t  \l 3082 </w:instrText>
          </w:r>
          <w:r w:rsidRPr="00131EED">
            <w:rPr>
              <w:rFonts w:cs="Arial"/>
              <w:sz w:val="20"/>
              <w:szCs w:val="20"/>
            </w:rPr>
            <w:fldChar w:fldCharType="separate"/>
          </w:r>
          <w:r w:rsidRPr="00131EED">
            <w:rPr>
              <w:rFonts w:cs="Arial"/>
              <w:sz w:val="20"/>
              <w:szCs w:val="20"/>
            </w:rPr>
            <w:t>(CAR C. A., 2021)</w:t>
          </w:r>
          <w:r w:rsidRPr="00131EED">
            <w:rPr>
              <w:rFonts w:cs="Arial"/>
              <w:sz w:val="20"/>
              <w:szCs w:val="20"/>
            </w:rPr>
            <w:fldChar w:fldCharType="end"/>
          </w:r>
        </w:sdtContent>
      </w:sdt>
    </w:p>
    <w:p w14:paraId="6A15E79D" w14:textId="77777777" w:rsidR="00CC5A4D" w:rsidRPr="00131EED" w:rsidRDefault="00CC5A4D" w:rsidP="00CC5A4D">
      <w:pPr>
        <w:rPr>
          <w:rFonts w:cs="Arial"/>
        </w:rPr>
      </w:pPr>
    </w:p>
    <w:p w14:paraId="65636C17" w14:textId="77777777" w:rsidR="00CC5A4D" w:rsidRPr="00131EED" w:rsidRDefault="00CC5A4D" w:rsidP="00CC5A4D">
      <w:pPr>
        <w:rPr>
          <w:rFonts w:cs="Arial"/>
        </w:rPr>
      </w:pPr>
      <w:r w:rsidRPr="00131EED">
        <w:rPr>
          <w:rFonts w:cs="Arial"/>
        </w:rPr>
        <w:t xml:space="preserve">Los resultados gráficos espaciales del IVDH se presentan en el mapa a continuación. El análisis de los resultados del Índice de Vulnerabilidad al Desabastecimiento Hídrico (IVDH) muestra variaciones significativas en la vulnerabilidad de las diferentes subcuencas a lo largo de las tres ediciones evaluadas. En primer lugar, se observa que varias subcuencas, como el Río Alto Bogotá, el Río Neusa y el Río Frío, mantienen consistentemente niveles de vulnerabilidad altos o muy altos a lo largo de las tres ediciones evaluadas. Esto sugiere que estas áreas enfrentan desafíos significativos en cuanto a la fragilidad de sus sistemas hídricos para mantener una oferta suficiente de agua potable, lo que las hace más susceptibles a periodos de sequía o eventos climáticos extremos. Por otro lado, hay subcuencas que muestran fluctuaciones en su nivel de vulnerabilidad a lo largo de las ediciones evaluadas. Por ejemplo, el Embalse de Tominé experimenta una reducción significativa en su vulnerabilidad en la tercera edición, pasando de un nivel alto a uno bajo. Esto podría indicar mejoras en la capacidad de gestión del agua en esta área específica, lo que ha contribuido a reducir su fragilidad frente a los riesgos de desabastecimiento. </w:t>
      </w:r>
    </w:p>
    <w:p w14:paraId="76355CBB" w14:textId="77777777" w:rsidR="00CC5A4D" w:rsidRPr="00131EED" w:rsidRDefault="00CC5A4D" w:rsidP="00CC5A4D">
      <w:pPr>
        <w:rPr>
          <w:rFonts w:cs="Arial"/>
        </w:rPr>
      </w:pPr>
      <w:r w:rsidRPr="00131EED">
        <w:rPr>
          <w:rFonts w:cs="Arial"/>
        </w:rPr>
        <w:t xml:space="preserve">El embalse de Tominé es el único embalse multianual que tiene el sistema de abastecimiento, lo que quiere decir que requiere de más de un año para llenarse o vaciarse. Esta característica hace que el embalse sea de gran utilidad durante periodos extendidos de sequía, aumentando la disponibilidad hídrica para el sistema de abastecimiento y haciendo de este embalse un componente fundamental para todo el sistema. Actualmente, dependiendo de las condiciones de operación, el embalse aporta entre 5 m3/s y 12 m3/s al río Bogotá, para su bombeo en la PTAP de Tibitoc. Dadas las vulnerabilidades que se presentan en el sistema Chingaza, y las condiciones de diferente régimen hidrológico de la cuenca alta del río Bogotá y del río Guatiquía, se deberán aunar esfuerzos por conservar y proteger el sistema de abastecimiento agregado norte y sus ecosistemas estratégicos, los cuales proveen más del 25% del consumo total del sistema, y que permiten garantizar la redundancia de todo el sistema de abastecimiento de Bogotá. </w:t>
      </w:r>
    </w:p>
    <w:p w14:paraId="78336E29" w14:textId="77777777" w:rsidR="00CC5A4D" w:rsidRPr="00131EED" w:rsidRDefault="00CC5A4D" w:rsidP="00CC5A4D">
      <w:pPr>
        <w:rPr>
          <w:rFonts w:cs="Arial"/>
        </w:rPr>
      </w:pPr>
    </w:p>
    <w:p w14:paraId="68162164" w14:textId="77777777" w:rsidR="00CC5A4D" w:rsidRPr="00131EED" w:rsidRDefault="00CC5A4D" w:rsidP="00CC5A4D">
      <w:pPr>
        <w:rPr>
          <w:rFonts w:cs="Arial"/>
        </w:rPr>
      </w:pPr>
      <w:r w:rsidRPr="00131EED">
        <w:rPr>
          <w:rFonts w:cs="Arial"/>
        </w:rPr>
        <w:t>Estudios en la cuenca alta del río Bogotá indican que una inversión de 5.3 millones de dólares en restauración y soluciones basadas en la naturaleza podrían generar 44.6 millones de dólares de ahorros en costos de tratamiento de agua en Tibitoc en un periodo de 30 años (WRI, CI, 2023</w:t>
      </w:r>
      <w:r w:rsidRPr="00131EED">
        <w:rPr>
          <w:rFonts w:cs="Arial"/>
        </w:rPr>
        <w:footnoteReference w:id="18"/>
      </w:r>
      <w:r w:rsidRPr="00131EED">
        <w:rPr>
          <w:rFonts w:cs="Arial"/>
        </w:rPr>
        <w:t xml:space="preserve">).  Adicionalmente, como se describe más adelante, es necesario ejercer mayor control sobre los vertimientos de ARD y ARnD sobre las fuentes hídricas, y la degradación de los ecosistemas estratégicos, que brindan servicios ecosistémicos que mantienen y mejoran la calidad del agua. La cuenca del embalse de Tominé presenta la mejor condición de índice de alteración potencial de la calidad del agua (IACAL) de la cuenca alta del río Bogotá, por lo que este se puede convertir en uno de los principales componentes del sistema, sin embargo, la cuenca continúa estando altamente amenazada por la expansión urbana y de la frontera agrícola, lo que compromete la regulación de cantidad y calidad del agua. </w:t>
      </w:r>
    </w:p>
    <w:p w14:paraId="340BD4F7" w14:textId="77777777" w:rsidR="00CC5A4D" w:rsidRPr="00131EED" w:rsidRDefault="00CC5A4D" w:rsidP="00CC5A4D">
      <w:pPr>
        <w:rPr>
          <w:rFonts w:cs="Arial"/>
        </w:rPr>
      </w:pPr>
    </w:p>
    <w:p w14:paraId="44F5E730" w14:textId="3C2FF5C5" w:rsidR="00CC5A4D" w:rsidRPr="00131EED" w:rsidRDefault="00CC5A4D" w:rsidP="00CC5A4D">
      <w:pPr>
        <w:rPr>
          <w:rFonts w:cs="Arial"/>
        </w:rPr>
      </w:pPr>
      <w:r w:rsidRPr="00131EED">
        <w:rPr>
          <w:rFonts w:cs="Arial"/>
        </w:rPr>
        <w:t>El sistema de abastecimiento de Bogotá depende en mayor parte del sistema Chingaza, de donde proviene aproximadamente el 80% del agua de la ciudad. Una de las alternativas de expansión del sistema, contempladas en el plan maestro de acueducto y alcantarillado de la EAAB, corresponde a la construcción del embalse La Playa el cual aumentaría la capacidad de regulación en 135 hm3, requiriendo inundar un área de aproximadamente 535 hectáreas dentro del área protegida del Parque Nacional Natural Chingaza (EAAB, 2015)</w:t>
      </w:r>
      <w:r w:rsidR="1D78379C" w:rsidRPr="00131EED">
        <w:rPr>
          <w:rFonts w:cs="Arial"/>
        </w:rPr>
        <w:t xml:space="preserve"> </w:t>
      </w:r>
      <w:r w:rsidRPr="00131EED">
        <w:rPr>
          <w:rFonts w:cs="Arial"/>
        </w:rPr>
        <w:footnoteReference w:id="19"/>
      </w:r>
      <w:r w:rsidRPr="00131EED">
        <w:rPr>
          <w:rFonts w:cs="Arial"/>
        </w:rPr>
        <w:t xml:space="preserve">. La construcción del embalse concentraría significativamente la dependencia del abastecimiento en el sistema Chingaza, lo que podría incrementar el riesgo de desabastecimiento por las siguientes razones: </w:t>
      </w:r>
    </w:p>
    <w:p w14:paraId="28B30603" w14:textId="77777777" w:rsidR="00CC5A4D" w:rsidRPr="00131EED" w:rsidRDefault="00CC5A4D" w:rsidP="00CC5A4D">
      <w:pPr>
        <w:rPr>
          <w:rFonts w:cs="Arial"/>
        </w:rPr>
      </w:pPr>
    </w:p>
    <w:p w14:paraId="76FA784E" w14:textId="77777777" w:rsidR="00CC5A4D" w:rsidRPr="00131EED" w:rsidRDefault="00CC5A4D" w:rsidP="00CC5A4D">
      <w:pPr>
        <w:rPr>
          <w:rFonts w:cs="Arial"/>
        </w:rPr>
      </w:pPr>
      <w:r w:rsidRPr="00131EED">
        <w:rPr>
          <w:rFonts w:cs="Arial"/>
        </w:rPr>
        <w:t xml:space="preserve">Disminución en la redundancia del sistema de abastecimiento. El transporte del agua del embalse de Chuza hasta el embalse de San Rafael se realiza a través del túnel El Diamante, de unos 35 kilómetros de longitud, una posible falla del túnel de conducción podría causar un desabastecimiento prolongado en la ciudad. Contar con un sistema agregado norte robusto y confiable generaría redundancia en el sistema, y permitiría contar con diferentes fuentes en sistemas independientes.  </w:t>
      </w:r>
    </w:p>
    <w:p w14:paraId="01E632AA" w14:textId="77777777" w:rsidR="00CC5A4D" w:rsidRPr="00131EED" w:rsidRDefault="00CC5A4D" w:rsidP="00CC5A4D">
      <w:pPr>
        <w:rPr>
          <w:rFonts w:cs="Arial"/>
        </w:rPr>
      </w:pPr>
    </w:p>
    <w:p w14:paraId="77324DA4" w14:textId="77777777" w:rsidR="00CC5A4D" w:rsidRPr="00131EED" w:rsidRDefault="00CC5A4D" w:rsidP="00CC5A4D">
      <w:pPr>
        <w:rPr>
          <w:rFonts w:cs="Arial"/>
        </w:rPr>
      </w:pPr>
      <w:r w:rsidRPr="00131EED">
        <w:rPr>
          <w:rFonts w:cs="Arial"/>
        </w:rPr>
        <w:t xml:space="preserve">El cambio climático y el incremento en la temperatura amenazan con la integridad ecosistémica de los páramos y sus funciones y servicios ecosistémicos, esto genera incertidumbre sobre la capacidad de regulación de los páramos y la retención de humedad (precipitación oculta) que capta el ecosistema y la disminución de estos servicios en su ausencia (ver capítulo de escenarios de cambio climático). </w:t>
      </w:r>
    </w:p>
    <w:p w14:paraId="5FD97B06" w14:textId="77777777" w:rsidR="00CC5A4D" w:rsidRPr="00131EED" w:rsidRDefault="00CC5A4D" w:rsidP="00CC5A4D">
      <w:pPr>
        <w:rPr>
          <w:rFonts w:cs="Arial"/>
        </w:rPr>
      </w:pPr>
    </w:p>
    <w:p w14:paraId="71FBD7B6" w14:textId="77777777" w:rsidR="00550F11" w:rsidRPr="00131EED" w:rsidRDefault="00CC5A4D" w:rsidP="00CC5A4D">
      <w:pPr>
        <w:rPr>
          <w:rFonts w:cs="Arial"/>
        </w:rPr>
      </w:pPr>
      <w:r w:rsidRPr="00131EED">
        <w:rPr>
          <w:rFonts w:cs="Arial"/>
        </w:rPr>
        <w:t>Por último, aproximadamente el 23,7% de la humedad del sistema Chingaza proviene de la cuenca del Amazonas (principalmente entre junio y agosto) y un 25,2% de la región de la Orinoquía (principalmente entre enero y abril), según el estudio “Estudio de la evaluación de la disminución de la superficie amazónica y sus afectaciones sobre las precipitaciones en el sistema Chingaza de abastecimiento de agua para la ciudad de Bogotá”  (EAAB, 2024</w:t>
      </w:r>
      <w:r w:rsidRPr="00131EED">
        <w:rPr>
          <w:rFonts w:cs="Arial"/>
        </w:rPr>
        <w:footnoteReference w:id="20"/>
      </w:r>
      <w:r w:rsidRPr="00131EED">
        <w:rPr>
          <w:rFonts w:cs="Arial"/>
        </w:rPr>
        <w:t>), el estudio concluye que existe una correlación entre el aumento de la deforestación en la cuenca del Amazonas y la extensión de áreas afectadas por sequías en la región, sin embargo el coeficiente de correlación es bajo, lo que sugiere que la deforestación no es el único factor de las sequías en la región. Esto último aumenta a su vez el riesgo y la incertidumbre de mantener el Sistema Chingaza como el principal sistema de abastecimiento de la ciudad, riesgo que debe ser evaluado y mitigado desde el componente climático, ecosistémico y de infraestructura del sistema. En general, el análisis de los resultados resalta la importancia de monitorear y gestionar de manera efectiva el agua en cada subcuenca para mitigar los riesgos de desabastecimiento y garantizar un suministro adecuado de agua potable en todas las áreas evaluadas.</w:t>
      </w:r>
    </w:p>
    <w:p w14:paraId="35517C0F" w14:textId="7B328C54" w:rsidR="00CC5A4D" w:rsidRPr="00131EED" w:rsidRDefault="00CC5A4D" w:rsidP="00CC5A4D">
      <w:pPr>
        <w:rPr>
          <w:rFonts w:cs="Arial"/>
        </w:rPr>
      </w:pPr>
      <w:r w:rsidRPr="00131EED">
        <w:rPr>
          <w:rFonts w:cs="Arial"/>
          <w:vanish/>
        </w:rPr>
        <w:t>Principio del formulario</w:t>
      </w:r>
      <w:bookmarkStart w:id="439" w:name="_Toc162338941"/>
    </w:p>
    <w:p w14:paraId="5ED7E34A" w14:textId="7A48213B" w:rsidR="009778E7" w:rsidRPr="00131EED" w:rsidRDefault="009778E7" w:rsidP="00CC5A4D">
      <w:pPr>
        <w:rPr>
          <w:rFonts w:ascii="Baskerville" w:hAnsi="Baskerville" w:cs="Arial"/>
          <w:sz w:val="20"/>
          <w:szCs w:val="20"/>
        </w:rPr>
      </w:pPr>
    </w:p>
    <w:p w14:paraId="335261C7" w14:textId="360E0881" w:rsidR="00CC5A4D" w:rsidRPr="00131EED" w:rsidRDefault="00165BBB" w:rsidP="002341F8">
      <w:pPr>
        <w:pStyle w:val="Caption"/>
        <w:jc w:val="center"/>
      </w:pPr>
      <w:bookmarkStart w:id="440" w:name="_Toc216468889"/>
      <w:bookmarkEnd w:id="439"/>
      <w:r w:rsidRPr="00131EED">
        <w:t xml:space="preserve">Ilustración </w:t>
      </w:r>
      <w:r w:rsidRPr="00131EED">
        <w:fldChar w:fldCharType="begin"/>
      </w:r>
      <w:r w:rsidRPr="00131EED">
        <w:instrText>SEQ Ilustración \* ARABIC</w:instrText>
      </w:r>
      <w:r w:rsidRPr="00131EED">
        <w:fldChar w:fldCharType="separate"/>
      </w:r>
      <w:r w:rsidR="00CE096F">
        <w:rPr>
          <w:noProof/>
        </w:rPr>
        <w:t>124</w:t>
      </w:r>
      <w:r w:rsidRPr="00131EED">
        <w:fldChar w:fldCharType="end"/>
      </w:r>
      <w:r w:rsidRPr="00131EED">
        <w:t xml:space="preserve"> </w:t>
      </w:r>
      <w:r w:rsidR="00CC5A4D" w:rsidRPr="00131EED">
        <w:t>Comparación índice de vulnerabilidad al desabastecimiento región Sabana de Bogotá</w:t>
      </w:r>
      <w:bookmarkEnd w:id="440"/>
    </w:p>
    <w:p w14:paraId="32B19CA9" w14:textId="706E9836" w:rsidR="00950FD4" w:rsidRPr="00131EED" w:rsidRDefault="00897473" w:rsidP="006845C5">
      <w:pPr>
        <w:pStyle w:val="NormalWeb"/>
        <w:spacing w:before="0" w:beforeAutospacing="0" w:after="0" w:afterAutospacing="0"/>
        <w:jc w:val="center"/>
        <w:rPr>
          <w:rFonts w:ascii="Times New Roman" w:hAnsi="Times New Roman" w:cs="Times New Roman"/>
        </w:rPr>
      </w:pPr>
      <w:r w:rsidRPr="00131EED">
        <w:rPr>
          <w:rFonts w:ascii="Times New Roman" w:hAnsi="Times New Roman" w:cs="Times New Roman"/>
          <w:noProof/>
          <w:lang w:eastAsia="en-US"/>
        </w:rPr>
        <w:drawing>
          <wp:inline distT="0" distB="0" distL="0" distR="0" wp14:anchorId="3F9C1FBE" wp14:editId="4DE15CDA">
            <wp:extent cx="1849581" cy="2393489"/>
            <wp:effectExtent l="0" t="0" r="0" b="6985"/>
            <wp:docPr id="1168248844" name="Imagen 1168248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862318" cy="2409972"/>
                    </a:xfrm>
                    <a:prstGeom prst="rect">
                      <a:avLst/>
                    </a:prstGeom>
                    <a:noFill/>
                    <a:ln>
                      <a:noFill/>
                    </a:ln>
                  </pic:spPr>
                </pic:pic>
              </a:graphicData>
            </a:graphic>
          </wp:inline>
        </w:drawing>
      </w:r>
      <w:r w:rsidR="005D1574" w:rsidRPr="00131EED">
        <w:rPr>
          <w:rFonts w:ascii="Times New Roman" w:hAnsi="Times New Roman" w:cs="Times New Roman"/>
          <w:noProof/>
          <w:lang w:eastAsia="en-US"/>
        </w:rPr>
        <w:drawing>
          <wp:inline distT="0" distB="0" distL="0" distR="0" wp14:anchorId="3D265E68" wp14:editId="546427F7">
            <wp:extent cx="1845856" cy="2388670"/>
            <wp:effectExtent l="0" t="0" r="2540" b="0"/>
            <wp:docPr id="1168248845" name="Imagen 1168248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856278" cy="2402157"/>
                    </a:xfrm>
                    <a:prstGeom prst="rect">
                      <a:avLst/>
                    </a:prstGeom>
                    <a:noFill/>
                    <a:ln>
                      <a:noFill/>
                    </a:ln>
                  </pic:spPr>
                </pic:pic>
              </a:graphicData>
            </a:graphic>
          </wp:inline>
        </w:drawing>
      </w:r>
      <w:r w:rsidR="00950FD4" w:rsidRPr="00131EED">
        <w:rPr>
          <w:rFonts w:ascii="Times New Roman" w:hAnsi="Times New Roman" w:cs="Times New Roman"/>
          <w:noProof/>
          <w:lang w:eastAsia="en-US"/>
        </w:rPr>
        <w:drawing>
          <wp:inline distT="0" distB="0" distL="0" distR="0" wp14:anchorId="3321CC91" wp14:editId="27285653">
            <wp:extent cx="1846573" cy="2389597"/>
            <wp:effectExtent l="0" t="0" r="1905" b="0"/>
            <wp:docPr id="1168248846" name="Imagen 1168248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853653" cy="2398760"/>
                    </a:xfrm>
                    <a:prstGeom prst="rect">
                      <a:avLst/>
                    </a:prstGeom>
                    <a:noFill/>
                    <a:ln>
                      <a:noFill/>
                    </a:ln>
                  </pic:spPr>
                </pic:pic>
              </a:graphicData>
            </a:graphic>
          </wp:inline>
        </w:drawing>
      </w:r>
    </w:p>
    <w:p w14:paraId="47ED56FC" w14:textId="7F8A485D" w:rsidR="00CC5A4D" w:rsidRPr="00131EED" w:rsidRDefault="00CC5A4D" w:rsidP="006845C5">
      <w:pPr>
        <w:pStyle w:val="Caption"/>
        <w:spacing w:after="0"/>
        <w:jc w:val="center"/>
        <w:rPr>
          <w:rFonts w:ascii="Baskerville Old Face" w:hAnsi="Baskerville Old Face"/>
          <w:i w:val="0"/>
          <w:color w:val="auto"/>
          <w:sz w:val="20"/>
          <w:szCs w:val="20"/>
          <w:shd w:val="clear" w:color="auto" w:fill="E6E6E6"/>
        </w:rPr>
      </w:pPr>
      <w:r w:rsidRPr="00131EED">
        <w:rPr>
          <w:rFonts w:ascii="Baskerville Old Face" w:hAnsi="Baskerville Old Face"/>
          <w:i w:val="0"/>
          <w:color w:val="auto"/>
          <w:sz w:val="20"/>
          <w:szCs w:val="20"/>
        </w:rPr>
        <w:t xml:space="preserve">Fuente:  adaptado por los autores con base en las ERA 1°, 2° y 3° edición cuenca del río Bogotá </w:t>
      </w:r>
      <w:sdt>
        <w:sdtPr>
          <w:rPr>
            <w:rFonts w:ascii="Baskerville Old Face" w:hAnsi="Baskerville Old Face"/>
            <w:i w:val="0"/>
            <w:color w:val="auto"/>
            <w:sz w:val="20"/>
            <w:szCs w:val="20"/>
            <w:shd w:val="clear" w:color="auto" w:fill="E6E6E6"/>
          </w:rPr>
          <w:id w:val="1300875038"/>
          <w:citation/>
        </w:sdtPr>
        <w:sdtEndPr/>
        <w:sdtContent>
          <w:r w:rsidRPr="00131EED">
            <w:rPr>
              <w:rFonts w:ascii="Baskerville Old Face" w:hAnsi="Baskerville Old Face"/>
              <w:i w:val="0"/>
              <w:color w:val="auto"/>
              <w:sz w:val="20"/>
              <w:szCs w:val="20"/>
              <w:shd w:val="clear" w:color="auto" w:fill="E6E6E6"/>
            </w:rPr>
            <w:fldChar w:fldCharType="begin"/>
          </w:r>
          <w:r w:rsidRPr="00131EED">
            <w:rPr>
              <w:rFonts w:ascii="Baskerville Old Face" w:hAnsi="Baskerville Old Face"/>
              <w:i w:val="0"/>
              <w:color w:val="auto"/>
              <w:sz w:val="20"/>
              <w:szCs w:val="20"/>
            </w:rPr>
            <w:instrText xml:space="preserve">CITATION CAR21 \t  \l 3082 </w:instrText>
          </w:r>
          <w:r w:rsidRPr="00131EED">
            <w:rPr>
              <w:rFonts w:ascii="Baskerville Old Face" w:hAnsi="Baskerville Old Face"/>
              <w:i w:val="0"/>
              <w:color w:val="auto"/>
              <w:sz w:val="20"/>
              <w:szCs w:val="20"/>
              <w:shd w:val="clear" w:color="auto" w:fill="E6E6E6"/>
            </w:rPr>
            <w:fldChar w:fldCharType="separate"/>
          </w:r>
          <w:r w:rsidRPr="00131EED">
            <w:rPr>
              <w:rFonts w:ascii="Baskerville Old Face" w:hAnsi="Baskerville Old Face"/>
              <w:color w:val="auto"/>
              <w:sz w:val="20"/>
              <w:szCs w:val="20"/>
            </w:rPr>
            <w:t>(CAR C. A., 2021)</w:t>
          </w:r>
          <w:r w:rsidRPr="00131EED">
            <w:rPr>
              <w:rFonts w:ascii="Baskerville Old Face" w:hAnsi="Baskerville Old Face"/>
              <w:i w:val="0"/>
              <w:color w:val="auto"/>
              <w:sz w:val="20"/>
              <w:szCs w:val="20"/>
              <w:shd w:val="clear" w:color="auto" w:fill="E6E6E6"/>
            </w:rPr>
            <w:fldChar w:fldCharType="end"/>
          </w:r>
        </w:sdtContent>
      </w:sdt>
    </w:p>
    <w:p w14:paraId="5CB16A7B" w14:textId="77777777" w:rsidR="00CC5A4D" w:rsidRPr="00131EED" w:rsidRDefault="00CC5A4D" w:rsidP="00CC5A4D">
      <w:pPr>
        <w:rPr>
          <w:rFonts w:ascii="Baskerville" w:hAnsi="Baskerville"/>
          <w:b/>
          <w:bCs/>
        </w:rPr>
      </w:pPr>
      <w:r w:rsidRPr="00131EED">
        <w:rPr>
          <w:rFonts w:ascii="Baskerville" w:hAnsi="Baskerville"/>
          <w:b/>
          <w:bCs/>
        </w:rPr>
        <w:t>Los acuíferos y las aguas subterráneas</w:t>
      </w:r>
    </w:p>
    <w:p w14:paraId="1D4EC654" w14:textId="77777777" w:rsidR="00CC5A4D" w:rsidRPr="00131EED" w:rsidRDefault="00CC5A4D" w:rsidP="00CC5A4D">
      <w:pPr>
        <w:rPr>
          <w:rFonts w:ascii="Baskerville" w:hAnsi="Baskerville"/>
        </w:rPr>
      </w:pPr>
    </w:p>
    <w:p w14:paraId="721B4F97" w14:textId="77777777" w:rsidR="00CC5A4D" w:rsidRPr="00131EED" w:rsidRDefault="00CC5A4D" w:rsidP="00CC5A4D">
      <w:r w:rsidRPr="00131EED">
        <w:t xml:space="preserve">Por otra parte, de acuerdo con el POMCA del Río Bogotá, 2019 el conocimiento de las características hidrogeológicas de la Sabana de Bogotá es vital, considerando que las aguas subterráneas pueden constituirse en una fuente alternativa de abastecimiento.  </w:t>
      </w:r>
    </w:p>
    <w:p w14:paraId="1CC95436" w14:textId="77777777" w:rsidR="00CC5A4D" w:rsidRPr="00131EED" w:rsidRDefault="00CC5A4D" w:rsidP="00CC5A4D"/>
    <w:p w14:paraId="72B054EF" w14:textId="77777777" w:rsidR="00CC5A4D" w:rsidRPr="00131EED" w:rsidRDefault="00CC5A4D" w:rsidP="00CC5A4D">
      <w:r w:rsidRPr="00131EED">
        <w:t>En este sentido, para la elaboración del mencionado instrumento de planificación ambiental, se compiló información sobre estudios geológicos, hidrogeológicos, isotópicos y de modelación numérica, ajustándola con nueva cartografía geológica, parámetros hidrológicos/climáticos, y datos de extracción y demanda de aguas subterráneas.  Con ello, se realizó una síntesis de las principales características hidrogeológicas de la cuenca del río Bogotá, enmarcadas en el contexto regional y se identificaron y caracterizaron acuíferos, acuitardos y acuífugos, estimando su importancia hidrogeológica y producción media, como se cita a continuación:</w:t>
      </w:r>
    </w:p>
    <w:p w14:paraId="71B7534D" w14:textId="77777777" w:rsidR="00CC5A4D" w:rsidRPr="00131EED" w:rsidRDefault="00CC5A4D" w:rsidP="00CC5A4D"/>
    <w:p w14:paraId="370AF2DB" w14:textId="77777777" w:rsidR="00CC5A4D" w:rsidRPr="00131EED" w:rsidRDefault="00CC5A4D" w:rsidP="00410194">
      <w:pPr>
        <w:pStyle w:val="ListParagraph"/>
        <w:numPr>
          <w:ilvl w:val="0"/>
          <w:numId w:val="17"/>
        </w:numPr>
        <w:spacing w:after="0"/>
        <w:rPr>
          <w:sz w:val="24"/>
          <w:szCs w:val="24"/>
        </w:rPr>
      </w:pPr>
      <w:r w:rsidRPr="00131EED">
        <w:rPr>
          <w:sz w:val="24"/>
          <w:szCs w:val="24"/>
          <w:u w:val="single"/>
        </w:rPr>
        <w:t>Sedimentos y Rocas con Flujo Intragranular (ACUÍFEROS)</w:t>
      </w:r>
      <w:r w:rsidRPr="00131EED">
        <w:rPr>
          <w:sz w:val="24"/>
          <w:szCs w:val="24"/>
        </w:rPr>
        <w:t xml:space="preserve"> sedimentos cuaternarios no consolidados de origen fluvial o lacustre, rocas sedimentarias de épocas terciarias y cretáceas, que presentan niveles de productividad que varían de alta a baja. Este grupo incluye las siguientes unidades geológicas: restos de la meteorización de Areniscas del Guadalupe (Tm), Formación Chía (Q2ch), Formación Río Tunjuelito (Q1tu), Formación Sabana (Qsa1), Formación Marichuela (N1m), Formación Regadera (E2r), Formación Cacho (E1c), Formación Guaduas – Conjunto Inferior y Medio (K2E1g), Formación Arenisca Labor – Tierna (K2t) y Formación Arenisca Dura (K2d).</w:t>
      </w:r>
    </w:p>
    <w:p w14:paraId="2371F6F6" w14:textId="77777777" w:rsidR="00CC5A4D" w:rsidRPr="00131EED" w:rsidRDefault="00CC5A4D" w:rsidP="00CC5A4D">
      <w:pPr>
        <w:pStyle w:val="ListParagraph"/>
        <w:spacing w:after="0"/>
        <w:rPr>
          <w:sz w:val="24"/>
          <w:szCs w:val="24"/>
        </w:rPr>
      </w:pPr>
    </w:p>
    <w:p w14:paraId="661C07F1" w14:textId="77777777" w:rsidR="00CC5A4D" w:rsidRPr="00131EED" w:rsidRDefault="00CC5A4D" w:rsidP="00410194">
      <w:pPr>
        <w:pStyle w:val="ListParagraph"/>
        <w:numPr>
          <w:ilvl w:val="0"/>
          <w:numId w:val="17"/>
        </w:numPr>
        <w:spacing w:after="0"/>
        <w:rPr>
          <w:sz w:val="24"/>
          <w:szCs w:val="24"/>
        </w:rPr>
      </w:pPr>
      <w:r w:rsidRPr="00131EED">
        <w:rPr>
          <w:sz w:val="24"/>
          <w:szCs w:val="24"/>
          <w:u w:val="single"/>
        </w:rPr>
        <w:t>Rocas con Flujo a través de Fracturas (ACUITARDOS).</w:t>
      </w:r>
      <w:r w:rsidRPr="00131EED">
        <w:rPr>
          <w:sz w:val="24"/>
          <w:szCs w:val="24"/>
        </w:rPr>
        <w:t xml:space="preserve"> los acuitardos con productividad media y baja incluyen la Formación Guaduas, sectores arenosos y/o mantos de carbón (K2E1g) y la Formación Plaeners (K2p).</w:t>
      </w:r>
    </w:p>
    <w:p w14:paraId="5C699AD1" w14:textId="77777777" w:rsidR="00CC5A4D" w:rsidRPr="00131EED" w:rsidRDefault="00CC5A4D" w:rsidP="00CC5A4D">
      <w:pPr>
        <w:rPr>
          <w:sz w:val="26"/>
          <w:szCs w:val="28"/>
        </w:rPr>
      </w:pPr>
    </w:p>
    <w:p w14:paraId="3A1391F4" w14:textId="77777777" w:rsidR="00CC5A4D" w:rsidRPr="00131EED" w:rsidRDefault="00CC5A4D" w:rsidP="00410194">
      <w:pPr>
        <w:pStyle w:val="ListParagraph"/>
        <w:numPr>
          <w:ilvl w:val="0"/>
          <w:numId w:val="17"/>
        </w:numPr>
        <w:spacing w:after="0"/>
        <w:rPr>
          <w:sz w:val="24"/>
          <w:szCs w:val="24"/>
        </w:rPr>
      </w:pPr>
      <w:r w:rsidRPr="00131EED">
        <w:rPr>
          <w:sz w:val="24"/>
          <w:szCs w:val="24"/>
          <w:u w:val="single"/>
        </w:rPr>
        <w:t>Sedimentos y Rocas con Recursos Limitados de Aguas Subterráneas (ACUIFUGAS)</w:t>
      </w:r>
      <w:r w:rsidRPr="00131EED">
        <w:rPr>
          <w:sz w:val="24"/>
          <w:szCs w:val="24"/>
        </w:rPr>
        <w:t xml:space="preserve"> Este grupo comprende sedimentos cuaternarios y rocas sedimentarias de las eras neógena, paleógena y cretácica, que presentan muy poca o nula productividad. Entre estas se encuentran los Depósitos de Coluvión (Q2c), la Formación Usme (E2u), la Formación Guaduas (K2E1g) - Conjunto Superior, la Formación Chipaque (K2cp) (considerada como basamento hidrogeológico) en la parte nor-oriental de la cuenca del río Bogotá, así como la Formación Conejo (K2c), la Formación Simijaca (Kss) y la Formación La Frontera (K2f) en la parte sur-occidental.</w:t>
      </w:r>
    </w:p>
    <w:p w14:paraId="743699BE" w14:textId="77777777" w:rsidR="00CC5A4D" w:rsidRPr="00131EED" w:rsidRDefault="00CC5A4D" w:rsidP="00CC5A4D">
      <w:pPr>
        <w:pStyle w:val="ListParagraph"/>
        <w:spacing w:after="0"/>
      </w:pPr>
    </w:p>
    <w:p w14:paraId="6DB509A7" w14:textId="77777777" w:rsidR="00CC5A4D" w:rsidRPr="00131EED" w:rsidRDefault="00CC5A4D" w:rsidP="00CC5A4D">
      <w:r w:rsidRPr="00131EED">
        <w:t>Adicionalmente, en el POMCA se cuantifica la recarga potencial por precipitación, estableciendo que los mayores valores se encuentran en la cuenca baja, especialmente en los municipios de Girardot, Ricaurte, Tocaima y Agua de Dios. También se registran altos valores en el costado oriental de las cuencas media y alta, en municipios como Guasca, La Calera, Guatavita, Sesquilé, Chocontá y Villapinzón, así como en el occidente en Facatativá, Tausa y Cogua. Sin embargo, en la parte alta de la cuenca media, aunque los valores de recarga potencial son altos, la baja porosidad de las rocas impide una recarga real significativa.</w:t>
      </w:r>
    </w:p>
    <w:p w14:paraId="554040C8" w14:textId="77777777" w:rsidR="00CC5A4D" w:rsidRPr="00131EED" w:rsidRDefault="00CC5A4D" w:rsidP="00CC5A4D"/>
    <w:p w14:paraId="1D020EE7" w14:textId="77777777" w:rsidR="00CC5A4D" w:rsidRPr="00131EED" w:rsidRDefault="00CC5A4D" w:rsidP="00CC5A4D">
      <w:r w:rsidRPr="00131EED">
        <w:t xml:space="preserve">Aunado a lo anterior, el POMCA incluye análisis para identificar las zonas de recarga a partir de los ejes de los sinclinales observando su extensión, así como los acuíferos o acuitardos que se encuentran en su estructura, generando líneas de flujo perpendiculares a dichos ejes, tal como se aprecia a continuación: </w:t>
      </w:r>
    </w:p>
    <w:p w14:paraId="73026A03" w14:textId="77777777" w:rsidR="00CC5A4D" w:rsidRPr="00131EED" w:rsidRDefault="00CC5A4D" w:rsidP="00CC5A4D">
      <w:pPr>
        <w:rPr>
          <w:rFonts w:ascii="Baskerville" w:hAnsi="Baskerville"/>
        </w:rPr>
      </w:pPr>
    </w:p>
    <w:p w14:paraId="3EA9FAD6" w14:textId="31656C24" w:rsidR="00CC5A4D" w:rsidRPr="00131EED" w:rsidRDefault="00165BBB" w:rsidP="00165BBB">
      <w:pPr>
        <w:pStyle w:val="Caption"/>
        <w:jc w:val="center"/>
      </w:pPr>
      <w:bookmarkStart w:id="441" w:name="_Toc216468890"/>
      <w:r w:rsidRPr="00131EED">
        <w:t xml:space="preserve">Ilustración </w:t>
      </w:r>
      <w:r w:rsidRPr="00131EED">
        <w:fldChar w:fldCharType="begin"/>
      </w:r>
      <w:r w:rsidRPr="00131EED">
        <w:instrText>SEQ Ilustración \* ARABIC</w:instrText>
      </w:r>
      <w:r w:rsidRPr="00131EED">
        <w:fldChar w:fldCharType="separate"/>
      </w:r>
      <w:r w:rsidR="00CE096F">
        <w:rPr>
          <w:noProof/>
        </w:rPr>
        <w:t>125</w:t>
      </w:r>
      <w:r w:rsidRPr="00131EED">
        <w:fldChar w:fldCharType="end"/>
      </w:r>
      <w:r w:rsidRPr="00131EED">
        <w:t xml:space="preserve"> </w:t>
      </w:r>
      <w:r w:rsidR="00CC5A4D" w:rsidRPr="00131EED">
        <w:t>Zonas de recarga de acuíferos</w:t>
      </w:r>
      <w:bookmarkEnd w:id="441"/>
      <w:r w:rsidR="00CC5A4D" w:rsidRPr="00131EED">
        <w:t xml:space="preserve"> </w:t>
      </w:r>
    </w:p>
    <w:p w14:paraId="6E697CA8" w14:textId="7753F9DE" w:rsidR="00431C62" w:rsidRPr="00131EED" w:rsidRDefault="00431C62" w:rsidP="006845C5">
      <w:pPr>
        <w:pStyle w:val="NormalWeb"/>
        <w:spacing w:before="0" w:beforeAutospacing="0" w:after="0" w:afterAutospacing="0"/>
        <w:jc w:val="center"/>
        <w:rPr>
          <w:rFonts w:ascii="Times New Roman" w:hAnsi="Times New Roman" w:cs="Times New Roman"/>
        </w:rPr>
      </w:pPr>
      <w:r w:rsidRPr="00131EED">
        <w:rPr>
          <w:rFonts w:ascii="Times New Roman" w:hAnsi="Times New Roman" w:cs="Times New Roman"/>
          <w:noProof/>
          <w:lang w:eastAsia="en-US"/>
        </w:rPr>
        <w:drawing>
          <wp:inline distT="0" distB="0" distL="0" distR="0" wp14:anchorId="4C72E289" wp14:editId="04144FC7">
            <wp:extent cx="3132102" cy="4052454"/>
            <wp:effectExtent l="0" t="0" r="0" b="5715"/>
            <wp:docPr id="1168248847" name="Imagen 1168248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3139518" cy="4062049"/>
                    </a:xfrm>
                    <a:prstGeom prst="rect">
                      <a:avLst/>
                    </a:prstGeom>
                    <a:noFill/>
                    <a:ln>
                      <a:noFill/>
                    </a:ln>
                  </pic:spPr>
                </pic:pic>
              </a:graphicData>
            </a:graphic>
          </wp:inline>
        </w:drawing>
      </w:r>
    </w:p>
    <w:p w14:paraId="5DB0FF8A" w14:textId="77777777" w:rsidR="00CC5A4D" w:rsidRPr="00131EED" w:rsidRDefault="00CC5A4D" w:rsidP="00AE6E3E">
      <w:pPr>
        <w:jc w:val="center"/>
        <w:rPr>
          <w:rFonts w:cs="Arial"/>
          <w:sz w:val="20"/>
          <w:szCs w:val="20"/>
        </w:rPr>
      </w:pPr>
      <w:r w:rsidRPr="00131EED">
        <w:rPr>
          <w:rFonts w:cs="Arial"/>
          <w:sz w:val="20"/>
          <w:szCs w:val="20"/>
        </w:rPr>
        <w:t>Fuente:  adaptado por los autores con base POMCA del río Bogotá</w:t>
      </w:r>
    </w:p>
    <w:p w14:paraId="6A4836F5" w14:textId="77777777" w:rsidR="00CC5A4D" w:rsidRPr="00131EED" w:rsidRDefault="00CC5A4D" w:rsidP="00CC5A4D"/>
    <w:p w14:paraId="6F714F6F" w14:textId="77777777" w:rsidR="00CC5A4D" w:rsidRPr="00131EED" w:rsidRDefault="00CC5A4D" w:rsidP="00CC5A4D">
      <w:r w:rsidRPr="00131EED">
        <w:t xml:space="preserve">Si bien, las aguas subterráneas, son más resilientes ante los efectos de la variabilidad y del cambio climático por tener una mayor protección al encontrarse en el subsuelo y por sus tiempos de tránsito lentos en relación con las aguas superficiales, para la Sabana de Bogotá no se tiene una armonización e integración de estudios históricos, que permitan evaluar la respuesta de estos sistemas acuífero ante estas variaciones climáticas. </w:t>
      </w:r>
    </w:p>
    <w:p w14:paraId="69014DE2" w14:textId="77777777" w:rsidR="00CC5A4D" w:rsidRPr="00131EED" w:rsidRDefault="00CC5A4D" w:rsidP="00CC5A4D"/>
    <w:p w14:paraId="7215BAFA" w14:textId="77777777" w:rsidR="00CC5A4D" w:rsidRPr="00131EED" w:rsidRDefault="00CC5A4D" w:rsidP="00CC5A4D">
      <w:r w:rsidRPr="00131EED">
        <w:t xml:space="preserve">Lo anterior no implica que haya carencia de investigaciones en el campo de la hidrogeología, ya que reportan investigaciones el Instituto Colombiano de Geología y Minería (INGEOMINAS), hoy Servicio Geológico Colombiano (SGC) en el marco de numerosos convenios suscritos con la CAR, y en algunos casos con la Empresa de Acueducto y Alcantarillado de Bogotá (EEAB), que incluyeron entre otras cosas, el desarrollo de inventario de captaciones, extensas campañas de geofísica, levantamientos geológicos a escala 1:25.000 entre 1989 y 1993, e incluso a escala 1:10.000 en algunos sectores  inventarios de puntos de aguas subterráneas </w:t>
      </w:r>
      <w:r w:rsidRPr="00131EED">
        <w:fldChar w:fldCharType="begin" w:fldLock="1"/>
      </w:r>
      <w:r w:rsidRPr="00131EED">
        <w:instrText>ADDIN CSL_CITATION {"citationItems":[{"id":"ITEM-1","itemData":{"abstract":"Se presenta en este documento los aspectos geomorfológicos para el desarrollo de la zonificación geomecánica de la Sabana de Bogotá. Se explica brevemente algunos aspectos alrededor de los conceptos básicos de la geotecnia, geomorfología, suelos y erosión, recursos del suelo y subsuelo e impacto ambiental, además aclara los alcances y limitaciones de esta evaluación, para luego presentar los avances de esta temática en la Sabana de Bogotá.","author":[{"dropping-particle":"","family":"Hammen","given":"Thomas","non-dropping-particle":"Van der","parse-names":false,"suffix":""},{"dropping-particle":"","family":"Ángel-Martínez","given":"Carlos E","non-dropping-particle":"","parse-names":false,"suffix":""}],"container-title":"Aspectos geoambientales de la Sabana de Bogotá","id":"ITEM-1","issued":{"date-parts":[["2002"]]},"page":"1-2014","publisher":"Instituto Colombiano De Geología Y Minería Ingeominas","publisher-place":"Bogotá","title":"El agua subterránea e impacto, el balance del agua y el medio ambiente","type":"chapter","volume":"27"},"uris":["http://www.mendeley.com/documents/?uuid=c386d12d-5d06-429c-9b5a-347f99d68f90"]}],"mendeley":{"formattedCitation":"(Van der Hammen &amp; Ángel-Martínez, 2002)","plainTextFormattedCitation":"(Van der Hammen &amp; Ángel-Martínez, 2002)","previouslyFormattedCitation":"(Van der Hammen &amp; Ángel-Martínez, 2002)"},"properties":{"noteIndex":0},"schema":"https://github.com/citation-style-language/schema/raw/master/csl-citation.json"}</w:instrText>
      </w:r>
      <w:r w:rsidRPr="00131EED">
        <w:fldChar w:fldCharType="separate"/>
      </w:r>
      <w:r w:rsidRPr="00131EED">
        <w:t>(Van der Hammen &amp; Ángel-Martínez, 2002)</w:t>
      </w:r>
      <w:r w:rsidRPr="00131EED">
        <w:fldChar w:fldCharType="end"/>
      </w:r>
      <w:r w:rsidRPr="00131EED">
        <w:t>, hasta llegar a un Modelo Hidrogeológico Conceptual (</w:t>
      </w:r>
      <w:r w:rsidRPr="00131EED">
        <w:fldChar w:fldCharType="begin" w:fldLock="1"/>
      </w:r>
      <w:r w:rsidRPr="00131EED">
        <w:instrText>ADDIN CSL_CITATION {"citationItems":[{"id":"ITEM-1","itemData":{"author":[{"dropping-particle":"","family":"INGEOMINAS","given":"","non-dropping-particle":"","parse-names":false,"suffix":""}],"id":"ITEM-1","issued":{"date-parts":[["2002"]]},"title":"Modelo hidrogeológico conceptual de la sabana de bogota.Recursos, Subdireccion Subsuelo, D E L Tecnicas, Aplicacion D E En, Isotopicas Aguas, L O S Estudios D E","type":"article-journal"},"uris":["http://www.mendeley.com/documents/?uuid=ca71d23c-ba56-4a47-bdff-cf0220439329"]}],"mendeley":{"formattedCitation":"(INGEOMINAS, 2002)","manualFormatting":"INGEOMINAS, 2002)","plainTextFormattedCitation":"(INGEOMINAS, 2002)","previouslyFormattedCitation":"(INGEOMINAS, 2002)"},"properties":{"noteIndex":0},"schema":"https://github.com/citation-style-language/schema/raw/master/csl-citation.json"}</w:instrText>
      </w:r>
      <w:r w:rsidRPr="00131EED">
        <w:fldChar w:fldCharType="separate"/>
      </w:r>
      <w:r w:rsidRPr="00131EED">
        <w:t>INGEOMINAS, 2002)</w:t>
      </w:r>
      <w:r w:rsidRPr="00131EED">
        <w:fldChar w:fldCharType="end"/>
      </w:r>
      <w:r w:rsidRPr="00131EED">
        <w:t xml:space="preserve">. </w:t>
      </w:r>
    </w:p>
    <w:p w14:paraId="46B30DE5" w14:textId="77777777" w:rsidR="00CC5A4D" w:rsidRPr="00131EED" w:rsidRDefault="00CC5A4D" w:rsidP="00CC5A4D"/>
    <w:p w14:paraId="5E28D472" w14:textId="5C0F2FDF" w:rsidR="00CC5A4D" w:rsidRPr="00131EED" w:rsidRDefault="00CC5A4D" w:rsidP="00CC5A4D">
      <w:r w:rsidRPr="00131EED">
        <w:t xml:space="preserve">Además de investigaciones más recientes realizados por la Agencia de Cooperación Internacional del Japón (JICA) para la EEAB </w:t>
      </w:r>
      <w:r w:rsidRPr="00131EED">
        <w:fldChar w:fldCharType="begin" w:fldLock="1"/>
      </w:r>
      <w:r w:rsidRPr="00131EED">
        <w:instrText>ADDIN CSL_CITATION {"citationItems":[{"id":"ITEM-1","itemData":{"abstract":"Buildings with intermittent occupancy may not perform thermally the same as typical commercial and residential facilities. Thermal comfort requirements require careful envelope design coupled with the appropriate air-conditioning system operation strategies. One of the most prominent examples of such buildings is mosques. Mosques are usually occupied five intermittent times day and night all year round. Like any other building, they have to be mechanically air-conditioned to achieve the required thermal comfort for worshippers especially in harsh climatic regions. This paper describes the physical and operating characteristics typical for the intermittently occupied mosques as well as the results of the thermal optimization of a medium size mosque in the two hot-dry and hot-humid Saudi Arabian cities of Riyadh and Jeddah. The analysis utilizes a direct search optimization technique that is coupled to an hourly energy simulation program. Based on that, design guidelines are presented for the optimum thermal performance of mosques in these two cities in addition to other design and operating factors that need to be considered for mosques in general. © 2009 The Author(s).","author":[{"dropping-particle":"","family":"JICA","given":"","non-dropping-particle":"","parse-names":false,"suffix":""},{"dropping-particle":"","family":"EEAB","given":"","non-dropping-particle":"","parse-names":false,"suffix":""}],"id":"ITEM-1","issued":{"date-parts":[["2003"]]},"publisher-place":"Bogotá D.C.","title":"El estudio del desarrollo sostenibles del agua subterránea en la Sabana de Bogotá en la República de Colombia","type":"report"},"uris":["http://www.mendeley.com/documents/?uuid=18d9e84d-6a4a-40d3-ad62-ef9199a14018"]},{"id":"ITEM-2","itemData":{"author":[{"dropping-particle":"","family":"JICA","given":"","non-dropping-particle":"","parse-names":false,"suffix":""},{"dropping-particle":"","family":"EEAB","given":"","non-dropping-particle":"","parse-names":false,"suffix":""}],"id":"ITEM-2","issued":{"date-parts":[["2009"]]},"page":"79","title":"Estudio De Abastecimiento Sostenible De Agua Para La Ciudad De Bogota Y Areas Circundantes Basado En El Manejo Integrado De Recursos Hidricos En La Republica De Colombia","type":"article-journal"},"uris":["http://www.mendeley.com/documents/?uuid=f4d4fb3e-0e89-4fc1-8b27-c2376e6d2cfe"]}],"mendeley":{"formattedCitation":"(JICA &amp; EEAB, 2003, 2009)","plainTextFormattedCitation":"(JICA &amp; EEAB, 2003, 2009)","previouslyFormattedCitation":"(JICA &amp; EEAB, 2003, 2009)"},"properties":{"noteIndex":0},"schema":"https://github.com/citation-style-language/schema/raw/master/csl-citation.json"}</w:instrText>
      </w:r>
      <w:r w:rsidRPr="00131EED">
        <w:fldChar w:fldCharType="separate"/>
      </w:r>
      <w:r w:rsidRPr="00131EED">
        <w:t>(JICA &amp; EEAB, 2003, 2009)</w:t>
      </w:r>
      <w:r w:rsidRPr="00131EED">
        <w:fldChar w:fldCharType="end"/>
      </w:r>
      <w:r w:rsidRPr="00131EED">
        <w:t xml:space="preserve"> y las realizadas por la Secretaría Distrital de Ambiente (SDA) </w:t>
      </w:r>
      <w:r w:rsidRPr="00131EED">
        <w:fldChar w:fldCharType="begin" w:fldLock="1"/>
      </w:r>
      <w:r w:rsidRPr="00131EED">
        <w:instrText>ADDIN CSL_CITATION {"citationItems":[{"id":"ITEM-1","itemData":{"author":[{"dropping-particle":"","family":"Veloza","given":"Jairo","non-dropping-particle":"","parse-names":false,"suffix":""}],"id":"ITEM-1","issued":{"date-parts":[["2013"]]},"number-of-pages":"234","publisher-place":"Bogotá","title":"Sistema de modelamiento hidrogeológico del Distrito Capital Bogotá","type":"book"},"uris":["http://www.mendeley.com/documents/?uuid=18fdd43e-ab1f-49f3-9304-480ef283dc16"]}],"mendeley":{"formattedCitation":"(Veloza, 2013)","manualFormatting":"Veloza (2013)","plainTextFormattedCitation":"(Veloza, 2013)","previouslyFormattedCitation":"(Veloza, 2013)"},"properties":{"noteIndex":0},"schema":"https://github.com/citation-style-language/schema/raw/master/csl-citation.json"}</w:instrText>
      </w:r>
      <w:r w:rsidRPr="00131EED">
        <w:fldChar w:fldCharType="separate"/>
      </w:r>
      <w:r w:rsidRPr="00131EED">
        <w:t>Veloza (2013)</w:t>
      </w:r>
      <w:r w:rsidRPr="00131EED">
        <w:fldChar w:fldCharType="end"/>
      </w:r>
      <w:r w:rsidRPr="00131EED">
        <w:t xml:space="preserve"> y posteriormente </w:t>
      </w:r>
      <w:r w:rsidRPr="00131EED">
        <w:fldChar w:fldCharType="begin" w:fldLock="1"/>
      </w:r>
      <w:r w:rsidRPr="00131EED">
        <w:instrText>ADDIN CSL_CITATION {"citationItems":[{"id":"ITEM-1","itemData":{"author":[{"dropping-particle":"","family":"Secretaria Distrital de Ambiente","given":"","non-dropping-particle":"","parse-names":false,"suffix":""},{"dropping-particle":"","family":"Pontificia Universidad Javeriana","given":"","non-dropping-particle":"","parse-names":false,"suffix":""}],"id":"ITEM-1","issued":{"date-parts":[["2018"]]},"number-of-pages":"164","publisher-place":"Bogotá D.C.","title":"Modelo hidrogeológico conceptual del acuífero subsuperficial o somero en el perímetro urbano del distrito capital","type":"book"},"uris":["http://www.mendeley.com/documents/?uuid=30ed3bb4-4c62-4806-9875-ee7b55271e7d"]}],"mendeley":{"formattedCitation":"(Secretaria Distrital de Ambiente &amp; Pontificia Universidad Javeriana, 2018)","manualFormatting":"Secretaria Distrital de Ambiente &amp; Pontificia Universidad Javeriana, (2018)","plainTextFormattedCitation":"(Secretaria Distrital de Ambiente &amp; Pontificia Universidad Javeriana, 2018)","previouslyFormattedCitation":"(Secretaria Distrital de Ambiente &amp; Pontificia Universidad Javeriana, 2018)"},"properties":{"noteIndex":0},"schema":"https://github.com/citation-style-language/schema/raw/master/csl-citation.json"}</w:instrText>
      </w:r>
      <w:r w:rsidRPr="00131EED">
        <w:fldChar w:fldCharType="separate"/>
      </w:r>
      <w:r w:rsidRPr="00131EED">
        <w:t>Secretaria Distrital de Ambiente &amp; Pontificia Universidad Javeriana, (2018)</w:t>
      </w:r>
      <w:r w:rsidRPr="00131EED">
        <w:fldChar w:fldCharType="end"/>
      </w:r>
      <w:r w:rsidRPr="00131EED">
        <w:t xml:space="preserve"> y la Red de Monitoreo de Aguas Subterráneas (RMAS), integrada por 27 pozos en el distrito </w:t>
      </w:r>
      <w:r w:rsidRPr="00131EED">
        <w:fldChar w:fldCharType="begin" w:fldLock="1"/>
      </w:r>
      <w:r w:rsidRPr="00131EED">
        <w:instrText>ADDIN CSL_CITATION {"citationItems":[{"id":"ITEM-1","itemData":{"ISBN":"2013206534","abstract":"Seiring dengan kemajuan ilmu pengetahuan dan teknologi yang menjadi pusat perhatian dunia. Maka manusia dituntut untuk menciptakan peralatan-peralatan canggih untuk teknologi muktahir. Baik itu dalam bidang bisnis, perdagangan, kesehatan, militer, pendidikan, komunikasi dan budaya maupun bidang-bidang lainnya. Maka teknologi ini membawa perubahan pada peralatan-peralatan yang dulunya bekerja secara analog mulai dikembangkan secara digital, dan bahkan yang bekerjanya secara manual sekarang banyak dikembangkan secara otomatis, seperti kamera digital, handycam, dan sebagainya, dalam pembacaan pengukuran juga sudah dikembangkan ke dalam teknik digital. Contohnya perangkat Load Cell. Dan keuntungan menggunakan Load Cell adalah untuk mempermudah dalam pembacaan data untuk meminimalkan kesalahan dalam pembacaan data yang disebabkan adanya human error.Pada pemilihan Load Cell bertujuan untuk memilih kecocokan dalam membuat rancang bangun alat uji tarik kapasitas 3 ton, dimana dalam pemilihan ini kami memilih jenis load cell “S” karna alat yang kita rancang adalah uji tarik bukan uji tekan. Dengan kapasitas load cell 5 ton. Untuk membuat jarak aman dalam pengujian specimen ST41. Load Cell menggunakan system perangkat elektronik pengolahan data yang menjadi sebuah kurva tegangan regangan. Data-data yang diperoleh tersebut berupa besarnya pembebanan hasil dari pengujian specimen ST41. Kata","author":[{"dropping-particle":"","family":"SDA","given":"","non-dropping-particle":"","parse-names":false,"suffix":""}],"id":"ITEM-1","issue":"08193","issued":{"date-parts":[["2022"]]},"number-of-pages":"1-23","publisher-place":"Bogotá D.C.","title":"Informe Tecnico No. 08193, 23 de diciembre del 2022 INFORME DEL ESTADO AMBIENTAL DE LOS ACUÍFEROS CON INFLUENCIA EN EL PERÍMETRO URBANO DEL DISTRITO CAPITAL-AÑO 2022","type":"report"},"uris":["http://www.mendeley.com/documents/?uuid=a9d2274e-7628-4c65-8244-4af0cca13f68"]}],"mendeley":{"formattedCitation":"(SDA, 2022)","plainTextFormattedCitation":"(SDA, 2022)","previouslyFormattedCitation":"(SDA, 2022)"},"properties":{"noteIndex":0},"schema":"https://github.com/citation-style-language/schema/raw/master/csl-citation.json"}</w:instrText>
      </w:r>
      <w:r w:rsidRPr="00131EED">
        <w:fldChar w:fldCharType="separate"/>
      </w:r>
      <w:r w:rsidRPr="00131EED">
        <w:t>(SDA, 2022)</w:t>
      </w:r>
      <w:r w:rsidRPr="00131EED">
        <w:fldChar w:fldCharType="end"/>
      </w:r>
      <w:r w:rsidRPr="00131EED">
        <w:t xml:space="preserve">.  De otro lado, los estudios desarrollados por la CAR, con el Plan de Manejo de agua subterránea en la sabana de Bogotá y Zona Crítica </w:t>
      </w:r>
      <w:r w:rsidRPr="00131EED">
        <w:fldChar w:fldCharType="begin" w:fldLock="1"/>
      </w:r>
      <w:r w:rsidRPr="00131EED">
        <w:instrText>ADDIN CSL_CITATION {"citationItems":[{"id":"ITEM-1","itemData":{"ISBN":"9789588188126","author":[{"dropping-particle":"","family":"CAR","given":"","non-dropping-particle":"","parse-names":false,"suffix":""}],"id":"ITEM-1","issued":{"date-parts":[["2008"]]},"number-of-pages":"176","publisher-place":"Bogotá D.C.","title":"Plan de Manejo de agua subterránea en la sabana de Bogotá y Zona Crítica","type":"book"},"uris":["http://www.mendeley.com/documents/?uuid=9f6e42de-7666-48f3-bd42-d39fe5b1c60f"]}],"mendeley":{"formattedCitation":"(CAR, 2008)","plainTextFormattedCitation":"(CAR, 2008)","previouslyFormattedCitation":"(CAR, 2008)"},"properties":{"noteIndex":0},"schema":"https://github.com/citation-style-language/schema/raw/master/csl-citation.json"}</w:instrText>
      </w:r>
      <w:r w:rsidRPr="00131EED">
        <w:fldChar w:fldCharType="separate"/>
      </w:r>
      <w:r w:rsidRPr="00131EED">
        <w:t>(CAR, 2008)</w:t>
      </w:r>
      <w:r w:rsidRPr="00131EED">
        <w:fldChar w:fldCharType="end"/>
      </w:r>
      <w:r w:rsidRPr="00131EED">
        <w:t xml:space="preserve"> y que posteriormente ha enfocado sus esfuerzos a la aplicación de métodos geofísicos con mayor profundidad de investigación (sondeos magnetotelúricos) para el estudio de unidades acuíferas por debajo del acuífero cuaternario, la construcción de piezómetros </w:t>
      </w:r>
      <w:r w:rsidRPr="00131EED">
        <w:fldChar w:fldCharType="begin" w:fldLock="1"/>
      </w:r>
      <w:r w:rsidRPr="00131EED">
        <w:instrText>ADDIN CSL_CITATION {"citationItems":[{"id":"ITEM-1","itemData":{"author":[{"dropping-particle":"","family":"Consorcio Magneto 2018","given":"","non-dropping-particle":"","parse-names":false,"suffix":""}],"id":"ITEM-1","issued":{"date-parts":[["2019"]]},"number-of-pages":"248","publisher-place":"Bogotá D.C.","title":"Realizar geofísica de magnetotelúrica, perforacion de piezómetros e instrumentación de transmisión satelital para monitoreo en tiempo real de niveles piezométricos y calidad de aguas subterráneas en la Cuenca del Rio Bogotá. Consutoría 1351 de 2018.","type":"report"},"uris":["http://www.mendeley.com/documents/?uuid=33f50c80-38ba-4513-a39b-f4d4d44dded0"]}],"mendeley":{"formattedCitation":"(Consorcio Magneto 2018, 2019)","plainTextFormattedCitation":"(Consorcio Magneto 2018, 2019)","previouslyFormattedCitation":"(Consorcio Magneto 2018, 2019)"},"properties":{"noteIndex":0},"schema":"https://github.com/citation-style-language/schema/raw/master/csl-citation.json"}</w:instrText>
      </w:r>
      <w:r w:rsidRPr="00131EED">
        <w:fldChar w:fldCharType="separate"/>
      </w:r>
      <w:r w:rsidRPr="00131EED">
        <w:t>(Consorcio Magneto 2018, 2019)</w:t>
      </w:r>
      <w:r w:rsidRPr="00131EED">
        <w:fldChar w:fldCharType="end"/>
      </w:r>
      <w:r w:rsidRPr="00131EED">
        <w:t xml:space="preserve">, el monitoreo de niveles piezométricos en la red compuesta por alrededor de 560 pozos y piezómetros </w:t>
      </w:r>
      <w:r w:rsidRPr="00131EED">
        <w:fldChar w:fldCharType="begin" w:fldLock="1"/>
      </w:r>
      <w:r w:rsidRPr="00131EED">
        <w:instrText>ADDIN CSL_CITATION {"citationItems":[{"id":"ITEM-1","itemData":{"author":[{"dropping-particle":"","family":"Jairo Beltran C Consultoria y Construccion","given":"","non-dropping-particle":"","parse-names":false,"suffix":""}],"id":"ITEM-1","issued":{"date-parts":[["2022"]]},"number-of-pages":"266","publisher-place":"Bogotá D.C.","title":"Realizar tres (3) campañas de monitoreo de niveles realizar tres (3) campañas de Monitoreo de niveles piezométricos de agua subterránea en la zona critica de la cuenca del río Bogotá y en la cuenca alta del río Suárez, como insumo para la formulación de l","type":"report"},"uris":["http://www.mendeley.com/documents/?uuid=63aaf17e-5bf5-4860-9478-722764e392dc"]}],"mendeley":{"formattedCitation":"(Jairo Beltran C Consultoria y Construccion, 2022)","plainTextFormattedCitation":"(Jairo Beltran C Consultoria y Construccion, 2022)","previouslyFormattedCitation":"(Jairo Beltran C Consultoria y Construccion, 2022)"},"properties":{"noteIndex":0},"schema":"https://github.com/citation-style-language/schema/raw/master/csl-citation.json"}</w:instrText>
      </w:r>
      <w:r w:rsidRPr="00131EED">
        <w:fldChar w:fldCharType="separate"/>
      </w:r>
      <w:r w:rsidRPr="00131EED">
        <w:t>(Jairo Beltran C Consultoria y Construccion, 2022)</w:t>
      </w:r>
      <w:r w:rsidRPr="00131EED">
        <w:fldChar w:fldCharType="end"/>
      </w:r>
      <w:r w:rsidRPr="00131EED">
        <w:t xml:space="preserve"> y el desarrollo de modelos numéricos de flujo </w:t>
      </w:r>
      <w:r w:rsidRPr="00131EED">
        <w:fldChar w:fldCharType="begin" w:fldLock="1"/>
      </w:r>
      <w:r w:rsidRPr="00131EED">
        <w:instrText>ADDIN CSL_CITATION {"citationItems":[{"id":"ITEM-1","itemData":{"author":[{"dropping-particle":"","family":"CAR","given":"","non-dropping-particle":"","parse-names":false,"suffix":""},{"dropping-particle":"","family":"SIAM","given":"","non-dropping-particle":"","parse-names":false,"suffix":""}],"id":"ITEM-1","issued":{"date-parts":[["2006"]]},"title":"Inclusión del balance hídrico, implementación del modelo hidrogeologico y capacitación en Modflow","type":"report"},"uris":["http://www.mendeley.com/documents/?uuid=1dfab482-f349-4f57-9acc-da52315d7b97"]}],"mendeley":{"formattedCitation":"(CAR &amp; SIAM, 2006)","plainTextFormattedCitation":"(CAR &amp; SIAM, 2006)","previouslyFormattedCitation":"(CAR &amp; SIAM, 2006)"},"properties":{"noteIndex":0},"schema":"https://github.com/citation-style-language/schema/raw/master/csl-citation.json"}</w:instrText>
      </w:r>
      <w:r w:rsidRPr="00131EED">
        <w:fldChar w:fldCharType="separate"/>
      </w:r>
      <w:r w:rsidRPr="00131EED">
        <w:t>(CAR &amp; SIAM, 2006)</w:t>
      </w:r>
      <w:r w:rsidRPr="00131EED">
        <w:fldChar w:fldCharType="end"/>
      </w:r>
      <w:r w:rsidRPr="00131EED">
        <w:t>.</w:t>
      </w:r>
    </w:p>
    <w:p w14:paraId="5F6AF37A" w14:textId="77777777" w:rsidR="00CC5A4D" w:rsidRPr="00131EED" w:rsidRDefault="00CC5A4D" w:rsidP="00CC5A4D"/>
    <w:p w14:paraId="1BD301AE" w14:textId="77777777" w:rsidR="00CC5A4D" w:rsidRPr="00131EED" w:rsidRDefault="00CC5A4D" w:rsidP="00CC5A4D">
      <w:r w:rsidRPr="00131EED">
        <w:t xml:space="preserve">Además, es importante resaltar que Minambiente entre los años 2012 y 2014 gestionó los recursos ante el Financiamiento Adicional del Programa de Inversión para el Desarrollo Sostenible IDS, para realizar 3 consultorías especializadas con objeto de brindar el acompañamiento técnico a la SDA y a la CAR en el ajuste y articulación del Plan de Manejo Ambiental de Acuíferos de la Sabana de Bogotá.  Con estas consultorías se logró obtener un diagnóstico de la información de diferentes fuentes en aspectos técnicos, económicos y sociales de la Sabana de Bogotá, la actualización del inventario y el diseño de una red de monitoreo de aguas subterráneas en jurisdicción de la SDA y posterior armonización con la red existente en la CAR, y una propuesta de plan de trabajo para articular y ajustar el PMAA de la Sabana.  </w:t>
      </w:r>
    </w:p>
    <w:p w14:paraId="43B6C595" w14:textId="77777777" w:rsidR="00CC5A4D" w:rsidRPr="00131EED" w:rsidRDefault="00CC5A4D" w:rsidP="00CC5A4D"/>
    <w:p w14:paraId="55C6B47A" w14:textId="77777777" w:rsidR="00CC5A4D" w:rsidRPr="00131EED" w:rsidRDefault="00CC5A4D" w:rsidP="00CC5A4D">
      <w:r w:rsidRPr="00131EED">
        <w:t xml:space="preserve">La anterior descripción pone de manifiesto que en el área de la Sabana de Bogotá se cuenta con un amplísimo número de estudios hidrogeológicos realizados a diversas escalas durante más de 60 años y que recientemente por parte de las autoridades ambientales que tienen jurisdicción en la Sabana de Bogotá, enfocadas a los mismos fines, sin embargo, se carece de una visión conjunta de Sabana Región. </w:t>
      </w:r>
    </w:p>
    <w:p w14:paraId="430693DF" w14:textId="77777777" w:rsidR="00CC5A4D" w:rsidRPr="00131EED" w:rsidRDefault="00CC5A4D" w:rsidP="00CC5A4D"/>
    <w:p w14:paraId="08F420FE" w14:textId="77777777" w:rsidR="00CC5A4D" w:rsidRPr="00131EED" w:rsidRDefault="00CC5A4D" w:rsidP="00CC5A4D">
      <w:r w:rsidRPr="00131EED">
        <w:t xml:space="preserve">De otro lado, se debe mencionar que los primeros registros de sobreexplotación del agua subterránea se remontan a los años 80 cuando según </w:t>
      </w:r>
      <w:r w:rsidRPr="00131EED">
        <w:fldChar w:fldCharType="begin" w:fldLock="1"/>
      </w:r>
      <w:r w:rsidRPr="00131EED">
        <w:instrText>ADDIN CSL_CITATION {"citationItems":[{"id":"ITEM-1","itemData":{"abstract":"La Sabana de Bogotá es un apretado sinclinorio fallado con rumbo SSW-NNE en el centro y la cresta de la Cordillera Oriental, en rocas sedimentarias del Cretáceo Medio basta el Cuaternario: el Grupo Villeta y las Formaciones Guadalupe, Guaduas, Cacho, Bogotá, Regadera, Usme, Tilatá, Sabana y Tunjuelo. Las Formaciones Tilatá (Plioceno), Sabana (Plioceno, Pleistoceno y Holoceno), y Tunjuelo (Pleistoceno y Holoceno) son depósitos lagunares, fluviales y fluvio-glaciares depositados en el centro y en los bordes de la cuenca durante los últimos 3.5 millones de años.","author":[{"dropping-particle":"","family":"Lobo-Guerrero","given":"Alberto","non-dropping-particle":"","parse-names":false,"suffix":""}],"container-title":"VII Jornadas geotécnicas de la Ingeniería de Colombia","id":"ITEM-1","issued":{"date-parts":[["1992"]]},"page":"1-20","publisher-place":"Bogotá","title":"Geología e Hidrogeología de Santafé de Bogotá y su Sabana","type":"paper-conference"},"uris":["http://www.mendeley.com/documents/?uuid=d88c2faf-2a60-4538-a1b2-09fdfb510f71"]}],"mendeley":{"formattedCitation":"(Lobo-Guerrero, 1992)","manualFormatting":"Lobo-Guerrero (1992)","plainTextFormattedCitation":"(Lobo-Guerrero, 1992)","previouslyFormattedCitation":"(Lobo-Guerrero, 1992)"},"properties":{"noteIndex":0},"schema":"https://github.com/citation-style-language/schema/raw/master/csl-citation.json"}</w:instrText>
      </w:r>
      <w:r w:rsidRPr="00131EED">
        <w:fldChar w:fldCharType="separate"/>
      </w:r>
      <w:r w:rsidRPr="00131EED">
        <w:t>Lobo-Guerrero (1992)</w:t>
      </w:r>
      <w:r w:rsidRPr="00131EED">
        <w:fldChar w:fldCharType="end"/>
      </w:r>
      <w:r w:rsidRPr="00131EED">
        <w:t xml:space="preserve">, en 1983, como parte del Estudio Nacional de Aguas preparado para el Departamento Nacional de Planeación, se mencionaron casos de descensos del nivel en la zona industrial de Bogotá, Guaymaral, Cota, Facatativá, Bojacá y Funza. Para los años 90, </w:t>
      </w:r>
      <w:r w:rsidRPr="00131EED">
        <w:fldChar w:fldCharType="begin" w:fldLock="1"/>
      </w:r>
      <w:r w:rsidRPr="00131EED">
        <w:instrText>ADDIN CSL_CITATION {"citationItems":[{"id":"ITEM-1","itemData":{"abstract":"La Sabana de Bogotá es un apretado sinclinorio fallado con rumbo SSW-NNE en el centro y la cresta de la Cordillera Oriental, en rocas sedimentarias del Cretáceo Medio basta el Cuaternario: el Grupo Villeta y las Formaciones Guadalupe, Guaduas, Cacho, Bogotá, Regadera, Usme, Tilatá, Sabana y Tunjuelo. Las Formaciones Tilatá (Plioceno), Sabana (Plioceno, Pleistoceno y Holoceno), y Tunjuelo (Pleistoceno y Holoceno) son depósitos lagunares, fluviales y fluvio-glaciares depositados en el centro y en los bordes de la cuenca durante los últimos 3.5 millones de años.","author":[{"dropping-particle":"","family":"Lobo-Guerrero","given":"Alberto","non-dropping-particle":"","parse-names":false,"suffix":""}],"container-title":"VII Jornadas geotécnicas de la Ingeniería de Colombia","id":"ITEM-1","issued":{"date-parts":[["1992"]]},"page":"1-20","publisher-place":"Bogotá","title":"Geología e Hidrogeología de Santafé de Bogotá y su Sabana","type":"paper-conference"},"uris":["http://www.mendeley.com/documents/?uuid=d88c2faf-2a60-4538-a1b2-09fdfb510f71"]}],"mendeley":{"formattedCitation":"(Lobo-Guerrero, 1992)","manualFormatting":"Lobo-Guerrero (1992)","plainTextFormattedCitation":"(Lobo-Guerrero, 1992)","previouslyFormattedCitation":"(Lobo-Guerrero, 1992)"},"properties":{"noteIndex":0},"schema":"https://github.com/citation-style-language/schema/raw/master/csl-citation.json"}</w:instrText>
      </w:r>
      <w:r w:rsidRPr="00131EED">
        <w:fldChar w:fldCharType="separate"/>
      </w:r>
      <w:r w:rsidRPr="00131EED">
        <w:t>Lobo-Guerrero (1992)</w:t>
      </w:r>
      <w:r w:rsidRPr="00131EED">
        <w:fldChar w:fldCharType="end"/>
      </w:r>
      <w:r w:rsidRPr="00131EED">
        <w:t xml:space="preserve">, documentó casos en las Formaciones Sabana y Tilatá, en Subachoque, Madrid y Tenjo, como en la Formación Guadalupe, en Facatativá y Madrid, alertando de tasas de entre 3 y 5 metros anuales. En razón a las áreas que presentaron anomalías respecto al comportamiento de las isopiezas para los acuíferos Guadalupe y Cuaternario, es decir descenso en los niveles piezométricos, la CAR emitió el Acuerdo 31 de 2005 y la Resolución 1724 de 2016 en el que se definió la denominada Zona Crítica, en la cual se comprometía la sostenibilidad del recurso hídrico subterráneo en dos polígonos, el primero en los municipios de Tenjo, El Rosal, Madrid, Funza, Facatativá, Mosquera y parte de los municipios de Cota, Tabio y Subachoque y el segundo en los municipios de Soacha y parte del Municipio de Sibaté. </w:t>
      </w:r>
    </w:p>
    <w:p w14:paraId="00ECDA10" w14:textId="77777777" w:rsidR="00CC5A4D" w:rsidRPr="00131EED" w:rsidRDefault="00CC5A4D" w:rsidP="00CC5A4D">
      <w:pPr>
        <w:rPr>
          <w:rFonts w:ascii="Baskerville" w:hAnsi="Baskerville"/>
        </w:rPr>
      </w:pPr>
    </w:p>
    <w:p w14:paraId="19763783" w14:textId="7F27BB9C" w:rsidR="00CC5A4D" w:rsidRPr="00131EED" w:rsidRDefault="00165BBB" w:rsidP="00F33D8B">
      <w:pPr>
        <w:pStyle w:val="Caption"/>
        <w:jc w:val="center"/>
        <w:rPr>
          <w:rFonts w:ascii="Baskerville" w:hAnsi="Baskerville"/>
        </w:rPr>
      </w:pPr>
      <w:bookmarkStart w:id="442" w:name="_Toc216468891"/>
      <w:r w:rsidRPr="00131EED">
        <w:t xml:space="preserve">Ilustración </w:t>
      </w:r>
      <w:r w:rsidRPr="00131EED">
        <w:fldChar w:fldCharType="begin"/>
      </w:r>
      <w:r w:rsidRPr="00131EED">
        <w:instrText>SEQ Ilustración \* ARABIC</w:instrText>
      </w:r>
      <w:r w:rsidRPr="00131EED">
        <w:fldChar w:fldCharType="separate"/>
      </w:r>
      <w:r w:rsidR="00CE096F">
        <w:rPr>
          <w:noProof/>
        </w:rPr>
        <w:t>126</w:t>
      </w:r>
      <w:r w:rsidRPr="00131EED">
        <w:fldChar w:fldCharType="end"/>
      </w:r>
      <w:r w:rsidRPr="00131EED">
        <w:t xml:space="preserve"> </w:t>
      </w:r>
      <w:r w:rsidR="00CC5A4D" w:rsidRPr="00131EED">
        <w:rPr>
          <w:rFonts w:ascii="Baskerville" w:hAnsi="Baskerville"/>
        </w:rPr>
        <w:t>Localización de los pozos que integran la Red de Monitoreo de Aguas Subterráneas de la CAR en la Sabana de Bogotá</w:t>
      </w:r>
      <w:bookmarkEnd w:id="442"/>
    </w:p>
    <w:p w14:paraId="22792978" w14:textId="16CD92B4" w:rsidR="00AB2ECD" w:rsidRPr="00131EED" w:rsidRDefault="00AB2ECD" w:rsidP="006845C5">
      <w:pPr>
        <w:pStyle w:val="NormalWeb"/>
        <w:spacing w:before="0" w:beforeAutospacing="0" w:after="0" w:afterAutospacing="0"/>
        <w:jc w:val="center"/>
        <w:rPr>
          <w:rFonts w:ascii="Times New Roman" w:hAnsi="Times New Roman" w:cs="Times New Roman"/>
        </w:rPr>
      </w:pPr>
      <w:r w:rsidRPr="00131EED">
        <w:rPr>
          <w:rFonts w:ascii="Times New Roman" w:hAnsi="Times New Roman" w:cs="Times New Roman"/>
          <w:noProof/>
          <w:lang w:eastAsia="en-US"/>
        </w:rPr>
        <w:drawing>
          <wp:inline distT="0" distB="0" distL="0" distR="0" wp14:anchorId="18A58F5A" wp14:editId="0FB3EE29">
            <wp:extent cx="3446378" cy="4459857"/>
            <wp:effectExtent l="0" t="0" r="1905" b="0"/>
            <wp:docPr id="1168248848" name="Imagen 1168248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3454909" cy="4470896"/>
                    </a:xfrm>
                    <a:prstGeom prst="rect">
                      <a:avLst/>
                    </a:prstGeom>
                    <a:noFill/>
                    <a:ln>
                      <a:noFill/>
                    </a:ln>
                  </pic:spPr>
                </pic:pic>
              </a:graphicData>
            </a:graphic>
          </wp:inline>
        </w:drawing>
      </w:r>
    </w:p>
    <w:p w14:paraId="0EE42458" w14:textId="77777777" w:rsidR="00CC5A4D" w:rsidRPr="00131EED" w:rsidRDefault="00CC5A4D" w:rsidP="00CC5A4D">
      <w:pPr>
        <w:jc w:val="center"/>
        <w:rPr>
          <w:rFonts w:cs="Arial"/>
          <w:sz w:val="20"/>
          <w:szCs w:val="20"/>
        </w:rPr>
      </w:pPr>
      <w:r w:rsidRPr="00131EED">
        <w:rPr>
          <w:rFonts w:cs="Arial"/>
          <w:sz w:val="20"/>
          <w:szCs w:val="20"/>
        </w:rPr>
        <w:t>Fuente: adaptado por los autores con base en CAR, 2023</w:t>
      </w:r>
    </w:p>
    <w:p w14:paraId="61530AB3" w14:textId="77777777" w:rsidR="00CC5A4D" w:rsidRPr="00131EED" w:rsidRDefault="00CC5A4D" w:rsidP="00CC5A4D">
      <w:pPr>
        <w:rPr>
          <w:sz w:val="20"/>
          <w:szCs w:val="20"/>
        </w:rPr>
      </w:pPr>
    </w:p>
    <w:p w14:paraId="49CE60D9" w14:textId="77777777" w:rsidR="00CC5A4D" w:rsidRPr="00131EED" w:rsidRDefault="00CC5A4D" w:rsidP="00CC5A4D">
      <w:r w:rsidRPr="00131EED">
        <w:t xml:space="preserve">A pesar de las medidas tomadas por la CAR en el área crítica, aún persiste una tendencia descendente en los niveles, principalmente en las áreas delimitadas, donde se localizan los sinclinales de Subachoque, Rio Frio, la planicie de los municipios de Funza-Madrid-Mosquera, y al sur el sinclinal de Sibaté, con registros históricos promedio de niveles que alcanzan diferencias entre 20 y 60 m comparados con las campañas de 1998 </w:t>
      </w:r>
      <w:r w:rsidRPr="00131EED">
        <w:fldChar w:fldCharType="begin" w:fldLock="1"/>
      </w:r>
      <w:r w:rsidRPr="00131EED">
        <w:instrText>ADDIN CSL_CITATION {"citationItems":[{"id":"ITEM-1","itemData":{"author":[{"dropping-particle":"","family":"Beltran","given":"Jairo Cesar","non-dropping-particle":"","parse-names":false,"suffix":""}],"id":"ITEM-1","issued":{"date-parts":[["2021"]]},"number-of-pages":"180","publisher-place":"Bogotá","title":"REALIZAR LA CAMPAÑA DE MONITOREO DE NIVELES PIEZOMÉTRICOS DE AGUA SUBTERRÁNEA EN LAS CUENCAS ALTA Y MEDIA DEL RÍO BOGOTÁ Y EN LA CUENCA ALTA DEL RÍO SUÁREZ, EFECTUAR LA CARACTERIZACIÓN HIDRÁULICA DE LA ZONA CRITICA COMO INSUMO PARA LA FORMULACIÓN DE LOS P","type":"report"},"uris":["http://www.mendeley.com/documents/?uuid=597594f8-dd4f-4fbb-8f1a-5f296c04b993"]}],"mendeley":{"formattedCitation":"(Beltran, 2021)","plainTextFormattedCitation":"(Beltran, 2021)"},"properties":{"noteIndex":0},"schema":"https://github.com/citation-style-language/schema/raw/master/csl-citation.json"}</w:instrText>
      </w:r>
      <w:r w:rsidRPr="00131EED">
        <w:fldChar w:fldCharType="separate"/>
      </w:r>
      <w:r w:rsidRPr="00131EED">
        <w:t>(Beltran, 2021)</w:t>
      </w:r>
      <w:r w:rsidRPr="00131EED">
        <w:fldChar w:fldCharType="end"/>
      </w:r>
    </w:p>
    <w:p w14:paraId="0D664D49" w14:textId="77777777" w:rsidR="00CC5A4D" w:rsidRPr="00131EED" w:rsidRDefault="00CC5A4D" w:rsidP="00CC5A4D"/>
    <w:p w14:paraId="28AFA4F0" w14:textId="77777777" w:rsidR="00CC5A4D" w:rsidRPr="00131EED" w:rsidRDefault="00CC5A4D" w:rsidP="00CC5A4D">
      <w:r w:rsidRPr="00131EED">
        <w:t xml:space="preserve">Como factor agravante de la sobreexplotación de las aguas subterráneas en la Sabana de Bogotá, debe considerarse el actual proceso de expansión urbana que se presenta en la región.  Entre el periodo comprendido entre 2005 y 2018, el sector de la Sabana Centro ha presentado un crecimiento poblacional del 28 %, muy superior a aquel para el mismo periodo de 12 % a nivel nacional y del 8.4 % de Bogotá </w:t>
      </w:r>
      <w:r w:rsidRPr="00131EED">
        <w:fldChar w:fldCharType="begin" w:fldLock="1"/>
      </w:r>
      <w:r w:rsidRPr="00131EED">
        <w:instrText>ADDIN CSL_CITATION {"citationItems":[{"id":"ITEM-1","itemData":{"abstract":"Este documento presenta un análisis de la población de Sabana Centro a partir de la información del Censo de Población 2018.","author":[{"dropping-particle":"","family":"Observatorio Sabana Centro Como vamos","given":"","non-dropping-particle":"","parse-names":false,"suffix":""}],"id":"ITEM-1","issue":"1","issued":{"date-parts":[["2018"]]},"number-of-pages":"1-14","publisher-place":"Bogotá D.C.","title":"Análisis de la situación poblacional Sabana Centro 2018","type":"report"},"uris":["http://www.mendeley.com/documents/?uuid=f600373f-5205-4dc6-881e-d9e1e885aef2"]}],"mendeley":{"formattedCitation":"(Observatorio Sabana Centro Como vamos, 2018)","plainTextFormattedCitation":"(Observatorio Sabana Centro Como vamos, 2018)","previouslyFormattedCitation":"(Observatorio Sabana Centro Como vamos, 2018)"},"properties":{"noteIndex":0},"schema":"https://github.com/citation-style-language/schema/raw/master/csl-citation.json"}</w:instrText>
      </w:r>
      <w:r w:rsidRPr="00131EED">
        <w:fldChar w:fldCharType="separate"/>
      </w:r>
      <w:r w:rsidRPr="00131EED">
        <w:t>(Observatorio Sabana Centro Como vamos, 2018)</w:t>
      </w:r>
      <w:r w:rsidRPr="00131EED">
        <w:fldChar w:fldCharType="end"/>
      </w:r>
      <w:r w:rsidRPr="00131EED">
        <w:t xml:space="preserve">. Este comportamiento puede ser explicado, entre otras cosas, por el costo de la vivienda, la llegada de nuevas industrias y la consolidación de otros sectores económicos en la región, que en conjunto generan un aumento en la presión sobre los servicios públicos y la infraestructura disponible para absorber los flujos migratorios, así como un mayor impacto sobre los servicios ecosistémicos </w:t>
      </w:r>
      <w:r w:rsidRPr="00131EED">
        <w:fldChar w:fldCharType="begin" w:fldLock="1"/>
      </w:r>
      <w:r w:rsidRPr="00131EED">
        <w:instrText>ADDIN CSL_CITATION {"citationItems":[{"id":"ITEM-1","itemData":{"abstract":"Este documento presenta un análisis de la población de Sabana Centro a partir de la información del Censo de Población 2018.","author":[{"dropping-particle":"","family":"Observatorio Sabana Centro Como vamos","given":"","non-dropping-particle":"","parse-names":false,"suffix":""}],"id":"ITEM-1","issue":"1","issued":{"date-parts":[["2018"]]},"number-of-pages":"1-14","publisher-place":"Bogotá D.C.","title":"Análisis de la situación poblacional Sabana Centro 2018","type":"report"},"uris":["http://www.mendeley.com/documents/?uuid=f600373f-5205-4dc6-881e-d9e1e885aef2"]}],"mendeley":{"formattedCitation":"(Observatorio Sabana Centro Como vamos, 2018)","plainTextFormattedCitation":"(Observatorio Sabana Centro Como vamos, 2018)","previouslyFormattedCitation":"(Observatorio Sabana Centro Como vamos, 2018)"},"properties":{"noteIndex":0},"schema":"https://github.com/citation-style-language/schema/raw/master/csl-citation.json"}</w:instrText>
      </w:r>
      <w:r w:rsidRPr="00131EED">
        <w:fldChar w:fldCharType="separate"/>
      </w:r>
      <w:r w:rsidRPr="00131EED">
        <w:t>(Observatorio Sabana Centro Como vamos, 2018)</w:t>
      </w:r>
      <w:r w:rsidRPr="00131EED">
        <w:fldChar w:fldCharType="end"/>
      </w:r>
      <w:r w:rsidRPr="00131EED">
        <w:t>.</w:t>
      </w:r>
    </w:p>
    <w:p w14:paraId="44E3D51B" w14:textId="77777777" w:rsidR="00A01EE7" w:rsidRPr="00131EED" w:rsidRDefault="00A01EE7" w:rsidP="00CC5A4D"/>
    <w:p w14:paraId="3507EC80" w14:textId="7286165C" w:rsidR="00CC5A4D" w:rsidRPr="00131EED" w:rsidRDefault="00CC5A4D" w:rsidP="00CC5A4D">
      <w:pPr>
        <w:rPr>
          <w:rFonts w:eastAsiaTheme="minorEastAsia" w:cstheme="minorBidi"/>
        </w:rPr>
      </w:pPr>
      <w:r w:rsidRPr="00131EED">
        <w:t xml:space="preserve">Para poder realizar una evaluación continua del comportamiento del agua subterránea el monitoreo es una actividad clave. Aun cuando se está realizando un proceso de monitoreo de niveles piezométricos, por parte de la SDA y de la CAR, a través de redes, es claro que estas se componen casi en su totalidad de pozos construidos por particulares, cuyo fin original fue la extracción de aguas subterráneas, sin distinción de los acuíferos captados y no piezómetros, infraestructura diseñada y dedicada al monitoreo de calidad o cantidad del agua subterránea. </w:t>
      </w:r>
    </w:p>
    <w:p w14:paraId="1B118CDF" w14:textId="0B5FBA98" w:rsidR="004C3A01" w:rsidRPr="00131EED" w:rsidRDefault="00CC5A4D" w:rsidP="00CC5A4D">
      <w:pPr>
        <w:rPr>
          <w:rFonts w:eastAsiaTheme="minorEastAsia" w:cstheme="minorBidi"/>
        </w:rPr>
      </w:pPr>
      <w:r w:rsidRPr="00131EED">
        <w:t>Así mismo, a pesar de los esfuerzos realizados, a la fecha tampoco se cuenta con Plan de Manejo Ambiental de Acuíferos (PMAA) para el Sistema Acuífero de la Sabana de Bogotá, que permita la gestión ordenada del agua subterránea a mediano plazo. Lo anterior, aun cuando se cumplen con al menos tres de los cuatro los criterios de priorización enmarcados en el Decreto 1640 de 2012, esto es: a</w:t>
      </w:r>
      <w:r w:rsidRPr="00131EED">
        <w:rPr>
          <w:rFonts w:eastAsiaTheme="minorEastAsia" w:cstheme="minorBidi"/>
        </w:rPr>
        <w:t>gotamiento del agua subterránea</w:t>
      </w:r>
      <w:r w:rsidRPr="00131EED">
        <w:t>, el carácter estratégico del</w:t>
      </w:r>
      <w:r w:rsidRPr="00131EED">
        <w:rPr>
          <w:rFonts w:eastAsiaTheme="minorEastAsia" w:cstheme="minorBidi"/>
        </w:rPr>
        <w:t xml:space="preserve"> acuífero para el desarrollo socioeconómico de </w:t>
      </w:r>
      <w:r w:rsidRPr="00131EED">
        <w:t>la</w:t>
      </w:r>
      <w:r w:rsidRPr="00131EED">
        <w:rPr>
          <w:rFonts w:eastAsiaTheme="minorEastAsia" w:cstheme="minorBidi"/>
        </w:rPr>
        <w:t xml:space="preserve"> región</w:t>
      </w:r>
      <w:r w:rsidRPr="00131EED">
        <w:t>, la e</w:t>
      </w:r>
      <w:r w:rsidRPr="00131EED">
        <w:rPr>
          <w:rFonts w:eastAsiaTheme="minorEastAsia" w:cstheme="minorBidi"/>
        </w:rPr>
        <w:t>xistencia de conflictos por el uso del agua subterránea</w:t>
      </w:r>
      <w:r w:rsidRPr="00131EED">
        <w:t xml:space="preserve"> y la relevancia </w:t>
      </w:r>
      <w:r w:rsidRPr="00131EED">
        <w:rPr>
          <w:rFonts w:eastAsiaTheme="minorEastAsia" w:cstheme="minorBidi"/>
        </w:rPr>
        <w:t xml:space="preserve">que el acuífero </w:t>
      </w:r>
      <w:r w:rsidRPr="00131EED">
        <w:t>tiene como</w:t>
      </w:r>
      <w:r w:rsidRPr="00131EED">
        <w:rPr>
          <w:rFonts w:eastAsiaTheme="minorEastAsia" w:cstheme="minorBidi"/>
        </w:rPr>
        <w:t xml:space="preserve"> fuente alterna por desabastecimiento de agua superficial, debido a riesgos antrópicos o naturales.</w:t>
      </w:r>
    </w:p>
    <w:p w14:paraId="6997BE2B" w14:textId="77777777" w:rsidR="00581A09" w:rsidRPr="00131EED" w:rsidRDefault="00581A09">
      <w:pPr>
        <w:rPr>
          <w:rFonts w:eastAsiaTheme="minorEastAsia" w:cstheme="minorBidi"/>
          <w:kern w:val="2"/>
          <w14:ligatures w14:val="standardContextual"/>
        </w:rPr>
      </w:pPr>
    </w:p>
    <w:p w14:paraId="5C2BAF0D" w14:textId="77777777" w:rsidR="00CC5A4D" w:rsidRPr="00131EED" w:rsidRDefault="00CC5A4D" w:rsidP="00CC5A4D">
      <w:pPr>
        <w:rPr>
          <w:rFonts w:cs="Arial"/>
          <w:i/>
          <w:u w:val="single"/>
        </w:rPr>
      </w:pPr>
      <w:r w:rsidRPr="00131EED">
        <w:rPr>
          <w:rFonts w:cs="Arial"/>
          <w:i/>
          <w:u w:val="single"/>
        </w:rPr>
        <w:t xml:space="preserve">Escenarios de cambio climático. </w:t>
      </w:r>
    </w:p>
    <w:p w14:paraId="12E76DBA" w14:textId="77777777" w:rsidR="00CC5A4D" w:rsidRPr="00131EED" w:rsidRDefault="00CC5A4D" w:rsidP="00CC5A4D">
      <w:pPr>
        <w:rPr>
          <w:rFonts w:cs="Arial"/>
          <w:i/>
          <w:u w:val="single"/>
        </w:rPr>
      </w:pPr>
    </w:p>
    <w:p w14:paraId="5369308A" w14:textId="77777777" w:rsidR="00CC5A4D" w:rsidRPr="00131EED" w:rsidRDefault="00CC5A4D" w:rsidP="00CC5A4D">
      <w:pPr>
        <w:rPr>
          <w:rFonts w:cs="Arial"/>
          <w:i/>
          <w:u w:val="single"/>
        </w:rPr>
      </w:pPr>
      <w:r w:rsidRPr="00131EED">
        <w:rPr>
          <w:rFonts w:cs="Arial"/>
          <w:i/>
          <w:u w:val="single"/>
        </w:rPr>
        <w:t>Porcentaje del cambio en el rendimiento hídrico (l/s/km2) con respecto al escenario de Cambio Climático RCP 6.0 2011 – 2040</w:t>
      </w:r>
    </w:p>
    <w:p w14:paraId="05781247" w14:textId="77777777" w:rsidR="00CC5A4D" w:rsidRPr="00131EED" w:rsidRDefault="00CC5A4D" w:rsidP="00CC5A4D">
      <w:pPr>
        <w:rPr>
          <w:rFonts w:cs="Arial"/>
          <w:i/>
          <w:u w:val="single"/>
        </w:rPr>
      </w:pPr>
    </w:p>
    <w:p w14:paraId="18A26D45" w14:textId="77777777" w:rsidR="00CC5A4D" w:rsidRPr="00131EED" w:rsidRDefault="00CC5A4D" w:rsidP="00CC5A4D">
      <w:pPr>
        <w:rPr>
          <w:rFonts w:cs="Arial"/>
        </w:rPr>
      </w:pPr>
      <w:r w:rsidRPr="00131EED">
        <w:rPr>
          <w:rFonts w:cs="Arial"/>
        </w:rPr>
        <w:t>Con la finalidad de entender los impactos del cambio climático en el territorio donde se localizan las principales fuentes de abastecimiento, se analizaron los posibles efectos causados por el aumento y disminución de precipitación según los diferentes escenarios modelados y desarrollados para el proyecto “Adaptación a los impactos climáticos en regulación y suministro de agua para el área de Chingaza-Sumapaz-Guerrero”. Dichos cambios en la precipitación están basados en los escenarios de cambio climático o “Vías representativas de concentración” RCP, y que resultan de la combinación de diferentes futuros económicos, tecnológicos, demográficos, políticos e institucionales (IDEAM, 2015).</w:t>
      </w:r>
    </w:p>
    <w:p w14:paraId="1A4B73D8" w14:textId="77777777" w:rsidR="00CC5A4D" w:rsidRPr="00131EED" w:rsidRDefault="00CC5A4D" w:rsidP="006845C5">
      <w:pPr>
        <w:rPr>
          <w:rFonts w:ascii="Baskerville" w:hAnsi="Baskerville" w:cs="Arial"/>
          <w:sz w:val="18"/>
          <w:szCs w:val="18"/>
        </w:rPr>
      </w:pPr>
      <w:bookmarkStart w:id="443" w:name="_Toc450690341"/>
    </w:p>
    <w:p w14:paraId="5BA7E30F" w14:textId="77777777" w:rsidR="00CC5A4D" w:rsidRPr="00131EED" w:rsidRDefault="00CC5A4D" w:rsidP="00AD4871">
      <w:pPr>
        <w:pStyle w:val="Caption"/>
      </w:pPr>
    </w:p>
    <w:p w14:paraId="52BE9C20" w14:textId="4B8D336A" w:rsidR="00CC5A4D" w:rsidRPr="00131EED" w:rsidRDefault="00165BBB" w:rsidP="00D02D64">
      <w:pPr>
        <w:pStyle w:val="Caption"/>
        <w:jc w:val="center"/>
      </w:pPr>
      <w:bookmarkStart w:id="444" w:name="_Toc216468892"/>
      <w:r w:rsidRPr="00131EED">
        <w:t xml:space="preserve">Ilustración </w:t>
      </w:r>
      <w:r w:rsidRPr="00131EED">
        <w:fldChar w:fldCharType="begin"/>
      </w:r>
      <w:r w:rsidRPr="00131EED">
        <w:instrText>SEQ Ilustración \* ARABIC</w:instrText>
      </w:r>
      <w:r w:rsidRPr="00131EED">
        <w:fldChar w:fldCharType="separate"/>
      </w:r>
      <w:r w:rsidR="00CE096F">
        <w:rPr>
          <w:noProof/>
        </w:rPr>
        <w:t>127</w:t>
      </w:r>
      <w:r w:rsidRPr="00131EED">
        <w:fldChar w:fldCharType="end"/>
      </w:r>
      <w:r w:rsidRPr="00131EED">
        <w:t xml:space="preserve"> </w:t>
      </w:r>
      <w:r w:rsidR="00CC5A4D" w:rsidRPr="00131EED">
        <w:t>Concentraciones de CO2 proyectadas por los escenarios de emisión SRES del AR4 y por las 4 vías representativas de concentración (RCP) del AR5.</w:t>
      </w:r>
      <w:bookmarkEnd w:id="443"/>
      <w:bookmarkEnd w:id="444"/>
    </w:p>
    <w:p w14:paraId="7578641E" w14:textId="77777777" w:rsidR="00CC5A4D" w:rsidRPr="00131EED" w:rsidRDefault="00CC5A4D" w:rsidP="00CC5A4D">
      <w:pPr>
        <w:jc w:val="center"/>
        <w:rPr>
          <w:rFonts w:ascii="Baskerville" w:hAnsi="Baskerville" w:cs="Arial"/>
          <w:sz w:val="20"/>
          <w:szCs w:val="20"/>
        </w:rPr>
      </w:pPr>
      <w:r w:rsidRPr="00131EED">
        <w:rPr>
          <w:rFonts w:ascii="Baskerville" w:hAnsi="Baskerville" w:cs="Arial"/>
          <w:noProof/>
          <w:sz w:val="20"/>
          <w:szCs w:val="20"/>
          <w:lang w:eastAsia="en-US"/>
        </w:rPr>
        <w:drawing>
          <wp:inline distT="0" distB="0" distL="0" distR="0" wp14:anchorId="660A1FB0" wp14:editId="2D6E8698">
            <wp:extent cx="4940908" cy="2950028"/>
            <wp:effectExtent l="0" t="0" r="0" b="3175"/>
            <wp:docPr id="2050" name="Picture 2" descr="F:\Documentos\Papeles IDEAM\ConsulCC-CentroA\ComparaciónSRES-RC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F:\Documentos\Papeles IDEAM\ConsulCC-CentroA\ComparaciónSRES-RCP.JPG"/>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984518" cy="2976066"/>
                    </a:xfrm>
                    <a:prstGeom prst="rect">
                      <a:avLst/>
                    </a:prstGeom>
                    <a:noFill/>
                  </pic:spPr>
                </pic:pic>
              </a:graphicData>
            </a:graphic>
          </wp:inline>
        </w:drawing>
      </w:r>
    </w:p>
    <w:p w14:paraId="26A5D3B4" w14:textId="3C6FE8CD" w:rsidR="00CC5A4D" w:rsidRPr="00131EED" w:rsidRDefault="00165BBB" w:rsidP="00CC5A4D">
      <w:pPr>
        <w:jc w:val="center"/>
        <w:rPr>
          <w:rFonts w:cs="Arial"/>
          <w:sz w:val="20"/>
          <w:szCs w:val="20"/>
        </w:rPr>
      </w:pPr>
      <w:r w:rsidRPr="00131EED">
        <w:rPr>
          <w:rFonts w:cs="Arial"/>
          <w:sz w:val="20"/>
          <w:szCs w:val="20"/>
        </w:rPr>
        <w:t xml:space="preserve">Fuente: </w:t>
      </w:r>
      <w:r w:rsidR="00CC5A4D" w:rsidRPr="00131EED">
        <w:rPr>
          <w:rFonts w:cs="Arial"/>
          <w:sz w:val="20"/>
          <w:szCs w:val="20"/>
        </w:rPr>
        <w:t>(Evidencias y escenarios de cambio climático para las unidades hidrológicas seleccionadas por el proyecto, 2018)</w:t>
      </w:r>
    </w:p>
    <w:p w14:paraId="42B75D28" w14:textId="77777777" w:rsidR="00CC5A4D" w:rsidRPr="00131EED" w:rsidRDefault="00CC5A4D" w:rsidP="00CC5A4D">
      <w:pPr>
        <w:pStyle w:val="FigurasyTablas"/>
        <w:spacing w:after="0" w:line="240" w:lineRule="auto"/>
        <w:jc w:val="both"/>
        <w:rPr>
          <w:rFonts w:ascii="Baskerville Old Face" w:hAnsi="Baskerville Old Face" w:cs="Arial"/>
          <w:sz w:val="24"/>
          <w:szCs w:val="24"/>
          <w:lang w:val="es-CO"/>
        </w:rPr>
      </w:pPr>
    </w:p>
    <w:p w14:paraId="0F7DAD4A" w14:textId="77777777" w:rsidR="00CC5A4D" w:rsidRPr="00131EED" w:rsidRDefault="00CC5A4D" w:rsidP="00CC5A4D">
      <w:pPr>
        <w:pStyle w:val="FigurasyTablas"/>
        <w:spacing w:after="0" w:line="240" w:lineRule="auto"/>
        <w:jc w:val="both"/>
        <w:rPr>
          <w:rFonts w:ascii="Baskerville Old Face" w:hAnsi="Baskerville Old Face" w:cs="Arial"/>
          <w:sz w:val="24"/>
          <w:szCs w:val="24"/>
          <w:lang w:val="es-CO"/>
        </w:rPr>
      </w:pPr>
      <w:r w:rsidRPr="00131EED">
        <w:rPr>
          <w:rFonts w:ascii="Baskerville Old Face" w:hAnsi="Baskerville Old Face" w:cs="Arial"/>
          <w:sz w:val="24"/>
          <w:szCs w:val="24"/>
          <w:lang w:val="es-CO"/>
        </w:rPr>
        <w:t xml:space="preserve">A partir de las proyecciones del escenario RCP 6.0 para el periodo 2011 – 2040, y tomando como resultados base la modelación hidrológica de servicios ecosistémicos hídricos, se recalcularon los resultados de rendimiento hídrico (litros por segundo por kilómetro cuadrado). El modelo toma como datos de entrada los valores de precipitación, evapotranspiración, características de los suelos, coberturas del suelo y otros parámetros hidrológicos para determinar el rendimiento hídrico anual del territorio. </w:t>
      </w:r>
    </w:p>
    <w:p w14:paraId="636D969E" w14:textId="77777777" w:rsidR="00CC5A4D" w:rsidRPr="00131EED" w:rsidRDefault="00CC5A4D" w:rsidP="00CC5A4D">
      <w:pPr>
        <w:pStyle w:val="FigurasyTablas"/>
        <w:spacing w:after="0" w:line="240" w:lineRule="auto"/>
        <w:jc w:val="both"/>
        <w:rPr>
          <w:rFonts w:ascii="Baskerville Old Face" w:hAnsi="Baskerville Old Face" w:cs="Arial"/>
          <w:sz w:val="24"/>
          <w:szCs w:val="24"/>
          <w:lang w:val="es-CO"/>
        </w:rPr>
      </w:pPr>
    </w:p>
    <w:p w14:paraId="2A469E00" w14:textId="77777777" w:rsidR="00CC5A4D" w:rsidRPr="00131EED" w:rsidRDefault="00CC5A4D" w:rsidP="00CC5A4D">
      <w:pPr>
        <w:pStyle w:val="FigurasyTablas"/>
        <w:spacing w:after="0" w:line="240" w:lineRule="auto"/>
        <w:jc w:val="both"/>
        <w:rPr>
          <w:rFonts w:ascii="Baskerville Old Face" w:hAnsi="Baskerville Old Face" w:cs="Arial"/>
          <w:sz w:val="24"/>
          <w:szCs w:val="24"/>
          <w:lang w:val="es-CO"/>
        </w:rPr>
      </w:pPr>
      <w:r w:rsidRPr="00131EED">
        <w:rPr>
          <w:rFonts w:ascii="Baskerville Old Face" w:hAnsi="Baskerville Old Face" w:cs="Arial"/>
          <w:sz w:val="24"/>
          <w:szCs w:val="24"/>
          <w:lang w:val="es-CO"/>
        </w:rPr>
        <w:t>El siguiente mapa contiene los cambios esperados (en porcentaje) del rendimiento hídrico, entre la condición actual y el escenario de cambio climático RCP 6.0 para las subcuencas asociadas a las áreas de abastecimiento. Se evidencian aumentos importantes en la cuenca alta del río Bogotá, donde el rendimiento hídrico podría llegar a aumentar entre el 20 y el 90% para el año 2040, lo que podría representar un aumento en el riesgo de inundaciones. Por el contrario, se proyectan disminuciones en el rendimiento hídrico del sector oriental, en la zona baja de las cuencas de los ríos Guatiquía y Guayuriba, cercanas al páramo de Chingaza. También se evidencia alguna disminución del rendimiento hídrico de las cuencas asociadas al páramo de Sumapaz.</w:t>
      </w:r>
    </w:p>
    <w:p w14:paraId="0B8B0357" w14:textId="77777777" w:rsidR="002341F8" w:rsidRPr="00131EED" w:rsidRDefault="002341F8" w:rsidP="00CC5A4D">
      <w:pPr>
        <w:pStyle w:val="FigurasyTablas"/>
        <w:spacing w:after="0" w:line="240" w:lineRule="auto"/>
        <w:jc w:val="both"/>
        <w:rPr>
          <w:rFonts w:ascii="Baskerville Old Face" w:hAnsi="Baskerville Old Face" w:cs="Arial"/>
          <w:sz w:val="24"/>
          <w:szCs w:val="24"/>
          <w:lang w:val="es-CO"/>
        </w:rPr>
      </w:pPr>
    </w:p>
    <w:p w14:paraId="2CB9BCF9" w14:textId="4DB02CFA" w:rsidR="00CC5A4D" w:rsidRPr="00131EED" w:rsidRDefault="00165BBB" w:rsidP="00D873B5">
      <w:pPr>
        <w:pStyle w:val="Caption"/>
        <w:jc w:val="center"/>
      </w:pPr>
      <w:bookmarkStart w:id="445" w:name="_Toc216468893"/>
      <w:r w:rsidRPr="00131EED">
        <w:t xml:space="preserve">Ilustración </w:t>
      </w:r>
      <w:r w:rsidRPr="00131EED">
        <w:fldChar w:fldCharType="begin"/>
      </w:r>
      <w:r w:rsidRPr="00131EED">
        <w:instrText>SEQ Ilustración \* ARABIC</w:instrText>
      </w:r>
      <w:r w:rsidRPr="00131EED">
        <w:fldChar w:fldCharType="separate"/>
      </w:r>
      <w:r w:rsidR="00CE096F">
        <w:rPr>
          <w:noProof/>
        </w:rPr>
        <w:t>128</w:t>
      </w:r>
      <w:r w:rsidRPr="00131EED">
        <w:fldChar w:fldCharType="end"/>
      </w:r>
      <w:r w:rsidRPr="00131EED">
        <w:t xml:space="preserve"> </w:t>
      </w:r>
      <w:r w:rsidR="00CC5A4D" w:rsidRPr="00131EED">
        <w:t>Rendimiento hídrico corredor de conservación de páramos</w:t>
      </w:r>
      <w:bookmarkEnd w:id="445"/>
    </w:p>
    <w:p w14:paraId="6C93722C" w14:textId="4B848074" w:rsidR="00CC5A4D" w:rsidRPr="00131EED" w:rsidRDefault="00CC5A4D" w:rsidP="00CC5A4D">
      <w:pPr>
        <w:jc w:val="center"/>
        <w:rPr>
          <w:rFonts w:ascii="Baskerville" w:hAnsi="Baskerville" w:cs="Arial"/>
          <w:sz w:val="20"/>
          <w:szCs w:val="20"/>
        </w:rPr>
      </w:pPr>
      <w:r w:rsidRPr="00131EED">
        <w:rPr>
          <w:rFonts w:ascii="Baskerville" w:hAnsi="Baskerville" w:cs="Arial"/>
          <w:noProof/>
          <w:sz w:val="20"/>
          <w:szCs w:val="20"/>
          <w:lang w:eastAsia="en-US"/>
        </w:rPr>
        <w:drawing>
          <wp:inline distT="0" distB="0" distL="0" distR="0" wp14:anchorId="042E3F07" wp14:editId="533E799D">
            <wp:extent cx="3629025" cy="4688581"/>
            <wp:effectExtent l="0" t="0" r="0" b="0"/>
            <wp:docPr id="492865375" name="Picture 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ndimientoHidrico_PorcCmbio_RCP60_3.bmp"/>
                    <pic:cNvPicPr/>
                  </pic:nvPicPr>
                  <pic:blipFill rotWithShape="1">
                    <a:blip r:embed="rId210" cstate="print">
                      <a:extLst>
                        <a:ext uri="{28A0092B-C50C-407E-A947-70E740481C1C}">
                          <a14:useLocalDpi xmlns:a14="http://schemas.microsoft.com/office/drawing/2010/main" val="0"/>
                        </a:ext>
                      </a:extLst>
                    </a:blip>
                    <a:srcRect l="4482" t="4566" r="4852" b="4919"/>
                    <a:stretch/>
                  </pic:blipFill>
                  <pic:spPr bwMode="auto">
                    <a:xfrm>
                      <a:off x="0" y="0"/>
                      <a:ext cx="3694932" cy="4773731"/>
                    </a:xfrm>
                    <a:prstGeom prst="rect">
                      <a:avLst/>
                    </a:prstGeom>
                    <a:ln>
                      <a:noFill/>
                    </a:ln>
                    <a:extLst>
                      <a:ext uri="{53640926-AAD7-44D8-BBD7-CCE9431645EC}">
                        <a14:shadowObscured xmlns:a14="http://schemas.microsoft.com/office/drawing/2010/main"/>
                      </a:ext>
                    </a:extLst>
                  </pic:spPr>
                </pic:pic>
              </a:graphicData>
            </a:graphic>
          </wp:inline>
        </w:drawing>
      </w:r>
    </w:p>
    <w:p w14:paraId="6F8FFA64" w14:textId="77777777" w:rsidR="00CC5A4D" w:rsidRPr="00131EED" w:rsidRDefault="00CC5A4D" w:rsidP="00CC5A4D">
      <w:pPr>
        <w:jc w:val="center"/>
        <w:rPr>
          <w:rFonts w:cs="Arial"/>
          <w:szCs w:val="20"/>
        </w:rPr>
      </w:pPr>
      <w:r w:rsidRPr="00131EED">
        <w:rPr>
          <w:rFonts w:cs="Arial"/>
          <w:szCs w:val="20"/>
        </w:rPr>
        <w:t>Fuente: Conservación Internacional, 2021</w:t>
      </w:r>
    </w:p>
    <w:p w14:paraId="0185CAA3" w14:textId="77777777" w:rsidR="00CC5A4D" w:rsidRPr="00131EED" w:rsidRDefault="00CC5A4D" w:rsidP="00CC5A4D">
      <w:pPr>
        <w:rPr>
          <w:rFonts w:cs="Arial"/>
        </w:rPr>
      </w:pPr>
    </w:p>
    <w:p w14:paraId="26CFECC2" w14:textId="77777777" w:rsidR="00E7556C" w:rsidRPr="00131EED" w:rsidRDefault="00E7556C" w:rsidP="00CC5A4D">
      <w:pPr>
        <w:rPr>
          <w:rFonts w:cs="Arial"/>
        </w:rPr>
      </w:pPr>
    </w:p>
    <w:p w14:paraId="04BB8FE2" w14:textId="77777777" w:rsidR="00CC5A4D" w:rsidRPr="00131EED" w:rsidRDefault="00CC5A4D" w:rsidP="00CC5A4D">
      <w:pPr>
        <w:rPr>
          <w:rFonts w:cs="Arial"/>
        </w:rPr>
      </w:pPr>
      <w:r w:rsidRPr="00131EED">
        <w:rPr>
          <w:rFonts w:cs="Arial"/>
        </w:rPr>
        <w:t>Se espera un aumento de la precipitación anual en el norte del área estudiada, especialmente en el área de influencia de la cuenca alta del río Bogotá en jurisdicción de los municipios de Tausa, Sesquilé y Villapinzón mayor al 10 % con respecto al promedio de referencia y reducciones significativas para el área del Páramo de Chingaza menores al 10 %.</w:t>
      </w:r>
    </w:p>
    <w:p w14:paraId="2A8B7B37" w14:textId="77777777" w:rsidR="00CC5A4D" w:rsidRPr="00131EED" w:rsidRDefault="00CC5A4D" w:rsidP="00CC5A4D">
      <w:pPr>
        <w:rPr>
          <w:rFonts w:cs="Arial"/>
        </w:rPr>
      </w:pPr>
    </w:p>
    <w:p w14:paraId="4402AF1A" w14:textId="65ACF1F3" w:rsidR="00CC5A4D" w:rsidRPr="00131EED" w:rsidRDefault="00CC5A4D" w:rsidP="00CC5A4D">
      <w:pPr>
        <w:rPr>
          <w:rFonts w:ascii="Baskerville" w:hAnsi="Baskerville" w:cs="Arial"/>
          <w:sz w:val="20"/>
          <w:szCs w:val="20"/>
        </w:rPr>
      </w:pPr>
    </w:p>
    <w:p w14:paraId="370DE0BC" w14:textId="6FDFB470" w:rsidR="00D873B5" w:rsidRPr="00131EED" w:rsidRDefault="00D873B5" w:rsidP="00CC5A4D">
      <w:pPr>
        <w:rPr>
          <w:rFonts w:ascii="Baskerville" w:hAnsi="Baskerville" w:cs="Arial"/>
          <w:sz w:val="20"/>
          <w:szCs w:val="20"/>
        </w:rPr>
      </w:pPr>
    </w:p>
    <w:p w14:paraId="4864AAB3" w14:textId="31B7BF34" w:rsidR="00D873B5" w:rsidRPr="00131EED" w:rsidRDefault="00D873B5" w:rsidP="00CC5A4D">
      <w:pPr>
        <w:rPr>
          <w:rFonts w:ascii="Baskerville" w:hAnsi="Baskerville" w:cs="Arial"/>
          <w:sz w:val="20"/>
          <w:szCs w:val="20"/>
        </w:rPr>
      </w:pPr>
    </w:p>
    <w:p w14:paraId="6C151CDF" w14:textId="36918D8D" w:rsidR="00D873B5" w:rsidRPr="00131EED" w:rsidRDefault="00D873B5" w:rsidP="00CC5A4D">
      <w:pPr>
        <w:rPr>
          <w:rFonts w:ascii="Baskerville" w:hAnsi="Baskerville" w:cs="Arial"/>
          <w:sz w:val="20"/>
          <w:szCs w:val="20"/>
        </w:rPr>
      </w:pPr>
    </w:p>
    <w:p w14:paraId="723EB870" w14:textId="77777777" w:rsidR="00E7556C" w:rsidRPr="00131EED" w:rsidRDefault="00E7556C">
      <w:pPr>
        <w:spacing w:after="200" w:line="276" w:lineRule="auto"/>
        <w:jc w:val="left"/>
        <w:rPr>
          <w:rFonts w:ascii="Arial" w:eastAsia="Calibri" w:hAnsi="Arial" w:cs="Arial"/>
          <w:i/>
          <w:iCs/>
          <w:color w:val="44546A"/>
          <w:sz w:val="18"/>
          <w:szCs w:val="18"/>
          <w:lang w:eastAsia="en-US"/>
        </w:rPr>
      </w:pPr>
      <w:r w:rsidRPr="00131EED">
        <w:br w:type="page"/>
      </w:r>
    </w:p>
    <w:p w14:paraId="360442E3" w14:textId="0D1735BC" w:rsidR="00CC5A4D" w:rsidRPr="00131EED" w:rsidRDefault="00D873B5" w:rsidP="00D873B5">
      <w:pPr>
        <w:pStyle w:val="Caption"/>
        <w:jc w:val="center"/>
      </w:pPr>
      <w:bookmarkStart w:id="446" w:name="_Toc216468894"/>
      <w:r w:rsidRPr="00131EED">
        <w:t xml:space="preserve">Ilustración </w:t>
      </w:r>
      <w:r w:rsidRPr="00131EED">
        <w:fldChar w:fldCharType="begin"/>
      </w:r>
      <w:r w:rsidRPr="00131EED">
        <w:instrText>SEQ Ilustración \* ARABIC</w:instrText>
      </w:r>
      <w:r w:rsidRPr="00131EED">
        <w:fldChar w:fldCharType="separate"/>
      </w:r>
      <w:r w:rsidR="00CE096F">
        <w:rPr>
          <w:noProof/>
        </w:rPr>
        <w:t>129</w:t>
      </w:r>
      <w:r w:rsidRPr="00131EED">
        <w:fldChar w:fldCharType="end"/>
      </w:r>
      <w:r w:rsidRPr="00131EED">
        <w:t xml:space="preserve"> </w:t>
      </w:r>
      <w:r w:rsidR="00CC5A4D" w:rsidRPr="00131EED">
        <w:t>Cambio en la precipitación según el escenario de cambio climático RCP 6.0</w:t>
      </w:r>
      <w:bookmarkEnd w:id="446"/>
    </w:p>
    <w:p w14:paraId="5C86D6BB" w14:textId="77777777" w:rsidR="00CC5A4D" w:rsidRPr="00131EED" w:rsidRDefault="00CC5A4D" w:rsidP="00CC5A4D">
      <w:pPr>
        <w:jc w:val="center"/>
        <w:rPr>
          <w:rFonts w:ascii="Baskerville" w:hAnsi="Baskerville" w:cs="Arial"/>
          <w:sz w:val="20"/>
          <w:szCs w:val="20"/>
        </w:rPr>
      </w:pPr>
      <w:r w:rsidRPr="00131EED">
        <w:rPr>
          <w:rFonts w:ascii="Baskerville" w:hAnsi="Baskerville" w:cs="Arial"/>
          <w:noProof/>
          <w:sz w:val="20"/>
          <w:szCs w:val="20"/>
          <w:lang w:eastAsia="en-US"/>
        </w:rPr>
        <w:drawing>
          <wp:inline distT="0" distB="0" distL="0" distR="0" wp14:anchorId="66E32E0C" wp14:editId="71B26B33">
            <wp:extent cx="3198562" cy="4653499"/>
            <wp:effectExtent l="0" t="0" r="1905" b="0"/>
            <wp:docPr id="1313488817" name="Picture 3" descr="A map of a mountain ran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488817" name="Picture 3" descr="A map of a mountain range&#10;&#10;AI-generated content may be incorrect."/>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3232472" cy="4702833"/>
                    </a:xfrm>
                    <a:prstGeom prst="rect">
                      <a:avLst/>
                    </a:prstGeom>
                  </pic:spPr>
                </pic:pic>
              </a:graphicData>
            </a:graphic>
          </wp:inline>
        </w:drawing>
      </w:r>
    </w:p>
    <w:p w14:paraId="3BE89CB9" w14:textId="77777777" w:rsidR="00CC5A4D" w:rsidRPr="00131EED" w:rsidRDefault="00CC5A4D" w:rsidP="00CC5A4D">
      <w:pPr>
        <w:jc w:val="center"/>
        <w:rPr>
          <w:rFonts w:cs="Arial"/>
          <w:szCs w:val="20"/>
        </w:rPr>
      </w:pPr>
      <w:r w:rsidRPr="00131EED">
        <w:rPr>
          <w:rFonts w:cs="Arial"/>
          <w:szCs w:val="20"/>
        </w:rPr>
        <w:t>Fuente: Conservación Internacional, 2021</w:t>
      </w:r>
    </w:p>
    <w:p w14:paraId="65D14869" w14:textId="77777777" w:rsidR="00CC5A4D" w:rsidRPr="00131EED" w:rsidRDefault="00CC5A4D" w:rsidP="00CC5A4D">
      <w:pPr>
        <w:rPr>
          <w:rFonts w:cs="Arial"/>
        </w:rPr>
      </w:pPr>
    </w:p>
    <w:p w14:paraId="28D3D0DE" w14:textId="77777777" w:rsidR="00CC5A4D" w:rsidRPr="00131EED" w:rsidRDefault="00CC5A4D" w:rsidP="00CC5A4D">
      <w:pPr>
        <w:rPr>
          <w:rFonts w:cs="Arial"/>
        </w:rPr>
      </w:pPr>
      <w:r w:rsidRPr="00131EED">
        <w:rPr>
          <w:rFonts w:cs="Arial"/>
        </w:rPr>
        <w:t xml:space="preserve">Para abordar los aspectos de posible desabastecimiento debido a la presión por alta demanda con respecto a la oferta hídrica disponible, es crucial implementar una serie de medidas integrales. </w:t>
      </w:r>
      <w:r w:rsidRPr="00131EED">
        <w:rPr>
          <w:rFonts w:cs="Arial"/>
          <w:i/>
        </w:rPr>
        <w:t>Implementar programas de monitoreo y control de la calidad</w:t>
      </w:r>
      <w:r w:rsidRPr="00131EED">
        <w:rPr>
          <w:rFonts w:cs="Arial"/>
        </w:rPr>
        <w:t xml:space="preserve"> del agua en las fuentes de abastecimiento, así como la implementación de tecnologías de tratamiento adecuadas y control a los vertimientos directos sobre fuentes de abastecimiento podría contribuir a disminuir esta presión. </w:t>
      </w:r>
    </w:p>
    <w:p w14:paraId="61009DA0" w14:textId="77777777" w:rsidR="00CC5A4D" w:rsidRPr="00131EED" w:rsidRDefault="00CC5A4D" w:rsidP="00CC5A4D">
      <w:pPr>
        <w:rPr>
          <w:rFonts w:cs="Arial"/>
        </w:rPr>
      </w:pPr>
    </w:p>
    <w:p w14:paraId="6FAC002D" w14:textId="77777777" w:rsidR="00CC5A4D" w:rsidRPr="00131EED" w:rsidRDefault="00CC5A4D" w:rsidP="00CC5A4D">
      <w:pPr>
        <w:rPr>
          <w:rFonts w:cs="Arial"/>
        </w:rPr>
      </w:pPr>
      <w:r w:rsidRPr="00131EED">
        <w:rPr>
          <w:rFonts w:cs="Arial"/>
        </w:rPr>
        <w:t xml:space="preserve">Así mismo, otras posibles estrategias a implementar incluyen: desarrollar acuerdos comunitarios entre usuarios, así como </w:t>
      </w:r>
      <w:r w:rsidRPr="00131EED">
        <w:rPr>
          <w:rFonts w:cs="Arial"/>
          <w:i/>
        </w:rPr>
        <w:t>estrategias de planificación que regulen el crecimiento y promuevan un uso sostenible del agua</w:t>
      </w:r>
      <w:r w:rsidRPr="00131EED">
        <w:rPr>
          <w:rFonts w:cs="Arial"/>
        </w:rPr>
        <w:t xml:space="preserve">, e incentivos para la eficiencia en el consumo; </w:t>
      </w:r>
      <w:r w:rsidRPr="00131EED">
        <w:rPr>
          <w:rFonts w:cs="Arial"/>
          <w:i/>
        </w:rPr>
        <w:t>fomentar la conciencia</w:t>
      </w:r>
      <w:r w:rsidRPr="00131EED">
        <w:rPr>
          <w:rFonts w:cs="Arial"/>
        </w:rPr>
        <w:t xml:space="preserve"> sobre el uso responsable del agua mediante campañas educativas, </w:t>
      </w:r>
      <w:r w:rsidRPr="00131EED">
        <w:rPr>
          <w:rFonts w:cs="Arial"/>
          <w:i/>
        </w:rPr>
        <w:t>promover tecnologías de bajo consumo</w:t>
      </w:r>
      <w:r w:rsidRPr="00131EED">
        <w:rPr>
          <w:rFonts w:cs="Arial"/>
        </w:rPr>
        <w:t xml:space="preserve"> de agua en hogares, industrias y sectores agrícolas, considerando las regulaciones existentes en esta materia, que corresponden a Decreto 1090 de 2018 y la Resolución 1257 del 2018 que regulan disposiciones para el uso eficiente del agua así como de la guía para el uso eficiente y ahorro del agua. </w:t>
      </w:r>
    </w:p>
    <w:p w14:paraId="348FC49F" w14:textId="77777777" w:rsidR="00CC5A4D" w:rsidRPr="00131EED" w:rsidRDefault="00CC5A4D" w:rsidP="00CC5A4D">
      <w:pPr>
        <w:rPr>
          <w:rFonts w:cs="Arial"/>
        </w:rPr>
      </w:pPr>
    </w:p>
    <w:p w14:paraId="0A76CE6C" w14:textId="7CA8B8C8" w:rsidR="00CC5A4D" w:rsidRPr="00131EED" w:rsidRDefault="00CC5A4D" w:rsidP="00CC5A4D">
      <w:pPr>
        <w:rPr>
          <w:rFonts w:cs="Arial"/>
        </w:rPr>
      </w:pPr>
      <w:r w:rsidRPr="00131EED">
        <w:rPr>
          <w:rFonts w:cs="Arial"/>
        </w:rPr>
        <w:t xml:space="preserve">La </w:t>
      </w:r>
      <w:r w:rsidRPr="00131EED">
        <w:rPr>
          <w:rFonts w:cs="Arial"/>
          <w:i/>
        </w:rPr>
        <w:t>promoción de tecnologías alternativas de abastecimiento</w:t>
      </w:r>
      <w:r w:rsidRPr="00131EED">
        <w:rPr>
          <w:rFonts w:cs="Arial"/>
        </w:rPr>
        <w:t xml:space="preserve"> e incentivar la implementación de sistemas de captación y tratamiento de agua de lluvia para lo cual el Ministerio de Ambiente y Desarrollo Sostenible definió los Lineamientos para Potencializar el Uso de Agua Lluvia disponibles en la página web </w:t>
      </w:r>
      <w:hyperlink r:id="rId212" w:history="1">
        <w:r w:rsidRPr="00131EED">
          <w:rPr>
            <w:rStyle w:val="Hyperlink"/>
            <w:rFonts w:cs="Arial"/>
          </w:rPr>
          <w:t>https://www.minambiente.gov.co/gestion-integral-del-recurso-hidrico/agua-lluvia/</w:t>
        </w:r>
      </w:hyperlink>
      <w:r w:rsidRPr="00131EED">
        <w:rPr>
          <w:rFonts w:cs="Arial"/>
        </w:rPr>
        <w:t xml:space="preserve">, son también posibles estrategias; así como el uso de fuentes no convencionales de agua. Establecer </w:t>
      </w:r>
      <w:r w:rsidRPr="00131EED">
        <w:rPr>
          <w:rFonts w:cs="Arial"/>
          <w:i/>
        </w:rPr>
        <w:t>programas de reúso de agua</w:t>
      </w:r>
      <w:r w:rsidRPr="00131EED">
        <w:rPr>
          <w:rFonts w:cs="Arial"/>
        </w:rPr>
        <w:t xml:space="preserve"> en sectores industriales, agrícolas y urbanos, así como la implementación de sistemas de tratamiento avanzado que permitan el reúso seguro del recurso, para lo cual se puede considerar la Resolución 1256 de 2021 por la cual se reglamenta el uso de las aguas residuales y se adoptan otras disposiciones. </w:t>
      </w:r>
    </w:p>
    <w:p w14:paraId="0AD9C3BA" w14:textId="77777777" w:rsidR="00CC5A4D" w:rsidRPr="00131EED" w:rsidRDefault="00CC5A4D" w:rsidP="00CC5A4D">
      <w:pPr>
        <w:rPr>
          <w:rFonts w:cs="Arial"/>
        </w:rPr>
      </w:pPr>
    </w:p>
    <w:p w14:paraId="5F367CC7" w14:textId="77777777" w:rsidR="00CC5A4D" w:rsidRPr="00131EED" w:rsidRDefault="63D9517D" w:rsidP="00CC5A4D">
      <w:pPr>
        <w:rPr>
          <w:rFonts w:eastAsia="Verdana" w:cs="Arial"/>
        </w:rPr>
      </w:pPr>
      <w:r w:rsidRPr="00131EED">
        <w:rPr>
          <w:rFonts w:cs="Arial"/>
        </w:rPr>
        <w:t xml:space="preserve">Otras estrategias se asocian con la </w:t>
      </w:r>
      <w:r w:rsidRPr="00131EED">
        <w:rPr>
          <w:rFonts w:cs="Arial"/>
          <w:i/>
        </w:rPr>
        <w:t xml:space="preserve">aplicación efectiva de instrumentos existentes para la gestión integrada del agua </w:t>
      </w:r>
      <w:r w:rsidRPr="00131EED">
        <w:rPr>
          <w:rFonts w:cs="Arial"/>
        </w:rPr>
        <w:t xml:space="preserve">que garanticen un uso equitativo y sostenible del recurso, así como la </w:t>
      </w:r>
      <w:r w:rsidRPr="00131EED">
        <w:rPr>
          <w:rFonts w:eastAsia="Verdana" w:cs="Arial"/>
        </w:rPr>
        <w:t xml:space="preserve">implementación de estos </w:t>
      </w:r>
      <w:r w:rsidRPr="00131EED">
        <w:rPr>
          <w:rFonts w:eastAsia="Verdana" w:cs="Arial"/>
          <w:i/>
        </w:rPr>
        <w:t>instrumentos de planificación, administración y gobernanza del agua</w:t>
      </w:r>
      <w:r w:rsidRPr="00131EED">
        <w:rPr>
          <w:rFonts w:eastAsia="Verdana" w:cs="Arial"/>
        </w:rPr>
        <w:t xml:space="preserve"> que permita reducir la vulnerabilidad al desabastecimiento</w:t>
      </w:r>
      <w:r w:rsidRPr="00131EED">
        <w:rPr>
          <w:rFonts w:cs="Arial"/>
        </w:rPr>
        <w:t xml:space="preserve">. Invertir en la rehabilitación y mantenimiento de la infraestructura hídrica para </w:t>
      </w:r>
      <w:r w:rsidRPr="00131EED">
        <w:rPr>
          <w:rFonts w:cs="Arial"/>
          <w:i/>
        </w:rPr>
        <w:t>reducir las pérdidas de agua por fugas y conexiones erradas</w:t>
      </w:r>
      <w:r w:rsidRPr="00131EED">
        <w:rPr>
          <w:rFonts w:cs="Arial"/>
        </w:rPr>
        <w:t xml:space="preserve">, así como para mejorar la distribución y almacenamiento del recurso. Implementar mecanismos de control para </w:t>
      </w:r>
      <w:r w:rsidRPr="00131EED">
        <w:rPr>
          <w:rFonts w:cs="Arial"/>
          <w:i/>
        </w:rPr>
        <w:t>prevenir las conexiones ilegales y fraudulentas</w:t>
      </w:r>
      <w:r w:rsidRPr="00131EED">
        <w:rPr>
          <w:rFonts w:cs="Arial"/>
        </w:rPr>
        <w:t xml:space="preserve">, así como campañas de sensibilización sobre la importancia de la legalidad en el acceso al agua y por supuesto la restauración ecológica de las áreas de importancia estratégica para la conservación del agua.  </w:t>
      </w:r>
    </w:p>
    <w:p w14:paraId="4F9014F6" w14:textId="77777777" w:rsidR="00CC5A4D" w:rsidRPr="00131EED" w:rsidRDefault="00CC5A4D" w:rsidP="00410194">
      <w:pPr>
        <w:pStyle w:val="Heading3"/>
        <w:numPr>
          <w:ilvl w:val="2"/>
          <w:numId w:val="31"/>
        </w:numPr>
      </w:pPr>
      <w:bookmarkStart w:id="447" w:name="_Toc216468758"/>
      <w:r w:rsidRPr="00131EED">
        <w:t>Transformación de ecosistemas clave en el ciclo y regulación del agua</w:t>
      </w:r>
      <w:bookmarkEnd w:id="447"/>
      <w:r w:rsidRPr="00131EED">
        <w:t xml:space="preserve"> </w:t>
      </w:r>
    </w:p>
    <w:p w14:paraId="65810086" w14:textId="77777777" w:rsidR="00CC5A4D" w:rsidRPr="00131EED" w:rsidRDefault="00CC5A4D" w:rsidP="00CC5A4D">
      <w:pPr>
        <w:rPr>
          <w:rFonts w:ascii="Baskerville" w:hAnsi="Baskerville" w:cs="Arial"/>
        </w:rPr>
      </w:pPr>
    </w:p>
    <w:p w14:paraId="20FE08BF" w14:textId="4C9DED5F" w:rsidR="00CC5A4D" w:rsidRPr="00131EED" w:rsidRDefault="00CC5A4D" w:rsidP="00CC5A4D">
      <w:pPr>
        <w:rPr>
          <w:rFonts w:eastAsia="Verdana" w:cs="Arial"/>
        </w:rPr>
      </w:pPr>
      <w:r w:rsidRPr="00131EED">
        <w:rPr>
          <w:rFonts w:eastAsia="Verdana" w:cs="Arial"/>
        </w:rPr>
        <w:t>Además de la alteración del régimen hidrológico por el desarrollo y operación de obras hidráulicas para el abastecimiento hídrico, los procesos de transformación histórica de los ecosistemas</w:t>
      </w:r>
      <w:r w:rsidRPr="00131EED">
        <w:rPr>
          <w:rFonts w:eastAsia="Verdana" w:cs="Arial"/>
          <w:b/>
        </w:rPr>
        <w:t xml:space="preserve"> </w:t>
      </w:r>
      <w:r w:rsidRPr="00131EED">
        <w:rPr>
          <w:rFonts w:eastAsia="Verdana" w:cs="Arial"/>
        </w:rPr>
        <w:t xml:space="preserve">de la Región Sabana, han intervenido otros ecosistemas clave </w:t>
      </w:r>
      <w:sdt>
        <w:sdtPr>
          <w:rPr>
            <w:rFonts w:eastAsia="Verdana" w:cs="Arial"/>
          </w:rPr>
          <w:id w:val="-524473726"/>
          <w:citation/>
        </w:sdtPr>
        <w:sdtEndPr/>
        <w:sdtContent>
          <w:r w:rsidRPr="00131EED">
            <w:rPr>
              <w:rFonts w:eastAsia="Verdana" w:cs="Arial"/>
            </w:rPr>
            <w:fldChar w:fldCharType="begin"/>
          </w:r>
          <w:r w:rsidRPr="00131EED">
            <w:rPr>
              <w:rFonts w:eastAsia="Verdana" w:cs="Arial"/>
            </w:rPr>
            <w:instrText xml:space="preserve"> CITATION MAV10 \l 3082 </w:instrText>
          </w:r>
          <w:r w:rsidRPr="00131EED">
            <w:rPr>
              <w:rFonts w:eastAsia="Verdana" w:cs="Arial"/>
            </w:rPr>
            <w:fldChar w:fldCharType="separate"/>
          </w:r>
          <w:r w:rsidRPr="00131EED">
            <w:rPr>
              <w:rFonts w:eastAsia="Verdana" w:cs="Arial"/>
            </w:rPr>
            <w:t>(MAVDT, 2010)</w:t>
          </w:r>
          <w:r w:rsidRPr="00131EED">
            <w:rPr>
              <w:rFonts w:eastAsia="Verdana" w:cs="Arial"/>
            </w:rPr>
            <w:fldChar w:fldCharType="end"/>
          </w:r>
        </w:sdtContent>
      </w:sdt>
      <w:r w:rsidRPr="00131EED">
        <w:rPr>
          <w:rFonts w:eastAsia="Verdana" w:cs="Arial"/>
        </w:rPr>
        <w:t xml:space="preserve"> que juegan un papel fundamental en la regulación de la oferta hídrica y el ciclo hidrológico (humedales, acuíferos, páramos, ríos, quebradas, sus zonas de ronda, franjas forestales protectoras, nacimientos de agua, zonas de recarga de acuíferos, entre otros). De manera general, estos ecosistemas clave, favorecen la evaporación y evapotranspiración, contribuyen a las condiciones atmosféricas que influyen en los patrones de precipitación, y están directamente relacionados con la infiltración y la escorrentía, las cuales son etapas críticas del ciclo del agua.</w:t>
      </w:r>
    </w:p>
    <w:p w14:paraId="4CA248B9" w14:textId="77777777" w:rsidR="00CC5A4D" w:rsidRPr="00131EED" w:rsidRDefault="00CC5A4D" w:rsidP="00CC5A4D">
      <w:pPr>
        <w:rPr>
          <w:rFonts w:eastAsia="Verdana" w:cs="Arial"/>
        </w:rPr>
      </w:pPr>
    </w:p>
    <w:p w14:paraId="08CCCA09" w14:textId="7C398968" w:rsidR="00CC5A4D" w:rsidRPr="00131EED" w:rsidRDefault="00CC5A4D" w:rsidP="00CC5A4D">
      <w:pPr>
        <w:rPr>
          <w:rFonts w:eastAsia="Verdana" w:cs="Arial"/>
        </w:rPr>
      </w:pPr>
      <w:r w:rsidRPr="00131EED">
        <w:rPr>
          <w:rFonts w:eastAsia="Verdana" w:cs="Arial"/>
        </w:rPr>
        <w:t xml:space="preserve">Aunado a los procesos de transformación de estos ecosistemas, el efecto del aumento de temperatura sobre los ecosistemas de páramo que son y serán las fuentes principales de agua, puede significar la disminución de su tamaño, e incluso su virtual desaparición, con la consecuente disminución de los servicios esenciales de generación, regulación y conservación del agua que prestan. Además, el cambio climático implicará, como lo indican los escenarios construidos para analizar sus efectos, alteraciones en las cantidades y patrones de precipitación haciéndolos más extremos, lo que puede afectar la oferta de agua y la forma de gestionarla </w:t>
      </w:r>
      <w:sdt>
        <w:sdtPr>
          <w:rPr>
            <w:rFonts w:eastAsia="Verdana" w:cs="Arial"/>
          </w:rPr>
          <w:id w:val="-2026394987"/>
          <w:citation/>
        </w:sdtPr>
        <w:sdtEndPr/>
        <w:sdtContent>
          <w:r w:rsidRPr="00131EED">
            <w:rPr>
              <w:rFonts w:eastAsia="Verdana" w:cs="Arial"/>
            </w:rPr>
            <w:fldChar w:fldCharType="begin"/>
          </w:r>
          <w:r w:rsidRPr="00131EED">
            <w:rPr>
              <w:rFonts w:eastAsia="Verdana" w:cs="Arial"/>
            </w:rPr>
            <w:instrText xml:space="preserve"> CITATION Guh13 \l 3082 </w:instrText>
          </w:r>
          <w:r w:rsidRPr="00131EED">
            <w:rPr>
              <w:rFonts w:eastAsia="Verdana" w:cs="Arial"/>
            </w:rPr>
            <w:fldChar w:fldCharType="separate"/>
          </w:r>
          <w:r w:rsidRPr="00131EED">
            <w:rPr>
              <w:rFonts w:eastAsia="Verdana" w:cs="Arial"/>
            </w:rPr>
            <w:t>(Guhl, 2013)</w:t>
          </w:r>
          <w:r w:rsidRPr="00131EED">
            <w:rPr>
              <w:rFonts w:eastAsia="Verdana" w:cs="Arial"/>
            </w:rPr>
            <w:fldChar w:fldCharType="end"/>
          </w:r>
        </w:sdtContent>
      </w:sdt>
      <w:r w:rsidRPr="00131EED">
        <w:rPr>
          <w:rFonts w:eastAsia="Verdana" w:cs="Arial"/>
        </w:rPr>
        <w:t>.</w:t>
      </w:r>
    </w:p>
    <w:p w14:paraId="336F732B" w14:textId="77777777" w:rsidR="00CC5A4D" w:rsidRPr="00131EED" w:rsidRDefault="00CC5A4D" w:rsidP="00CC5A4D">
      <w:pPr>
        <w:rPr>
          <w:rFonts w:eastAsia="Verdana" w:cs="Arial"/>
        </w:rPr>
      </w:pPr>
    </w:p>
    <w:p w14:paraId="55A1FF6D" w14:textId="77777777" w:rsidR="00CC5A4D" w:rsidRPr="00131EED" w:rsidRDefault="00CC5A4D" w:rsidP="00CC5A4D">
      <w:pPr>
        <w:rPr>
          <w:rFonts w:eastAsia="Verdana" w:cs="Arial"/>
        </w:rPr>
      </w:pPr>
      <w:r w:rsidRPr="00131EED">
        <w:rPr>
          <w:rFonts w:eastAsia="Verdana" w:cs="Arial"/>
        </w:rPr>
        <w:t xml:space="preserve">Estos procesos de trasformación de ecosistemas y sus implicaciones en la sostenibilidad de la disponibilidad del agua para garantizar los servicios ecosistémicos, se ve manifiesta y acrecentada por la condición relictual de muchos cuerpos lénticos naturales aún presentes en la región sabana, donde los estudios de los Planes de Ordenación y Manejo de Cuencas Hidrográficas (POMCA) identifican alrededor 1470 ecosistemas de humedal, representados en lagunas, pantanos y otros tipos de humedal, muchos de los cuales han perdido la conectividad y función ecosistémica de regulación, especialmente frente a la disponibilidad hídrica y la moderación de fenómenos amenazantes como es el caso de las inundaciones, avenidas torrenciales y sequías (principales riesgos asociados al comportamiento del agua en el territorio). </w:t>
      </w:r>
    </w:p>
    <w:p w14:paraId="42D0EB63" w14:textId="77777777" w:rsidR="00CC5A4D" w:rsidRPr="00131EED" w:rsidRDefault="00CC5A4D" w:rsidP="00CC5A4D">
      <w:pPr>
        <w:rPr>
          <w:rFonts w:eastAsia="Verdana" w:cs="Arial"/>
        </w:rPr>
      </w:pPr>
    </w:p>
    <w:p w14:paraId="63E3194B" w14:textId="55B1AC17" w:rsidR="00CC5A4D" w:rsidRPr="00131EED" w:rsidRDefault="00CC5A4D" w:rsidP="00CC5A4D">
      <w:pPr>
        <w:rPr>
          <w:rFonts w:eastAsia="Verdana" w:cs="Arial"/>
        </w:rPr>
      </w:pPr>
      <w:r w:rsidRPr="00131EED">
        <w:rPr>
          <w:rFonts w:eastAsia="Verdana" w:cs="Arial"/>
        </w:rPr>
        <w:t xml:space="preserve">En efecto, los humedales han formado parte de la Sabana de Bogotá hace miles de años y son el resultado de la desecación paulatina del antiguo lago que cubrió el territorio. Se calcula que de las 150.000 ha que cubrían los humedales en la Sabana, hasta el año 1940, hoy sólo quedan, aproximadamente, 1.500 has, producto de graves alteraciones, principalmente antrópicas, entre las que se destacan la urbanización, la actividad agrícola de alto impacto, como la floricultura, la siembra de papa, el establecimiento de ganadería y las actividades industriales </w:t>
      </w:r>
      <w:sdt>
        <w:sdtPr>
          <w:rPr>
            <w:rFonts w:eastAsia="Verdana" w:cs="Arial"/>
          </w:rPr>
          <w:id w:val="1795405062"/>
          <w:citation/>
        </w:sdtPr>
        <w:sdtEndPr/>
        <w:sdtContent>
          <w:r w:rsidRPr="00131EED">
            <w:rPr>
              <w:rFonts w:eastAsia="Verdana" w:cs="Arial"/>
            </w:rPr>
            <w:fldChar w:fldCharType="begin"/>
          </w:r>
          <w:r w:rsidRPr="00131EED">
            <w:rPr>
              <w:rFonts w:eastAsia="Verdana" w:cs="Arial"/>
            </w:rPr>
            <w:instrText xml:space="preserve">CITATION Mor22 \l 3082 </w:instrText>
          </w:r>
          <w:r w:rsidRPr="00131EED">
            <w:rPr>
              <w:rFonts w:eastAsia="Verdana" w:cs="Arial"/>
            </w:rPr>
            <w:fldChar w:fldCharType="separate"/>
          </w:r>
          <w:r w:rsidRPr="00131EED">
            <w:rPr>
              <w:rFonts w:eastAsia="Verdana" w:cs="Arial"/>
            </w:rPr>
            <w:t>(Moreno et al , 2022)</w:t>
          </w:r>
          <w:r w:rsidRPr="00131EED">
            <w:rPr>
              <w:rFonts w:eastAsia="Verdana" w:cs="Arial"/>
            </w:rPr>
            <w:fldChar w:fldCharType="end"/>
          </w:r>
        </w:sdtContent>
      </w:sdt>
      <w:r w:rsidRPr="00131EED">
        <w:rPr>
          <w:rFonts w:eastAsia="Verdana" w:cs="Arial"/>
        </w:rPr>
        <w:t xml:space="preserve">. Igualmente, la Corporación Autónoma Regional de Cundinamarca (CAR) Cundinamarca indica que los principales problemas de los humedales están relacionados con actividades como ganadería, agricultura, floricultura, industria y urbanización y generan problemas como contaminación hídrica, invasión de la ronda, desecamiento y disminución del vaso del humedal, entre otros </w:t>
      </w:r>
      <w:sdt>
        <w:sdtPr>
          <w:rPr>
            <w:rFonts w:eastAsia="Verdana" w:cs="Arial"/>
          </w:rPr>
          <w:id w:val="-1224134286"/>
          <w:citation/>
        </w:sdtPr>
        <w:sdtEndPr/>
        <w:sdtContent>
          <w:r w:rsidRPr="00131EED">
            <w:rPr>
              <w:rFonts w:eastAsia="Verdana" w:cs="Arial"/>
            </w:rPr>
            <w:fldChar w:fldCharType="begin"/>
          </w:r>
          <w:r w:rsidRPr="00131EED">
            <w:rPr>
              <w:rFonts w:eastAsia="Verdana" w:cs="Arial"/>
            </w:rPr>
            <w:instrText xml:space="preserve">CITATION CAR19 \t  \l 3082 </w:instrText>
          </w:r>
          <w:r w:rsidRPr="00131EED">
            <w:rPr>
              <w:rFonts w:eastAsia="Verdana" w:cs="Arial"/>
            </w:rPr>
            <w:fldChar w:fldCharType="separate"/>
          </w:r>
          <w:r w:rsidRPr="00131EED">
            <w:rPr>
              <w:rFonts w:eastAsia="Verdana" w:cs="Arial"/>
            </w:rPr>
            <w:t>(CAR C. A., 2019)</w:t>
          </w:r>
          <w:r w:rsidRPr="00131EED">
            <w:rPr>
              <w:rFonts w:eastAsia="Verdana" w:cs="Arial"/>
            </w:rPr>
            <w:fldChar w:fldCharType="end"/>
          </w:r>
        </w:sdtContent>
      </w:sdt>
      <w:r w:rsidRPr="00131EED">
        <w:rPr>
          <w:rFonts w:eastAsia="Verdana" w:cs="Arial"/>
        </w:rPr>
        <w:t xml:space="preserve">. </w:t>
      </w:r>
    </w:p>
    <w:p w14:paraId="453D2B4F" w14:textId="5FB6697B" w:rsidR="00CC5A4D" w:rsidRPr="00131EED" w:rsidRDefault="00CC5A4D" w:rsidP="00CC5A4D">
      <w:pPr>
        <w:rPr>
          <w:rFonts w:ascii="Baskerville" w:eastAsia="Verdana" w:hAnsi="Baskerville" w:cs="Arial"/>
        </w:rPr>
      </w:pPr>
    </w:p>
    <w:p w14:paraId="7ED0B76A" w14:textId="16A28DE5" w:rsidR="00D873B5" w:rsidRPr="00131EED" w:rsidRDefault="00D873B5" w:rsidP="00D873B5">
      <w:pPr>
        <w:pStyle w:val="Caption"/>
      </w:pPr>
      <w:bookmarkStart w:id="448" w:name="_Toc162338942"/>
    </w:p>
    <w:p w14:paraId="5696EF67" w14:textId="054470B3" w:rsidR="00D873B5" w:rsidRPr="00131EED" w:rsidRDefault="00D873B5" w:rsidP="00D873B5">
      <w:pPr>
        <w:pStyle w:val="Caption"/>
      </w:pPr>
    </w:p>
    <w:p w14:paraId="01C63137" w14:textId="70EEAB12" w:rsidR="00D873B5" w:rsidRPr="00131EED" w:rsidRDefault="00D873B5" w:rsidP="00D873B5">
      <w:pPr>
        <w:pStyle w:val="Caption"/>
      </w:pPr>
    </w:p>
    <w:p w14:paraId="65FE4780" w14:textId="67256FE7" w:rsidR="00D873B5" w:rsidRPr="00131EED" w:rsidRDefault="00D873B5" w:rsidP="00D873B5">
      <w:pPr>
        <w:pStyle w:val="Caption"/>
      </w:pPr>
    </w:p>
    <w:p w14:paraId="3E92A201" w14:textId="3EA66617" w:rsidR="00D873B5" w:rsidRPr="00131EED" w:rsidRDefault="00D873B5" w:rsidP="00D873B5">
      <w:pPr>
        <w:pStyle w:val="Caption"/>
      </w:pPr>
    </w:p>
    <w:p w14:paraId="2AD27F80" w14:textId="0835C386" w:rsidR="00D873B5" w:rsidRPr="00131EED" w:rsidRDefault="00D873B5" w:rsidP="00D873B5">
      <w:pPr>
        <w:pStyle w:val="Caption"/>
      </w:pPr>
    </w:p>
    <w:p w14:paraId="2F3C81D9" w14:textId="0B8F5D14" w:rsidR="00D873B5" w:rsidRPr="00131EED" w:rsidRDefault="00D873B5" w:rsidP="00D873B5">
      <w:pPr>
        <w:pStyle w:val="Caption"/>
      </w:pPr>
    </w:p>
    <w:p w14:paraId="5602F199" w14:textId="77777777" w:rsidR="00E7556C" w:rsidRPr="00131EED" w:rsidRDefault="00E7556C">
      <w:pPr>
        <w:spacing w:after="200" w:line="276" w:lineRule="auto"/>
        <w:jc w:val="left"/>
        <w:rPr>
          <w:rFonts w:ascii="Arial" w:eastAsia="Calibri" w:hAnsi="Arial" w:cs="Arial"/>
          <w:i/>
          <w:iCs/>
          <w:color w:val="44546A"/>
          <w:sz w:val="18"/>
          <w:szCs w:val="18"/>
          <w:lang w:eastAsia="en-US"/>
        </w:rPr>
      </w:pPr>
      <w:r w:rsidRPr="00131EED">
        <w:br w:type="page"/>
      </w:r>
    </w:p>
    <w:p w14:paraId="56B35203" w14:textId="03D4BC24" w:rsidR="00CC5A4D" w:rsidRPr="00131EED" w:rsidRDefault="00D873B5" w:rsidP="00D873B5">
      <w:pPr>
        <w:pStyle w:val="Caption"/>
        <w:jc w:val="center"/>
      </w:pPr>
      <w:bookmarkStart w:id="449" w:name="_Toc216468895"/>
      <w:r w:rsidRPr="00131EED">
        <w:t xml:space="preserve">Ilustración </w:t>
      </w:r>
      <w:r w:rsidRPr="00131EED">
        <w:fldChar w:fldCharType="begin"/>
      </w:r>
      <w:r w:rsidRPr="00131EED">
        <w:instrText>SEQ Ilustración \* ARABIC</w:instrText>
      </w:r>
      <w:r w:rsidRPr="00131EED">
        <w:fldChar w:fldCharType="separate"/>
      </w:r>
      <w:r w:rsidR="00CE096F">
        <w:rPr>
          <w:noProof/>
        </w:rPr>
        <w:t>130</w:t>
      </w:r>
      <w:r w:rsidRPr="00131EED">
        <w:fldChar w:fldCharType="end"/>
      </w:r>
      <w:r w:rsidRPr="00131EED">
        <w:t xml:space="preserve">  </w:t>
      </w:r>
      <w:r w:rsidR="00CC5A4D" w:rsidRPr="00131EED">
        <w:t>Índice de vegetación remanente región Sabana de Bogotá</w:t>
      </w:r>
      <w:bookmarkEnd w:id="448"/>
      <w:bookmarkEnd w:id="449"/>
    </w:p>
    <w:p w14:paraId="385E0E8A" w14:textId="59BBAD25" w:rsidR="00CC5A4D" w:rsidRPr="00131EED" w:rsidRDefault="001D6128" w:rsidP="006845C5">
      <w:pPr>
        <w:pStyle w:val="NormalWeb"/>
        <w:spacing w:before="0" w:beforeAutospacing="0" w:after="0" w:afterAutospacing="0"/>
        <w:jc w:val="center"/>
        <w:rPr>
          <w:rFonts w:ascii="Times New Roman" w:eastAsia="Verdana" w:hAnsi="Times New Roman" w:cs="Times New Roman"/>
        </w:rPr>
      </w:pPr>
      <w:r w:rsidRPr="00131EED">
        <w:rPr>
          <w:rFonts w:ascii="Times New Roman" w:hAnsi="Times New Roman" w:cs="Times New Roman"/>
          <w:noProof/>
          <w:lang w:eastAsia="en-US"/>
        </w:rPr>
        <w:drawing>
          <wp:inline distT="0" distB="0" distL="0" distR="0" wp14:anchorId="773FDB32" wp14:editId="7D2FCB1B">
            <wp:extent cx="3179771" cy="4114850"/>
            <wp:effectExtent l="0" t="0" r="190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3181444" cy="4117015"/>
                    </a:xfrm>
                    <a:prstGeom prst="rect">
                      <a:avLst/>
                    </a:prstGeom>
                    <a:noFill/>
                    <a:ln>
                      <a:noFill/>
                    </a:ln>
                  </pic:spPr>
                </pic:pic>
              </a:graphicData>
            </a:graphic>
          </wp:inline>
        </w:drawing>
      </w:r>
    </w:p>
    <w:p w14:paraId="0B60889F" w14:textId="2F337CFB" w:rsidR="00CC5A4D" w:rsidRPr="00131EED" w:rsidRDefault="00CC5A4D" w:rsidP="00CC5A4D">
      <w:pPr>
        <w:pStyle w:val="Caption"/>
        <w:spacing w:after="0"/>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 xml:space="preserve">Fuente:  </w:t>
      </w:r>
      <w:r w:rsidR="00596ABB" w:rsidRPr="00131EED">
        <w:rPr>
          <w:rFonts w:ascii="Baskerville Old Face" w:hAnsi="Baskerville Old Face"/>
          <w:i w:val="0"/>
          <w:color w:val="auto"/>
          <w:sz w:val="20"/>
          <w:szCs w:val="20"/>
        </w:rPr>
        <w:t>adaptado por los autores con base en el POMCA del río Bogotá</w:t>
      </w:r>
      <w:r w:rsidR="00596ABB" w:rsidRPr="00131EED" w:rsidDel="00596ABB">
        <w:rPr>
          <w:rFonts w:ascii="Baskerville Old Face" w:hAnsi="Baskerville Old Face"/>
          <w:i w:val="0"/>
          <w:color w:val="auto"/>
          <w:sz w:val="20"/>
          <w:szCs w:val="20"/>
        </w:rPr>
        <w:t xml:space="preserve"> </w:t>
      </w:r>
    </w:p>
    <w:p w14:paraId="1165EFFD" w14:textId="77777777" w:rsidR="00CC5A4D" w:rsidRPr="00131EED" w:rsidRDefault="00CC5A4D" w:rsidP="00CC5A4D">
      <w:pPr>
        <w:rPr>
          <w:rFonts w:ascii="Baskerville" w:eastAsia="Verdana" w:hAnsi="Baskerville" w:cs="Arial"/>
          <w:sz w:val="20"/>
          <w:szCs w:val="20"/>
        </w:rPr>
      </w:pPr>
    </w:p>
    <w:p w14:paraId="0EB4878B" w14:textId="77777777" w:rsidR="00CC5A4D" w:rsidRPr="00131EED" w:rsidRDefault="00CC5A4D" w:rsidP="00CC5A4D">
      <w:pPr>
        <w:rPr>
          <w:rFonts w:eastAsia="Verdana" w:cs="Arial"/>
        </w:rPr>
      </w:pPr>
      <w:r w:rsidRPr="00131EED">
        <w:rPr>
          <w:rFonts w:eastAsia="Verdana" w:cs="Arial"/>
        </w:rPr>
        <w:t>De otra parte, conforme los análisis situacionales adelantados por los POMCA que confluyen en la Región Sabana, aún persisten procesos de deforestación generalizada en las cuencas, ocasionado la pérdida de hábitat y biodiversidad por fragmentación de áreas y ecosistemas naturales. La expansión de nuevas áreas destinadas a actividades de agricultura y ganadería han transformado el paisaje, reduciendo las áreas boscosas en sistemas de pastoreo y cultivos, colocando en riesgo el desarrollo adecuado de los diferentes ecosistemas de la cuenca, repercutiendo en la pérdida de especies silvestres de alto valor biológico y ecológico. Conforme los estudios adelantados por estos instrumentos sobre las coberturas naturales de la tierra que confluyen en la Región Sabana, se evidencian 314.192 hectáreas con indicador de vegetación remanente entre completamente transformado y muy transformado.</w:t>
      </w:r>
    </w:p>
    <w:p w14:paraId="3EC08FAD" w14:textId="77777777" w:rsidR="00CC5A4D" w:rsidRPr="00131EED" w:rsidRDefault="00CC5A4D" w:rsidP="00CC5A4D">
      <w:pPr>
        <w:rPr>
          <w:rFonts w:eastAsia="Verdana" w:cs="Arial"/>
        </w:rPr>
      </w:pPr>
    </w:p>
    <w:p w14:paraId="7C54B1D1" w14:textId="77777777" w:rsidR="00CC5A4D" w:rsidRPr="00131EED" w:rsidRDefault="00CC5A4D" w:rsidP="00CC5A4D">
      <w:pPr>
        <w:rPr>
          <w:rFonts w:eastAsia="Verdana" w:cs="Arial"/>
        </w:rPr>
      </w:pPr>
      <w:r w:rsidRPr="00131EED">
        <w:rPr>
          <w:rFonts w:eastAsia="Verdana" w:cs="Arial"/>
        </w:rPr>
        <w:t xml:space="preserve">Igualmente, la espacialización de los resultados de los análisis de fragmentación de las diferentes coberturas naturales adelantadas por los POMCA, permite apreciar que en la Región Sabana de Bogotá existe una fragmentación entre extrema y fuerte sobre 182.392 hectáreas (33% del total de la Región), especialmente concentrada en la parte central de la cuenca del río Bogotá (municipios de Madrid y Funza). </w:t>
      </w:r>
    </w:p>
    <w:p w14:paraId="58369430" w14:textId="77777777" w:rsidR="00CC5A4D" w:rsidRPr="00131EED" w:rsidRDefault="00CC5A4D" w:rsidP="00CC5A4D">
      <w:pPr>
        <w:rPr>
          <w:rFonts w:eastAsia="Verdana" w:cs="Arial"/>
        </w:rPr>
      </w:pPr>
    </w:p>
    <w:p w14:paraId="66AC569E" w14:textId="30DB114A" w:rsidR="00CC5A4D" w:rsidRPr="00131EED" w:rsidRDefault="00CC5A4D" w:rsidP="00CC5A4D">
      <w:pPr>
        <w:rPr>
          <w:rFonts w:eastAsia="Verdana" w:cs="Arial"/>
        </w:rPr>
      </w:pPr>
      <w:r w:rsidRPr="00131EED">
        <w:rPr>
          <w:rFonts w:eastAsia="Verdana" w:cs="Arial"/>
        </w:rPr>
        <w:t>Esta fragmentación de coberturas naturales puede estar dada por el proceso de conurbación que se evidencia entre los municipios de Madrid y Funza con Bogotá, lo que hace que la cobertura vegetal natural se vea fraccionada por proyectos de vivienda y de cualquier otro tipo de infraestructura que demandan dichos municipios para satisfacer con las necesidades de la población de estas zonas. Por otro lado, se aprecia que la mayor área de la región presenta una fragmentación moderada con una ocupación del espacio geográfico de alrededor del 49%, tal como se puede observar en el siguiente mapa.</w:t>
      </w:r>
    </w:p>
    <w:p w14:paraId="7C83CB87" w14:textId="77777777" w:rsidR="00CC5A4D" w:rsidRPr="00131EED" w:rsidRDefault="00CC5A4D" w:rsidP="00CC5A4D">
      <w:pPr>
        <w:pStyle w:val="Caption"/>
        <w:spacing w:after="0"/>
        <w:jc w:val="center"/>
        <w:rPr>
          <w:rFonts w:ascii="Baskerville" w:hAnsi="Baskerville"/>
          <w:i w:val="0"/>
          <w:color w:val="auto"/>
        </w:rPr>
      </w:pPr>
      <w:bookmarkStart w:id="450" w:name="_Ref161903715"/>
      <w:bookmarkStart w:id="451" w:name="_Toc162338943"/>
    </w:p>
    <w:p w14:paraId="6723FBF7" w14:textId="63B8FA35" w:rsidR="00CC5A4D" w:rsidRPr="00131EED" w:rsidRDefault="00D873B5" w:rsidP="00D873B5">
      <w:pPr>
        <w:pStyle w:val="Caption"/>
        <w:jc w:val="center"/>
      </w:pPr>
      <w:bookmarkStart w:id="452" w:name="_Toc216468896"/>
      <w:bookmarkEnd w:id="450"/>
      <w:r w:rsidRPr="00131EED">
        <w:t xml:space="preserve">Ilustración </w:t>
      </w:r>
      <w:r w:rsidRPr="00131EED">
        <w:fldChar w:fldCharType="begin"/>
      </w:r>
      <w:r w:rsidRPr="00131EED">
        <w:instrText>SEQ Ilustración \* ARABIC</w:instrText>
      </w:r>
      <w:r w:rsidRPr="00131EED">
        <w:fldChar w:fldCharType="separate"/>
      </w:r>
      <w:r w:rsidR="00CE096F">
        <w:rPr>
          <w:noProof/>
        </w:rPr>
        <w:t>131</w:t>
      </w:r>
      <w:r w:rsidRPr="00131EED">
        <w:fldChar w:fldCharType="end"/>
      </w:r>
      <w:r w:rsidRPr="00131EED">
        <w:t xml:space="preserve"> </w:t>
      </w:r>
      <w:r w:rsidR="00CC5A4D" w:rsidRPr="00131EED">
        <w:t>Índice de fragmentación región Sabana de Bogotá</w:t>
      </w:r>
      <w:bookmarkEnd w:id="451"/>
      <w:bookmarkEnd w:id="452"/>
    </w:p>
    <w:p w14:paraId="3E80FA96" w14:textId="1644F0C8" w:rsidR="007B6B9C" w:rsidRPr="00131EED" w:rsidRDefault="007B6B9C" w:rsidP="006845C5">
      <w:pPr>
        <w:pStyle w:val="NormalWeb"/>
        <w:spacing w:before="0" w:beforeAutospacing="0" w:after="0" w:afterAutospacing="0"/>
        <w:jc w:val="center"/>
        <w:rPr>
          <w:rFonts w:ascii="Times New Roman" w:hAnsi="Times New Roman" w:cs="Times New Roman"/>
        </w:rPr>
      </w:pPr>
      <w:r w:rsidRPr="00131EED">
        <w:rPr>
          <w:noProof/>
          <w:lang w:eastAsia="en-US"/>
        </w:rPr>
        <w:drawing>
          <wp:inline distT="0" distB="0" distL="0" distR="0" wp14:anchorId="669881E8" wp14:editId="2402F795">
            <wp:extent cx="3048000" cy="3944328"/>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3051489" cy="3948842"/>
                    </a:xfrm>
                    <a:prstGeom prst="rect">
                      <a:avLst/>
                    </a:prstGeom>
                    <a:noFill/>
                    <a:ln>
                      <a:noFill/>
                    </a:ln>
                  </pic:spPr>
                </pic:pic>
              </a:graphicData>
            </a:graphic>
          </wp:inline>
        </w:drawing>
      </w:r>
    </w:p>
    <w:p w14:paraId="392ECE91" w14:textId="696B952E" w:rsidR="00CC5A4D" w:rsidRPr="00131EED" w:rsidRDefault="00CC5A4D" w:rsidP="00CC5A4D">
      <w:pPr>
        <w:pStyle w:val="Caption"/>
        <w:spacing w:after="0"/>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 xml:space="preserve">Fuente:  adaptado por los autores con base </w:t>
      </w:r>
      <w:r w:rsidR="00596ABB" w:rsidRPr="00131EED">
        <w:rPr>
          <w:rFonts w:ascii="Baskerville Old Face" w:hAnsi="Baskerville Old Face"/>
          <w:i w:val="0"/>
          <w:color w:val="auto"/>
          <w:sz w:val="20"/>
          <w:szCs w:val="20"/>
        </w:rPr>
        <w:t>en el POMCA del río Bogotá</w:t>
      </w:r>
    </w:p>
    <w:p w14:paraId="53B75F46" w14:textId="77777777" w:rsidR="00CC5A4D" w:rsidRPr="00131EED" w:rsidRDefault="00CC5A4D" w:rsidP="00CC5A4D"/>
    <w:p w14:paraId="3CCEEF06" w14:textId="77777777" w:rsidR="00CC5A4D" w:rsidRPr="00131EED" w:rsidRDefault="00CC5A4D" w:rsidP="00CC5A4D">
      <w:pPr>
        <w:rPr>
          <w:rFonts w:eastAsia="Verdana" w:cs="Arial"/>
        </w:rPr>
      </w:pPr>
      <w:r w:rsidRPr="00131EED">
        <w:rPr>
          <w:rFonts w:eastAsia="Verdana" w:cs="Arial"/>
        </w:rPr>
        <w:t xml:space="preserve">Se evidencia además que el uso del suelo se ha transformado en un ambiente para campos de sembradío, pasturas y asentamientos humanos, estos cambios se han venido presentando en las partes altas y medias de las cuencas y subcuencas, lo que representa una modificación del medio ambiente natural para ésta y los subsecuentes conflictos por el uso de las diferentes coberturas, haciendo que se reduzca la biodiversidad y las áreas de protección y conservación de importancia ambiental de páramos y humedales por la expansión de la frontera agropecuaria principalmente. Conforme los estudios adelantados por los POMCA involucrados en la Región Sabana, persisten 44.048 hectáreas con conflictos del uso del suelo por sobreutilización moderada y severa, tal como se indica en </w:t>
      </w:r>
      <w:bookmarkStart w:id="453" w:name="_Ref161903842"/>
      <w:bookmarkStart w:id="454" w:name="_Toc162338944"/>
      <w:r w:rsidRPr="00131EED">
        <w:rPr>
          <w:rFonts w:eastAsia="Verdana" w:cs="Arial"/>
        </w:rPr>
        <w:t xml:space="preserve">a continuación. </w:t>
      </w:r>
    </w:p>
    <w:p w14:paraId="69B496EA" w14:textId="77777777" w:rsidR="00CC5A4D" w:rsidRPr="00131EED" w:rsidRDefault="00CC5A4D" w:rsidP="00CC5A4D">
      <w:pPr>
        <w:rPr>
          <w:rFonts w:ascii="Baskerville" w:hAnsi="Baskerville"/>
          <w:i/>
        </w:rPr>
      </w:pPr>
    </w:p>
    <w:p w14:paraId="500E71C3" w14:textId="73EC8A1C" w:rsidR="00CC5A4D" w:rsidRPr="00131EED" w:rsidRDefault="00D873B5" w:rsidP="00D873B5">
      <w:pPr>
        <w:pStyle w:val="Caption"/>
        <w:jc w:val="center"/>
      </w:pPr>
      <w:bookmarkStart w:id="455" w:name="_Toc216468897"/>
      <w:bookmarkEnd w:id="453"/>
      <w:r w:rsidRPr="00131EED">
        <w:t xml:space="preserve">Ilustración </w:t>
      </w:r>
      <w:r w:rsidRPr="00131EED">
        <w:fldChar w:fldCharType="begin"/>
      </w:r>
      <w:r w:rsidRPr="00131EED">
        <w:instrText>SEQ Ilustración \* ARABIC</w:instrText>
      </w:r>
      <w:r w:rsidRPr="00131EED">
        <w:fldChar w:fldCharType="separate"/>
      </w:r>
      <w:r w:rsidR="00CE096F">
        <w:rPr>
          <w:noProof/>
        </w:rPr>
        <w:t>132</w:t>
      </w:r>
      <w:r w:rsidRPr="00131EED">
        <w:fldChar w:fldCharType="end"/>
      </w:r>
      <w:r w:rsidRPr="00131EED">
        <w:t xml:space="preserve"> </w:t>
      </w:r>
      <w:r w:rsidR="00CC5A4D" w:rsidRPr="00131EED">
        <w:t>Conflicto por uso del suelo región Sabana de Bogotá</w:t>
      </w:r>
      <w:bookmarkEnd w:id="454"/>
      <w:bookmarkEnd w:id="455"/>
    </w:p>
    <w:p w14:paraId="173FD1BD" w14:textId="433AE0A1" w:rsidR="00EF3E0F" w:rsidRPr="00131EED" w:rsidRDefault="00EF3E0F" w:rsidP="006845C5">
      <w:pPr>
        <w:pStyle w:val="NormalWeb"/>
        <w:spacing w:before="0" w:beforeAutospacing="0" w:after="0" w:afterAutospacing="0"/>
        <w:jc w:val="center"/>
        <w:rPr>
          <w:rFonts w:ascii="Times New Roman" w:hAnsi="Times New Roman" w:cs="Times New Roman"/>
        </w:rPr>
      </w:pPr>
      <w:r w:rsidRPr="00131EED">
        <w:rPr>
          <w:noProof/>
          <w:lang w:eastAsia="en-US"/>
        </w:rPr>
        <w:drawing>
          <wp:inline distT="0" distB="0" distL="0" distR="0" wp14:anchorId="3C6182B3" wp14:editId="0DA4AEF4">
            <wp:extent cx="2719753" cy="3519554"/>
            <wp:effectExtent l="0" t="0" r="4445" b="508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720944" cy="3521095"/>
                    </a:xfrm>
                    <a:prstGeom prst="rect">
                      <a:avLst/>
                    </a:prstGeom>
                    <a:noFill/>
                    <a:ln>
                      <a:noFill/>
                    </a:ln>
                  </pic:spPr>
                </pic:pic>
              </a:graphicData>
            </a:graphic>
          </wp:inline>
        </w:drawing>
      </w:r>
    </w:p>
    <w:p w14:paraId="0E2F4D3F" w14:textId="77777777" w:rsidR="00CC5A4D" w:rsidRPr="00131EED" w:rsidRDefault="00CC5A4D" w:rsidP="00CC5A4D">
      <w:pPr>
        <w:pStyle w:val="Caption"/>
        <w:spacing w:after="0"/>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Fuente:  adaptado por los autores con base en los POMCAS cuencas región Sabana</w:t>
      </w:r>
    </w:p>
    <w:p w14:paraId="47B317F8" w14:textId="77777777" w:rsidR="00CC5A4D" w:rsidRPr="00131EED" w:rsidRDefault="00CC5A4D" w:rsidP="00CC5A4D">
      <w:pPr>
        <w:rPr>
          <w:rFonts w:eastAsia="Verdana" w:cs="Arial"/>
        </w:rPr>
      </w:pPr>
    </w:p>
    <w:p w14:paraId="3CAB53C5" w14:textId="77777777" w:rsidR="00CC5A4D" w:rsidRPr="00131EED" w:rsidRDefault="00CC5A4D" w:rsidP="00CC5A4D">
      <w:pPr>
        <w:rPr>
          <w:rFonts w:eastAsia="Verdana" w:cs="Arial"/>
        </w:rPr>
      </w:pPr>
      <w:r w:rsidRPr="00131EED">
        <w:rPr>
          <w:rFonts w:eastAsia="Verdana" w:cs="Arial"/>
        </w:rPr>
        <w:t>El cambio en el uso del suelo en áreas de importancia ambiental y áreas protegidas está ocasionando la disminución de la oferta y prestación de servicios ecosistémicos que las cuencas ofrecen. La valoración integral de la biodiversidad y los servicios ecosistémicos, evidencia la pérdida progresiva de las masas boscosas, principalmente en las inmediaciones de los nacimientos de agua y zonas de protección de los ecosistemas lóticos y lénticos, así como de las franjas de amortiguación de las áreas protegidas, repercutiendo en la disminución superficial del agua, que ha ocasionado sequías y conflictos a nivel comunitario por el uso del agua.</w:t>
      </w:r>
    </w:p>
    <w:p w14:paraId="13B97BC5" w14:textId="77777777" w:rsidR="00CC5A4D" w:rsidRPr="00131EED" w:rsidRDefault="00CC5A4D" w:rsidP="00CC5A4D">
      <w:pPr>
        <w:rPr>
          <w:rFonts w:eastAsia="Verdana" w:cs="Arial"/>
        </w:rPr>
      </w:pPr>
    </w:p>
    <w:p w14:paraId="7D319ED6" w14:textId="0ABA3E7A" w:rsidR="00CC5A4D" w:rsidRPr="00131EED" w:rsidRDefault="00CC5A4D" w:rsidP="00CC5A4D">
      <w:pPr>
        <w:rPr>
          <w:rFonts w:eastAsia="Verdana" w:cs="Arial"/>
        </w:rPr>
      </w:pPr>
      <w:r w:rsidRPr="00131EED">
        <w:rPr>
          <w:rFonts w:eastAsia="Verdana" w:cs="Arial"/>
        </w:rPr>
        <w:t>Los anteriores cambios de uso del suelo sobre las coberturas naturales en la Región Sabana, no solo se han evidenciado en un contexto histórico, sino que, en los últimos años, dichos procesos aún persisten. En efecto, conforme los resultados de los estudios adelantados por los POMCA de las cuencas de la región Sabana de Bogotá, son evidentes los cambios significativos de la cobertura natural analizada entre el 2002 y 2015, en donde conforme la espacialización de la tasa de cambio de coberturas naturales en la Región Sabana indica que hay sectores que requiere atención, especialmente en alrededor de 18.800 hectáreas donde es muy alta y alta esta tasa de cambio. Por otro lado, se aprecia que alrededor de 20.225 hectáreas de la Región Sabana presenta una tasa de cambio entre mediana y medianamente Alta.</w:t>
      </w:r>
    </w:p>
    <w:p w14:paraId="4690EDDB" w14:textId="1AFD7500" w:rsidR="00EF3E0F" w:rsidRPr="00131EED" w:rsidRDefault="00EF3E0F" w:rsidP="00CC5A4D">
      <w:pPr>
        <w:rPr>
          <w:rFonts w:ascii="Baskerville" w:eastAsia="Verdana" w:hAnsi="Baskerville" w:cs="Arial"/>
          <w:sz w:val="20"/>
          <w:szCs w:val="20"/>
        </w:rPr>
      </w:pPr>
    </w:p>
    <w:p w14:paraId="73A76B5B" w14:textId="1EABF746" w:rsidR="00CC5A4D" w:rsidRPr="00131EED" w:rsidRDefault="00D873B5" w:rsidP="00D873B5">
      <w:pPr>
        <w:pStyle w:val="Caption"/>
        <w:jc w:val="center"/>
      </w:pPr>
      <w:bookmarkStart w:id="456" w:name="_Toc162338945"/>
      <w:bookmarkStart w:id="457" w:name="_Toc216468898"/>
      <w:r w:rsidRPr="00131EED">
        <w:t xml:space="preserve">Ilustración </w:t>
      </w:r>
      <w:r w:rsidRPr="00131EED">
        <w:fldChar w:fldCharType="begin"/>
      </w:r>
      <w:r w:rsidRPr="00131EED">
        <w:instrText>SEQ Ilustración \* ARABIC</w:instrText>
      </w:r>
      <w:r w:rsidRPr="00131EED">
        <w:fldChar w:fldCharType="separate"/>
      </w:r>
      <w:r w:rsidR="00CE096F">
        <w:rPr>
          <w:noProof/>
        </w:rPr>
        <w:t>133</w:t>
      </w:r>
      <w:r w:rsidRPr="00131EED">
        <w:fldChar w:fldCharType="end"/>
      </w:r>
      <w:r w:rsidRPr="00131EED">
        <w:t xml:space="preserve"> </w:t>
      </w:r>
      <w:r w:rsidR="00CC5A4D" w:rsidRPr="00131EED">
        <w:t>. Tasa de cambio de coberturas región Sabana de Bogotá</w:t>
      </w:r>
      <w:bookmarkEnd w:id="456"/>
      <w:bookmarkEnd w:id="457"/>
    </w:p>
    <w:p w14:paraId="213AC633" w14:textId="1A96E618" w:rsidR="00CC5A4D" w:rsidRPr="00131EED" w:rsidRDefault="00186864" w:rsidP="006845C5">
      <w:pPr>
        <w:pStyle w:val="NormalWeb"/>
        <w:spacing w:before="0" w:beforeAutospacing="0" w:after="0" w:afterAutospacing="0"/>
        <w:jc w:val="center"/>
        <w:rPr>
          <w:rFonts w:ascii="Baskerville" w:hAnsi="Baskerville"/>
        </w:rPr>
      </w:pPr>
      <w:r w:rsidRPr="00131EED">
        <w:rPr>
          <w:rFonts w:ascii="Times New Roman" w:hAnsi="Times New Roman"/>
          <w:noProof/>
          <w:lang w:eastAsia="en-US"/>
        </w:rPr>
        <w:drawing>
          <wp:inline distT="0" distB="0" distL="0" distR="0" wp14:anchorId="1BA2F76E" wp14:editId="03D8744E">
            <wp:extent cx="3118338" cy="4035351"/>
            <wp:effectExtent l="0" t="0" r="6350" b="3810"/>
            <wp:docPr id="1168248832" name="Imagen 1168248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21749" cy="4039764"/>
                    </a:xfrm>
                    <a:prstGeom prst="rect">
                      <a:avLst/>
                    </a:prstGeom>
                    <a:noFill/>
                    <a:ln>
                      <a:noFill/>
                    </a:ln>
                  </pic:spPr>
                </pic:pic>
              </a:graphicData>
            </a:graphic>
          </wp:inline>
        </w:drawing>
      </w:r>
    </w:p>
    <w:p w14:paraId="66D24B19" w14:textId="2A05D82C" w:rsidR="00CC5A4D" w:rsidRPr="00131EED" w:rsidRDefault="00CC5A4D" w:rsidP="00CC5A4D">
      <w:pPr>
        <w:pStyle w:val="Caption"/>
        <w:spacing w:after="0"/>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 xml:space="preserve">Fuente:  adaptado por los autores con base </w:t>
      </w:r>
      <w:r w:rsidR="006B5F32" w:rsidRPr="00131EED">
        <w:rPr>
          <w:rFonts w:ascii="Baskerville Old Face" w:hAnsi="Baskerville Old Face"/>
          <w:i w:val="0"/>
          <w:color w:val="auto"/>
          <w:sz w:val="20"/>
          <w:szCs w:val="20"/>
        </w:rPr>
        <w:t>en el POMCA del río Bogotá</w:t>
      </w:r>
    </w:p>
    <w:p w14:paraId="2C97DD3E" w14:textId="77777777" w:rsidR="00CC5A4D" w:rsidRPr="00131EED" w:rsidRDefault="00CC5A4D" w:rsidP="00CC5A4D">
      <w:pPr>
        <w:rPr>
          <w:rFonts w:eastAsia="Verdana" w:cs="Arial"/>
        </w:rPr>
      </w:pPr>
    </w:p>
    <w:p w14:paraId="590F6139" w14:textId="77777777" w:rsidR="00CC5A4D" w:rsidRPr="00131EED" w:rsidRDefault="00CC5A4D" w:rsidP="00CC5A4D">
      <w:pPr>
        <w:rPr>
          <w:rFonts w:eastAsia="Verdana" w:cs="Arial"/>
        </w:rPr>
      </w:pPr>
      <w:r w:rsidRPr="00131EED">
        <w:rPr>
          <w:rFonts w:eastAsia="Verdana" w:cs="Arial"/>
        </w:rPr>
        <w:t>Otra de las evidencias del conflicto, se encuentra relacionado con el rendimiento hídrico</w:t>
      </w:r>
      <w:r w:rsidRPr="00131EED">
        <w:rPr>
          <w:rStyle w:val="FootnoteReference"/>
          <w:rFonts w:eastAsia="Verdana" w:cs="Arial"/>
          <w:b/>
        </w:rPr>
        <w:footnoteReference w:id="21"/>
      </w:r>
      <w:r w:rsidRPr="00131EED">
        <w:rPr>
          <w:rFonts w:eastAsia="Verdana" w:cs="Arial"/>
        </w:rPr>
        <w:t xml:space="preserve"> en las diferentes subcuencas y microcuencas que hacen parte de la Región Sabana, en donde, conforme los resultados de los estudios adelantados por los POMCA, casi la totalidad de la cuenca, presenta valores muy bajos, bajos y regulares. Las altas demandas presentes que generan los altos índices poblacionales de las cuencas y su extensa área no se abastecen de forma adecuada con la oferta disponible. Sólo pocas microcuencas presentan rendimientos hídricos favorables, esto debido a que poseen bajas áreas de influencia y demanda, estas zonas son de dominio principalmente rural. </w:t>
      </w:r>
    </w:p>
    <w:p w14:paraId="3E11AF69" w14:textId="77777777" w:rsidR="00CC5A4D" w:rsidRPr="00131EED" w:rsidRDefault="00CC5A4D" w:rsidP="00CC5A4D">
      <w:pPr>
        <w:rPr>
          <w:rFonts w:eastAsia="Verdana" w:cs="Arial"/>
        </w:rPr>
      </w:pPr>
    </w:p>
    <w:p w14:paraId="722826BC" w14:textId="77777777" w:rsidR="00CC5A4D" w:rsidRPr="00131EED" w:rsidRDefault="00CC5A4D" w:rsidP="00CC5A4D">
      <w:r w:rsidRPr="00131EED">
        <w:t xml:space="preserve">De otra parte, en cuanto a la relación existente entre las aguas subterráneas y superficiales, para la Sabana de Bogotá,  </w:t>
      </w:r>
      <w:r w:rsidRPr="00131EED">
        <w:fldChar w:fldCharType="begin" w:fldLock="1"/>
      </w:r>
      <w:r w:rsidRPr="00131EED">
        <w:instrText>ADDIN CSL_CITATION {"citationItems":[{"id":"ITEM-1","itemData":{"abstract":"Se presenta en este documento los aspectos geomorfológicos para el desarrollo de la zonificación geomecánica de la Sabana de Bogotá. Se explica brevemente algunos aspectos alrededor de los conceptos básicos de la geotecnia, geomorfología, suelos y erosión, recursos del suelo y subsuelo e impacto ambiental, además aclara los alcances y limitaciones de esta evaluación, para luego presentar los avances de esta temática en la Sabana de Bogotá.","author":[{"dropping-particle":"","family":"Hammen","given":"Thomas","non-dropping-particle":"Van der","parse-names":false,"suffix":""},{"dropping-particle":"","family":"Ángel-Martínez","given":"Carlos E","non-dropping-particle":"","parse-names":false,"suffix":""}],"container-title":"Aspectos geoambientales de la Sabana de Bogotá","id":"ITEM-1","issued":{"date-parts":[["2002"]]},"page":"1-2014","publisher":"Instituto Colombiano De Geología Y Minería Ingeominas","publisher-place":"Bogotá","title":"El agua subterránea e impacto, el balance del agua y el medio ambiente","type":"chapter","volume":"27"},"uris":["http://www.mendeley.com/documents/?uuid=c386d12d-5d06-429c-9b5a-347f99d68f90"]}],"mendeley":{"formattedCitation":"(Van der Hammen &amp; Ángel-Martínez, 2002)","manualFormatting":"Van der Hammen &amp; Ángel-Martínez (2002)","plainTextFormattedCitation":"(Van der Hammen &amp; Ángel-Martínez, 2002)","previouslyFormattedCitation":"(Van der Hammen &amp; Ángel-Martínez, 2002)"},"properties":{"noteIndex":0},"schema":"https://github.com/citation-style-language/schema/raw/master/csl-citation.json"}</w:instrText>
      </w:r>
      <w:r w:rsidRPr="00131EED">
        <w:fldChar w:fldCharType="separate"/>
      </w:r>
      <w:r w:rsidRPr="00131EED">
        <w:t>Van der Hammen &amp; Ángel-Martínez (2002)</w:t>
      </w:r>
      <w:r w:rsidRPr="00131EED">
        <w:fldChar w:fldCharType="end"/>
      </w:r>
      <w:r w:rsidRPr="00131EED">
        <w:t xml:space="preserve">, reportan que quebradas se secaron permanentemente o se convirtieron en estacionales (como el caso de tributarios del río Chicú en Tenjo entre 1940 y finales de los 90), y buena parte de los manantiales del piedemonte desaparecieron, con subsecuente disminución del agua superficial del sistema del río Bogotá y la desertización de los cerros, debido a descensos en el nivel freático. Estos autores proponen como causa principal la explotación de aguas subterráneas (aumentando su influencia cuanto mayor sea la concentración de pozos o si estos se encuentran aledaños a las zonas de recarga) y la deforestación de los cerros. Lo anterior deja de manifiesto la conexión que existe entre el agua subterránea y superficial, pero que comúnmente son evaluadas de forma independientes. Así pues, aun no se cuentan con estudios que permitan identificar con resolución adecuada aquellas zonas a través de las cuales ingresa el agua subterránea a los acuíferos, es decir, sus zonas de recarga, con el fin de propender por su protección y la de los servicios ecosistémicos que estas prestan. </w:t>
      </w:r>
    </w:p>
    <w:p w14:paraId="0A474592" w14:textId="77777777" w:rsidR="00CC5A4D" w:rsidRPr="00131EED" w:rsidRDefault="00CC5A4D" w:rsidP="00CC5A4D"/>
    <w:p w14:paraId="6B44B8D8" w14:textId="77777777" w:rsidR="00CC5A4D" w:rsidRPr="00131EED" w:rsidRDefault="00CC5A4D" w:rsidP="00CC5A4D">
      <w:pPr>
        <w:rPr>
          <w:rFonts w:eastAsia="Verdana" w:cs="Arial"/>
        </w:rPr>
      </w:pPr>
      <w:r w:rsidRPr="00131EED">
        <w:rPr>
          <w:rFonts w:eastAsia="Verdana" w:cs="Arial"/>
        </w:rPr>
        <w:t>El anterior panorama de transformación de ecosistemas que juegan un papel fundamental en la regulación de la oferta hídrica y el ciclo hidrológico plantea una serie de retos, no solo los referidos al desarrollo de instrumentos técnicos que promuevan y apoyen procesos para la protección, conservación y restauración de áreas y ecosistemas estratégicos clave que favorecen la función ecosistémica de regulación hídrica, sino también en avanzar en sistemas de gobernanza que actúen sobre dichos procesos.</w:t>
      </w:r>
    </w:p>
    <w:p w14:paraId="46742942" w14:textId="77777777" w:rsidR="00CC5A4D" w:rsidRPr="00131EED" w:rsidRDefault="00CC5A4D" w:rsidP="00CC5A4D">
      <w:pPr>
        <w:rPr>
          <w:rFonts w:eastAsia="Verdana" w:cs="Arial"/>
        </w:rPr>
      </w:pPr>
    </w:p>
    <w:p w14:paraId="715FAD4E" w14:textId="77777777" w:rsidR="00CC5A4D" w:rsidRPr="00131EED" w:rsidRDefault="00CC5A4D" w:rsidP="00CC5A4D">
      <w:pPr>
        <w:rPr>
          <w:rFonts w:eastAsia="Verdana" w:cs="Arial"/>
        </w:rPr>
      </w:pPr>
      <w:r w:rsidRPr="00131EED">
        <w:rPr>
          <w:rFonts w:eastAsia="Verdana" w:cs="Arial"/>
        </w:rPr>
        <w:t>Bajo este contexto, dentro de las acciones necesarias</w:t>
      </w:r>
      <w:bookmarkStart w:id="458" w:name="_Hlk160926146"/>
      <w:r w:rsidRPr="00131EED">
        <w:rPr>
          <w:rFonts w:eastAsia="Verdana" w:cs="Arial"/>
        </w:rPr>
        <w:t xml:space="preserve"> para la protección, conservación y restauración de áreas y ecosistemas estratégicos clave que favorecen la función ecosistémica de regulación hídrica,  </w:t>
      </w:r>
      <w:bookmarkEnd w:id="458"/>
      <w:r w:rsidRPr="00131EED">
        <w:rPr>
          <w:rFonts w:eastAsia="Verdana" w:cs="Arial"/>
        </w:rPr>
        <w:t xml:space="preserve">se encuentran las estrategias de </w:t>
      </w:r>
      <w:r w:rsidRPr="00131EED">
        <w:rPr>
          <w:rFonts w:eastAsia="Verdana" w:cs="Arial"/>
          <w:i/>
        </w:rPr>
        <w:t>restauración ecológica de los humedales asociados al Río Bogotá</w:t>
      </w:r>
      <w:r w:rsidRPr="00131EED">
        <w:rPr>
          <w:rFonts w:eastAsia="Verdana" w:cs="Arial"/>
        </w:rPr>
        <w:t>, que de manera particular busquen su conectividad ecohidrológica con los demás sistemas hídrico de la cuenca, con el fin de garantizar su funcionalidad ecosistémica de regulación hídrica y los servicios ecosistémicos derivados de ésta, tal como fue definido con anterioridad.</w:t>
      </w:r>
    </w:p>
    <w:p w14:paraId="7E886B7D" w14:textId="77777777" w:rsidR="00CC5A4D" w:rsidRPr="00131EED" w:rsidRDefault="00CC5A4D" w:rsidP="00CC5A4D">
      <w:pPr>
        <w:rPr>
          <w:rFonts w:eastAsia="Verdana" w:cs="Arial"/>
        </w:rPr>
      </w:pPr>
    </w:p>
    <w:p w14:paraId="529098D0" w14:textId="77777777" w:rsidR="00CC5A4D" w:rsidRPr="00131EED" w:rsidRDefault="00CC5A4D" w:rsidP="00CC5A4D">
      <w:pPr>
        <w:rPr>
          <w:rFonts w:eastAsia="Verdana" w:cs="Arial"/>
        </w:rPr>
      </w:pPr>
      <w:r w:rsidRPr="00131EED">
        <w:rPr>
          <w:rFonts w:eastAsia="Verdana" w:cs="Arial"/>
        </w:rPr>
        <w:t xml:space="preserve">Igualmente, será importante avanzar en los procesos de </w:t>
      </w:r>
      <w:r w:rsidRPr="00131EED">
        <w:rPr>
          <w:rFonts w:eastAsia="Verdana" w:cs="Arial"/>
          <w:i/>
        </w:rPr>
        <w:t>acotamiento de las rondas hídricas</w:t>
      </w:r>
      <w:r w:rsidRPr="00131EED">
        <w:rPr>
          <w:rFonts w:eastAsia="Verdana" w:cs="Arial"/>
        </w:rPr>
        <w:t xml:space="preserve"> con prioridad sobre el río Bogotá y sus principales afluentes, así como la implementación de estrategias de manejo ambiental derivadas de su delimitación física, incluidas su restauración.</w:t>
      </w:r>
    </w:p>
    <w:p w14:paraId="10434DE4" w14:textId="77777777" w:rsidR="00CC5A4D" w:rsidRPr="00131EED" w:rsidRDefault="00CC5A4D" w:rsidP="00CC5A4D">
      <w:pPr>
        <w:rPr>
          <w:rFonts w:eastAsia="Verdana" w:cs="Arial"/>
        </w:rPr>
      </w:pPr>
      <w:r w:rsidRPr="00131EED">
        <w:rPr>
          <w:rFonts w:eastAsia="Verdana" w:cs="Arial"/>
        </w:rPr>
        <w:t xml:space="preserve">Igualmente será importante avanzar en la </w:t>
      </w:r>
      <w:r w:rsidRPr="00131EED">
        <w:rPr>
          <w:rFonts w:eastAsia="Verdana" w:cs="Arial"/>
          <w:i/>
        </w:rPr>
        <w:t>promoción y aplicación de medidas y/o estrategias de adaptación al cambio climático</w:t>
      </w:r>
      <w:r w:rsidRPr="00131EED">
        <w:rPr>
          <w:rFonts w:eastAsia="Verdana" w:cs="Arial"/>
        </w:rPr>
        <w:t xml:space="preserve"> tendientes a aumentar la resiliencia de las áreas y ecosistemas estratégicos que favorecen la función ecosistémica de la regulación hídrica en las cuencas y microcuencas y la capacidad de adaptación de las personas y las actividades que dependen de dicha función ecosistémica.</w:t>
      </w:r>
    </w:p>
    <w:p w14:paraId="010FCDA4" w14:textId="77777777" w:rsidR="00CC5A4D" w:rsidRPr="00131EED" w:rsidRDefault="00CC5A4D" w:rsidP="00CC5A4D">
      <w:pPr>
        <w:rPr>
          <w:rFonts w:eastAsia="Verdana" w:cs="Arial"/>
        </w:rPr>
      </w:pPr>
    </w:p>
    <w:p w14:paraId="5650CDB1" w14:textId="77777777" w:rsidR="00CC5A4D" w:rsidRPr="00131EED" w:rsidRDefault="00CC5A4D" w:rsidP="00CC5A4D">
      <w:pPr>
        <w:rPr>
          <w:rFonts w:eastAsia="Verdana" w:cs="Arial"/>
        </w:rPr>
      </w:pPr>
      <w:r w:rsidRPr="00131EED">
        <w:rPr>
          <w:rFonts w:eastAsia="Verdana" w:cs="Arial"/>
        </w:rPr>
        <w:t xml:space="preserve">Finalmente, identificar e implementar </w:t>
      </w:r>
      <w:r w:rsidRPr="00131EED">
        <w:rPr>
          <w:rFonts w:eastAsia="Verdana" w:cs="Arial"/>
          <w:i/>
        </w:rPr>
        <w:t>estrategias de uso y ahorro eficiente del agua</w:t>
      </w:r>
      <w:r w:rsidRPr="00131EED">
        <w:rPr>
          <w:rFonts w:eastAsia="Verdana" w:cs="Arial"/>
        </w:rPr>
        <w:t xml:space="preserve"> visto desde la función ecosistémica de regulación hídrica.</w:t>
      </w:r>
    </w:p>
    <w:p w14:paraId="74EFD338" w14:textId="77777777" w:rsidR="00CC5A4D" w:rsidRPr="00131EED" w:rsidRDefault="00CC5A4D" w:rsidP="00CC5A4D">
      <w:pPr>
        <w:rPr>
          <w:rFonts w:ascii="Baskerville" w:hAnsi="Baskerville" w:cs="Arial"/>
        </w:rPr>
      </w:pPr>
    </w:p>
    <w:p w14:paraId="2F87016F" w14:textId="77777777" w:rsidR="00CC5A4D" w:rsidRPr="00131EED" w:rsidRDefault="00CC5A4D" w:rsidP="00410194">
      <w:pPr>
        <w:pStyle w:val="Heading3"/>
        <w:numPr>
          <w:ilvl w:val="2"/>
          <w:numId w:val="31"/>
        </w:numPr>
      </w:pPr>
      <w:bookmarkStart w:id="459" w:name="_Toc216468759"/>
      <w:r w:rsidRPr="00131EED">
        <w:t>Afectación de la calidad de agua por vertimientos indiscriminados</w:t>
      </w:r>
      <w:bookmarkEnd w:id="459"/>
    </w:p>
    <w:p w14:paraId="694EBCFD" w14:textId="77777777" w:rsidR="00CC5A4D" w:rsidRPr="00131EED" w:rsidRDefault="00CC5A4D" w:rsidP="00CC5A4D">
      <w:pPr>
        <w:rPr>
          <w:rFonts w:ascii="Baskerville" w:hAnsi="Baskerville" w:cs="Arial"/>
          <w:sz w:val="20"/>
          <w:szCs w:val="20"/>
        </w:rPr>
      </w:pPr>
    </w:p>
    <w:p w14:paraId="0CB5228F" w14:textId="77777777" w:rsidR="00CC5A4D" w:rsidRPr="00131EED" w:rsidRDefault="00CC5A4D" w:rsidP="00CC5A4D">
      <w:pPr>
        <w:rPr>
          <w:rFonts w:cs="Arial"/>
        </w:rPr>
      </w:pPr>
      <w:r w:rsidRPr="00131EED">
        <w:rPr>
          <w:rFonts w:cs="Arial"/>
        </w:rPr>
        <w:t xml:space="preserve">La Sabana de Bogotá enfrenta una problemática creciente en relación con la calidad del agua resultado de la interacción compleja entre el crecimiento urbano, la expansión agrícola, el incremento de la actividad industrial y la presión sobre el agua. En este contexto el Índice de Calidad del Agua (ICA) emerge como una herramienta importante para evaluar la magnitud de los problemas de contaminación y la salud de los cuerpos de agua en la región. Tomando como caso de estudio la evaluación del comportamiento histórico del ICA en la cuenca alta y media del río Bogotá, la cual tiene un 68% de representatividad en el área de la región priorizada Sabana de Bogotá, se evidencia una tendencia preocupante hacia la disminución de la calidad del agua en varios puntos de monitoreo a lo largo del tiempo. </w:t>
      </w:r>
    </w:p>
    <w:p w14:paraId="1BFB89F7" w14:textId="77777777" w:rsidR="00CC5A4D" w:rsidRPr="00131EED" w:rsidRDefault="00CC5A4D" w:rsidP="00CC5A4D">
      <w:pPr>
        <w:rPr>
          <w:rFonts w:cs="Arial"/>
        </w:rPr>
      </w:pPr>
    </w:p>
    <w:p w14:paraId="1BE87D2F" w14:textId="7A187288" w:rsidR="00CC5A4D" w:rsidRPr="00131EED" w:rsidRDefault="00CC5A4D" w:rsidP="00CC5A4D">
      <w:pPr>
        <w:rPr>
          <w:rFonts w:cs="Arial"/>
        </w:rPr>
      </w:pPr>
      <w:r w:rsidRPr="00131EED">
        <w:rPr>
          <w:rFonts w:cs="Arial"/>
        </w:rPr>
        <w:t>A continuación</w:t>
      </w:r>
      <w:r w:rsidR="006B5F32" w:rsidRPr="00131EED">
        <w:rPr>
          <w:rFonts w:cs="Arial"/>
        </w:rPr>
        <w:t>,</w:t>
      </w:r>
      <w:r w:rsidRPr="00131EED">
        <w:rPr>
          <w:rFonts w:cs="Arial"/>
        </w:rPr>
        <w:t xml:space="preserve"> se presenta una comparación espacial del comportamiento del ICA para los años 2014, 2021 y 2023, considerando los datos de los boletines históricos de calidad hídrica de la Corporación Autónoma Regional de Cundinamarca </w:t>
      </w:r>
      <w:sdt>
        <w:sdtPr>
          <w:rPr>
            <w:rFonts w:cs="Arial"/>
          </w:rPr>
          <w:id w:val="1687941030"/>
          <w:citation/>
        </w:sdtPr>
        <w:sdtEndPr/>
        <w:sdtContent>
          <w:r w:rsidRPr="00131EED">
            <w:rPr>
              <w:rFonts w:cs="Arial"/>
            </w:rPr>
            <w:fldChar w:fldCharType="begin"/>
          </w:r>
          <w:r w:rsidRPr="00131EED">
            <w:rPr>
              <w:rFonts w:cs="Arial"/>
            </w:rPr>
            <w:instrText xml:space="preserve">CITATION CAR22 \l 3082 </w:instrText>
          </w:r>
          <w:r w:rsidRPr="00131EED">
            <w:rPr>
              <w:rFonts w:cs="Arial"/>
            </w:rPr>
            <w:fldChar w:fldCharType="separate"/>
          </w:r>
          <w:r w:rsidRPr="00131EED">
            <w:rPr>
              <w:rFonts w:cs="Arial"/>
            </w:rPr>
            <w:t>(CAR C. A., Boletines de Calidad Hídrica, 2022)</w:t>
          </w:r>
          <w:r w:rsidRPr="00131EED">
            <w:rPr>
              <w:rFonts w:cs="Arial"/>
            </w:rPr>
            <w:fldChar w:fldCharType="end"/>
          </w:r>
        </w:sdtContent>
      </w:sdt>
      <w:r w:rsidRPr="00131EED">
        <w:rPr>
          <w:rFonts w:cs="Arial"/>
        </w:rPr>
        <w:t xml:space="preserve"> y los reportes de este indicador disponibles en el Observatorio Regional Ambiental y de Desarrollo Sostenible del río Bogotá </w:t>
      </w:r>
      <w:sdt>
        <w:sdtPr>
          <w:rPr>
            <w:rFonts w:cs="Arial"/>
          </w:rPr>
          <w:id w:val="1487282652"/>
          <w:citation/>
        </w:sdtPr>
        <w:sdtEndPr/>
        <w:sdtContent>
          <w:r w:rsidRPr="00131EED">
            <w:rPr>
              <w:rFonts w:cs="Arial"/>
            </w:rPr>
            <w:fldChar w:fldCharType="begin"/>
          </w:r>
          <w:r w:rsidRPr="00131EED">
            <w:rPr>
              <w:rFonts w:cs="Arial"/>
            </w:rPr>
            <w:instrText xml:space="preserve">CITATION ORA \t  \l 3082 </w:instrText>
          </w:r>
          <w:r w:rsidRPr="00131EED">
            <w:rPr>
              <w:rFonts w:cs="Arial"/>
            </w:rPr>
            <w:fldChar w:fldCharType="separate"/>
          </w:r>
          <w:r w:rsidRPr="00131EED">
            <w:rPr>
              <w:rFonts w:cs="Arial"/>
            </w:rPr>
            <w:t>(ORARBO, 2023)</w:t>
          </w:r>
          <w:r w:rsidRPr="00131EED">
            <w:rPr>
              <w:rFonts w:cs="Arial"/>
            </w:rPr>
            <w:fldChar w:fldCharType="end"/>
          </w:r>
        </w:sdtContent>
      </w:sdt>
      <w:r w:rsidRPr="00131EED">
        <w:rPr>
          <w:rFonts w:cs="Arial"/>
        </w:rPr>
        <w:t>. Para el análisis se tienen en cuenta los datos de diecisiete (17) estaciones de monitoreo de calidad de agua localizadas en la cuenca alta del río Bogotá y de trece (13) puntos de interés en la cuenca media.</w:t>
      </w:r>
    </w:p>
    <w:p w14:paraId="41172D3F" w14:textId="77777777" w:rsidR="00CC5A4D" w:rsidRPr="00131EED" w:rsidRDefault="00CC5A4D" w:rsidP="00CC5A4D">
      <w:pPr>
        <w:pStyle w:val="Caption"/>
        <w:spacing w:after="0"/>
        <w:rPr>
          <w:rFonts w:ascii="Baskerville" w:hAnsi="Baskerville"/>
          <w:i w:val="0"/>
          <w:color w:val="auto"/>
        </w:rPr>
      </w:pPr>
      <w:bookmarkStart w:id="460" w:name="_Ref161560748"/>
      <w:bookmarkStart w:id="461" w:name="_Toc162338946"/>
    </w:p>
    <w:p w14:paraId="312F9411" w14:textId="4546221E" w:rsidR="00CC5A4D" w:rsidRPr="00131EED" w:rsidRDefault="00D873B5" w:rsidP="00D873B5">
      <w:pPr>
        <w:pStyle w:val="Caption"/>
        <w:jc w:val="center"/>
      </w:pPr>
      <w:bookmarkStart w:id="462" w:name="_Toc216468899"/>
      <w:bookmarkEnd w:id="460"/>
      <w:r w:rsidRPr="00131EED">
        <w:t xml:space="preserve">Ilustración </w:t>
      </w:r>
      <w:r w:rsidRPr="00131EED">
        <w:fldChar w:fldCharType="begin"/>
      </w:r>
      <w:r w:rsidRPr="00131EED">
        <w:instrText>SEQ Ilustración \* ARABIC</w:instrText>
      </w:r>
      <w:r w:rsidRPr="00131EED">
        <w:fldChar w:fldCharType="separate"/>
      </w:r>
      <w:r w:rsidR="00CE096F">
        <w:rPr>
          <w:noProof/>
        </w:rPr>
        <w:t>134</w:t>
      </w:r>
      <w:r w:rsidRPr="00131EED">
        <w:fldChar w:fldCharType="end"/>
      </w:r>
      <w:r w:rsidRPr="00131EED">
        <w:t xml:space="preserve"> </w:t>
      </w:r>
      <w:r w:rsidR="00CC5A4D" w:rsidRPr="00131EED">
        <w:t>Comparación del comportamiento del ICA años 2014, 2021 y 2023 Río Bogotá</w:t>
      </w:r>
      <w:bookmarkEnd w:id="461"/>
      <w:bookmarkEnd w:id="462"/>
    </w:p>
    <w:tbl>
      <w:tblPr>
        <w:tblStyle w:val="TableGrid"/>
        <w:tblW w:w="10007"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303"/>
        <w:gridCol w:w="3297"/>
        <w:gridCol w:w="3407"/>
      </w:tblGrid>
      <w:tr w:rsidR="001F27AC" w:rsidRPr="00131EED" w14:paraId="49A280E7" w14:textId="77777777" w:rsidTr="006845C5">
        <w:trPr>
          <w:trHeight w:val="3471"/>
        </w:trPr>
        <w:tc>
          <w:tcPr>
            <w:tcW w:w="3303" w:type="dxa"/>
          </w:tcPr>
          <w:p w14:paraId="6265F8C3" w14:textId="1ADD9B1E" w:rsidR="00CC5A4D" w:rsidRPr="00131EED" w:rsidRDefault="00340734" w:rsidP="006845C5">
            <w:pPr>
              <w:pStyle w:val="NormalWeb"/>
              <w:rPr>
                <w:rFonts w:ascii="Times New Roman" w:hAnsi="Times New Roman" w:cs="Times New Roman"/>
              </w:rPr>
            </w:pPr>
            <w:r w:rsidRPr="00131EED">
              <w:rPr>
                <w:rFonts w:ascii="Times New Roman" w:hAnsi="Times New Roman" w:cs="Times New Roman"/>
                <w:noProof/>
                <w:lang w:eastAsia="en-US"/>
              </w:rPr>
              <w:drawing>
                <wp:inline distT="0" distB="0" distL="0" distR="0" wp14:anchorId="6746D80E" wp14:editId="024FD94C">
                  <wp:extent cx="2098964" cy="2716208"/>
                  <wp:effectExtent l="0" t="0" r="0" b="8255"/>
                  <wp:docPr id="1168248849" name="Imagen 1168248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111819" cy="2732843"/>
                          </a:xfrm>
                          <a:prstGeom prst="rect">
                            <a:avLst/>
                          </a:prstGeom>
                          <a:noFill/>
                          <a:ln>
                            <a:noFill/>
                          </a:ln>
                        </pic:spPr>
                      </pic:pic>
                    </a:graphicData>
                  </a:graphic>
                </wp:inline>
              </w:drawing>
            </w:r>
          </w:p>
        </w:tc>
        <w:tc>
          <w:tcPr>
            <w:tcW w:w="3297" w:type="dxa"/>
          </w:tcPr>
          <w:p w14:paraId="7D0543DA" w14:textId="429483EC" w:rsidR="00CC5A4D" w:rsidRPr="00131EED" w:rsidRDefault="006F22F8" w:rsidP="006845C5">
            <w:pPr>
              <w:spacing w:before="100" w:beforeAutospacing="1" w:after="100" w:afterAutospacing="1"/>
              <w:jc w:val="left"/>
              <w:rPr>
                <w:rFonts w:ascii="Times New Roman" w:hAnsi="Times New Roman"/>
                <w:lang w:eastAsia="es-CO"/>
              </w:rPr>
            </w:pPr>
            <w:r w:rsidRPr="00131EED">
              <w:rPr>
                <w:rFonts w:ascii="Times New Roman" w:hAnsi="Times New Roman"/>
                <w:noProof/>
                <w:lang w:eastAsia="en-US"/>
              </w:rPr>
              <w:drawing>
                <wp:inline distT="0" distB="0" distL="0" distR="0" wp14:anchorId="45EBE51C" wp14:editId="52CB3425">
                  <wp:extent cx="2084705" cy="2697756"/>
                  <wp:effectExtent l="0" t="0" r="0" b="7620"/>
                  <wp:docPr id="1168248850" name="Imagen 1168248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094627" cy="2710596"/>
                          </a:xfrm>
                          <a:prstGeom prst="rect">
                            <a:avLst/>
                          </a:prstGeom>
                          <a:noFill/>
                          <a:ln>
                            <a:noFill/>
                          </a:ln>
                        </pic:spPr>
                      </pic:pic>
                    </a:graphicData>
                  </a:graphic>
                </wp:inline>
              </w:drawing>
            </w:r>
          </w:p>
        </w:tc>
        <w:tc>
          <w:tcPr>
            <w:tcW w:w="3407" w:type="dxa"/>
          </w:tcPr>
          <w:p w14:paraId="4E08FB6E" w14:textId="5695CD26" w:rsidR="00CC5A4D" w:rsidRPr="00131EED" w:rsidRDefault="001F27AC" w:rsidP="006845C5">
            <w:pPr>
              <w:pStyle w:val="NormalWeb"/>
              <w:rPr>
                <w:rFonts w:ascii="Times New Roman" w:hAnsi="Times New Roman"/>
              </w:rPr>
            </w:pPr>
            <w:r w:rsidRPr="00131EED">
              <w:rPr>
                <w:rFonts w:ascii="Times New Roman" w:hAnsi="Times New Roman" w:cs="Times New Roman"/>
                <w:noProof/>
                <w:lang w:eastAsia="en-US"/>
              </w:rPr>
              <w:drawing>
                <wp:inline distT="0" distB="0" distL="0" distR="0" wp14:anchorId="18D1A755" wp14:editId="0ABCF336">
                  <wp:extent cx="2086145" cy="2699836"/>
                  <wp:effectExtent l="0" t="0" r="0" b="5715"/>
                  <wp:docPr id="1168248851" name="Imagen 1168248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099492" cy="2717110"/>
                          </a:xfrm>
                          <a:prstGeom prst="rect">
                            <a:avLst/>
                          </a:prstGeom>
                          <a:noFill/>
                          <a:ln>
                            <a:noFill/>
                          </a:ln>
                        </pic:spPr>
                      </pic:pic>
                    </a:graphicData>
                  </a:graphic>
                </wp:inline>
              </w:drawing>
            </w:r>
          </w:p>
        </w:tc>
      </w:tr>
    </w:tbl>
    <w:p w14:paraId="7A3804DE" w14:textId="0B95C472" w:rsidR="00CC5A4D" w:rsidRPr="00131EED" w:rsidRDefault="00CC5A4D" w:rsidP="00CC5A4D">
      <w:pPr>
        <w:pStyle w:val="Caption"/>
        <w:spacing w:after="0"/>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 xml:space="preserve">Fuente:  Adaptado por el autor con base en CAR </w:t>
      </w:r>
      <w:sdt>
        <w:sdtPr>
          <w:rPr>
            <w:rFonts w:ascii="Baskerville Old Face" w:hAnsi="Baskerville Old Face"/>
            <w:i w:val="0"/>
            <w:color w:val="auto"/>
            <w:sz w:val="20"/>
            <w:szCs w:val="20"/>
          </w:rPr>
          <w:id w:val="-902376647"/>
          <w:citation/>
        </w:sdtPr>
        <w:sdtEndPr/>
        <w:sdtContent>
          <w:r w:rsidRPr="00131EED">
            <w:rPr>
              <w:rFonts w:ascii="Baskerville Old Face" w:hAnsi="Baskerville Old Face"/>
              <w:i w:val="0"/>
              <w:color w:val="auto"/>
              <w:sz w:val="20"/>
              <w:szCs w:val="20"/>
            </w:rPr>
            <w:fldChar w:fldCharType="begin"/>
          </w:r>
          <w:r w:rsidRPr="00131EED">
            <w:rPr>
              <w:rFonts w:ascii="Baskerville Old Face" w:hAnsi="Baskerville Old Face"/>
              <w:i w:val="0"/>
              <w:color w:val="auto"/>
              <w:sz w:val="20"/>
              <w:szCs w:val="20"/>
            </w:rPr>
            <w:instrText xml:space="preserve">CITATION CAR22 \n  \t  \l 3082 </w:instrText>
          </w:r>
          <w:r w:rsidRPr="00131EED">
            <w:rPr>
              <w:rFonts w:ascii="Baskerville Old Face" w:hAnsi="Baskerville Old Face"/>
              <w:i w:val="0"/>
              <w:color w:val="auto"/>
              <w:sz w:val="20"/>
              <w:szCs w:val="20"/>
            </w:rPr>
            <w:fldChar w:fldCharType="separate"/>
          </w:r>
          <w:r w:rsidRPr="00131EED">
            <w:rPr>
              <w:rFonts w:ascii="Baskerville Old Face" w:hAnsi="Baskerville Old Face"/>
              <w:color w:val="auto"/>
              <w:sz w:val="20"/>
              <w:szCs w:val="20"/>
            </w:rPr>
            <w:t>(2022)</w:t>
          </w:r>
          <w:r w:rsidRPr="00131EED">
            <w:rPr>
              <w:rFonts w:ascii="Baskerville Old Face" w:hAnsi="Baskerville Old Face"/>
              <w:i w:val="0"/>
              <w:color w:val="auto"/>
              <w:sz w:val="20"/>
              <w:szCs w:val="20"/>
            </w:rPr>
            <w:fldChar w:fldCharType="end"/>
          </w:r>
        </w:sdtContent>
      </w:sdt>
      <w:r w:rsidRPr="00131EED">
        <w:rPr>
          <w:rFonts w:ascii="Baskerville Old Face" w:hAnsi="Baskerville Old Face"/>
          <w:i w:val="0"/>
          <w:color w:val="auto"/>
          <w:sz w:val="20"/>
          <w:szCs w:val="20"/>
        </w:rPr>
        <w:t xml:space="preserve"> y ORARBO </w:t>
      </w:r>
      <w:sdt>
        <w:sdtPr>
          <w:rPr>
            <w:rFonts w:ascii="Baskerville Old Face" w:hAnsi="Baskerville Old Face"/>
            <w:i w:val="0"/>
            <w:color w:val="auto"/>
            <w:sz w:val="20"/>
            <w:szCs w:val="20"/>
          </w:rPr>
          <w:id w:val="-1995094609"/>
          <w:citation/>
        </w:sdtPr>
        <w:sdtEndPr/>
        <w:sdtContent>
          <w:r w:rsidRPr="00131EED">
            <w:rPr>
              <w:rFonts w:ascii="Baskerville Old Face" w:hAnsi="Baskerville Old Face"/>
              <w:i w:val="0"/>
              <w:color w:val="auto"/>
              <w:sz w:val="20"/>
              <w:szCs w:val="20"/>
            </w:rPr>
            <w:fldChar w:fldCharType="begin"/>
          </w:r>
          <w:r w:rsidRPr="00131EED">
            <w:rPr>
              <w:rFonts w:ascii="Baskerville Old Face" w:hAnsi="Baskerville Old Face"/>
              <w:i w:val="0"/>
              <w:color w:val="auto"/>
              <w:sz w:val="20"/>
              <w:szCs w:val="20"/>
            </w:rPr>
            <w:instrText xml:space="preserve">CITATION ORA \n  \t  \l 3082 </w:instrText>
          </w:r>
          <w:r w:rsidRPr="00131EED">
            <w:rPr>
              <w:rFonts w:ascii="Baskerville Old Face" w:hAnsi="Baskerville Old Face"/>
              <w:i w:val="0"/>
              <w:color w:val="auto"/>
              <w:sz w:val="20"/>
              <w:szCs w:val="20"/>
            </w:rPr>
            <w:fldChar w:fldCharType="separate"/>
          </w:r>
          <w:r w:rsidRPr="00131EED">
            <w:rPr>
              <w:rFonts w:ascii="Baskerville Old Face" w:hAnsi="Baskerville Old Face"/>
              <w:color w:val="auto"/>
              <w:sz w:val="20"/>
              <w:szCs w:val="20"/>
            </w:rPr>
            <w:t>(2023)</w:t>
          </w:r>
          <w:r w:rsidRPr="00131EED">
            <w:rPr>
              <w:rFonts w:ascii="Baskerville Old Face" w:hAnsi="Baskerville Old Face"/>
              <w:i w:val="0"/>
              <w:color w:val="auto"/>
              <w:sz w:val="20"/>
              <w:szCs w:val="20"/>
            </w:rPr>
            <w:fldChar w:fldCharType="end"/>
          </w:r>
        </w:sdtContent>
      </w:sdt>
    </w:p>
    <w:p w14:paraId="4117C5B1" w14:textId="0E4BB13B" w:rsidR="006D5B6F" w:rsidRPr="00131EED" w:rsidRDefault="006D5B6F" w:rsidP="006845C5">
      <w:pPr>
        <w:rPr>
          <w:i/>
          <w:sz w:val="36"/>
        </w:rPr>
      </w:pPr>
    </w:p>
    <w:p w14:paraId="6B21668A" w14:textId="77777777" w:rsidR="00E7556C" w:rsidRPr="00131EED" w:rsidRDefault="00E7556C">
      <w:pPr>
        <w:spacing w:after="200" w:line="276" w:lineRule="auto"/>
        <w:jc w:val="left"/>
        <w:rPr>
          <w:rFonts w:ascii="Arial" w:eastAsia="Calibri" w:hAnsi="Arial" w:cs="Arial"/>
          <w:i/>
          <w:iCs/>
          <w:color w:val="44546A"/>
          <w:sz w:val="18"/>
          <w:szCs w:val="18"/>
          <w:lang w:eastAsia="en-US"/>
        </w:rPr>
      </w:pPr>
      <w:bookmarkStart w:id="463" w:name="_Ref160996397"/>
      <w:bookmarkStart w:id="464" w:name="_Toc162340792"/>
      <w:r w:rsidRPr="00131EED">
        <w:br w:type="page"/>
      </w:r>
    </w:p>
    <w:p w14:paraId="521FA884" w14:textId="2DFB1E1C" w:rsidR="00CC5A4D" w:rsidRPr="00131EED" w:rsidRDefault="00CC5A4D" w:rsidP="00D873B5">
      <w:pPr>
        <w:pStyle w:val="Caption"/>
        <w:jc w:val="center"/>
      </w:pPr>
      <w:bookmarkStart w:id="465" w:name="_Toc216468995"/>
      <w:r w:rsidRPr="00131EED">
        <w:t xml:space="preserve">Tabla </w:t>
      </w:r>
      <w:bookmarkEnd w:id="463"/>
      <w:r w:rsidRPr="00131EED">
        <w:fldChar w:fldCharType="begin"/>
      </w:r>
      <w:r w:rsidRPr="00131EED">
        <w:instrText xml:space="preserve"> SEQ Tabla \* ARABIC </w:instrText>
      </w:r>
      <w:r w:rsidRPr="00131EED">
        <w:fldChar w:fldCharType="separate"/>
      </w:r>
      <w:r w:rsidR="00CE096F">
        <w:rPr>
          <w:noProof/>
        </w:rPr>
        <w:t>85</w:t>
      </w:r>
      <w:r w:rsidRPr="00131EED">
        <w:fldChar w:fldCharType="end"/>
      </w:r>
      <w:r w:rsidRPr="00131EED">
        <w:t>. Datos comparativos del ICA entre los años 2014 y 2023</w:t>
      </w:r>
      <w:bookmarkEnd w:id="464"/>
      <w:bookmarkEnd w:id="465"/>
    </w:p>
    <w:tbl>
      <w:tblPr>
        <w:tblStyle w:val="GridTable1Light"/>
        <w:tblW w:w="0" w:type="auto"/>
        <w:jc w:val="center"/>
        <w:tblLook w:val="04A0" w:firstRow="1" w:lastRow="0" w:firstColumn="1" w:lastColumn="0" w:noHBand="0" w:noVBand="1"/>
      </w:tblPr>
      <w:tblGrid>
        <w:gridCol w:w="1326"/>
        <w:gridCol w:w="1756"/>
        <w:gridCol w:w="1052"/>
        <w:gridCol w:w="905"/>
        <w:gridCol w:w="786"/>
        <w:gridCol w:w="786"/>
        <w:gridCol w:w="786"/>
        <w:gridCol w:w="1431"/>
      </w:tblGrid>
      <w:tr w:rsidR="00CC5A4D" w:rsidRPr="00131EED" w14:paraId="482D5C1B" w14:textId="77777777" w:rsidTr="00053167">
        <w:trPr>
          <w:cnfStyle w:val="100000000000" w:firstRow="1" w:lastRow="0" w:firstColumn="0" w:lastColumn="0" w:oddVBand="0" w:evenVBand="0" w:oddHBand="0" w:evenHBand="0" w:firstRowFirstColumn="0" w:firstRowLastColumn="0" w:lastRowFirstColumn="0" w:lastRowLastColumn="0"/>
          <w:trHeight w:val="144"/>
          <w:tblHeader/>
          <w:jc w:val="center"/>
        </w:trPr>
        <w:tc>
          <w:tcPr>
            <w:cnfStyle w:val="001000000000" w:firstRow="0" w:lastRow="0" w:firstColumn="1" w:lastColumn="0" w:oddVBand="0" w:evenVBand="0" w:oddHBand="0" w:evenHBand="0" w:firstRowFirstColumn="0" w:firstRowLastColumn="0" w:lastRowFirstColumn="0" w:lastRowLastColumn="0"/>
            <w:tcW w:w="1026" w:type="dxa"/>
            <w:vMerge w:val="restart"/>
            <w:vAlign w:val="center"/>
          </w:tcPr>
          <w:p w14:paraId="2390B123" w14:textId="77777777" w:rsidR="00CC5A4D" w:rsidRPr="00131EED" w:rsidRDefault="00CC5A4D" w:rsidP="002241D7">
            <w:pPr>
              <w:jc w:val="center"/>
              <w:rPr>
                <w:rFonts w:cs="Arial"/>
                <w:sz w:val="20"/>
                <w:szCs w:val="20"/>
              </w:rPr>
            </w:pPr>
            <w:r w:rsidRPr="00131EED">
              <w:rPr>
                <w:rFonts w:cs="Arial"/>
                <w:sz w:val="20"/>
                <w:szCs w:val="20"/>
              </w:rPr>
              <w:t>MUNICIPIO</w:t>
            </w:r>
          </w:p>
        </w:tc>
        <w:tc>
          <w:tcPr>
            <w:tcW w:w="1929" w:type="dxa"/>
            <w:vMerge w:val="restart"/>
            <w:vAlign w:val="center"/>
          </w:tcPr>
          <w:p w14:paraId="00E855C0" w14:textId="77777777" w:rsidR="00CC5A4D" w:rsidRPr="00131EED" w:rsidRDefault="00CC5A4D" w:rsidP="002241D7">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ESTACIÓN</w:t>
            </w:r>
          </w:p>
        </w:tc>
        <w:tc>
          <w:tcPr>
            <w:tcW w:w="1962" w:type="dxa"/>
            <w:gridSpan w:val="2"/>
            <w:vAlign w:val="center"/>
          </w:tcPr>
          <w:p w14:paraId="6C2E458B" w14:textId="77777777" w:rsidR="00CC5A4D" w:rsidRPr="00131EED" w:rsidRDefault="00CC5A4D" w:rsidP="002241D7">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COORDENADAS CTM 12</w:t>
            </w:r>
          </w:p>
        </w:tc>
        <w:tc>
          <w:tcPr>
            <w:tcW w:w="841" w:type="dxa"/>
            <w:vMerge w:val="restart"/>
            <w:vAlign w:val="center"/>
          </w:tcPr>
          <w:p w14:paraId="462ED870" w14:textId="77777777" w:rsidR="00CC5A4D" w:rsidRPr="00131EED" w:rsidRDefault="00CC5A4D" w:rsidP="002241D7">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ICA AÑO 2014</w:t>
            </w:r>
          </w:p>
        </w:tc>
        <w:tc>
          <w:tcPr>
            <w:tcW w:w="840" w:type="dxa"/>
            <w:vMerge w:val="restart"/>
            <w:vAlign w:val="center"/>
          </w:tcPr>
          <w:p w14:paraId="0E321822" w14:textId="77777777" w:rsidR="00CC5A4D" w:rsidRPr="00131EED" w:rsidRDefault="00CC5A4D" w:rsidP="002241D7">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ICA AÑO 2021</w:t>
            </w:r>
          </w:p>
        </w:tc>
        <w:tc>
          <w:tcPr>
            <w:tcW w:w="841" w:type="dxa"/>
            <w:vMerge w:val="restart"/>
            <w:vAlign w:val="center"/>
          </w:tcPr>
          <w:p w14:paraId="32D482DB" w14:textId="77777777" w:rsidR="00CC5A4D" w:rsidRPr="00131EED" w:rsidRDefault="00CC5A4D" w:rsidP="002241D7">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ICA AÑO 2023</w:t>
            </w:r>
          </w:p>
        </w:tc>
        <w:tc>
          <w:tcPr>
            <w:tcW w:w="1074" w:type="dxa"/>
            <w:vMerge w:val="restart"/>
            <w:vAlign w:val="center"/>
          </w:tcPr>
          <w:p w14:paraId="1DACCF5F" w14:textId="77777777" w:rsidR="00CC5A4D" w:rsidRPr="00131EED" w:rsidRDefault="00CC5A4D" w:rsidP="002241D7">
            <w:pPr>
              <w:jc w:val="center"/>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131EED">
              <w:rPr>
                <w:rFonts w:cs="Arial"/>
                <w:sz w:val="20"/>
                <w:szCs w:val="20"/>
              </w:rPr>
              <w:t>EVOLUCIÓN</w:t>
            </w:r>
          </w:p>
          <w:p w14:paraId="099C31C1" w14:textId="77777777" w:rsidR="00CC5A4D" w:rsidRPr="00131EED" w:rsidRDefault="00CC5A4D" w:rsidP="002241D7">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TEMPORAL</w:t>
            </w:r>
          </w:p>
        </w:tc>
      </w:tr>
      <w:tr w:rsidR="00CC5A4D" w:rsidRPr="00131EED" w14:paraId="31CCF4F8" w14:textId="77777777" w:rsidTr="00053167">
        <w:trPr>
          <w:cnfStyle w:val="100000000000" w:firstRow="1" w:lastRow="0" w:firstColumn="0" w:lastColumn="0" w:oddVBand="0" w:evenVBand="0" w:oddHBand="0" w:evenHBand="0" w:firstRowFirstColumn="0" w:firstRowLastColumn="0" w:lastRowFirstColumn="0" w:lastRowLastColumn="0"/>
          <w:trHeight w:val="144"/>
          <w:tblHeader/>
          <w:jc w:val="center"/>
        </w:trPr>
        <w:tc>
          <w:tcPr>
            <w:cnfStyle w:val="001000000000" w:firstRow="0" w:lastRow="0" w:firstColumn="1" w:lastColumn="0" w:oddVBand="0" w:evenVBand="0" w:oddHBand="0" w:evenHBand="0" w:firstRowFirstColumn="0" w:firstRowLastColumn="0" w:lastRowFirstColumn="0" w:lastRowLastColumn="0"/>
            <w:tcW w:w="1026" w:type="dxa"/>
            <w:vMerge/>
            <w:vAlign w:val="center"/>
          </w:tcPr>
          <w:p w14:paraId="0F334AFB" w14:textId="77777777" w:rsidR="00CC5A4D" w:rsidRPr="00131EED" w:rsidRDefault="00CC5A4D" w:rsidP="00B60DA2">
            <w:pPr>
              <w:rPr>
                <w:rFonts w:cs="Arial"/>
                <w:sz w:val="20"/>
                <w:szCs w:val="20"/>
              </w:rPr>
            </w:pPr>
          </w:p>
        </w:tc>
        <w:tc>
          <w:tcPr>
            <w:tcW w:w="1929" w:type="dxa"/>
            <w:vMerge/>
            <w:vAlign w:val="center"/>
          </w:tcPr>
          <w:p w14:paraId="3DD04A7D" w14:textId="77777777" w:rsidR="00CC5A4D" w:rsidRPr="00131EED" w:rsidRDefault="00CC5A4D" w:rsidP="00B60DA2">
            <w:pPr>
              <w:cnfStyle w:val="100000000000" w:firstRow="1" w:lastRow="0" w:firstColumn="0" w:lastColumn="0" w:oddVBand="0" w:evenVBand="0" w:oddHBand="0" w:evenHBand="0" w:firstRowFirstColumn="0" w:firstRowLastColumn="0" w:lastRowFirstColumn="0" w:lastRowLastColumn="0"/>
              <w:rPr>
                <w:rFonts w:cs="Arial"/>
                <w:sz w:val="20"/>
                <w:szCs w:val="20"/>
              </w:rPr>
            </w:pPr>
          </w:p>
        </w:tc>
        <w:tc>
          <w:tcPr>
            <w:tcW w:w="1121" w:type="dxa"/>
            <w:vAlign w:val="center"/>
          </w:tcPr>
          <w:p w14:paraId="7AC665F0" w14:textId="77777777" w:rsidR="00CC5A4D" w:rsidRPr="00131EED" w:rsidRDefault="00CC5A4D" w:rsidP="00B60DA2">
            <w:pP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Este</w:t>
            </w:r>
          </w:p>
        </w:tc>
        <w:tc>
          <w:tcPr>
            <w:tcW w:w="840" w:type="dxa"/>
            <w:vAlign w:val="center"/>
          </w:tcPr>
          <w:p w14:paraId="2841A1CC" w14:textId="77777777" w:rsidR="00CC5A4D" w:rsidRPr="00131EED" w:rsidRDefault="00CC5A4D" w:rsidP="00B60DA2">
            <w:pPr>
              <w:cnfStyle w:val="100000000000" w:firstRow="1"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Norte</w:t>
            </w:r>
          </w:p>
        </w:tc>
        <w:tc>
          <w:tcPr>
            <w:tcW w:w="841" w:type="dxa"/>
            <w:vMerge/>
            <w:vAlign w:val="center"/>
          </w:tcPr>
          <w:p w14:paraId="78E8E174" w14:textId="77777777" w:rsidR="00CC5A4D" w:rsidRPr="00131EED" w:rsidRDefault="00CC5A4D" w:rsidP="00B60DA2">
            <w:pPr>
              <w:cnfStyle w:val="100000000000" w:firstRow="1" w:lastRow="0" w:firstColumn="0" w:lastColumn="0" w:oddVBand="0" w:evenVBand="0" w:oddHBand="0" w:evenHBand="0" w:firstRowFirstColumn="0" w:firstRowLastColumn="0" w:lastRowFirstColumn="0" w:lastRowLastColumn="0"/>
              <w:rPr>
                <w:rFonts w:cs="Arial"/>
                <w:sz w:val="20"/>
                <w:szCs w:val="20"/>
              </w:rPr>
            </w:pPr>
          </w:p>
        </w:tc>
        <w:tc>
          <w:tcPr>
            <w:tcW w:w="840" w:type="dxa"/>
            <w:vMerge/>
            <w:vAlign w:val="center"/>
          </w:tcPr>
          <w:p w14:paraId="191E10E2" w14:textId="77777777" w:rsidR="00CC5A4D" w:rsidRPr="00131EED" w:rsidRDefault="00CC5A4D" w:rsidP="00B60DA2">
            <w:pPr>
              <w:cnfStyle w:val="100000000000" w:firstRow="1" w:lastRow="0" w:firstColumn="0" w:lastColumn="0" w:oddVBand="0" w:evenVBand="0" w:oddHBand="0" w:evenHBand="0" w:firstRowFirstColumn="0" w:firstRowLastColumn="0" w:lastRowFirstColumn="0" w:lastRowLastColumn="0"/>
              <w:rPr>
                <w:rFonts w:cs="Arial"/>
                <w:sz w:val="20"/>
                <w:szCs w:val="20"/>
              </w:rPr>
            </w:pPr>
          </w:p>
        </w:tc>
        <w:tc>
          <w:tcPr>
            <w:tcW w:w="841" w:type="dxa"/>
            <w:vMerge/>
            <w:vAlign w:val="center"/>
          </w:tcPr>
          <w:p w14:paraId="317A7DC0" w14:textId="77777777" w:rsidR="00CC5A4D" w:rsidRPr="00131EED" w:rsidRDefault="00CC5A4D" w:rsidP="00B60DA2">
            <w:pPr>
              <w:cnfStyle w:val="100000000000" w:firstRow="1" w:lastRow="0" w:firstColumn="0" w:lastColumn="0" w:oddVBand="0" w:evenVBand="0" w:oddHBand="0" w:evenHBand="0" w:firstRowFirstColumn="0" w:firstRowLastColumn="0" w:lastRowFirstColumn="0" w:lastRowLastColumn="0"/>
              <w:rPr>
                <w:rFonts w:cs="Arial"/>
                <w:sz w:val="20"/>
                <w:szCs w:val="20"/>
              </w:rPr>
            </w:pPr>
          </w:p>
        </w:tc>
        <w:tc>
          <w:tcPr>
            <w:tcW w:w="1074" w:type="dxa"/>
            <w:vMerge/>
            <w:vAlign w:val="center"/>
          </w:tcPr>
          <w:p w14:paraId="43370BD0" w14:textId="77777777" w:rsidR="00CC5A4D" w:rsidRPr="00131EED" w:rsidRDefault="00CC5A4D" w:rsidP="00B60DA2">
            <w:pPr>
              <w:cnfStyle w:val="100000000000" w:firstRow="1" w:lastRow="0" w:firstColumn="0" w:lastColumn="0" w:oddVBand="0" w:evenVBand="0" w:oddHBand="0" w:evenHBand="0" w:firstRowFirstColumn="0" w:firstRowLastColumn="0" w:lastRowFirstColumn="0" w:lastRowLastColumn="0"/>
              <w:rPr>
                <w:rFonts w:cs="Arial"/>
                <w:sz w:val="20"/>
                <w:szCs w:val="20"/>
              </w:rPr>
            </w:pPr>
          </w:p>
        </w:tc>
      </w:tr>
      <w:tr w:rsidR="00CC5A4D" w:rsidRPr="00131EED" w14:paraId="4BAAD8C7" w14:textId="77777777" w:rsidTr="00053167">
        <w:trPr>
          <w:trHeight w:val="387"/>
          <w:jc w:val="center"/>
        </w:trPr>
        <w:tc>
          <w:tcPr>
            <w:cnfStyle w:val="001000000000" w:firstRow="0" w:lastRow="0" w:firstColumn="1" w:lastColumn="0" w:oddVBand="0" w:evenVBand="0" w:oddHBand="0" w:evenHBand="0" w:firstRowFirstColumn="0" w:firstRowLastColumn="0" w:lastRowFirstColumn="0" w:lastRowLastColumn="0"/>
            <w:tcW w:w="1026" w:type="dxa"/>
            <w:vMerge w:val="restart"/>
            <w:vAlign w:val="center"/>
          </w:tcPr>
          <w:p w14:paraId="1EDE8FBC" w14:textId="77777777" w:rsidR="00CC5A4D" w:rsidRPr="00131EED" w:rsidRDefault="00CC5A4D" w:rsidP="00B60DA2">
            <w:pPr>
              <w:rPr>
                <w:rFonts w:cs="Arial"/>
                <w:b w:val="0"/>
                <w:sz w:val="20"/>
                <w:szCs w:val="20"/>
              </w:rPr>
            </w:pPr>
            <w:r w:rsidRPr="00131EED">
              <w:rPr>
                <w:rFonts w:cs="Arial"/>
                <w:b w:val="0"/>
                <w:sz w:val="20"/>
                <w:szCs w:val="20"/>
              </w:rPr>
              <w:t>Villapinzón</w:t>
            </w:r>
          </w:p>
        </w:tc>
        <w:tc>
          <w:tcPr>
            <w:tcW w:w="1929" w:type="dxa"/>
            <w:vAlign w:val="center"/>
          </w:tcPr>
          <w:p w14:paraId="5B3CD744"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Aguas arriba Villapinzón - AAV</w:t>
            </w:r>
          </w:p>
        </w:tc>
        <w:tc>
          <w:tcPr>
            <w:tcW w:w="1121" w:type="dxa"/>
            <w:vAlign w:val="center"/>
          </w:tcPr>
          <w:p w14:paraId="481B3FD8"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2136665</w:t>
            </w:r>
          </w:p>
        </w:tc>
        <w:tc>
          <w:tcPr>
            <w:tcW w:w="840" w:type="dxa"/>
            <w:vAlign w:val="center"/>
          </w:tcPr>
          <w:p w14:paraId="586D09C6"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4935724</w:t>
            </w:r>
          </w:p>
        </w:tc>
        <w:tc>
          <w:tcPr>
            <w:tcW w:w="841" w:type="dxa"/>
            <w:shd w:val="clear" w:color="auto" w:fill="A8D08D" w:themeFill="accent6" w:themeFillTint="99"/>
            <w:vAlign w:val="center"/>
          </w:tcPr>
          <w:p w14:paraId="6A1CD5A2"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0.89</w:t>
            </w:r>
          </w:p>
        </w:tc>
        <w:tc>
          <w:tcPr>
            <w:tcW w:w="840" w:type="dxa"/>
            <w:shd w:val="clear" w:color="auto" w:fill="A8D08D" w:themeFill="accent6" w:themeFillTint="99"/>
            <w:vAlign w:val="center"/>
          </w:tcPr>
          <w:p w14:paraId="6F3C867C"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0.81</w:t>
            </w:r>
          </w:p>
        </w:tc>
        <w:tc>
          <w:tcPr>
            <w:tcW w:w="841" w:type="dxa"/>
            <w:shd w:val="clear" w:color="auto" w:fill="A8D08D" w:themeFill="accent6" w:themeFillTint="99"/>
            <w:vAlign w:val="center"/>
          </w:tcPr>
          <w:p w14:paraId="00002CB3"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0.81</w:t>
            </w:r>
          </w:p>
        </w:tc>
        <w:tc>
          <w:tcPr>
            <w:tcW w:w="1074" w:type="dxa"/>
            <w:vAlign w:val="center"/>
          </w:tcPr>
          <w:p w14:paraId="21BF8700"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609600" behindDoc="0" locked="0" layoutInCell="1" allowOverlap="1" wp14:anchorId="07463029" wp14:editId="69A4D423">
                      <wp:simplePos x="0" y="0"/>
                      <wp:positionH relativeFrom="column">
                        <wp:posOffset>227965</wp:posOffset>
                      </wp:positionH>
                      <wp:positionV relativeFrom="paragraph">
                        <wp:posOffset>5715</wp:posOffset>
                      </wp:positionV>
                      <wp:extent cx="198120" cy="160020"/>
                      <wp:effectExtent l="0" t="0" r="0" b="0"/>
                      <wp:wrapNone/>
                      <wp:docPr id="134956321" name="Diagrama de flujo: combinar 134956321"/>
                      <wp:cNvGraphicFramePr/>
                      <a:graphic xmlns:a="http://schemas.openxmlformats.org/drawingml/2006/main">
                        <a:graphicData uri="http://schemas.microsoft.com/office/word/2010/wordprocessingShape">
                          <wps:wsp>
                            <wps:cNvSpPr/>
                            <wps:spPr>
                              <a:xfrm>
                                <a:off x="0" y="0"/>
                                <a:ext cx="198120" cy="160020"/>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B9ED8B" id="_x0000_t128" coordsize="21600,21600" o:spt="128" path="m,l21600,,10800,21600xe">
                      <v:stroke joinstyle="miter"/>
                      <v:path gradientshapeok="t" o:connecttype="custom" o:connectlocs="10800,0;5400,10800;10800,21600;16200,10800" textboxrect="5400,0,16200,10800"/>
                    </v:shapetype>
                    <v:shape id="Diagrama de flujo: combinar 134956321" o:spid="_x0000_s1026" type="#_x0000_t128" style="position:absolute;margin-left:17.95pt;margin-top:.45pt;width:15.6pt;height:12.6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" fillcolor="red" stroked="f" strokeweight="1pt"/>
                  </w:pict>
                </mc:Fallback>
              </mc:AlternateContent>
            </w:r>
          </w:p>
        </w:tc>
      </w:tr>
      <w:tr w:rsidR="00CC5A4D" w:rsidRPr="00131EED" w14:paraId="25C43A1D" w14:textId="77777777" w:rsidTr="00053167">
        <w:trPr>
          <w:trHeight w:val="387"/>
          <w:jc w:val="center"/>
        </w:trPr>
        <w:tc>
          <w:tcPr>
            <w:cnfStyle w:val="001000000000" w:firstRow="0" w:lastRow="0" w:firstColumn="1" w:lastColumn="0" w:oddVBand="0" w:evenVBand="0" w:oddHBand="0" w:evenHBand="0" w:firstRowFirstColumn="0" w:firstRowLastColumn="0" w:lastRowFirstColumn="0" w:lastRowLastColumn="0"/>
            <w:tcW w:w="1026" w:type="dxa"/>
            <w:vMerge/>
            <w:vAlign w:val="center"/>
          </w:tcPr>
          <w:p w14:paraId="744B2062" w14:textId="77777777" w:rsidR="00CC5A4D" w:rsidRPr="00131EED" w:rsidRDefault="00CC5A4D" w:rsidP="00B60DA2">
            <w:pPr>
              <w:rPr>
                <w:rFonts w:cs="Arial"/>
                <w:b w:val="0"/>
                <w:sz w:val="20"/>
                <w:szCs w:val="20"/>
              </w:rPr>
            </w:pPr>
          </w:p>
        </w:tc>
        <w:tc>
          <w:tcPr>
            <w:tcW w:w="1929" w:type="dxa"/>
            <w:vAlign w:val="center"/>
          </w:tcPr>
          <w:p w14:paraId="0126447E"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Puente Villapinzón - ELGPVI</w:t>
            </w:r>
          </w:p>
        </w:tc>
        <w:tc>
          <w:tcPr>
            <w:tcW w:w="1121" w:type="dxa"/>
            <w:vAlign w:val="center"/>
          </w:tcPr>
          <w:p w14:paraId="341E5709"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2135132</w:t>
            </w:r>
          </w:p>
        </w:tc>
        <w:tc>
          <w:tcPr>
            <w:tcW w:w="840" w:type="dxa"/>
            <w:vAlign w:val="center"/>
          </w:tcPr>
          <w:p w14:paraId="0AFDD621"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4934396</w:t>
            </w:r>
          </w:p>
        </w:tc>
        <w:tc>
          <w:tcPr>
            <w:tcW w:w="841" w:type="dxa"/>
            <w:shd w:val="clear" w:color="auto" w:fill="FFFF00"/>
            <w:vAlign w:val="center"/>
          </w:tcPr>
          <w:p w14:paraId="470C7782"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0.61</w:t>
            </w:r>
          </w:p>
        </w:tc>
        <w:tc>
          <w:tcPr>
            <w:tcW w:w="840" w:type="dxa"/>
            <w:shd w:val="clear" w:color="auto" w:fill="FFFF00"/>
            <w:vAlign w:val="center"/>
          </w:tcPr>
          <w:p w14:paraId="44518B4F"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0.69</w:t>
            </w:r>
          </w:p>
        </w:tc>
        <w:tc>
          <w:tcPr>
            <w:tcW w:w="841" w:type="dxa"/>
            <w:shd w:val="clear" w:color="auto" w:fill="FF9900"/>
            <w:vAlign w:val="center"/>
          </w:tcPr>
          <w:p w14:paraId="075A2607"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0.36</w:t>
            </w:r>
          </w:p>
        </w:tc>
        <w:tc>
          <w:tcPr>
            <w:tcW w:w="1074" w:type="dxa"/>
            <w:vAlign w:val="center"/>
          </w:tcPr>
          <w:p w14:paraId="2871833B"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613696" behindDoc="0" locked="0" layoutInCell="1" allowOverlap="1" wp14:anchorId="16F65A83" wp14:editId="736B2578">
                      <wp:simplePos x="0" y="0"/>
                      <wp:positionH relativeFrom="column">
                        <wp:posOffset>227330</wp:posOffset>
                      </wp:positionH>
                      <wp:positionV relativeFrom="paragraph">
                        <wp:posOffset>-1270</wp:posOffset>
                      </wp:positionV>
                      <wp:extent cx="198120" cy="160020"/>
                      <wp:effectExtent l="0" t="0" r="0" b="0"/>
                      <wp:wrapNone/>
                      <wp:docPr id="926085092" name="Diagrama de flujo: combinar 926085092"/>
                      <wp:cNvGraphicFramePr/>
                      <a:graphic xmlns:a="http://schemas.openxmlformats.org/drawingml/2006/main">
                        <a:graphicData uri="http://schemas.microsoft.com/office/word/2010/wordprocessingShape">
                          <wps:wsp>
                            <wps:cNvSpPr/>
                            <wps:spPr>
                              <a:xfrm>
                                <a:off x="0" y="0"/>
                                <a:ext cx="198120" cy="160020"/>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BD6833" id="Diagrama de flujo: combinar 926085092" o:spid="_x0000_s1026" type="#_x0000_t128" style="position:absolute;margin-left:17.9pt;margin-top:-.1pt;width:15.6pt;height:12.6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" fillcolor="red" stroked="f" strokeweight="1pt"/>
                  </w:pict>
                </mc:Fallback>
              </mc:AlternateContent>
            </w:r>
          </w:p>
        </w:tc>
      </w:tr>
      <w:tr w:rsidR="00CC5A4D" w:rsidRPr="00131EED" w14:paraId="161B3928" w14:textId="77777777" w:rsidTr="00053167">
        <w:trPr>
          <w:trHeight w:val="387"/>
          <w:jc w:val="center"/>
        </w:trPr>
        <w:tc>
          <w:tcPr>
            <w:cnfStyle w:val="001000000000" w:firstRow="0" w:lastRow="0" w:firstColumn="1" w:lastColumn="0" w:oddVBand="0" w:evenVBand="0" w:oddHBand="0" w:evenHBand="0" w:firstRowFirstColumn="0" w:firstRowLastColumn="0" w:lastRowFirstColumn="0" w:lastRowLastColumn="0"/>
            <w:tcW w:w="1026" w:type="dxa"/>
            <w:vMerge/>
            <w:vAlign w:val="center"/>
          </w:tcPr>
          <w:p w14:paraId="73F62F8B" w14:textId="77777777" w:rsidR="00CC5A4D" w:rsidRPr="00131EED" w:rsidRDefault="00CC5A4D" w:rsidP="00B60DA2">
            <w:pPr>
              <w:rPr>
                <w:rFonts w:cs="Arial"/>
                <w:b w:val="0"/>
                <w:sz w:val="20"/>
                <w:szCs w:val="20"/>
              </w:rPr>
            </w:pPr>
          </w:p>
        </w:tc>
        <w:tc>
          <w:tcPr>
            <w:tcW w:w="1929" w:type="dxa"/>
            <w:vAlign w:val="center"/>
          </w:tcPr>
          <w:p w14:paraId="468ACC80"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Estación LM Chingacio</w:t>
            </w:r>
          </w:p>
        </w:tc>
        <w:tc>
          <w:tcPr>
            <w:tcW w:w="1121" w:type="dxa"/>
            <w:vAlign w:val="center"/>
          </w:tcPr>
          <w:p w14:paraId="55D41EA5"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2132027</w:t>
            </w:r>
          </w:p>
        </w:tc>
        <w:tc>
          <w:tcPr>
            <w:tcW w:w="840" w:type="dxa"/>
            <w:vAlign w:val="center"/>
          </w:tcPr>
          <w:p w14:paraId="45A8791B"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4931995</w:t>
            </w:r>
          </w:p>
        </w:tc>
        <w:tc>
          <w:tcPr>
            <w:tcW w:w="841" w:type="dxa"/>
            <w:shd w:val="clear" w:color="auto" w:fill="FFFF00"/>
            <w:vAlign w:val="center"/>
          </w:tcPr>
          <w:p w14:paraId="6B3AE07D"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0.59</w:t>
            </w:r>
          </w:p>
        </w:tc>
        <w:tc>
          <w:tcPr>
            <w:tcW w:w="840" w:type="dxa"/>
            <w:shd w:val="clear" w:color="auto" w:fill="FFFF00"/>
            <w:vAlign w:val="center"/>
          </w:tcPr>
          <w:p w14:paraId="4CC319E3"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0.63</w:t>
            </w:r>
          </w:p>
        </w:tc>
        <w:tc>
          <w:tcPr>
            <w:tcW w:w="841" w:type="dxa"/>
            <w:shd w:val="clear" w:color="auto" w:fill="FFFF00"/>
            <w:vAlign w:val="center"/>
          </w:tcPr>
          <w:p w14:paraId="73C50AAE"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0.62</w:t>
            </w:r>
          </w:p>
        </w:tc>
        <w:tc>
          <w:tcPr>
            <w:tcW w:w="1074" w:type="dxa"/>
            <w:vAlign w:val="center"/>
          </w:tcPr>
          <w:p w14:paraId="6937A0A8"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617792" behindDoc="0" locked="0" layoutInCell="1" allowOverlap="1" wp14:anchorId="504AE8D9" wp14:editId="708955DE">
                      <wp:simplePos x="0" y="0"/>
                      <wp:positionH relativeFrom="column">
                        <wp:posOffset>219710</wp:posOffset>
                      </wp:positionH>
                      <wp:positionV relativeFrom="paragraph">
                        <wp:posOffset>9525</wp:posOffset>
                      </wp:positionV>
                      <wp:extent cx="211455" cy="186055"/>
                      <wp:effectExtent l="0" t="0" r="0" b="4445"/>
                      <wp:wrapNone/>
                      <wp:docPr id="1946805911" name="Triángulo isósceles 1946805911"/>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8848A8"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1946805911" o:spid="_x0000_s1026" type="#_x0000_t5" style="position:absolute;margin-left:17.3pt;margin-top:.75pt;width:16.65pt;height:14.6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" fillcolor="#70ad47 [3209]" stroked="f" strokeweight="1pt"/>
                  </w:pict>
                </mc:Fallback>
              </mc:AlternateContent>
            </w:r>
          </w:p>
        </w:tc>
      </w:tr>
      <w:tr w:rsidR="00CC5A4D" w:rsidRPr="00131EED" w14:paraId="3FC89B90" w14:textId="77777777" w:rsidTr="00053167">
        <w:trPr>
          <w:trHeight w:val="258"/>
          <w:jc w:val="center"/>
        </w:trPr>
        <w:tc>
          <w:tcPr>
            <w:cnfStyle w:val="001000000000" w:firstRow="0" w:lastRow="0" w:firstColumn="1" w:lastColumn="0" w:oddVBand="0" w:evenVBand="0" w:oddHBand="0" w:evenHBand="0" w:firstRowFirstColumn="0" w:firstRowLastColumn="0" w:lastRowFirstColumn="0" w:lastRowLastColumn="0"/>
            <w:tcW w:w="1026" w:type="dxa"/>
            <w:vMerge w:val="restart"/>
            <w:vAlign w:val="center"/>
          </w:tcPr>
          <w:p w14:paraId="2D6C6B21" w14:textId="77777777" w:rsidR="00CC5A4D" w:rsidRPr="00131EED" w:rsidRDefault="00CC5A4D" w:rsidP="00B60DA2">
            <w:pPr>
              <w:rPr>
                <w:rFonts w:cs="Arial"/>
                <w:b w:val="0"/>
                <w:sz w:val="20"/>
                <w:szCs w:val="20"/>
              </w:rPr>
            </w:pPr>
            <w:r w:rsidRPr="00131EED">
              <w:rPr>
                <w:rFonts w:cs="Arial"/>
                <w:b w:val="0"/>
                <w:sz w:val="20"/>
                <w:szCs w:val="20"/>
              </w:rPr>
              <w:t>Chocontá</w:t>
            </w:r>
          </w:p>
        </w:tc>
        <w:tc>
          <w:tcPr>
            <w:tcW w:w="1929" w:type="dxa"/>
            <w:vAlign w:val="center"/>
          </w:tcPr>
          <w:p w14:paraId="3356A249"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Puente vía Telecom</w:t>
            </w:r>
          </w:p>
        </w:tc>
        <w:tc>
          <w:tcPr>
            <w:tcW w:w="1121" w:type="dxa"/>
            <w:vAlign w:val="center"/>
          </w:tcPr>
          <w:p w14:paraId="1D9CA76F"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2127429</w:t>
            </w:r>
          </w:p>
        </w:tc>
        <w:tc>
          <w:tcPr>
            <w:tcW w:w="840" w:type="dxa"/>
            <w:vAlign w:val="center"/>
          </w:tcPr>
          <w:p w14:paraId="1DD009CB"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4924741</w:t>
            </w:r>
          </w:p>
        </w:tc>
        <w:tc>
          <w:tcPr>
            <w:tcW w:w="841" w:type="dxa"/>
            <w:shd w:val="clear" w:color="auto" w:fill="FFFF00"/>
            <w:vAlign w:val="center"/>
          </w:tcPr>
          <w:p w14:paraId="51147AA0"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0.59</w:t>
            </w:r>
          </w:p>
        </w:tc>
        <w:tc>
          <w:tcPr>
            <w:tcW w:w="840" w:type="dxa"/>
            <w:shd w:val="clear" w:color="auto" w:fill="FF9900"/>
            <w:vAlign w:val="center"/>
          </w:tcPr>
          <w:p w14:paraId="19B129B7"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0.40</w:t>
            </w:r>
          </w:p>
        </w:tc>
        <w:tc>
          <w:tcPr>
            <w:tcW w:w="841" w:type="dxa"/>
            <w:shd w:val="clear" w:color="auto" w:fill="FF9900"/>
            <w:vAlign w:val="center"/>
          </w:tcPr>
          <w:p w14:paraId="3C99FFF0"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0.35</w:t>
            </w:r>
          </w:p>
        </w:tc>
        <w:tc>
          <w:tcPr>
            <w:tcW w:w="1074" w:type="dxa"/>
            <w:vAlign w:val="center"/>
          </w:tcPr>
          <w:p w14:paraId="7AFC6556"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658752" behindDoc="0" locked="0" layoutInCell="1" allowOverlap="1" wp14:anchorId="269CA6EF" wp14:editId="78E05DEF">
                      <wp:simplePos x="0" y="0"/>
                      <wp:positionH relativeFrom="column">
                        <wp:posOffset>220345</wp:posOffset>
                      </wp:positionH>
                      <wp:positionV relativeFrom="paragraph">
                        <wp:posOffset>21590</wp:posOffset>
                      </wp:positionV>
                      <wp:extent cx="198120" cy="160020"/>
                      <wp:effectExtent l="0" t="0" r="0" b="0"/>
                      <wp:wrapNone/>
                      <wp:docPr id="27" name="Diagrama de flujo: combinar 27"/>
                      <wp:cNvGraphicFramePr/>
                      <a:graphic xmlns:a="http://schemas.openxmlformats.org/drawingml/2006/main">
                        <a:graphicData uri="http://schemas.microsoft.com/office/word/2010/wordprocessingShape">
                          <wps:wsp>
                            <wps:cNvSpPr/>
                            <wps:spPr>
                              <a:xfrm>
                                <a:off x="0" y="0"/>
                                <a:ext cx="198120" cy="160020"/>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99D8A5" id="Diagrama de flujo: combinar 27" o:spid="_x0000_s1026" type="#_x0000_t128" style="position:absolute;margin-left:17.35pt;margin-top:1.7pt;width:15.6pt;height:12.6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" fillcolor="red" stroked="f" strokeweight="1pt"/>
                  </w:pict>
                </mc:Fallback>
              </mc:AlternateContent>
            </w:r>
          </w:p>
        </w:tc>
      </w:tr>
      <w:tr w:rsidR="00CC5A4D" w:rsidRPr="00131EED" w14:paraId="5F7000E1" w14:textId="77777777" w:rsidTr="00053167">
        <w:trPr>
          <w:trHeight w:val="258"/>
          <w:jc w:val="center"/>
        </w:trPr>
        <w:tc>
          <w:tcPr>
            <w:cnfStyle w:val="001000000000" w:firstRow="0" w:lastRow="0" w:firstColumn="1" w:lastColumn="0" w:oddVBand="0" w:evenVBand="0" w:oddHBand="0" w:evenHBand="0" w:firstRowFirstColumn="0" w:firstRowLastColumn="0" w:lastRowFirstColumn="0" w:lastRowLastColumn="0"/>
            <w:tcW w:w="1026" w:type="dxa"/>
            <w:vMerge/>
            <w:vAlign w:val="center"/>
          </w:tcPr>
          <w:p w14:paraId="0E04BEF4" w14:textId="77777777" w:rsidR="00CC5A4D" w:rsidRPr="00131EED" w:rsidRDefault="00CC5A4D" w:rsidP="00B60DA2">
            <w:pPr>
              <w:rPr>
                <w:rFonts w:cs="Arial"/>
                <w:b w:val="0"/>
                <w:sz w:val="20"/>
                <w:szCs w:val="20"/>
              </w:rPr>
            </w:pPr>
          </w:p>
        </w:tc>
        <w:tc>
          <w:tcPr>
            <w:tcW w:w="1929" w:type="dxa"/>
            <w:vAlign w:val="center"/>
          </w:tcPr>
          <w:p w14:paraId="671E4FBC"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Aguas abajo municipio Chocontá</w:t>
            </w:r>
          </w:p>
        </w:tc>
        <w:tc>
          <w:tcPr>
            <w:tcW w:w="1121" w:type="dxa"/>
            <w:vAlign w:val="center"/>
          </w:tcPr>
          <w:p w14:paraId="10E5C8E0"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2125901</w:t>
            </w:r>
          </w:p>
        </w:tc>
        <w:tc>
          <w:tcPr>
            <w:tcW w:w="840" w:type="dxa"/>
            <w:vAlign w:val="center"/>
          </w:tcPr>
          <w:p w14:paraId="5A57EA3A"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4922563</w:t>
            </w:r>
          </w:p>
        </w:tc>
        <w:tc>
          <w:tcPr>
            <w:tcW w:w="841" w:type="dxa"/>
            <w:shd w:val="clear" w:color="auto" w:fill="FFFF00"/>
            <w:vAlign w:val="center"/>
          </w:tcPr>
          <w:p w14:paraId="79C19D64"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0.55</w:t>
            </w:r>
          </w:p>
        </w:tc>
        <w:tc>
          <w:tcPr>
            <w:tcW w:w="840" w:type="dxa"/>
            <w:shd w:val="clear" w:color="auto" w:fill="FF9900"/>
            <w:vAlign w:val="center"/>
          </w:tcPr>
          <w:p w14:paraId="13BFFBDE"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0.47</w:t>
            </w:r>
          </w:p>
        </w:tc>
        <w:tc>
          <w:tcPr>
            <w:tcW w:w="841" w:type="dxa"/>
            <w:shd w:val="clear" w:color="auto" w:fill="FF9900"/>
            <w:vAlign w:val="center"/>
          </w:tcPr>
          <w:p w14:paraId="472E34E9"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0.46</w:t>
            </w:r>
          </w:p>
        </w:tc>
        <w:tc>
          <w:tcPr>
            <w:tcW w:w="1074" w:type="dxa"/>
            <w:vAlign w:val="center"/>
          </w:tcPr>
          <w:p w14:paraId="52B0B080"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662848" behindDoc="0" locked="0" layoutInCell="1" allowOverlap="1" wp14:anchorId="047FFBBF" wp14:editId="52808BA4">
                      <wp:simplePos x="0" y="0"/>
                      <wp:positionH relativeFrom="column">
                        <wp:posOffset>213360</wp:posOffset>
                      </wp:positionH>
                      <wp:positionV relativeFrom="paragraph">
                        <wp:posOffset>31750</wp:posOffset>
                      </wp:positionV>
                      <wp:extent cx="198120" cy="160020"/>
                      <wp:effectExtent l="0" t="0" r="0" b="0"/>
                      <wp:wrapNone/>
                      <wp:docPr id="36" name="Diagrama de flujo: combinar 36"/>
                      <wp:cNvGraphicFramePr/>
                      <a:graphic xmlns:a="http://schemas.openxmlformats.org/drawingml/2006/main">
                        <a:graphicData uri="http://schemas.microsoft.com/office/word/2010/wordprocessingShape">
                          <wps:wsp>
                            <wps:cNvSpPr/>
                            <wps:spPr>
                              <a:xfrm>
                                <a:off x="0" y="0"/>
                                <a:ext cx="198120" cy="160020"/>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5EE9B9" id="Diagrama de flujo: combinar 36" o:spid="_x0000_s1026" type="#_x0000_t128" style="position:absolute;margin-left:16.8pt;margin-top:2.5pt;width:15.6pt;height:12.6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" fillcolor="red" stroked="f" strokeweight="1pt"/>
                  </w:pict>
                </mc:Fallback>
              </mc:AlternateContent>
            </w:r>
          </w:p>
        </w:tc>
      </w:tr>
      <w:tr w:rsidR="00CC5A4D" w:rsidRPr="00131EED" w14:paraId="071C4D5B" w14:textId="77777777" w:rsidTr="00053167">
        <w:trPr>
          <w:trHeight w:val="258"/>
          <w:jc w:val="center"/>
        </w:trPr>
        <w:tc>
          <w:tcPr>
            <w:cnfStyle w:val="001000000000" w:firstRow="0" w:lastRow="0" w:firstColumn="1" w:lastColumn="0" w:oddVBand="0" w:evenVBand="0" w:oddHBand="0" w:evenHBand="0" w:firstRowFirstColumn="0" w:firstRowLastColumn="0" w:lastRowFirstColumn="0" w:lastRowLastColumn="0"/>
            <w:tcW w:w="1026" w:type="dxa"/>
            <w:vMerge/>
            <w:vAlign w:val="center"/>
          </w:tcPr>
          <w:p w14:paraId="66DEA488" w14:textId="77777777" w:rsidR="00CC5A4D" w:rsidRPr="00131EED" w:rsidRDefault="00CC5A4D" w:rsidP="00B60DA2">
            <w:pPr>
              <w:rPr>
                <w:rFonts w:cs="Arial"/>
                <w:b w:val="0"/>
                <w:sz w:val="20"/>
                <w:szCs w:val="20"/>
              </w:rPr>
            </w:pPr>
          </w:p>
        </w:tc>
        <w:tc>
          <w:tcPr>
            <w:tcW w:w="1929" w:type="dxa"/>
            <w:vAlign w:val="center"/>
          </w:tcPr>
          <w:p w14:paraId="065AEBB9"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Estación LG Saucío</w:t>
            </w:r>
          </w:p>
        </w:tc>
        <w:tc>
          <w:tcPr>
            <w:tcW w:w="1121" w:type="dxa"/>
            <w:vAlign w:val="center"/>
          </w:tcPr>
          <w:p w14:paraId="6911C46A"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2122586</w:t>
            </w:r>
          </w:p>
        </w:tc>
        <w:tc>
          <w:tcPr>
            <w:tcW w:w="840" w:type="dxa"/>
            <w:vAlign w:val="center"/>
          </w:tcPr>
          <w:p w14:paraId="69A8F6CA"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4921746</w:t>
            </w:r>
          </w:p>
        </w:tc>
        <w:tc>
          <w:tcPr>
            <w:tcW w:w="841" w:type="dxa"/>
            <w:shd w:val="clear" w:color="auto" w:fill="FFFF00"/>
            <w:vAlign w:val="center"/>
          </w:tcPr>
          <w:p w14:paraId="12108CE3"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0.59</w:t>
            </w:r>
          </w:p>
        </w:tc>
        <w:tc>
          <w:tcPr>
            <w:tcW w:w="840" w:type="dxa"/>
            <w:shd w:val="clear" w:color="auto" w:fill="FF9900"/>
            <w:vAlign w:val="center"/>
          </w:tcPr>
          <w:p w14:paraId="1FF98A5A"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0.34</w:t>
            </w:r>
          </w:p>
        </w:tc>
        <w:tc>
          <w:tcPr>
            <w:tcW w:w="841" w:type="dxa"/>
            <w:shd w:val="clear" w:color="auto" w:fill="FF9900"/>
            <w:vAlign w:val="center"/>
          </w:tcPr>
          <w:p w14:paraId="433D66C7"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0.46</w:t>
            </w:r>
          </w:p>
        </w:tc>
        <w:tc>
          <w:tcPr>
            <w:tcW w:w="1074" w:type="dxa"/>
            <w:vAlign w:val="center"/>
          </w:tcPr>
          <w:p w14:paraId="259CB018"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666944" behindDoc="0" locked="0" layoutInCell="1" allowOverlap="1" wp14:anchorId="663600CC" wp14:editId="2879E91F">
                      <wp:simplePos x="0" y="0"/>
                      <wp:positionH relativeFrom="column">
                        <wp:posOffset>221615</wp:posOffset>
                      </wp:positionH>
                      <wp:positionV relativeFrom="paragraph">
                        <wp:posOffset>9525</wp:posOffset>
                      </wp:positionV>
                      <wp:extent cx="187325" cy="122555"/>
                      <wp:effectExtent l="0" t="0" r="3175" b="0"/>
                      <wp:wrapNone/>
                      <wp:docPr id="50" name="Diagrama de flujo: combinar 50"/>
                      <wp:cNvGraphicFramePr/>
                      <a:graphic xmlns:a="http://schemas.openxmlformats.org/drawingml/2006/main">
                        <a:graphicData uri="http://schemas.microsoft.com/office/word/2010/wordprocessingShape">
                          <wps:wsp>
                            <wps:cNvSpPr/>
                            <wps:spPr>
                              <a:xfrm>
                                <a:off x="0" y="0"/>
                                <a:ext cx="187325" cy="122555"/>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1BBA6F" id="Diagrama de flujo: combinar 50" o:spid="_x0000_s1026" type="#_x0000_t128" style="position:absolute;margin-left:17.45pt;margin-top:.75pt;width:14.75pt;height:9.6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" fillcolor="red" stroked="f" strokeweight="1pt"/>
                  </w:pict>
                </mc:Fallback>
              </mc:AlternateContent>
            </w:r>
          </w:p>
        </w:tc>
      </w:tr>
      <w:tr w:rsidR="00CC5A4D" w:rsidRPr="00131EED" w14:paraId="5BE951F5" w14:textId="77777777" w:rsidTr="00053167">
        <w:trPr>
          <w:trHeight w:val="264"/>
          <w:jc w:val="center"/>
        </w:trPr>
        <w:tc>
          <w:tcPr>
            <w:cnfStyle w:val="001000000000" w:firstRow="0" w:lastRow="0" w:firstColumn="1" w:lastColumn="0" w:oddVBand="0" w:evenVBand="0" w:oddHBand="0" w:evenHBand="0" w:firstRowFirstColumn="0" w:firstRowLastColumn="0" w:lastRowFirstColumn="0" w:lastRowLastColumn="0"/>
            <w:tcW w:w="1026" w:type="dxa"/>
            <w:vMerge w:val="restart"/>
            <w:vAlign w:val="center"/>
          </w:tcPr>
          <w:p w14:paraId="63D05E38" w14:textId="77777777" w:rsidR="00CC5A4D" w:rsidRPr="00131EED" w:rsidRDefault="00CC5A4D" w:rsidP="00B60DA2">
            <w:pPr>
              <w:rPr>
                <w:rFonts w:cs="Arial"/>
                <w:b w:val="0"/>
                <w:sz w:val="20"/>
                <w:szCs w:val="20"/>
              </w:rPr>
            </w:pPr>
            <w:r w:rsidRPr="00131EED">
              <w:rPr>
                <w:rFonts w:cs="Arial"/>
                <w:b w:val="0"/>
                <w:sz w:val="20"/>
                <w:szCs w:val="20"/>
              </w:rPr>
              <w:t>Suesca</w:t>
            </w:r>
          </w:p>
        </w:tc>
        <w:tc>
          <w:tcPr>
            <w:tcW w:w="1929" w:type="dxa"/>
            <w:vAlign w:val="center"/>
          </w:tcPr>
          <w:p w14:paraId="4BBB7318"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Estación LM Santa Rosita </w:t>
            </w:r>
          </w:p>
        </w:tc>
        <w:tc>
          <w:tcPr>
            <w:tcW w:w="1121" w:type="dxa"/>
            <w:vAlign w:val="center"/>
          </w:tcPr>
          <w:p w14:paraId="713B3702"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2122254</w:t>
            </w:r>
          </w:p>
        </w:tc>
        <w:tc>
          <w:tcPr>
            <w:tcW w:w="840" w:type="dxa"/>
            <w:vAlign w:val="center"/>
          </w:tcPr>
          <w:p w14:paraId="07BA3906"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4916535</w:t>
            </w:r>
          </w:p>
        </w:tc>
        <w:tc>
          <w:tcPr>
            <w:tcW w:w="841" w:type="dxa"/>
            <w:shd w:val="clear" w:color="auto" w:fill="FFFF00"/>
            <w:vAlign w:val="center"/>
          </w:tcPr>
          <w:p w14:paraId="0E2A40DF"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0.60</w:t>
            </w:r>
          </w:p>
        </w:tc>
        <w:tc>
          <w:tcPr>
            <w:tcW w:w="840" w:type="dxa"/>
            <w:shd w:val="clear" w:color="auto" w:fill="FFFF00"/>
            <w:vAlign w:val="center"/>
          </w:tcPr>
          <w:p w14:paraId="06076C81"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0.65</w:t>
            </w:r>
          </w:p>
        </w:tc>
        <w:tc>
          <w:tcPr>
            <w:tcW w:w="841" w:type="dxa"/>
            <w:shd w:val="clear" w:color="auto" w:fill="FFFF00"/>
            <w:vAlign w:val="center"/>
          </w:tcPr>
          <w:p w14:paraId="65DA3AE5"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0.62</w:t>
            </w:r>
          </w:p>
        </w:tc>
        <w:tc>
          <w:tcPr>
            <w:tcW w:w="1074" w:type="dxa"/>
            <w:vAlign w:val="center"/>
          </w:tcPr>
          <w:p w14:paraId="00125F94"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621888" behindDoc="0" locked="0" layoutInCell="1" allowOverlap="1" wp14:anchorId="0F5DDFFB" wp14:editId="5FB0076E">
                      <wp:simplePos x="0" y="0"/>
                      <wp:positionH relativeFrom="column">
                        <wp:posOffset>221615</wp:posOffset>
                      </wp:positionH>
                      <wp:positionV relativeFrom="paragraph">
                        <wp:posOffset>-10160</wp:posOffset>
                      </wp:positionV>
                      <wp:extent cx="198120" cy="122555"/>
                      <wp:effectExtent l="0" t="0" r="0" b="0"/>
                      <wp:wrapNone/>
                      <wp:docPr id="38" name="Triángulo isósceles 38"/>
                      <wp:cNvGraphicFramePr/>
                      <a:graphic xmlns:a="http://schemas.openxmlformats.org/drawingml/2006/main">
                        <a:graphicData uri="http://schemas.microsoft.com/office/word/2010/wordprocessingShape">
                          <wps:wsp>
                            <wps:cNvSpPr/>
                            <wps:spPr>
                              <a:xfrm>
                                <a:off x="0" y="0"/>
                                <a:ext cx="198120" cy="1225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59DA38" id="Triángulo isósceles 38" o:spid="_x0000_s1026" type="#_x0000_t5" style="position:absolute;margin-left:17.45pt;margin-top:-.8pt;width:15.6pt;height:9.6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" fillcolor="#70ad47 [3209]" stroked="f" strokeweight="1pt"/>
                  </w:pict>
                </mc:Fallback>
              </mc:AlternateContent>
            </w:r>
          </w:p>
        </w:tc>
      </w:tr>
      <w:tr w:rsidR="00655A48" w:rsidRPr="00131EED" w14:paraId="1D6922F5" w14:textId="77777777" w:rsidTr="00053167">
        <w:trPr>
          <w:trHeight w:val="412"/>
          <w:jc w:val="center"/>
        </w:trPr>
        <w:tc>
          <w:tcPr>
            <w:cnfStyle w:val="001000000000" w:firstRow="0" w:lastRow="0" w:firstColumn="1" w:lastColumn="0" w:oddVBand="0" w:evenVBand="0" w:oddHBand="0" w:evenHBand="0" w:firstRowFirstColumn="0" w:firstRowLastColumn="0" w:lastRowFirstColumn="0" w:lastRowLastColumn="0"/>
            <w:tcW w:w="0" w:type="dxa"/>
            <w:vMerge/>
            <w:vAlign w:val="center"/>
          </w:tcPr>
          <w:p w14:paraId="20FA0FC1" w14:textId="77777777" w:rsidR="00CC5A4D" w:rsidRPr="00131EED" w:rsidRDefault="00CC5A4D" w:rsidP="00B60DA2">
            <w:pPr>
              <w:rPr>
                <w:rFonts w:cs="Arial"/>
                <w:b w:val="0"/>
                <w:sz w:val="20"/>
                <w:szCs w:val="20"/>
              </w:rPr>
            </w:pPr>
          </w:p>
        </w:tc>
        <w:tc>
          <w:tcPr>
            <w:tcW w:w="0" w:type="dxa"/>
            <w:vAlign w:val="center"/>
          </w:tcPr>
          <w:p w14:paraId="343B27DF"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Puente Santander - ELGPS</w:t>
            </w:r>
          </w:p>
        </w:tc>
        <w:tc>
          <w:tcPr>
            <w:tcW w:w="0" w:type="dxa"/>
            <w:vAlign w:val="center"/>
          </w:tcPr>
          <w:p w14:paraId="5C7557CC"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2120912</w:t>
            </w:r>
          </w:p>
        </w:tc>
        <w:tc>
          <w:tcPr>
            <w:tcW w:w="0" w:type="dxa"/>
            <w:vAlign w:val="center"/>
          </w:tcPr>
          <w:p w14:paraId="1CB61962"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4912193</w:t>
            </w:r>
          </w:p>
        </w:tc>
        <w:tc>
          <w:tcPr>
            <w:tcW w:w="0" w:type="dxa"/>
            <w:shd w:val="clear" w:color="auto" w:fill="FFFF00"/>
            <w:vAlign w:val="center"/>
          </w:tcPr>
          <w:p w14:paraId="10F88A23"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0.71</w:t>
            </w:r>
          </w:p>
        </w:tc>
        <w:tc>
          <w:tcPr>
            <w:tcW w:w="0" w:type="dxa"/>
            <w:shd w:val="clear" w:color="auto" w:fill="FFFF00"/>
            <w:vAlign w:val="center"/>
          </w:tcPr>
          <w:p w14:paraId="29D829C6"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0.69</w:t>
            </w:r>
          </w:p>
        </w:tc>
        <w:tc>
          <w:tcPr>
            <w:tcW w:w="0" w:type="dxa"/>
            <w:shd w:val="clear" w:color="auto" w:fill="FFFF00"/>
            <w:vAlign w:val="center"/>
          </w:tcPr>
          <w:p w14:paraId="64C7483A"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0.61</w:t>
            </w:r>
          </w:p>
        </w:tc>
        <w:tc>
          <w:tcPr>
            <w:tcW w:w="0" w:type="dxa"/>
            <w:vAlign w:val="center"/>
          </w:tcPr>
          <w:p w14:paraId="4C2AB4DB"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625984" behindDoc="0" locked="0" layoutInCell="1" allowOverlap="1" wp14:anchorId="33AA0BCF" wp14:editId="7F19E272">
                      <wp:simplePos x="0" y="0"/>
                      <wp:positionH relativeFrom="column">
                        <wp:posOffset>220980</wp:posOffset>
                      </wp:positionH>
                      <wp:positionV relativeFrom="paragraph">
                        <wp:posOffset>36830</wp:posOffset>
                      </wp:positionV>
                      <wp:extent cx="198120" cy="160020"/>
                      <wp:effectExtent l="0" t="0" r="0" b="0"/>
                      <wp:wrapNone/>
                      <wp:docPr id="135414727" name="Diagrama de flujo: combinar 135414727"/>
                      <wp:cNvGraphicFramePr/>
                      <a:graphic xmlns:a="http://schemas.openxmlformats.org/drawingml/2006/main">
                        <a:graphicData uri="http://schemas.microsoft.com/office/word/2010/wordprocessingShape">
                          <wps:wsp>
                            <wps:cNvSpPr/>
                            <wps:spPr>
                              <a:xfrm>
                                <a:off x="0" y="0"/>
                                <a:ext cx="198120" cy="160020"/>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121D9D" id="Diagrama de flujo: combinar 135414727" o:spid="_x0000_s1026" type="#_x0000_t128" style="position:absolute;margin-left:17.4pt;margin-top:2.9pt;width:15.6pt;height:12.6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" fillcolor="red" stroked="f" strokeweight="1pt"/>
                  </w:pict>
                </mc:Fallback>
              </mc:AlternateContent>
            </w:r>
          </w:p>
        </w:tc>
      </w:tr>
      <w:tr w:rsidR="00CC5A4D" w:rsidRPr="00131EED" w14:paraId="4315B558" w14:textId="77777777" w:rsidTr="00053167">
        <w:trPr>
          <w:trHeight w:val="264"/>
          <w:jc w:val="center"/>
        </w:trPr>
        <w:tc>
          <w:tcPr>
            <w:cnfStyle w:val="001000000000" w:firstRow="0" w:lastRow="0" w:firstColumn="1" w:lastColumn="0" w:oddVBand="0" w:evenVBand="0" w:oddHBand="0" w:evenHBand="0" w:firstRowFirstColumn="0" w:firstRowLastColumn="0" w:lastRowFirstColumn="0" w:lastRowLastColumn="0"/>
            <w:tcW w:w="1026" w:type="dxa"/>
            <w:vMerge/>
            <w:vAlign w:val="center"/>
          </w:tcPr>
          <w:p w14:paraId="656ECBF8" w14:textId="77777777" w:rsidR="00CC5A4D" w:rsidRPr="00131EED" w:rsidRDefault="00CC5A4D" w:rsidP="00B60DA2">
            <w:pPr>
              <w:rPr>
                <w:rFonts w:cs="Arial"/>
                <w:b w:val="0"/>
                <w:sz w:val="20"/>
                <w:szCs w:val="20"/>
              </w:rPr>
            </w:pPr>
          </w:p>
        </w:tc>
        <w:tc>
          <w:tcPr>
            <w:tcW w:w="1929" w:type="dxa"/>
            <w:vAlign w:val="center"/>
          </w:tcPr>
          <w:p w14:paraId="6693E76C"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Aguas abajo Municipio Suesca</w:t>
            </w:r>
          </w:p>
        </w:tc>
        <w:tc>
          <w:tcPr>
            <w:tcW w:w="1121" w:type="dxa"/>
            <w:vAlign w:val="center"/>
          </w:tcPr>
          <w:p w14:paraId="5321FD83"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2117370</w:t>
            </w:r>
          </w:p>
        </w:tc>
        <w:tc>
          <w:tcPr>
            <w:tcW w:w="840" w:type="dxa"/>
            <w:vAlign w:val="center"/>
          </w:tcPr>
          <w:p w14:paraId="5A077E47"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4911009</w:t>
            </w:r>
          </w:p>
        </w:tc>
        <w:tc>
          <w:tcPr>
            <w:tcW w:w="841" w:type="dxa"/>
            <w:shd w:val="clear" w:color="auto" w:fill="FFFF00"/>
            <w:vAlign w:val="center"/>
          </w:tcPr>
          <w:p w14:paraId="6C845503"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0.61</w:t>
            </w:r>
          </w:p>
        </w:tc>
        <w:tc>
          <w:tcPr>
            <w:tcW w:w="840" w:type="dxa"/>
            <w:shd w:val="clear" w:color="auto" w:fill="FFFF00"/>
            <w:vAlign w:val="center"/>
          </w:tcPr>
          <w:p w14:paraId="2BBE5185"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0.53</w:t>
            </w:r>
          </w:p>
        </w:tc>
        <w:tc>
          <w:tcPr>
            <w:tcW w:w="841" w:type="dxa"/>
            <w:shd w:val="clear" w:color="auto" w:fill="FFFF00"/>
            <w:vAlign w:val="center"/>
          </w:tcPr>
          <w:p w14:paraId="3F4A37DA"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0.56</w:t>
            </w:r>
          </w:p>
        </w:tc>
        <w:tc>
          <w:tcPr>
            <w:tcW w:w="1074" w:type="dxa"/>
            <w:vAlign w:val="center"/>
          </w:tcPr>
          <w:p w14:paraId="1D4D8C8D"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630080" behindDoc="0" locked="0" layoutInCell="1" allowOverlap="1" wp14:anchorId="4B6C864E" wp14:editId="1F11274D">
                      <wp:simplePos x="0" y="0"/>
                      <wp:positionH relativeFrom="column">
                        <wp:posOffset>223520</wp:posOffset>
                      </wp:positionH>
                      <wp:positionV relativeFrom="paragraph">
                        <wp:posOffset>44450</wp:posOffset>
                      </wp:positionV>
                      <wp:extent cx="191770" cy="140335"/>
                      <wp:effectExtent l="0" t="0" r="0" b="0"/>
                      <wp:wrapNone/>
                      <wp:docPr id="2066510704" name="Diagrama de flujo: combinar 2066510704"/>
                      <wp:cNvGraphicFramePr/>
                      <a:graphic xmlns:a="http://schemas.openxmlformats.org/drawingml/2006/main">
                        <a:graphicData uri="http://schemas.microsoft.com/office/word/2010/wordprocessingShape">
                          <wps:wsp>
                            <wps:cNvSpPr/>
                            <wps:spPr>
                              <a:xfrm>
                                <a:off x="0" y="0"/>
                                <a:ext cx="191770" cy="140335"/>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A79268" id="Diagrama de flujo: combinar 2066510704" o:spid="_x0000_s1026" type="#_x0000_t128" style="position:absolute;margin-left:17.6pt;margin-top:3.5pt;width:15.1pt;height:11.0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" fillcolor="red" stroked="f" strokeweight="1pt"/>
                  </w:pict>
                </mc:Fallback>
              </mc:AlternateContent>
            </w:r>
          </w:p>
        </w:tc>
      </w:tr>
      <w:tr w:rsidR="00655A48" w:rsidRPr="00131EED" w14:paraId="70FFFB03" w14:textId="77777777" w:rsidTr="00053167">
        <w:trPr>
          <w:trHeight w:val="323"/>
          <w:jc w:val="center"/>
        </w:trPr>
        <w:tc>
          <w:tcPr>
            <w:cnfStyle w:val="001000000000" w:firstRow="0" w:lastRow="0" w:firstColumn="1" w:lastColumn="0" w:oddVBand="0" w:evenVBand="0" w:oddHBand="0" w:evenHBand="0" w:firstRowFirstColumn="0" w:firstRowLastColumn="0" w:lastRowFirstColumn="0" w:lastRowLastColumn="0"/>
            <w:tcW w:w="0" w:type="dxa"/>
            <w:vMerge/>
            <w:vAlign w:val="center"/>
          </w:tcPr>
          <w:p w14:paraId="32DACCAF" w14:textId="77777777" w:rsidR="00CC5A4D" w:rsidRPr="00131EED" w:rsidRDefault="00CC5A4D" w:rsidP="00B60DA2">
            <w:pPr>
              <w:rPr>
                <w:rFonts w:cs="Arial"/>
                <w:b w:val="0"/>
                <w:sz w:val="20"/>
                <w:szCs w:val="20"/>
              </w:rPr>
            </w:pPr>
          </w:p>
        </w:tc>
        <w:tc>
          <w:tcPr>
            <w:tcW w:w="0" w:type="dxa"/>
            <w:vAlign w:val="center"/>
          </w:tcPr>
          <w:p w14:paraId="0EEB15A4"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Estación LG Pte Florencia</w:t>
            </w:r>
          </w:p>
        </w:tc>
        <w:tc>
          <w:tcPr>
            <w:tcW w:w="0" w:type="dxa"/>
            <w:vAlign w:val="center"/>
          </w:tcPr>
          <w:p w14:paraId="6BA9F3AA"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2115168</w:t>
            </w:r>
          </w:p>
        </w:tc>
        <w:tc>
          <w:tcPr>
            <w:tcW w:w="0" w:type="dxa"/>
            <w:vAlign w:val="center"/>
          </w:tcPr>
          <w:p w14:paraId="71F5BEB6"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4905785</w:t>
            </w:r>
          </w:p>
        </w:tc>
        <w:tc>
          <w:tcPr>
            <w:tcW w:w="0" w:type="dxa"/>
            <w:shd w:val="clear" w:color="auto" w:fill="FFFF00"/>
            <w:vAlign w:val="center"/>
          </w:tcPr>
          <w:p w14:paraId="7BA232FE"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0.68</w:t>
            </w:r>
          </w:p>
        </w:tc>
        <w:tc>
          <w:tcPr>
            <w:tcW w:w="0" w:type="dxa"/>
            <w:shd w:val="clear" w:color="auto" w:fill="FFFF00"/>
            <w:vAlign w:val="center"/>
          </w:tcPr>
          <w:p w14:paraId="188B2340"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0.58</w:t>
            </w:r>
          </w:p>
        </w:tc>
        <w:tc>
          <w:tcPr>
            <w:tcW w:w="0" w:type="dxa"/>
            <w:shd w:val="clear" w:color="auto" w:fill="A8D08D" w:themeFill="accent6" w:themeFillTint="99"/>
            <w:vAlign w:val="center"/>
          </w:tcPr>
          <w:p w14:paraId="2CD41429"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0.73</w:t>
            </w:r>
          </w:p>
        </w:tc>
        <w:tc>
          <w:tcPr>
            <w:tcW w:w="0" w:type="dxa"/>
            <w:vAlign w:val="center"/>
          </w:tcPr>
          <w:p w14:paraId="5F162E6D"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634176" behindDoc="0" locked="0" layoutInCell="1" allowOverlap="1" wp14:anchorId="6B320A46" wp14:editId="701D806C">
                      <wp:simplePos x="0" y="0"/>
                      <wp:positionH relativeFrom="column">
                        <wp:posOffset>207645</wp:posOffset>
                      </wp:positionH>
                      <wp:positionV relativeFrom="paragraph">
                        <wp:posOffset>5715</wp:posOffset>
                      </wp:positionV>
                      <wp:extent cx="211455" cy="186055"/>
                      <wp:effectExtent l="0" t="0" r="0" b="4445"/>
                      <wp:wrapNone/>
                      <wp:docPr id="1710162851" name="Triángulo isósceles 1710162851"/>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C9357E" id="Triángulo isósceles 1710162851" o:spid="_x0000_s1026" type="#_x0000_t5" style="position:absolute;margin-left:16.35pt;margin-top:.45pt;width:16.65pt;height:14.6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" fillcolor="#70ad47 [3209]" stroked="f" strokeweight="1pt"/>
                  </w:pict>
                </mc:Fallback>
              </mc:AlternateContent>
            </w:r>
          </w:p>
        </w:tc>
      </w:tr>
      <w:tr w:rsidR="00227EF4" w:rsidRPr="00131EED" w14:paraId="18813F21" w14:textId="77777777" w:rsidTr="00053167">
        <w:trPr>
          <w:trHeight w:val="428"/>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274DA61E" w14:textId="77777777" w:rsidR="00CC5A4D" w:rsidRPr="00131EED" w:rsidRDefault="00CC5A4D" w:rsidP="00B60DA2">
            <w:pPr>
              <w:rPr>
                <w:rFonts w:cs="Arial"/>
                <w:b w:val="0"/>
                <w:sz w:val="20"/>
                <w:szCs w:val="20"/>
              </w:rPr>
            </w:pPr>
            <w:r w:rsidRPr="00131EED">
              <w:rPr>
                <w:rFonts w:cs="Arial"/>
                <w:b w:val="0"/>
                <w:sz w:val="20"/>
                <w:szCs w:val="20"/>
              </w:rPr>
              <w:t>Gachancipá</w:t>
            </w:r>
          </w:p>
        </w:tc>
        <w:tc>
          <w:tcPr>
            <w:tcW w:w="0" w:type="dxa"/>
            <w:vAlign w:val="center"/>
          </w:tcPr>
          <w:p w14:paraId="68EA8278"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Aguas abajo Gachancipá</w:t>
            </w:r>
          </w:p>
        </w:tc>
        <w:tc>
          <w:tcPr>
            <w:tcW w:w="0" w:type="dxa"/>
            <w:vAlign w:val="center"/>
          </w:tcPr>
          <w:p w14:paraId="079C30EE"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2109935</w:t>
            </w:r>
          </w:p>
        </w:tc>
        <w:tc>
          <w:tcPr>
            <w:tcW w:w="0" w:type="dxa"/>
            <w:vAlign w:val="center"/>
          </w:tcPr>
          <w:p w14:paraId="0E0DCD31"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4902219</w:t>
            </w:r>
          </w:p>
        </w:tc>
        <w:tc>
          <w:tcPr>
            <w:tcW w:w="0" w:type="dxa"/>
            <w:shd w:val="clear" w:color="auto" w:fill="FFFF00"/>
            <w:vAlign w:val="center"/>
          </w:tcPr>
          <w:p w14:paraId="42858327"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0.67</w:t>
            </w:r>
          </w:p>
        </w:tc>
        <w:tc>
          <w:tcPr>
            <w:tcW w:w="0" w:type="dxa"/>
            <w:shd w:val="clear" w:color="auto" w:fill="FFFF00"/>
            <w:vAlign w:val="center"/>
          </w:tcPr>
          <w:p w14:paraId="17054B68"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0.58</w:t>
            </w:r>
          </w:p>
        </w:tc>
        <w:tc>
          <w:tcPr>
            <w:tcW w:w="0" w:type="dxa"/>
            <w:shd w:val="clear" w:color="auto" w:fill="FF9900"/>
            <w:vAlign w:val="center"/>
          </w:tcPr>
          <w:p w14:paraId="412A9F43"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0.49</w:t>
            </w:r>
          </w:p>
        </w:tc>
        <w:tc>
          <w:tcPr>
            <w:tcW w:w="0" w:type="dxa"/>
            <w:vAlign w:val="center"/>
          </w:tcPr>
          <w:p w14:paraId="1B2C95F3"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638272" behindDoc="0" locked="0" layoutInCell="1" allowOverlap="1" wp14:anchorId="7CC58B30" wp14:editId="36D4AC11">
                      <wp:simplePos x="0" y="0"/>
                      <wp:positionH relativeFrom="column">
                        <wp:posOffset>217170</wp:posOffset>
                      </wp:positionH>
                      <wp:positionV relativeFrom="paragraph">
                        <wp:posOffset>7620</wp:posOffset>
                      </wp:positionV>
                      <wp:extent cx="198120" cy="160020"/>
                      <wp:effectExtent l="0" t="0" r="0" b="0"/>
                      <wp:wrapNone/>
                      <wp:docPr id="2021199467" name="Diagrama de flujo: combinar 2021199467"/>
                      <wp:cNvGraphicFramePr/>
                      <a:graphic xmlns:a="http://schemas.openxmlformats.org/drawingml/2006/main">
                        <a:graphicData uri="http://schemas.microsoft.com/office/word/2010/wordprocessingShape">
                          <wps:wsp>
                            <wps:cNvSpPr/>
                            <wps:spPr>
                              <a:xfrm>
                                <a:off x="0" y="0"/>
                                <a:ext cx="198120" cy="160020"/>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44ECE0" id="Diagrama de flujo: combinar 2021199467" o:spid="_x0000_s1026" type="#_x0000_t128" style="position:absolute;margin-left:17.1pt;margin-top:.6pt;width:15.6pt;height:12.6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" fillcolor="red" stroked="f" strokeweight="1pt"/>
                  </w:pict>
                </mc:Fallback>
              </mc:AlternateContent>
            </w:r>
          </w:p>
        </w:tc>
      </w:tr>
      <w:tr w:rsidR="00CC5A4D" w:rsidRPr="00131EED" w14:paraId="51D28F4A" w14:textId="77777777" w:rsidTr="00053167">
        <w:trPr>
          <w:trHeight w:val="405"/>
          <w:jc w:val="center"/>
        </w:trPr>
        <w:tc>
          <w:tcPr>
            <w:cnfStyle w:val="001000000000" w:firstRow="0" w:lastRow="0" w:firstColumn="1" w:lastColumn="0" w:oddVBand="0" w:evenVBand="0" w:oddHBand="0" w:evenHBand="0" w:firstRowFirstColumn="0" w:firstRowLastColumn="0" w:lastRowFirstColumn="0" w:lastRowLastColumn="0"/>
            <w:tcW w:w="0" w:type="dxa"/>
            <w:vMerge w:val="restart"/>
            <w:vAlign w:val="center"/>
          </w:tcPr>
          <w:p w14:paraId="315FA324" w14:textId="77777777" w:rsidR="00CC5A4D" w:rsidRPr="00131EED" w:rsidRDefault="00CC5A4D" w:rsidP="00B60DA2">
            <w:pPr>
              <w:rPr>
                <w:rFonts w:cs="Arial"/>
                <w:b w:val="0"/>
                <w:sz w:val="20"/>
                <w:szCs w:val="20"/>
              </w:rPr>
            </w:pPr>
            <w:r w:rsidRPr="00131EED">
              <w:rPr>
                <w:rFonts w:cs="Arial"/>
                <w:b w:val="0"/>
                <w:sz w:val="20"/>
                <w:szCs w:val="20"/>
              </w:rPr>
              <w:t>Tocancipá</w:t>
            </w:r>
          </w:p>
        </w:tc>
        <w:tc>
          <w:tcPr>
            <w:tcW w:w="0" w:type="dxa"/>
            <w:vAlign w:val="center"/>
          </w:tcPr>
          <w:p w14:paraId="3D0260DD"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Estación LM Tocancipá</w:t>
            </w:r>
          </w:p>
        </w:tc>
        <w:tc>
          <w:tcPr>
            <w:tcW w:w="0" w:type="dxa"/>
            <w:vAlign w:val="center"/>
          </w:tcPr>
          <w:p w14:paraId="1F4ACE63"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2107467</w:t>
            </w:r>
          </w:p>
        </w:tc>
        <w:tc>
          <w:tcPr>
            <w:tcW w:w="0" w:type="dxa"/>
            <w:vAlign w:val="center"/>
          </w:tcPr>
          <w:p w14:paraId="13DC661D"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4898449</w:t>
            </w:r>
          </w:p>
        </w:tc>
        <w:tc>
          <w:tcPr>
            <w:tcW w:w="0" w:type="dxa"/>
            <w:shd w:val="clear" w:color="auto" w:fill="FFFF00"/>
            <w:vAlign w:val="center"/>
          </w:tcPr>
          <w:p w14:paraId="09461837"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0.69</w:t>
            </w:r>
          </w:p>
        </w:tc>
        <w:tc>
          <w:tcPr>
            <w:tcW w:w="0" w:type="dxa"/>
            <w:shd w:val="clear" w:color="auto" w:fill="FF9900"/>
            <w:vAlign w:val="center"/>
          </w:tcPr>
          <w:p w14:paraId="611BB9DD"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0.50</w:t>
            </w:r>
          </w:p>
        </w:tc>
        <w:tc>
          <w:tcPr>
            <w:tcW w:w="0" w:type="dxa"/>
            <w:shd w:val="clear" w:color="auto" w:fill="FFFF00"/>
            <w:vAlign w:val="center"/>
          </w:tcPr>
          <w:p w14:paraId="7FB642DA"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0.58</w:t>
            </w:r>
          </w:p>
        </w:tc>
        <w:tc>
          <w:tcPr>
            <w:tcW w:w="0" w:type="dxa"/>
            <w:vAlign w:val="center"/>
          </w:tcPr>
          <w:p w14:paraId="0E2F90CC"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650560" behindDoc="0" locked="0" layoutInCell="1" allowOverlap="1" wp14:anchorId="72C568FB" wp14:editId="1A8D1E7A">
                      <wp:simplePos x="0" y="0"/>
                      <wp:positionH relativeFrom="column">
                        <wp:posOffset>217170</wp:posOffset>
                      </wp:positionH>
                      <wp:positionV relativeFrom="paragraph">
                        <wp:posOffset>-5715</wp:posOffset>
                      </wp:positionV>
                      <wp:extent cx="198120" cy="160020"/>
                      <wp:effectExtent l="0" t="0" r="0" b="0"/>
                      <wp:wrapNone/>
                      <wp:docPr id="44" name="Diagrama de flujo: combinar 44"/>
                      <wp:cNvGraphicFramePr/>
                      <a:graphic xmlns:a="http://schemas.openxmlformats.org/drawingml/2006/main">
                        <a:graphicData uri="http://schemas.microsoft.com/office/word/2010/wordprocessingShape">
                          <wps:wsp>
                            <wps:cNvSpPr/>
                            <wps:spPr>
                              <a:xfrm>
                                <a:off x="0" y="0"/>
                                <a:ext cx="198120" cy="160020"/>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76BADE" id="Diagrama de flujo: combinar 44" o:spid="_x0000_s1026" type="#_x0000_t128" style="position:absolute;margin-left:17.1pt;margin-top:-.45pt;width:15.6pt;height:12.6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" fillcolor="red" stroked="f" strokeweight="1pt"/>
                  </w:pict>
                </mc:Fallback>
              </mc:AlternateContent>
            </w:r>
          </w:p>
        </w:tc>
      </w:tr>
      <w:tr w:rsidR="00CC5A4D" w:rsidRPr="00131EED" w14:paraId="6A9556FB" w14:textId="77777777" w:rsidTr="00053167">
        <w:trPr>
          <w:trHeight w:val="258"/>
          <w:jc w:val="center"/>
        </w:trPr>
        <w:tc>
          <w:tcPr>
            <w:cnfStyle w:val="001000000000" w:firstRow="0" w:lastRow="0" w:firstColumn="1" w:lastColumn="0" w:oddVBand="0" w:evenVBand="0" w:oddHBand="0" w:evenHBand="0" w:firstRowFirstColumn="0" w:firstRowLastColumn="0" w:lastRowFirstColumn="0" w:lastRowLastColumn="0"/>
            <w:tcW w:w="1026" w:type="dxa"/>
            <w:vMerge/>
            <w:vAlign w:val="center"/>
          </w:tcPr>
          <w:p w14:paraId="15CFF808" w14:textId="77777777" w:rsidR="00CC5A4D" w:rsidRPr="00131EED" w:rsidRDefault="00CC5A4D" w:rsidP="00B60DA2">
            <w:pPr>
              <w:rPr>
                <w:rFonts w:cs="Arial"/>
                <w:b w:val="0"/>
                <w:sz w:val="20"/>
                <w:szCs w:val="20"/>
              </w:rPr>
            </w:pPr>
          </w:p>
        </w:tc>
        <w:tc>
          <w:tcPr>
            <w:tcW w:w="1929" w:type="dxa"/>
            <w:vAlign w:val="center"/>
          </w:tcPr>
          <w:p w14:paraId="666AFED4"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Estación LG El Espino</w:t>
            </w:r>
            <w:r w:rsidRPr="00131EED">
              <w:rPr>
                <w:rFonts w:cs="Arial"/>
                <w:b/>
                <w:sz w:val="20"/>
                <w:szCs w:val="20"/>
              </w:rPr>
              <w:t> </w:t>
            </w:r>
          </w:p>
        </w:tc>
        <w:tc>
          <w:tcPr>
            <w:tcW w:w="1121" w:type="dxa"/>
            <w:vAlign w:val="center"/>
          </w:tcPr>
          <w:p w14:paraId="31BF0680"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2109944</w:t>
            </w:r>
          </w:p>
        </w:tc>
        <w:tc>
          <w:tcPr>
            <w:tcW w:w="840" w:type="dxa"/>
            <w:vAlign w:val="center"/>
          </w:tcPr>
          <w:p w14:paraId="08691D2B"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4892352</w:t>
            </w:r>
          </w:p>
        </w:tc>
        <w:tc>
          <w:tcPr>
            <w:tcW w:w="841" w:type="dxa"/>
            <w:shd w:val="clear" w:color="auto" w:fill="FFFF00"/>
            <w:vAlign w:val="center"/>
          </w:tcPr>
          <w:p w14:paraId="4390A4BB"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0.61</w:t>
            </w:r>
          </w:p>
        </w:tc>
        <w:tc>
          <w:tcPr>
            <w:tcW w:w="840" w:type="dxa"/>
            <w:shd w:val="clear" w:color="auto" w:fill="FF9900"/>
            <w:vAlign w:val="center"/>
          </w:tcPr>
          <w:p w14:paraId="1F0C76EC"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0.38</w:t>
            </w:r>
          </w:p>
        </w:tc>
        <w:tc>
          <w:tcPr>
            <w:tcW w:w="841" w:type="dxa"/>
            <w:shd w:val="clear" w:color="auto" w:fill="FF9900"/>
            <w:vAlign w:val="center"/>
          </w:tcPr>
          <w:p w14:paraId="3C3AFF2C"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0.38</w:t>
            </w:r>
          </w:p>
        </w:tc>
        <w:tc>
          <w:tcPr>
            <w:tcW w:w="1074" w:type="dxa"/>
            <w:vAlign w:val="center"/>
          </w:tcPr>
          <w:p w14:paraId="3E5C00BE"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646464" behindDoc="0" locked="0" layoutInCell="1" allowOverlap="1" wp14:anchorId="6FB09A05" wp14:editId="17D9D355">
                      <wp:simplePos x="0" y="0"/>
                      <wp:positionH relativeFrom="column">
                        <wp:posOffset>218440</wp:posOffset>
                      </wp:positionH>
                      <wp:positionV relativeFrom="paragraph">
                        <wp:posOffset>14605</wp:posOffset>
                      </wp:positionV>
                      <wp:extent cx="198120" cy="160020"/>
                      <wp:effectExtent l="0" t="0" r="0" b="0"/>
                      <wp:wrapNone/>
                      <wp:docPr id="42" name="Diagrama de flujo: combinar 42"/>
                      <wp:cNvGraphicFramePr/>
                      <a:graphic xmlns:a="http://schemas.openxmlformats.org/drawingml/2006/main">
                        <a:graphicData uri="http://schemas.microsoft.com/office/word/2010/wordprocessingShape">
                          <wps:wsp>
                            <wps:cNvSpPr/>
                            <wps:spPr>
                              <a:xfrm>
                                <a:off x="0" y="0"/>
                                <a:ext cx="198120" cy="160020"/>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57AAD7" id="Diagrama de flujo: combinar 42" o:spid="_x0000_s1026" type="#_x0000_t128" style="position:absolute;margin-left:17.2pt;margin-top:1.15pt;width:15.6pt;height:12.6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" fillcolor="red" stroked="f" strokeweight="1pt"/>
                  </w:pict>
                </mc:Fallback>
              </mc:AlternateContent>
            </w:r>
          </w:p>
        </w:tc>
      </w:tr>
      <w:tr w:rsidR="00227EF4" w:rsidRPr="00131EED" w14:paraId="0DF4B68E" w14:textId="77777777" w:rsidTr="00053167">
        <w:trPr>
          <w:trHeight w:val="429"/>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7E36D2D7" w14:textId="77777777" w:rsidR="00CC5A4D" w:rsidRPr="00131EED" w:rsidRDefault="00CC5A4D" w:rsidP="00B60DA2">
            <w:pPr>
              <w:rPr>
                <w:rFonts w:cs="Arial"/>
                <w:b w:val="0"/>
                <w:sz w:val="20"/>
                <w:szCs w:val="20"/>
              </w:rPr>
            </w:pPr>
            <w:r w:rsidRPr="00131EED">
              <w:rPr>
                <w:rFonts w:cs="Arial"/>
                <w:b w:val="0"/>
                <w:sz w:val="20"/>
                <w:szCs w:val="20"/>
              </w:rPr>
              <w:t>Sopó</w:t>
            </w:r>
          </w:p>
        </w:tc>
        <w:tc>
          <w:tcPr>
            <w:tcW w:w="0" w:type="dxa"/>
            <w:vAlign w:val="center"/>
          </w:tcPr>
          <w:p w14:paraId="18438562"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Estación LG - Pte Vargas</w:t>
            </w:r>
          </w:p>
        </w:tc>
        <w:tc>
          <w:tcPr>
            <w:tcW w:w="0" w:type="dxa"/>
            <w:vAlign w:val="center"/>
          </w:tcPr>
          <w:p w14:paraId="7160BD11"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2101847</w:t>
            </w:r>
          </w:p>
        </w:tc>
        <w:tc>
          <w:tcPr>
            <w:tcW w:w="0" w:type="dxa"/>
            <w:vAlign w:val="center"/>
          </w:tcPr>
          <w:p w14:paraId="2742256C"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4888492</w:t>
            </w:r>
          </w:p>
        </w:tc>
        <w:tc>
          <w:tcPr>
            <w:tcW w:w="0" w:type="dxa"/>
            <w:shd w:val="clear" w:color="auto" w:fill="FF9900"/>
            <w:vAlign w:val="center"/>
          </w:tcPr>
          <w:p w14:paraId="2FA2579C"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0.37</w:t>
            </w:r>
          </w:p>
        </w:tc>
        <w:tc>
          <w:tcPr>
            <w:tcW w:w="0" w:type="dxa"/>
            <w:shd w:val="clear" w:color="auto" w:fill="FF9900"/>
            <w:vAlign w:val="center"/>
          </w:tcPr>
          <w:p w14:paraId="0207B811"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0.40</w:t>
            </w:r>
          </w:p>
        </w:tc>
        <w:tc>
          <w:tcPr>
            <w:tcW w:w="0" w:type="dxa"/>
            <w:shd w:val="clear" w:color="auto" w:fill="FFFF00"/>
            <w:vAlign w:val="center"/>
          </w:tcPr>
          <w:p w14:paraId="7D2D2715"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0.52</w:t>
            </w:r>
          </w:p>
        </w:tc>
        <w:tc>
          <w:tcPr>
            <w:tcW w:w="0" w:type="dxa"/>
            <w:vAlign w:val="center"/>
          </w:tcPr>
          <w:p w14:paraId="484158B3"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653632" behindDoc="0" locked="0" layoutInCell="1" allowOverlap="1" wp14:anchorId="72AADE5A" wp14:editId="32D6E372">
                      <wp:simplePos x="0" y="0"/>
                      <wp:positionH relativeFrom="column">
                        <wp:posOffset>207010</wp:posOffset>
                      </wp:positionH>
                      <wp:positionV relativeFrom="paragraph">
                        <wp:posOffset>3810</wp:posOffset>
                      </wp:positionV>
                      <wp:extent cx="211455" cy="186055"/>
                      <wp:effectExtent l="0" t="0" r="0" b="4445"/>
                      <wp:wrapNone/>
                      <wp:docPr id="1219876625" name="Triángulo isósceles 1219876625"/>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D02F68" id="Triángulo isósceles 1219876625" o:spid="_x0000_s1026" type="#_x0000_t5" style="position:absolute;margin-left:16.3pt;margin-top:.3pt;width:16.65pt;height:14.6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" fillcolor="#70ad47 [3209]" stroked="f" strokeweight="1pt"/>
                  </w:pict>
                </mc:Fallback>
              </mc:AlternateContent>
            </w:r>
          </w:p>
        </w:tc>
      </w:tr>
      <w:tr w:rsidR="00CC5A4D" w:rsidRPr="00131EED" w14:paraId="71D4B63E" w14:textId="77777777" w:rsidTr="00053167">
        <w:trPr>
          <w:trHeight w:val="264"/>
          <w:jc w:val="center"/>
        </w:trPr>
        <w:tc>
          <w:tcPr>
            <w:cnfStyle w:val="001000000000" w:firstRow="0" w:lastRow="0" w:firstColumn="1" w:lastColumn="0" w:oddVBand="0" w:evenVBand="0" w:oddHBand="0" w:evenHBand="0" w:firstRowFirstColumn="0" w:firstRowLastColumn="0" w:lastRowFirstColumn="0" w:lastRowLastColumn="0"/>
            <w:tcW w:w="1026" w:type="dxa"/>
            <w:vMerge w:val="restart"/>
            <w:vAlign w:val="center"/>
          </w:tcPr>
          <w:p w14:paraId="000C0BCE" w14:textId="77777777" w:rsidR="00CC5A4D" w:rsidRPr="00131EED" w:rsidRDefault="00CC5A4D" w:rsidP="00B60DA2">
            <w:pPr>
              <w:rPr>
                <w:rFonts w:cs="Arial"/>
                <w:b w:val="0"/>
                <w:sz w:val="20"/>
                <w:szCs w:val="20"/>
              </w:rPr>
            </w:pPr>
            <w:r w:rsidRPr="00131EED">
              <w:rPr>
                <w:rFonts w:cs="Arial"/>
                <w:b w:val="0"/>
                <w:sz w:val="20"/>
                <w:szCs w:val="20"/>
              </w:rPr>
              <w:t>Chía</w:t>
            </w:r>
          </w:p>
        </w:tc>
        <w:tc>
          <w:tcPr>
            <w:tcW w:w="1929" w:type="dxa"/>
            <w:vAlign w:val="center"/>
          </w:tcPr>
          <w:p w14:paraId="692D835F"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Aguas arriba de Chía</w:t>
            </w:r>
          </w:p>
        </w:tc>
        <w:tc>
          <w:tcPr>
            <w:tcW w:w="1121" w:type="dxa"/>
            <w:vAlign w:val="center"/>
          </w:tcPr>
          <w:p w14:paraId="1215D3CB"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2095528</w:t>
            </w:r>
          </w:p>
        </w:tc>
        <w:tc>
          <w:tcPr>
            <w:tcW w:w="840" w:type="dxa"/>
            <w:vAlign w:val="center"/>
          </w:tcPr>
          <w:p w14:paraId="6A6AD2A8"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4885930</w:t>
            </w:r>
          </w:p>
        </w:tc>
        <w:tc>
          <w:tcPr>
            <w:tcW w:w="841" w:type="dxa"/>
            <w:shd w:val="clear" w:color="auto" w:fill="FF9900"/>
            <w:vAlign w:val="center"/>
          </w:tcPr>
          <w:p w14:paraId="1F2074EA"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0.39</w:t>
            </w:r>
          </w:p>
        </w:tc>
        <w:tc>
          <w:tcPr>
            <w:tcW w:w="840" w:type="dxa"/>
            <w:shd w:val="clear" w:color="auto" w:fill="FF9900"/>
            <w:vAlign w:val="center"/>
          </w:tcPr>
          <w:p w14:paraId="3B31EE7A"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0.33</w:t>
            </w:r>
          </w:p>
        </w:tc>
        <w:tc>
          <w:tcPr>
            <w:tcW w:w="841" w:type="dxa"/>
            <w:shd w:val="clear" w:color="auto" w:fill="FF9900"/>
            <w:vAlign w:val="center"/>
          </w:tcPr>
          <w:p w14:paraId="0596A460"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0.41</w:t>
            </w:r>
          </w:p>
        </w:tc>
        <w:tc>
          <w:tcPr>
            <w:tcW w:w="1074" w:type="dxa"/>
            <w:vAlign w:val="center"/>
          </w:tcPr>
          <w:p w14:paraId="7F2CB97C"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673088" behindDoc="0" locked="0" layoutInCell="1" allowOverlap="1" wp14:anchorId="3002DD5F" wp14:editId="67F11C3B">
                      <wp:simplePos x="0" y="0"/>
                      <wp:positionH relativeFrom="column">
                        <wp:posOffset>207645</wp:posOffset>
                      </wp:positionH>
                      <wp:positionV relativeFrom="paragraph">
                        <wp:posOffset>-30480</wp:posOffset>
                      </wp:positionV>
                      <wp:extent cx="211455" cy="186055"/>
                      <wp:effectExtent l="0" t="0" r="0" b="4445"/>
                      <wp:wrapNone/>
                      <wp:docPr id="48" name="Triángulo isósceles 48"/>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B65A5F" id="Triángulo isósceles 48" o:spid="_x0000_s1026" type="#_x0000_t5" style="position:absolute;margin-left:16.35pt;margin-top:-2.4pt;width:16.65pt;height:14.6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" fillcolor="#70ad47 [3209]" stroked="f" strokeweight="1pt"/>
                  </w:pict>
                </mc:Fallback>
              </mc:AlternateContent>
            </w:r>
          </w:p>
        </w:tc>
      </w:tr>
      <w:tr w:rsidR="00655A48" w:rsidRPr="00131EED" w14:paraId="317905BA" w14:textId="77777777" w:rsidTr="00053167">
        <w:trPr>
          <w:trHeight w:val="425"/>
          <w:jc w:val="center"/>
        </w:trPr>
        <w:tc>
          <w:tcPr>
            <w:cnfStyle w:val="001000000000" w:firstRow="0" w:lastRow="0" w:firstColumn="1" w:lastColumn="0" w:oddVBand="0" w:evenVBand="0" w:oddHBand="0" w:evenHBand="0" w:firstRowFirstColumn="0" w:firstRowLastColumn="0" w:lastRowFirstColumn="0" w:lastRowLastColumn="0"/>
            <w:tcW w:w="0" w:type="dxa"/>
            <w:vMerge/>
            <w:vAlign w:val="center"/>
          </w:tcPr>
          <w:p w14:paraId="08604D75" w14:textId="77777777" w:rsidR="00CC5A4D" w:rsidRPr="00131EED" w:rsidRDefault="00CC5A4D" w:rsidP="00B60DA2">
            <w:pPr>
              <w:rPr>
                <w:rFonts w:cs="Arial"/>
                <w:b w:val="0"/>
                <w:sz w:val="20"/>
                <w:szCs w:val="20"/>
              </w:rPr>
            </w:pPr>
          </w:p>
        </w:tc>
        <w:tc>
          <w:tcPr>
            <w:tcW w:w="0" w:type="dxa"/>
            <w:vAlign w:val="center"/>
          </w:tcPr>
          <w:p w14:paraId="71882864"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Estación LG - Pte La Balsa</w:t>
            </w:r>
          </w:p>
        </w:tc>
        <w:tc>
          <w:tcPr>
            <w:tcW w:w="0" w:type="dxa"/>
            <w:vAlign w:val="center"/>
          </w:tcPr>
          <w:p w14:paraId="0F826896"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2091763</w:t>
            </w:r>
          </w:p>
        </w:tc>
        <w:tc>
          <w:tcPr>
            <w:tcW w:w="0" w:type="dxa"/>
            <w:vAlign w:val="center"/>
          </w:tcPr>
          <w:p w14:paraId="18F2F778"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4881303</w:t>
            </w:r>
          </w:p>
        </w:tc>
        <w:tc>
          <w:tcPr>
            <w:tcW w:w="0" w:type="dxa"/>
            <w:shd w:val="clear" w:color="auto" w:fill="FF9900"/>
            <w:vAlign w:val="center"/>
          </w:tcPr>
          <w:p w14:paraId="3C0C7A2E"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0.38</w:t>
            </w:r>
          </w:p>
        </w:tc>
        <w:tc>
          <w:tcPr>
            <w:tcW w:w="0" w:type="dxa"/>
            <w:shd w:val="clear" w:color="auto" w:fill="FF9900"/>
            <w:vAlign w:val="center"/>
          </w:tcPr>
          <w:p w14:paraId="45B80A68"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0.27</w:t>
            </w:r>
          </w:p>
        </w:tc>
        <w:tc>
          <w:tcPr>
            <w:tcW w:w="0" w:type="dxa"/>
            <w:shd w:val="clear" w:color="auto" w:fill="FF9900"/>
            <w:vAlign w:val="center"/>
          </w:tcPr>
          <w:p w14:paraId="40740D80"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0.37</w:t>
            </w:r>
          </w:p>
        </w:tc>
        <w:tc>
          <w:tcPr>
            <w:tcW w:w="0" w:type="dxa"/>
            <w:vAlign w:val="center"/>
          </w:tcPr>
          <w:p w14:paraId="3F36B98C"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677184" behindDoc="0" locked="0" layoutInCell="1" allowOverlap="1" wp14:anchorId="2B4A751F" wp14:editId="27D4F8B3">
                      <wp:simplePos x="0" y="0"/>
                      <wp:positionH relativeFrom="column">
                        <wp:posOffset>205740</wp:posOffset>
                      </wp:positionH>
                      <wp:positionV relativeFrom="paragraph">
                        <wp:posOffset>33655</wp:posOffset>
                      </wp:positionV>
                      <wp:extent cx="198120" cy="160020"/>
                      <wp:effectExtent l="0" t="0" r="0" b="0"/>
                      <wp:wrapNone/>
                      <wp:docPr id="49" name="Diagrama de flujo: combinar 49"/>
                      <wp:cNvGraphicFramePr/>
                      <a:graphic xmlns:a="http://schemas.openxmlformats.org/drawingml/2006/main">
                        <a:graphicData uri="http://schemas.microsoft.com/office/word/2010/wordprocessingShape">
                          <wps:wsp>
                            <wps:cNvSpPr/>
                            <wps:spPr>
                              <a:xfrm>
                                <a:off x="0" y="0"/>
                                <a:ext cx="198120" cy="160020"/>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6FEF8B" id="Diagrama de flujo: combinar 49" o:spid="_x0000_s1026" type="#_x0000_t128" style="position:absolute;margin-left:16.2pt;margin-top:2.65pt;width:15.6pt;height:12.6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" fillcolor="red" stroked="f" strokeweight="1pt"/>
                  </w:pict>
                </mc:Fallback>
              </mc:AlternateContent>
            </w:r>
          </w:p>
        </w:tc>
      </w:tr>
      <w:tr w:rsidR="00CC5A4D" w:rsidRPr="00131EED" w14:paraId="1BD046CA" w14:textId="77777777" w:rsidTr="00053167">
        <w:trPr>
          <w:trHeight w:val="394"/>
          <w:jc w:val="center"/>
        </w:trPr>
        <w:tc>
          <w:tcPr>
            <w:cnfStyle w:val="001000000000" w:firstRow="0" w:lastRow="0" w:firstColumn="1" w:lastColumn="0" w:oddVBand="0" w:evenVBand="0" w:oddHBand="0" w:evenHBand="0" w:firstRowFirstColumn="0" w:firstRowLastColumn="0" w:lastRowFirstColumn="0" w:lastRowLastColumn="0"/>
            <w:tcW w:w="1026" w:type="dxa"/>
            <w:vMerge w:val="restart"/>
            <w:vAlign w:val="center"/>
          </w:tcPr>
          <w:p w14:paraId="0ADD908F" w14:textId="77777777" w:rsidR="00CC5A4D" w:rsidRPr="00131EED" w:rsidRDefault="00CC5A4D" w:rsidP="00B60DA2">
            <w:pPr>
              <w:rPr>
                <w:rFonts w:cs="Arial"/>
                <w:b w:val="0"/>
                <w:sz w:val="20"/>
                <w:szCs w:val="20"/>
              </w:rPr>
            </w:pPr>
            <w:r w:rsidRPr="00131EED">
              <w:rPr>
                <w:rFonts w:cs="Arial"/>
                <w:b w:val="0"/>
                <w:sz w:val="20"/>
                <w:szCs w:val="20"/>
              </w:rPr>
              <w:t>Cota</w:t>
            </w:r>
          </w:p>
        </w:tc>
        <w:tc>
          <w:tcPr>
            <w:tcW w:w="1929" w:type="dxa"/>
            <w:vAlign w:val="center"/>
          </w:tcPr>
          <w:p w14:paraId="70FF6536"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Estación LG - Puente La Virgen</w:t>
            </w:r>
          </w:p>
        </w:tc>
        <w:tc>
          <w:tcPr>
            <w:tcW w:w="1121" w:type="dxa"/>
            <w:vAlign w:val="center"/>
          </w:tcPr>
          <w:p w14:paraId="10DAA95A"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2088425</w:t>
            </w:r>
          </w:p>
        </w:tc>
        <w:tc>
          <w:tcPr>
            <w:tcW w:w="840" w:type="dxa"/>
            <w:vAlign w:val="center"/>
          </w:tcPr>
          <w:p w14:paraId="2F9FA85B"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4878525</w:t>
            </w:r>
          </w:p>
        </w:tc>
        <w:tc>
          <w:tcPr>
            <w:tcW w:w="841" w:type="dxa"/>
            <w:shd w:val="clear" w:color="auto" w:fill="FF9900"/>
            <w:vAlign w:val="center"/>
          </w:tcPr>
          <w:p w14:paraId="1B0A698D"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0.39</w:t>
            </w:r>
          </w:p>
        </w:tc>
        <w:tc>
          <w:tcPr>
            <w:tcW w:w="840" w:type="dxa"/>
            <w:shd w:val="clear" w:color="auto" w:fill="FF9900"/>
            <w:vAlign w:val="center"/>
          </w:tcPr>
          <w:p w14:paraId="79800C6D"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0.42</w:t>
            </w:r>
          </w:p>
        </w:tc>
        <w:tc>
          <w:tcPr>
            <w:tcW w:w="841" w:type="dxa"/>
            <w:shd w:val="clear" w:color="auto" w:fill="FF9900"/>
            <w:vAlign w:val="center"/>
          </w:tcPr>
          <w:p w14:paraId="4069B95E"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0.36</w:t>
            </w:r>
          </w:p>
        </w:tc>
        <w:tc>
          <w:tcPr>
            <w:tcW w:w="1074" w:type="dxa"/>
            <w:vAlign w:val="center"/>
          </w:tcPr>
          <w:p w14:paraId="32F92A15"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722240" behindDoc="0" locked="0" layoutInCell="1" allowOverlap="1" wp14:anchorId="44F83259" wp14:editId="318ECC7B">
                      <wp:simplePos x="0" y="0"/>
                      <wp:positionH relativeFrom="column">
                        <wp:posOffset>213360</wp:posOffset>
                      </wp:positionH>
                      <wp:positionV relativeFrom="paragraph">
                        <wp:posOffset>43815</wp:posOffset>
                      </wp:positionV>
                      <wp:extent cx="198120" cy="160020"/>
                      <wp:effectExtent l="0" t="0" r="0" b="0"/>
                      <wp:wrapNone/>
                      <wp:docPr id="51" name="Diagrama de flujo: combinar 51"/>
                      <wp:cNvGraphicFramePr/>
                      <a:graphic xmlns:a="http://schemas.openxmlformats.org/drawingml/2006/main">
                        <a:graphicData uri="http://schemas.microsoft.com/office/word/2010/wordprocessingShape">
                          <wps:wsp>
                            <wps:cNvSpPr/>
                            <wps:spPr>
                              <a:xfrm>
                                <a:off x="0" y="0"/>
                                <a:ext cx="198120" cy="160020"/>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FB7DA1" id="Diagrama de flujo: combinar 51" o:spid="_x0000_s1026" type="#_x0000_t128" style="position:absolute;margin-left:16.8pt;margin-top:3.45pt;width:15.6pt;height:12.6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" fillcolor="red" stroked="f" strokeweight="1pt"/>
                  </w:pict>
                </mc:Fallback>
              </mc:AlternateContent>
            </w:r>
          </w:p>
        </w:tc>
      </w:tr>
      <w:tr w:rsidR="00CC5A4D" w:rsidRPr="00131EED" w14:paraId="7DCB4205" w14:textId="77777777" w:rsidTr="00053167">
        <w:trPr>
          <w:trHeight w:val="394"/>
          <w:jc w:val="center"/>
        </w:trPr>
        <w:tc>
          <w:tcPr>
            <w:cnfStyle w:val="001000000000" w:firstRow="0" w:lastRow="0" w:firstColumn="1" w:lastColumn="0" w:oddVBand="0" w:evenVBand="0" w:oddHBand="0" w:evenHBand="0" w:firstRowFirstColumn="0" w:firstRowLastColumn="0" w:lastRowFirstColumn="0" w:lastRowLastColumn="0"/>
            <w:tcW w:w="1026" w:type="dxa"/>
            <w:vMerge/>
            <w:vAlign w:val="center"/>
          </w:tcPr>
          <w:p w14:paraId="20388116" w14:textId="77777777" w:rsidR="00CC5A4D" w:rsidRPr="00131EED" w:rsidRDefault="00CC5A4D" w:rsidP="00B60DA2">
            <w:pPr>
              <w:rPr>
                <w:rFonts w:cs="Arial"/>
                <w:b w:val="0"/>
                <w:sz w:val="20"/>
                <w:szCs w:val="20"/>
              </w:rPr>
            </w:pPr>
          </w:p>
        </w:tc>
        <w:tc>
          <w:tcPr>
            <w:tcW w:w="1929" w:type="dxa"/>
            <w:vAlign w:val="center"/>
          </w:tcPr>
          <w:p w14:paraId="32BCEA55"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LM Vuelta Grande</w:t>
            </w:r>
          </w:p>
        </w:tc>
        <w:tc>
          <w:tcPr>
            <w:tcW w:w="1121" w:type="dxa"/>
            <w:vAlign w:val="center"/>
          </w:tcPr>
          <w:p w14:paraId="14768158"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2083539</w:t>
            </w:r>
          </w:p>
        </w:tc>
        <w:tc>
          <w:tcPr>
            <w:tcW w:w="840" w:type="dxa"/>
            <w:vAlign w:val="center"/>
          </w:tcPr>
          <w:p w14:paraId="214CC4DE"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4875213</w:t>
            </w:r>
          </w:p>
        </w:tc>
        <w:tc>
          <w:tcPr>
            <w:tcW w:w="841" w:type="dxa"/>
            <w:shd w:val="clear" w:color="auto" w:fill="FF9900"/>
            <w:vAlign w:val="center"/>
          </w:tcPr>
          <w:p w14:paraId="19293F75"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0.39</w:t>
            </w:r>
          </w:p>
        </w:tc>
        <w:tc>
          <w:tcPr>
            <w:tcW w:w="840" w:type="dxa"/>
            <w:shd w:val="clear" w:color="auto" w:fill="FF9900"/>
            <w:vAlign w:val="center"/>
          </w:tcPr>
          <w:p w14:paraId="5E7437EE"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0.43</w:t>
            </w:r>
          </w:p>
        </w:tc>
        <w:tc>
          <w:tcPr>
            <w:tcW w:w="841" w:type="dxa"/>
            <w:shd w:val="clear" w:color="auto" w:fill="FF9900"/>
            <w:vAlign w:val="center"/>
          </w:tcPr>
          <w:p w14:paraId="2B9289CB"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0.40</w:t>
            </w:r>
          </w:p>
        </w:tc>
        <w:tc>
          <w:tcPr>
            <w:tcW w:w="1074" w:type="dxa"/>
            <w:vAlign w:val="center"/>
          </w:tcPr>
          <w:p w14:paraId="2FBCEC8A"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726336" behindDoc="0" locked="0" layoutInCell="1" allowOverlap="1" wp14:anchorId="09940F3F" wp14:editId="4E4753AA">
                      <wp:simplePos x="0" y="0"/>
                      <wp:positionH relativeFrom="column">
                        <wp:posOffset>207645</wp:posOffset>
                      </wp:positionH>
                      <wp:positionV relativeFrom="paragraph">
                        <wp:posOffset>-14605</wp:posOffset>
                      </wp:positionV>
                      <wp:extent cx="211455" cy="186055"/>
                      <wp:effectExtent l="0" t="0" r="0" b="4445"/>
                      <wp:wrapNone/>
                      <wp:docPr id="52" name="Triángulo isósceles 52"/>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9FFA06" id="Triángulo isósceles 52" o:spid="_x0000_s1026" type="#_x0000_t5" style="position:absolute;margin-left:16.35pt;margin-top:-1.15pt;width:16.65pt;height:14.65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" fillcolor="#70ad47 [3209]" stroked="f" strokeweight="1pt"/>
                  </w:pict>
                </mc:Fallback>
              </mc:AlternateContent>
            </w:r>
          </w:p>
        </w:tc>
      </w:tr>
      <w:tr w:rsidR="00CC5A4D" w:rsidRPr="00131EED" w14:paraId="063107CB" w14:textId="77777777" w:rsidTr="00053167">
        <w:trPr>
          <w:trHeight w:val="314"/>
          <w:jc w:val="center"/>
        </w:trPr>
        <w:tc>
          <w:tcPr>
            <w:cnfStyle w:val="001000000000" w:firstRow="0" w:lastRow="0" w:firstColumn="1" w:lastColumn="0" w:oddVBand="0" w:evenVBand="0" w:oddHBand="0" w:evenHBand="0" w:firstRowFirstColumn="0" w:firstRowLastColumn="0" w:lastRowFirstColumn="0" w:lastRowLastColumn="0"/>
            <w:tcW w:w="0" w:type="dxa"/>
            <w:vMerge w:val="restart"/>
            <w:vAlign w:val="center"/>
          </w:tcPr>
          <w:p w14:paraId="79B0BC7D" w14:textId="77777777" w:rsidR="00CC5A4D" w:rsidRPr="00131EED" w:rsidRDefault="00CC5A4D" w:rsidP="00B60DA2">
            <w:pPr>
              <w:rPr>
                <w:rFonts w:cs="Arial"/>
                <w:b w:val="0"/>
                <w:sz w:val="20"/>
                <w:szCs w:val="20"/>
              </w:rPr>
            </w:pPr>
            <w:r w:rsidRPr="00131EED">
              <w:rPr>
                <w:rFonts w:cs="Arial"/>
                <w:b w:val="0"/>
                <w:sz w:val="20"/>
                <w:szCs w:val="20"/>
              </w:rPr>
              <w:t>Bogotá</w:t>
            </w:r>
          </w:p>
        </w:tc>
        <w:tc>
          <w:tcPr>
            <w:tcW w:w="0" w:type="dxa"/>
            <w:vAlign w:val="center"/>
          </w:tcPr>
          <w:p w14:paraId="0C3BFF39"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By Pass Juan Amarillo</w:t>
            </w:r>
          </w:p>
        </w:tc>
        <w:tc>
          <w:tcPr>
            <w:tcW w:w="0" w:type="dxa"/>
            <w:vAlign w:val="center"/>
          </w:tcPr>
          <w:p w14:paraId="74BAF243"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2081884</w:t>
            </w:r>
          </w:p>
        </w:tc>
        <w:tc>
          <w:tcPr>
            <w:tcW w:w="0" w:type="dxa"/>
            <w:vAlign w:val="center"/>
          </w:tcPr>
          <w:p w14:paraId="42ECFC43"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4875362</w:t>
            </w:r>
          </w:p>
        </w:tc>
        <w:tc>
          <w:tcPr>
            <w:tcW w:w="0" w:type="dxa"/>
            <w:shd w:val="clear" w:color="auto" w:fill="FF9900"/>
            <w:vAlign w:val="center"/>
          </w:tcPr>
          <w:p w14:paraId="18965D00"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0.37</w:t>
            </w:r>
          </w:p>
        </w:tc>
        <w:tc>
          <w:tcPr>
            <w:tcW w:w="0" w:type="dxa"/>
            <w:shd w:val="clear" w:color="auto" w:fill="FF9900"/>
            <w:vAlign w:val="center"/>
          </w:tcPr>
          <w:p w14:paraId="5B7A877D"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0.40</w:t>
            </w:r>
          </w:p>
        </w:tc>
        <w:tc>
          <w:tcPr>
            <w:tcW w:w="0" w:type="dxa"/>
            <w:shd w:val="clear" w:color="auto" w:fill="FF9900"/>
            <w:vAlign w:val="center"/>
          </w:tcPr>
          <w:p w14:paraId="06ACB2FC"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0.44</w:t>
            </w:r>
          </w:p>
        </w:tc>
        <w:tc>
          <w:tcPr>
            <w:tcW w:w="0" w:type="dxa"/>
            <w:vAlign w:val="center"/>
          </w:tcPr>
          <w:p w14:paraId="2A5B2898"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681280" behindDoc="0" locked="0" layoutInCell="1" allowOverlap="1" wp14:anchorId="3EF37D6D" wp14:editId="3055A8C5">
                      <wp:simplePos x="0" y="0"/>
                      <wp:positionH relativeFrom="column">
                        <wp:posOffset>211455</wp:posOffset>
                      </wp:positionH>
                      <wp:positionV relativeFrom="paragraph">
                        <wp:posOffset>-19685</wp:posOffset>
                      </wp:positionV>
                      <wp:extent cx="211455" cy="186055"/>
                      <wp:effectExtent l="0" t="0" r="0" b="4445"/>
                      <wp:wrapNone/>
                      <wp:docPr id="53" name="Triángulo isósceles 53"/>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105E18" id="Triángulo isósceles 53" o:spid="_x0000_s1026" type="#_x0000_t5" style="position:absolute;margin-left:16.65pt;margin-top:-1.55pt;width:16.65pt;height:14.6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" fillcolor="#70ad47 [3209]" stroked="f" strokeweight="1pt"/>
                  </w:pict>
                </mc:Fallback>
              </mc:AlternateContent>
            </w:r>
          </w:p>
        </w:tc>
      </w:tr>
      <w:tr w:rsidR="00CC5A4D" w:rsidRPr="00131EED" w14:paraId="192EA5EC" w14:textId="77777777" w:rsidTr="00053167">
        <w:trPr>
          <w:trHeight w:val="419"/>
          <w:jc w:val="center"/>
        </w:trPr>
        <w:tc>
          <w:tcPr>
            <w:cnfStyle w:val="001000000000" w:firstRow="0" w:lastRow="0" w:firstColumn="1" w:lastColumn="0" w:oddVBand="0" w:evenVBand="0" w:oddHBand="0" w:evenHBand="0" w:firstRowFirstColumn="0" w:firstRowLastColumn="0" w:lastRowFirstColumn="0" w:lastRowLastColumn="0"/>
            <w:tcW w:w="0" w:type="dxa"/>
            <w:vMerge/>
            <w:vAlign w:val="center"/>
          </w:tcPr>
          <w:p w14:paraId="2204AF8B" w14:textId="77777777" w:rsidR="00CC5A4D" w:rsidRPr="00131EED" w:rsidRDefault="00CC5A4D" w:rsidP="00B60DA2">
            <w:pPr>
              <w:rPr>
                <w:rFonts w:cs="Arial"/>
                <w:b w:val="0"/>
                <w:sz w:val="20"/>
                <w:szCs w:val="20"/>
              </w:rPr>
            </w:pPr>
          </w:p>
        </w:tc>
        <w:tc>
          <w:tcPr>
            <w:tcW w:w="0" w:type="dxa"/>
            <w:vAlign w:val="center"/>
          </w:tcPr>
          <w:p w14:paraId="28CF3533"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El Cortijo</w:t>
            </w:r>
          </w:p>
        </w:tc>
        <w:tc>
          <w:tcPr>
            <w:tcW w:w="0" w:type="dxa"/>
            <w:vAlign w:val="center"/>
          </w:tcPr>
          <w:p w14:paraId="3038A6DE"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2080631</w:t>
            </w:r>
          </w:p>
        </w:tc>
        <w:tc>
          <w:tcPr>
            <w:tcW w:w="0" w:type="dxa"/>
            <w:vAlign w:val="center"/>
          </w:tcPr>
          <w:p w14:paraId="0866551D"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4875103</w:t>
            </w:r>
          </w:p>
        </w:tc>
        <w:tc>
          <w:tcPr>
            <w:tcW w:w="0" w:type="dxa"/>
            <w:shd w:val="clear" w:color="auto" w:fill="FF9900"/>
            <w:vAlign w:val="center"/>
          </w:tcPr>
          <w:p w14:paraId="58DBF16E"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0.35</w:t>
            </w:r>
          </w:p>
        </w:tc>
        <w:tc>
          <w:tcPr>
            <w:tcW w:w="0" w:type="dxa"/>
            <w:shd w:val="clear" w:color="auto" w:fill="FF9900"/>
            <w:vAlign w:val="center"/>
          </w:tcPr>
          <w:p w14:paraId="08C9F623"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0.42</w:t>
            </w:r>
          </w:p>
        </w:tc>
        <w:tc>
          <w:tcPr>
            <w:tcW w:w="0" w:type="dxa"/>
            <w:shd w:val="clear" w:color="auto" w:fill="FF9900"/>
            <w:vAlign w:val="center"/>
          </w:tcPr>
          <w:p w14:paraId="46F442C7"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0.34</w:t>
            </w:r>
          </w:p>
        </w:tc>
        <w:tc>
          <w:tcPr>
            <w:tcW w:w="0" w:type="dxa"/>
            <w:vAlign w:val="center"/>
          </w:tcPr>
          <w:p w14:paraId="23B2B0A0"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685376" behindDoc="0" locked="0" layoutInCell="1" allowOverlap="1" wp14:anchorId="3E515503" wp14:editId="61385AD1">
                      <wp:simplePos x="0" y="0"/>
                      <wp:positionH relativeFrom="column">
                        <wp:posOffset>211455</wp:posOffset>
                      </wp:positionH>
                      <wp:positionV relativeFrom="paragraph">
                        <wp:posOffset>23495</wp:posOffset>
                      </wp:positionV>
                      <wp:extent cx="211455" cy="186055"/>
                      <wp:effectExtent l="0" t="0" r="0" b="4445"/>
                      <wp:wrapNone/>
                      <wp:docPr id="54" name="Triángulo isósceles 54"/>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CB6587" id="Triángulo isósceles 54" o:spid="_x0000_s1026" type="#_x0000_t5" style="position:absolute;margin-left:16.65pt;margin-top:1.85pt;width:16.65pt;height:14.6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" fillcolor="#70ad47 [3209]" stroked="f" strokeweight="1pt"/>
                  </w:pict>
                </mc:Fallback>
              </mc:AlternateContent>
            </w:r>
          </w:p>
        </w:tc>
      </w:tr>
      <w:tr w:rsidR="00CC5A4D" w:rsidRPr="00131EED" w14:paraId="3F46A48C" w14:textId="77777777" w:rsidTr="00053167">
        <w:trPr>
          <w:trHeight w:val="425"/>
          <w:jc w:val="center"/>
        </w:trPr>
        <w:tc>
          <w:tcPr>
            <w:cnfStyle w:val="001000000000" w:firstRow="0" w:lastRow="0" w:firstColumn="1" w:lastColumn="0" w:oddVBand="0" w:evenVBand="0" w:oddHBand="0" w:evenHBand="0" w:firstRowFirstColumn="0" w:firstRowLastColumn="0" w:lastRowFirstColumn="0" w:lastRowLastColumn="0"/>
            <w:tcW w:w="0" w:type="dxa"/>
            <w:vMerge/>
            <w:vAlign w:val="center"/>
          </w:tcPr>
          <w:p w14:paraId="2DA00043" w14:textId="77777777" w:rsidR="00CC5A4D" w:rsidRPr="00131EED" w:rsidRDefault="00CC5A4D" w:rsidP="00B60DA2">
            <w:pPr>
              <w:rPr>
                <w:rFonts w:cs="Arial"/>
                <w:b w:val="0"/>
                <w:sz w:val="20"/>
                <w:szCs w:val="20"/>
              </w:rPr>
            </w:pPr>
          </w:p>
        </w:tc>
        <w:tc>
          <w:tcPr>
            <w:tcW w:w="0" w:type="dxa"/>
            <w:vAlign w:val="center"/>
          </w:tcPr>
          <w:p w14:paraId="6E36E6A6"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LG Pte Cundinamarca</w:t>
            </w:r>
          </w:p>
        </w:tc>
        <w:tc>
          <w:tcPr>
            <w:tcW w:w="0" w:type="dxa"/>
            <w:vAlign w:val="center"/>
          </w:tcPr>
          <w:p w14:paraId="4B3B661D"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2077017</w:t>
            </w:r>
          </w:p>
        </w:tc>
        <w:tc>
          <w:tcPr>
            <w:tcW w:w="0" w:type="dxa"/>
            <w:vAlign w:val="center"/>
          </w:tcPr>
          <w:p w14:paraId="40C95175"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4870016</w:t>
            </w:r>
          </w:p>
        </w:tc>
        <w:tc>
          <w:tcPr>
            <w:tcW w:w="0" w:type="dxa"/>
            <w:shd w:val="clear" w:color="auto" w:fill="FF9900"/>
            <w:vAlign w:val="center"/>
          </w:tcPr>
          <w:p w14:paraId="0646D710"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0.34</w:t>
            </w:r>
          </w:p>
        </w:tc>
        <w:tc>
          <w:tcPr>
            <w:tcW w:w="0" w:type="dxa"/>
            <w:shd w:val="clear" w:color="auto" w:fill="FF9900"/>
            <w:vAlign w:val="center"/>
          </w:tcPr>
          <w:p w14:paraId="66B54751"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0.41</w:t>
            </w:r>
          </w:p>
        </w:tc>
        <w:tc>
          <w:tcPr>
            <w:tcW w:w="0" w:type="dxa"/>
            <w:shd w:val="clear" w:color="auto" w:fill="FF9900"/>
            <w:vAlign w:val="center"/>
          </w:tcPr>
          <w:p w14:paraId="537DEBB4"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0.40</w:t>
            </w:r>
          </w:p>
        </w:tc>
        <w:tc>
          <w:tcPr>
            <w:tcW w:w="0" w:type="dxa"/>
            <w:vAlign w:val="center"/>
          </w:tcPr>
          <w:p w14:paraId="20C84D35"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689472" behindDoc="0" locked="0" layoutInCell="1" allowOverlap="1" wp14:anchorId="4CB057B8" wp14:editId="4A00E82E">
                      <wp:simplePos x="0" y="0"/>
                      <wp:positionH relativeFrom="column">
                        <wp:posOffset>211455</wp:posOffset>
                      </wp:positionH>
                      <wp:positionV relativeFrom="paragraph">
                        <wp:posOffset>8890</wp:posOffset>
                      </wp:positionV>
                      <wp:extent cx="211455" cy="186055"/>
                      <wp:effectExtent l="0" t="0" r="0" b="4445"/>
                      <wp:wrapNone/>
                      <wp:docPr id="55" name="Triángulo isósceles 55"/>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64518F" id="Triángulo isósceles 55" o:spid="_x0000_s1026" type="#_x0000_t5" style="position:absolute;margin-left:16.65pt;margin-top:.7pt;width:16.65pt;height:14.6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" fillcolor="#70ad47 [3209]" stroked="f" strokeweight="1pt"/>
                  </w:pict>
                </mc:Fallback>
              </mc:AlternateContent>
            </w:r>
          </w:p>
        </w:tc>
      </w:tr>
      <w:tr w:rsidR="00CC5A4D" w:rsidRPr="00131EED" w14:paraId="76ADF01D" w14:textId="77777777" w:rsidTr="00053167">
        <w:trPr>
          <w:trHeight w:val="258"/>
          <w:jc w:val="center"/>
        </w:trPr>
        <w:tc>
          <w:tcPr>
            <w:cnfStyle w:val="001000000000" w:firstRow="0" w:lastRow="0" w:firstColumn="1" w:lastColumn="0" w:oddVBand="0" w:evenVBand="0" w:oddHBand="0" w:evenHBand="0" w:firstRowFirstColumn="0" w:firstRowLastColumn="0" w:lastRowFirstColumn="0" w:lastRowLastColumn="0"/>
            <w:tcW w:w="1026" w:type="dxa"/>
            <w:vMerge/>
            <w:vAlign w:val="center"/>
          </w:tcPr>
          <w:p w14:paraId="142374D7" w14:textId="77777777" w:rsidR="00CC5A4D" w:rsidRPr="00131EED" w:rsidRDefault="00CC5A4D" w:rsidP="00B60DA2">
            <w:pPr>
              <w:rPr>
                <w:rFonts w:cs="Arial"/>
                <w:b w:val="0"/>
                <w:sz w:val="20"/>
                <w:szCs w:val="20"/>
              </w:rPr>
            </w:pPr>
          </w:p>
        </w:tc>
        <w:tc>
          <w:tcPr>
            <w:tcW w:w="1929" w:type="dxa"/>
            <w:vAlign w:val="center"/>
          </w:tcPr>
          <w:p w14:paraId="2F4617C0"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LM Hda San Francisco</w:t>
            </w:r>
          </w:p>
        </w:tc>
        <w:tc>
          <w:tcPr>
            <w:tcW w:w="1121" w:type="dxa"/>
            <w:vAlign w:val="center"/>
          </w:tcPr>
          <w:p w14:paraId="2F09EAB5"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2073785</w:t>
            </w:r>
          </w:p>
        </w:tc>
        <w:tc>
          <w:tcPr>
            <w:tcW w:w="840" w:type="dxa"/>
            <w:vAlign w:val="center"/>
          </w:tcPr>
          <w:p w14:paraId="2A7DDFF2"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4871350</w:t>
            </w:r>
          </w:p>
        </w:tc>
        <w:tc>
          <w:tcPr>
            <w:tcW w:w="841" w:type="dxa"/>
            <w:shd w:val="clear" w:color="auto" w:fill="FF9900"/>
            <w:vAlign w:val="center"/>
          </w:tcPr>
          <w:p w14:paraId="3A05179D"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0.32</w:t>
            </w:r>
          </w:p>
        </w:tc>
        <w:tc>
          <w:tcPr>
            <w:tcW w:w="840" w:type="dxa"/>
            <w:shd w:val="clear" w:color="auto" w:fill="FF9900"/>
            <w:vAlign w:val="center"/>
          </w:tcPr>
          <w:p w14:paraId="7067AD8F"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0.34</w:t>
            </w:r>
          </w:p>
        </w:tc>
        <w:tc>
          <w:tcPr>
            <w:tcW w:w="841" w:type="dxa"/>
            <w:shd w:val="clear" w:color="auto" w:fill="FF9900"/>
            <w:vAlign w:val="center"/>
          </w:tcPr>
          <w:p w14:paraId="547A4ABF"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0.45</w:t>
            </w:r>
          </w:p>
        </w:tc>
        <w:tc>
          <w:tcPr>
            <w:tcW w:w="1074" w:type="dxa"/>
            <w:vAlign w:val="center"/>
          </w:tcPr>
          <w:p w14:paraId="72926EB4"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693568" behindDoc="0" locked="0" layoutInCell="1" allowOverlap="1" wp14:anchorId="4956CD31" wp14:editId="1FD807E7">
                      <wp:simplePos x="0" y="0"/>
                      <wp:positionH relativeFrom="column">
                        <wp:posOffset>211455</wp:posOffset>
                      </wp:positionH>
                      <wp:positionV relativeFrom="paragraph">
                        <wp:posOffset>-34925</wp:posOffset>
                      </wp:positionV>
                      <wp:extent cx="211455" cy="186055"/>
                      <wp:effectExtent l="0" t="0" r="0" b="4445"/>
                      <wp:wrapNone/>
                      <wp:docPr id="56" name="Triángulo isósceles 56"/>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0EC" id="Triángulo isósceles 56" o:spid="_x0000_s1026" type="#_x0000_t5" style="position:absolute;margin-left:16.65pt;margin-top:-2.75pt;width:16.65pt;height:14.6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" fillcolor="#70ad47 [3209]" stroked="f" strokeweight="1pt"/>
                  </w:pict>
                </mc:Fallback>
              </mc:AlternateContent>
            </w:r>
          </w:p>
        </w:tc>
      </w:tr>
      <w:tr w:rsidR="00655A48" w:rsidRPr="00131EED" w14:paraId="21E90BA2" w14:textId="77777777" w:rsidTr="00053167">
        <w:trPr>
          <w:trHeight w:val="421"/>
          <w:jc w:val="center"/>
        </w:trPr>
        <w:tc>
          <w:tcPr>
            <w:cnfStyle w:val="001000000000" w:firstRow="0" w:lastRow="0" w:firstColumn="1" w:lastColumn="0" w:oddVBand="0" w:evenVBand="0" w:oddHBand="0" w:evenHBand="0" w:firstRowFirstColumn="0" w:firstRowLastColumn="0" w:lastRowFirstColumn="0" w:lastRowLastColumn="0"/>
            <w:tcW w:w="0" w:type="dxa"/>
            <w:vMerge/>
            <w:vAlign w:val="center"/>
          </w:tcPr>
          <w:p w14:paraId="09E18B24" w14:textId="77777777" w:rsidR="00CC5A4D" w:rsidRPr="00131EED" w:rsidRDefault="00CC5A4D" w:rsidP="00B60DA2">
            <w:pPr>
              <w:rPr>
                <w:rFonts w:cs="Arial"/>
                <w:b w:val="0"/>
                <w:sz w:val="20"/>
                <w:szCs w:val="20"/>
              </w:rPr>
            </w:pPr>
          </w:p>
        </w:tc>
        <w:tc>
          <w:tcPr>
            <w:tcW w:w="0" w:type="dxa"/>
            <w:vAlign w:val="center"/>
          </w:tcPr>
          <w:p w14:paraId="2CA38845"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Aguas abajo Río Fucha</w:t>
            </w:r>
          </w:p>
        </w:tc>
        <w:tc>
          <w:tcPr>
            <w:tcW w:w="0" w:type="dxa"/>
            <w:vAlign w:val="center"/>
          </w:tcPr>
          <w:p w14:paraId="18AF8EA5"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2073355</w:t>
            </w:r>
          </w:p>
        </w:tc>
        <w:tc>
          <w:tcPr>
            <w:tcW w:w="0" w:type="dxa"/>
            <w:vAlign w:val="center"/>
          </w:tcPr>
          <w:p w14:paraId="21FFFFAC"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4871069</w:t>
            </w:r>
          </w:p>
        </w:tc>
        <w:tc>
          <w:tcPr>
            <w:tcW w:w="0" w:type="dxa"/>
            <w:shd w:val="clear" w:color="auto" w:fill="FF9900"/>
            <w:vAlign w:val="center"/>
          </w:tcPr>
          <w:p w14:paraId="75003802"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0.33</w:t>
            </w:r>
          </w:p>
        </w:tc>
        <w:tc>
          <w:tcPr>
            <w:tcW w:w="0" w:type="dxa"/>
            <w:shd w:val="clear" w:color="auto" w:fill="FF9900"/>
            <w:vAlign w:val="center"/>
          </w:tcPr>
          <w:p w14:paraId="24718C5B"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0.36</w:t>
            </w:r>
          </w:p>
        </w:tc>
        <w:tc>
          <w:tcPr>
            <w:tcW w:w="0" w:type="dxa"/>
            <w:shd w:val="clear" w:color="auto" w:fill="FF9900"/>
            <w:vAlign w:val="center"/>
          </w:tcPr>
          <w:p w14:paraId="33223AA1"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0.36</w:t>
            </w:r>
          </w:p>
        </w:tc>
        <w:tc>
          <w:tcPr>
            <w:tcW w:w="0" w:type="dxa"/>
            <w:vAlign w:val="center"/>
          </w:tcPr>
          <w:p w14:paraId="432FF579"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697664" behindDoc="0" locked="0" layoutInCell="1" allowOverlap="1" wp14:anchorId="10F30837" wp14:editId="3DB3DE91">
                      <wp:simplePos x="0" y="0"/>
                      <wp:positionH relativeFrom="column">
                        <wp:posOffset>226695</wp:posOffset>
                      </wp:positionH>
                      <wp:positionV relativeFrom="paragraph">
                        <wp:posOffset>-635</wp:posOffset>
                      </wp:positionV>
                      <wp:extent cx="211455" cy="186055"/>
                      <wp:effectExtent l="0" t="0" r="0" b="4445"/>
                      <wp:wrapNone/>
                      <wp:docPr id="57" name="Triángulo isósceles 57"/>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794351" id="Triángulo isósceles 57" o:spid="_x0000_s1026" type="#_x0000_t5" style="position:absolute;margin-left:17.85pt;margin-top:-.05pt;width:16.65pt;height:14.6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" fillcolor="#70ad47 [3209]" stroked="f" strokeweight="1pt"/>
                  </w:pict>
                </mc:Fallback>
              </mc:AlternateContent>
            </w:r>
          </w:p>
        </w:tc>
      </w:tr>
      <w:tr w:rsidR="00655A48" w:rsidRPr="00131EED" w14:paraId="375FE1C9" w14:textId="77777777" w:rsidTr="00053167">
        <w:trPr>
          <w:trHeight w:val="413"/>
          <w:jc w:val="center"/>
        </w:trPr>
        <w:tc>
          <w:tcPr>
            <w:cnfStyle w:val="001000000000" w:firstRow="0" w:lastRow="0" w:firstColumn="1" w:lastColumn="0" w:oddVBand="0" w:evenVBand="0" w:oddHBand="0" w:evenHBand="0" w:firstRowFirstColumn="0" w:firstRowLastColumn="0" w:lastRowFirstColumn="0" w:lastRowLastColumn="0"/>
            <w:tcW w:w="0" w:type="dxa"/>
            <w:vMerge/>
            <w:vAlign w:val="center"/>
          </w:tcPr>
          <w:p w14:paraId="0470162E" w14:textId="77777777" w:rsidR="00CC5A4D" w:rsidRPr="00131EED" w:rsidRDefault="00CC5A4D" w:rsidP="00B60DA2">
            <w:pPr>
              <w:rPr>
                <w:rFonts w:cs="Arial"/>
                <w:b w:val="0"/>
                <w:sz w:val="20"/>
                <w:szCs w:val="20"/>
              </w:rPr>
            </w:pPr>
          </w:p>
        </w:tc>
        <w:tc>
          <w:tcPr>
            <w:tcW w:w="0" w:type="dxa"/>
            <w:vAlign w:val="center"/>
          </w:tcPr>
          <w:p w14:paraId="5B0F8B65"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LG La Isla</w:t>
            </w:r>
          </w:p>
        </w:tc>
        <w:tc>
          <w:tcPr>
            <w:tcW w:w="0" w:type="dxa"/>
            <w:vAlign w:val="center"/>
          </w:tcPr>
          <w:p w14:paraId="7E6393BB"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2069904</w:t>
            </w:r>
          </w:p>
        </w:tc>
        <w:tc>
          <w:tcPr>
            <w:tcW w:w="0" w:type="dxa"/>
            <w:vAlign w:val="center"/>
          </w:tcPr>
          <w:p w14:paraId="4D27584E"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4865193</w:t>
            </w:r>
          </w:p>
        </w:tc>
        <w:tc>
          <w:tcPr>
            <w:tcW w:w="0" w:type="dxa"/>
            <w:shd w:val="clear" w:color="auto" w:fill="FF9900"/>
            <w:vAlign w:val="center"/>
          </w:tcPr>
          <w:p w14:paraId="79738D69"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0.27</w:t>
            </w:r>
          </w:p>
        </w:tc>
        <w:tc>
          <w:tcPr>
            <w:tcW w:w="0" w:type="dxa"/>
            <w:shd w:val="clear" w:color="auto" w:fill="FF9900"/>
            <w:vAlign w:val="center"/>
          </w:tcPr>
          <w:p w14:paraId="6104F69E"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0.28</w:t>
            </w:r>
          </w:p>
        </w:tc>
        <w:tc>
          <w:tcPr>
            <w:tcW w:w="0" w:type="dxa"/>
            <w:shd w:val="clear" w:color="auto" w:fill="FF9900"/>
            <w:vAlign w:val="center"/>
          </w:tcPr>
          <w:p w14:paraId="167606CF"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0.37</w:t>
            </w:r>
          </w:p>
        </w:tc>
        <w:tc>
          <w:tcPr>
            <w:tcW w:w="0" w:type="dxa"/>
            <w:vAlign w:val="center"/>
          </w:tcPr>
          <w:p w14:paraId="48EFECE5"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701760" behindDoc="0" locked="0" layoutInCell="1" allowOverlap="1" wp14:anchorId="4269E178" wp14:editId="386E3C9D">
                      <wp:simplePos x="0" y="0"/>
                      <wp:positionH relativeFrom="column">
                        <wp:posOffset>217170</wp:posOffset>
                      </wp:positionH>
                      <wp:positionV relativeFrom="paragraph">
                        <wp:posOffset>5715</wp:posOffset>
                      </wp:positionV>
                      <wp:extent cx="211455" cy="186055"/>
                      <wp:effectExtent l="0" t="0" r="0" b="4445"/>
                      <wp:wrapNone/>
                      <wp:docPr id="58" name="Triángulo isósceles 58"/>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67BA3B" id="Triángulo isósceles 58" o:spid="_x0000_s1026" type="#_x0000_t5" style="position:absolute;margin-left:17.1pt;margin-top:.45pt;width:16.65pt;height:14.6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" fillcolor="#70ad47 [3209]" stroked="f" strokeweight="1pt"/>
                  </w:pict>
                </mc:Fallback>
              </mc:AlternateContent>
            </w:r>
          </w:p>
        </w:tc>
      </w:tr>
      <w:tr w:rsidR="00655A48" w:rsidRPr="00131EED" w14:paraId="19D7FD5E" w14:textId="77777777" w:rsidTr="00053167">
        <w:trPr>
          <w:trHeight w:val="418"/>
          <w:jc w:val="center"/>
        </w:trPr>
        <w:tc>
          <w:tcPr>
            <w:cnfStyle w:val="001000000000" w:firstRow="0" w:lastRow="0" w:firstColumn="1" w:lastColumn="0" w:oddVBand="0" w:evenVBand="0" w:oddHBand="0" w:evenHBand="0" w:firstRowFirstColumn="0" w:firstRowLastColumn="0" w:lastRowFirstColumn="0" w:lastRowLastColumn="0"/>
            <w:tcW w:w="0" w:type="dxa"/>
            <w:vMerge w:val="restart"/>
            <w:vAlign w:val="center"/>
          </w:tcPr>
          <w:p w14:paraId="7465B8A1" w14:textId="77777777" w:rsidR="00CC5A4D" w:rsidRPr="00131EED" w:rsidRDefault="00CC5A4D" w:rsidP="00B60DA2">
            <w:pPr>
              <w:rPr>
                <w:rFonts w:cs="Arial"/>
                <w:b w:val="0"/>
                <w:sz w:val="20"/>
                <w:szCs w:val="20"/>
              </w:rPr>
            </w:pPr>
            <w:r w:rsidRPr="00131EED">
              <w:rPr>
                <w:rFonts w:cs="Arial"/>
                <w:b w:val="0"/>
                <w:sz w:val="20"/>
                <w:szCs w:val="20"/>
              </w:rPr>
              <w:t>Soacha</w:t>
            </w:r>
          </w:p>
        </w:tc>
        <w:tc>
          <w:tcPr>
            <w:tcW w:w="0" w:type="dxa"/>
            <w:vAlign w:val="center"/>
          </w:tcPr>
          <w:p w14:paraId="7D68E5CE"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Aguas abajo Río Tunjuelo</w:t>
            </w:r>
          </w:p>
        </w:tc>
        <w:tc>
          <w:tcPr>
            <w:tcW w:w="0" w:type="dxa"/>
            <w:vAlign w:val="center"/>
          </w:tcPr>
          <w:p w14:paraId="3C4510A3"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2069651</w:t>
            </w:r>
          </w:p>
        </w:tc>
        <w:tc>
          <w:tcPr>
            <w:tcW w:w="0" w:type="dxa"/>
            <w:vAlign w:val="center"/>
          </w:tcPr>
          <w:p w14:paraId="409C2058"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4864398</w:t>
            </w:r>
          </w:p>
        </w:tc>
        <w:tc>
          <w:tcPr>
            <w:tcW w:w="0" w:type="dxa"/>
            <w:shd w:val="clear" w:color="auto" w:fill="FF9900"/>
            <w:vAlign w:val="center"/>
          </w:tcPr>
          <w:p w14:paraId="4091B5B9"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0.30</w:t>
            </w:r>
          </w:p>
        </w:tc>
        <w:tc>
          <w:tcPr>
            <w:tcW w:w="0" w:type="dxa"/>
            <w:shd w:val="clear" w:color="auto" w:fill="FF9900"/>
            <w:vAlign w:val="center"/>
          </w:tcPr>
          <w:p w14:paraId="30F5474F"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0.38</w:t>
            </w:r>
          </w:p>
        </w:tc>
        <w:tc>
          <w:tcPr>
            <w:tcW w:w="0" w:type="dxa"/>
            <w:shd w:val="clear" w:color="auto" w:fill="FF9900"/>
            <w:vAlign w:val="center"/>
          </w:tcPr>
          <w:p w14:paraId="4CBD7804"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0.43</w:t>
            </w:r>
          </w:p>
        </w:tc>
        <w:tc>
          <w:tcPr>
            <w:tcW w:w="0" w:type="dxa"/>
            <w:vAlign w:val="center"/>
          </w:tcPr>
          <w:p w14:paraId="1BB214E3"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705856" behindDoc="0" locked="0" layoutInCell="1" allowOverlap="1" wp14:anchorId="35E31861" wp14:editId="78182800">
                      <wp:simplePos x="0" y="0"/>
                      <wp:positionH relativeFrom="column">
                        <wp:posOffset>211455</wp:posOffset>
                      </wp:positionH>
                      <wp:positionV relativeFrom="paragraph">
                        <wp:posOffset>10160</wp:posOffset>
                      </wp:positionV>
                      <wp:extent cx="211455" cy="186055"/>
                      <wp:effectExtent l="0" t="0" r="0" b="4445"/>
                      <wp:wrapNone/>
                      <wp:docPr id="59" name="Triángulo isósceles 59"/>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2A0611" id="Triángulo isósceles 59" o:spid="_x0000_s1026" type="#_x0000_t5" style="position:absolute;margin-left:16.65pt;margin-top:.8pt;width:16.65pt;height:14.65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" fillcolor="#70ad47 [3209]" stroked="f" strokeweight="1pt"/>
                  </w:pict>
                </mc:Fallback>
              </mc:AlternateContent>
            </w:r>
          </w:p>
        </w:tc>
      </w:tr>
      <w:tr w:rsidR="00655A48" w:rsidRPr="00131EED" w14:paraId="6CFCE14A" w14:textId="77777777" w:rsidTr="00053167">
        <w:trPr>
          <w:trHeight w:val="425"/>
          <w:jc w:val="center"/>
        </w:trPr>
        <w:tc>
          <w:tcPr>
            <w:cnfStyle w:val="001000000000" w:firstRow="0" w:lastRow="0" w:firstColumn="1" w:lastColumn="0" w:oddVBand="0" w:evenVBand="0" w:oddHBand="0" w:evenHBand="0" w:firstRowFirstColumn="0" w:firstRowLastColumn="0" w:lastRowFirstColumn="0" w:lastRowLastColumn="0"/>
            <w:tcW w:w="0" w:type="dxa"/>
            <w:vMerge/>
            <w:vAlign w:val="center"/>
          </w:tcPr>
          <w:p w14:paraId="0E1FBBC5" w14:textId="77777777" w:rsidR="00CC5A4D" w:rsidRPr="00131EED" w:rsidRDefault="00CC5A4D" w:rsidP="00B60DA2">
            <w:pPr>
              <w:rPr>
                <w:rFonts w:cs="Arial"/>
                <w:b w:val="0"/>
                <w:sz w:val="20"/>
                <w:szCs w:val="20"/>
              </w:rPr>
            </w:pPr>
          </w:p>
        </w:tc>
        <w:tc>
          <w:tcPr>
            <w:tcW w:w="0" w:type="dxa"/>
            <w:vAlign w:val="center"/>
          </w:tcPr>
          <w:p w14:paraId="72732604"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LG Las Huertas</w:t>
            </w:r>
          </w:p>
        </w:tc>
        <w:tc>
          <w:tcPr>
            <w:tcW w:w="0" w:type="dxa"/>
            <w:vAlign w:val="center"/>
          </w:tcPr>
          <w:p w14:paraId="46866329"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2064030</w:t>
            </w:r>
          </w:p>
        </w:tc>
        <w:tc>
          <w:tcPr>
            <w:tcW w:w="0" w:type="dxa"/>
            <w:vAlign w:val="center"/>
          </w:tcPr>
          <w:p w14:paraId="2C96F18A"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4861193</w:t>
            </w:r>
          </w:p>
        </w:tc>
        <w:tc>
          <w:tcPr>
            <w:tcW w:w="0" w:type="dxa"/>
            <w:shd w:val="clear" w:color="auto" w:fill="FF9900"/>
            <w:vAlign w:val="center"/>
          </w:tcPr>
          <w:p w14:paraId="35BD0636"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0.32</w:t>
            </w:r>
          </w:p>
        </w:tc>
        <w:tc>
          <w:tcPr>
            <w:tcW w:w="0" w:type="dxa"/>
            <w:shd w:val="clear" w:color="auto" w:fill="FF9900"/>
            <w:vAlign w:val="center"/>
          </w:tcPr>
          <w:p w14:paraId="2FA41F9B"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0.39</w:t>
            </w:r>
          </w:p>
        </w:tc>
        <w:tc>
          <w:tcPr>
            <w:tcW w:w="0" w:type="dxa"/>
            <w:shd w:val="clear" w:color="auto" w:fill="FF9900"/>
            <w:vAlign w:val="center"/>
          </w:tcPr>
          <w:p w14:paraId="465D5CEB"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0.30</w:t>
            </w:r>
          </w:p>
        </w:tc>
        <w:tc>
          <w:tcPr>
            <w:tcW w:w="0" w:type="dxa"/>
            <w:vAlign w:val="center"/>
          </w:tcPr>
          <w:p w14:paraId="06C27486"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709952" behindDoc="0" locked="0" layoutInCell="1" allowOverlap="1" wp14:anchorId="6430A625" wp14:editId="51C38774">
                      <wp:simplePos x="0" y="0"/>
                      <wp:positionH relativeFrom="column">
                        <wp:posOffset>213360</wp:posOffset>
                      </wp:positionH>
                      <wp:positionV relativeFrom="paragraph">
                        <wp:posOffset>48895</wp:posOffset>
                      </wp:positionV>
                      <wp:extent cx="198120" cy="160020"/>
                      <wp:effectExtent l="0" t="0" r="0" b="0"/>
                      <wp:wrapNone/>
                      <wp:docPr id="60" name="Diagrama de flujo: combinar 60"/>
                      <wp:cNvGraphicFramePr/>
                      <a:graphic xmlns:a="http://schemas.openxmlformats.org/drawingml/2006/main">
                        <a:graphicData uri="http://schemas.microsoft.com/office/word/2010/wordprocessingShape">
                          <wps:wsp>
                            <wps:cNvSpPr/>
                            <wps:spPr>
                              <a:xfrm>
                                <a:off x="0" y="0"/>
                                <a:ext cx="198120" cy="160020"/>
                              </a:xfrm>
                              <a:prstGeom prst="flowChartMerge">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F913A4" id="Diagrama de flujo: combinar 60" o:spid="_x0000_s1026" type="#_x0000_t128" style="position:absolute;margin-left:16.8pt;margin-top:3.85pt;width:15.6pt;height:12.6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" fillcolor="red" stroked="f" strokeweight="1pt"/>
                  </w:pict>
                </mc:Fallback>
              </mc:AlternateContent>
            </w:r>
          </w:p>
        </w:tc>
      </w:tr>
      <w:tr w:rsidR="00655A48" w:rsidRPr="00131EED" w14:paraId="391E4032" w14:textId="77777777" w:rsidTr="00053167">
        <w:trPr>
          <w:trHeight w:val="417"/>
          <w:jc w:val="center"/>
        </w:trPr>
        <w:tc>
          <w:tcPr>
            <w:cnfStyle w:val="001000000000" w:firstRow="0" w:lastRow="0" w:firstColumn="1" w:lastColumn="0" w:oddVBand="0" w:evenVBand="0" w:oddHBand="0" w:evenHBand="0" w:firstRowFirstColumn="0" w:firstRowLastColumn="0" w:lastRowFirstColumn="0" w:lastRowLastColumn="0"/>
            <w:tcW w:w="0" w:type="dxa"/>
            <w:vMerge/>
            <w:vAlign w:val="center"/>
          </w:tcPr>
          <w:p w14:paraId="3C5BBEF5" w14:textId="77777777" w:rsidR="00CC5A4D" w:rsidRPr="00131EED" w:rsidRDefault="00CC5A4D" w:rsidP="00B60DA2">
            <w:pPr>
              <w:rPr>
                <w:rFonts w:cs="Arial"/>
                <w:b w:val="0"/>
                <w:sz w:val="20"/>
                <w:szCs w:val="20"/>
              </w:rPr>
            </w:pPr>
          </w:p>
        </w:tc>
        <w:tc>
          <w:tcPr>
            <w:tcW w:w="0" w:type="dxa"/>
            <w:vAlign w:val="center"/>
          </w:tcPr>
          <w:p w14:paraId="26B98636"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Pte. Variante Mondoñedo</w:t>
            </w:r>
          </w:p>
        </w:tc>
        <w:tc>
          <w:tcPr>
            <w:tcW w:w="0" w:type="dxa"/>
            <w:vAlign w:val="center"/>
          </w:tcPr>
          <w:p w14:paraId="365E8ADA"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2060333</w:t>
            </w:r>
          </w:p>
        </w:tc>
        <w:tc>
          <w:tcPr>
            <w:tcW w:w="0" w:type="dxa"/>
            <w:vAlign w:val="center"/>
          </w:tcPr>
          <w:p w14:paraId="6401A0BD"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4860465</w:t>
            </w:r>
          </w:p>
        </w:tc>
        <w:tc>
          <w:tcPr>
            <w:tcW w:w="0" w:type="dxa"/>
            <w:shd w:val="clear" w:color="auto" w:fill="FF9900"/>
            <w:vAlign w:val="center"/>
          </w:tcPr>
          <w:p w14:paraId="2D8060CE"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0.30</w:t>
            </w:r>
          </w:p>
        </w:tc>
        <w:tc>
          <w:tcPr>
            <w:tcW w:w="0" w:type="dxa"/>
            <w:shd w:val="clear" w:color="auto" w:fill="FF9900"/>
            <w:vAlign w:val="center"/>
          </w:tcPr>
          <w:p w14:paraId="310E9920"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0.39</w:t>
            </w:r>
          </w:p>
        </w:tc>
        <w:tc>
          <w:tcPr>
            <w:tcW w:w="0" w:type="dxa"/>
            <w:shd w:val="clear" w:color="auto" w:fill="FF9900"/>
            <w:vAlign w:val="center"/>
          </w:tcPr>
          <w:p w14:paraId="181535BF"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0.35</w:t>
            </w:r>
          </w:p>
        </w:tc>
        <w:tc>
          <w:tcPr>
            <w:tcW w:w="0" w:type="dxa"/>
            <w:vAlign w:val="center"/>
          </w:tcPr>
          <w:p w14:paraId="00BBA10E"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714048" behindDoc="0" locked="0" layoutInCell="1" allowOverlap="1" wp14:anchorId="1B595943" wp14:editId="553045EE">
                      <wp:simplePos x="0" y="0"/>
                      <wp:positionH relativeFrom="column">
                        <wp:posOffset>211455</wp:posOffset>
                      </wp:positionH>
                      <wp:positionV relativeFrom="paragraph">
                        <wp:posOffset>13335</wp:posOffset>
                      </wp:positionV>
                      <wp:extent cx="211455" cy="186055"/>
                      <wp:effectExtent l="0" t="0" r="0" b="4445"/>
                      <wp:wrapNone/>
                      <wp:docPr id="61" name="Triángulo isósceles 61"/>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909357" id="Triángulo isósceles 61" o:spid="_x0000_s1026" type="#_x0000_t5" style="position:absolute;margin-left:16.65pt;margin-top:1.05pt;width:16.65pt;height:14.6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" fillcolor="#70ad47 [3209]" stroked="f" strokeweight="1pt"/>
                  </w:pict>
                </mc:Fallback>
              </mc:AlternateContent>
            </w:r>
          </w:p>
        </w:tc>
      </w:tr>
      <w:tr w:rsidR="00CC5A4D" w:rsidRPr="00131EED" w14:paraId="4CD141CC" w14:textId="77777777" w:rsidTr="00053167">
        <w:trPr>
          <w:trHeight w:val="400"/>
          <w:jc w:val="center"/>
        </w:trPr>
        <w:tc>
          <w:tcPr>
            <w:cnfStyle w:val="001000000000" w:firstRow="0" w:lastRow="0" w:firstColumn="1" w:lastColumn="0" w:oddVBand="0" w:evenVBand="0" w:oddHBand="0" w:evenHBand="0" w:firstRowFirstColumn="0" w:firstRowLastColumn="0" w:lastRowFirstColumn="0" w:lastRowLastColumn="0"/>
            <w:tcW w:w="1026" w:type="dxa"/>
            <w:vMerge/>
            <w:vAlign w:val="center"/>
          </w:tcPr>
          <w:p w14:paraId="58919B26" w14:textId="77777777" w:rsidR="00CC5A4D" w:rsidRPr="00131EED" w:rsidRDefault="00CC5A4D" w:rsidP="00B60DA2">
            <w:pPr>
              <w:rPr>
                <w:rFonts w:cs="Arial"/>
                <w:b w:val="0"/>
                <w:sz w:val="20"/>
                <w:szCs w:val="20"/>
              </w:rPr>
            </w:pPr>
          </w:p>
        </w:tc>
        <w:tc>
          <w:tcPr>
            <w:tcW w:w="1929" w:type="dxa"/>
            <w:vAlign w:val="center"/>
          </w:tcPr>
          <w:p w14:paraId="64F9F611"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Aguas arriba Salto Tequendama</w:t>
            </w:r>
          </w:p>
        </w:tc>
        <w:tc>
          <w:tcPr>
            <w:tcW w:w="1121" w:type="dxa"/>
            <w:vAlign w:val="center"/>
          </w:tcPr>
          <w:p w14:paraId="6461CE47"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2060229</w:t>
            </w:r>
          </w:p>
        </w:tc>
        <w:tc>
          <w:tcPr>
            <w:tcW w:w="840" w:type="dxa"/>
            <w:vAlign w:val="center"/>
          </w:tcPr>
          <w:p w14:paraId="17336D69"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4859247</w:t>
            </w:r>
          </w:p>
        </w:tc>
        <w:tc>
          <w:tcPr>
            <w:tcW w:w="841" w:type="dxa"/>
            <w:shd w:val="clear" w:color="auto" w:fill="FF9900"/>
            <w:vAlign w:val="center"/>
          </w:tcPr>
          <w:p w14:paraId="2AF91309"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0.40</w:t>
            </w:r>
          </w:p>
        </w:tc>
        <w:tc>
          <w:tcPr>
            <w:tcW w:w="840" w:type="dxa"/>
            <w:shd w:val="clear" w:color="auto" w:fill="FFFF00"/>
            <w:vAlign w:val="center"/>
          </w:tcPr>
          <w:p w14:paraId="305C1B75"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0.57</w:t>
            </w:r>
          </w:p>
        </w:tc>
        <w:tc>
          <w:tcPr>
            <w:tcW w:w="841" w:type="dxa"/>
            <w:shd w:val="clear" w:color="auto" w:fill="FF9900"/>
            <w:vAlign w:val="center"/>
          </w:tcPr>
          <w:p w14:paraId="58963384"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sz w:val="20"/>
                <w:szCs w:val="20"/>
              </w:rPr>
              <w:t>0.45</w:t>
            </w:r>
          </w:p>
        </w:tc>
        <w:tc>
          <w:tcPr>
            <w:tcW w:w="1074" w:type="dxa"/>
            <w:vAlign w:val="center"/>
          </w:tcPr>
          <w:p w14:paraId="15432AE5" w14:textId="77777777" w:rsidR="00CC5A4D" w:rsidRPr="00131EED" w:rsidRDefault="00CC5A4D" w:rsidP="00B60DA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31EED">
              <w:rPr>
                <w:rFonts w:cs="Arial"/>
                <w:noProof/>
                <w:sz w:val="20"/>
                <w:szCs w:val="20"/>
                <w:lang w:eastAsia="en-US"/>
              </w:rPr>
              <mc:AlternateContent>
                <mc:Choice Requires="wps">
                  <w:drawing>
                    <wp:anchor distT="0" distB="0" distL="114300" distR="114300" simplePos="0" relativeHeight="251718144" behindDoc="0" locked="0" layoutInCell="1" allowOverlap="1" wp14:anchorId="29922B03" wp14:editId="37F79EAB">
                      <wp:simplePos x="0" y="0"/>
                      <wp:positionH relativeFrom="column">
                        <wp:posOffset>207645</wp:posOffset>
                      </wp:positionH>
                      <wp:positionV relativeFrom="paragraph">
                        <wp:posOffset>10795</wp:posOffset>
                      </wp:positionV>
                      <wp:extent cx="211455" cy="186055"/>
                      <wp:effectExtent l="0" t="0" r="0" b="4445"/>
                      <wp:wrapNone/>
                      <wp:docPr id="62" name="Triángulo isósceles 62"/>
                      <wp:cNvGraphicFramePr/>
                      <a:graphic xmlns:a="http://schemas.openxmlformats.org/drawingml/2006/main">
                        <a:graphicData uri="http://schemas.microsoft.com/office/word/2010/wordprocessingShape">
                          <wps:wsp>
                            <wps:cNvSpPr/>
                            <wps:spPr>
                              <a:xfrm>
                                <a:off x="0" y="0"/>
                                <a:ext cx="211455" cy="186055"/>
                              </a:xfrm>
                              <a:prstGeom prst="triangle">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108C02" id="Triángulo isósceles 62" o:spid="_x0000_s1026" type="#_x0000_t5" style="position:absolute;margin-left:16.35pt;margin-top:.85pt;width:16.65pt;height:14.6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" fillcolor="#70ad47 [3209]" stroked="f" strokeweight="1pt"/>
                  </w:pict>
                </mc:Fallback>
              </mc:AlternateContent>
            </w:r>
          </w:p>
        </w:tc>
      </w:tr>
    </w:tbl>
    <w:p w14:paraId="12D60834" w14:textId="277E4FF8" w:rsidR="00CC5A4D" w:rsidRPr="00131EED" w:rsidRDefault="00CC5A4D" w:rsidP="006845C5">
      <w:pPr>
        <w:jc w:val="center"/>
        <w:rPr>
          <w:rFonts w:cs="Arial"/>
          <w:sz w:val="20"/>
          <w:szCs w:val="20"/>
        </w:rPr>
      </w:pPr>
      <w:r w:rsidRPr="00131EED">
        <w:rPr>
          <w:rFonts w:cs="Arial"/>
          <w:sz w:val="20"/>
          <w:szCs w:val="20"/>
        </w:rPr>
        <w:t xml:space="preserve">Fuente: compilado por el autor con base en CAR </w:t>
      </w:r>
      <w:sdt>
        <w:sdtPr>
          <w:rPr>
            <w:rFonts w:cs="Arial"/>
            <w:sz w:val="20"/>
            <w:szCs w:val="20"/>
          </w:rPr>
          <w:id w:val="137230266"/>
          <w:citation/>
        </w:sdtPr>
        <w:sdtEndPr/>
        <w:sdtContent>
          <w:r w:rsidRPr="00131EED">
            <w:rPr>
              <w:rFonts w:cs="Arial"/>
              <w:sz w:val="20"/>
              <w:szCs w:val="20"/>
            </w:rPr>
            <w:fldChar w:fldCharType="begin"/>
          </w:r>
          <w:r w:rsidRPr="00131EED">
            <w:rPr>
              <w:rFonts w:cs="Arial"/>
              <w:sz w:val="20"/>
              <w:szCs w:val="20"/>
            </w:rPr>
            <w:instrText xml:space="preserve">CITATION CAR22 \n  \t  \l 3082 </w:instrText>
          </w:r>
          <w:r w:rsidRPr="00131EED">
            <w:rPr>
              <w:rFonts w:cs="Arial"/>
              <w:sz w:val="20"/>
              <w:szCs w:val="20"/>
            </w:rPr>
            <w:fldChar w:fldCharType="separate"/>
          </w:r>
          <w:r w:rsidRPr="00131EED">
            <w:rPr>
              <w:rFonts w:cs="Arial"/>
              <w:sz w:val="20"/>
              <w:szCs w:val="20"/>
            </w:rPr>
            <w:t>(2022)</w:t>
          </w:r>
          <w:r w:rsidRPr="00131EED">
            <w:rPr>
              <w:rFonts w:cs="Arial"/>
              <w:sz w:val="20"/>
              <w:szCs w:val="20"/>
            </w:rPr>
            <w:fldChar w:fldCharType="end"/>
          </w:r>
        </w:sdtContent>
      </w:sdt>
      <w:r w:rsidRPr="00131EED">
        <w:rPr>
          <w:rFonts w:cs="Arial"/>
          <w:sz w:val="20"/>
          <w:szCs w:val="20"/>
        </w:rPr>
        <w:t xml:space="preserve"> y ORARBO </w:t>
      </w:r>
      <w:sdt>
        <w:sdtPr>
          <w:rPr>
            <w:rFonts w:cs="Arial"/>
            <w:sz w:val="20"/>
            <w:szCs w:val="20"/>
          </w:rPr>
          <w:id w:val="1280381515"/>
          <w:citation/>
        </w:sdtPr>
        <w:sdtEndPr/>
        <w:sdtContent>
          <w:r w:rsidRPr="00131EED">
            <w:rPr>
              <w:rFonts w:cs="Arial"/>
              <w:sz w:val="20"/>
              <w:szCs w:val="20"/>
            </w:rPr>
            <w:fldChar w:fldCharType="begin"/>
          </w:r>
          <w:r w:rsidRPr="00131EED">
            <w:rPr>
              <w:rFonts w:cs="Arial"/>
              <w:sz w:val="20"/>
              <w:szCs w:val="20"/>
            </w:rPr>
            <w:instrText xml:space="preserve">CITATION MarcadorDePosición1 \n  \t  \l 3082 </w:instrText>
          </w:r>
          <w:r w:rsidRPr="00131EED">
            <w:rPr>
              <w:rFonts w:cs="Arial"/>
              <w:sz w:val="20"/>
              <w:szCs w:val="20"/>
            </w:rPr>
            <w:fldChar w:fldCharType="separate"/>
          </w:r>
          <w:r w:rsidRPr="00131EED">
            <w:rPr>
              <w:rFonts w:cs="Arial"/>
              <w:sz w:val="20"/>
              <w:szCs w:val="20"/>
            </w:rPr>
            <w:t>(2023)</w:t>
          </w:r>
          <w:r w:rsidRPr="00131EED">
            <w:rPr>
              <w:rFonts w:cs="Arial"/>
              <w:sz w:val="20"/>
              <w:szCs w:val="20"/>
            </w:rPr>
            <w:fldChar w:fldCharType="end"/>
          </w:r>
        </w:sdtContent>
      </w:sdt>
    </w:p>
    <w:p w14:paraId="3805653E" w14:textId="77777777" w:rsidR="00CC5A4D" w:rsidRPr="00131EED" w:rsidRDefault="00CC5A4D" w:rsidP="00CC5A4D">
      <w:pPr>
        <w:rPr>
          <w:rFonts w:cs="Arial"/>
        </w:rPr>
      </w:pPr>
    </w:p>
    <w:p w14:paraId="4209D7C3" w14:textId="77777777" w:rsidR="00CC5A4D" w:rsidRPr="00131EED" w:rsidRDefault="00CC5A4D" w:rsidP="00CC5A4D">
      <w:pPr>
        <w:rPr>
          <w:rFonts w:cs="Arial"/>
        </w:rPr>
      </w:pPr>
      <w:r w:rsidRPr="00131EED">
        <w:rPr>
          <w:rFonts w:cs="Arial"/>
        </w:rPr>
        <w:t xml:space="preserve">Es importante mencionar que, si bien el ICA depende de la temporalidad, para el presente análisis se usaron como referencia datos correspondientes a periodos del año similares, de tal forma que los resultados sean comparables y se pueda obtener una aproximación general del comportamiento del indicador a lo largo del tiempo, tomando algunos años como muestras de análisis. De acuerdo los datos presentados se evidencian puntos con deterioro de la calidad de agua tal como se describe a continuación: </w:t>
      </w:r>
    </w:p>
    <w:p w14:paraId="0EA71E52" w14:textId="77777777" w:rsidR="00CC5A4D" w:rsidRPr="00131EED" w:rsidRDefault="00CC5A4D" w:rsidP="00CC5A4D">
      <w:pPr>
        <w:rPr>
          <w:rFonts w:cs="Arial"/>
        </w:rPr>
      </w:pPr>
    </w:p>
    <w:p w14:paraId="3C42F865" w14:textId="77777777" w:rsidR="00CC5A4D" w:rsidRPr="00131EED" w:rsidRDefault="00CC5A4D" w:rsidP="00410194">
      <w:pPr>
        <w:pStyle w:val="ListParagraph"/>
        <w:numPr>
          <w:ilvl w:val="0"/>
          <w:numId w:val="12"/>
        </w:numPr>
        <w:spacing w:after="0"/>
        <w:rPr>
          <w:rFonts w:cs="Arial"/>
          <w:sz w:val="24"/>
          <w:szCs w:val="24"/>
        </w:rPr>
      </w:pPr>
      <w:r w:rsidRPr="00131EED">
        <w:rPr>
          <w:rFonts w:cs="Arial"/>
          <w:sz w:val="24"/>
          <w:szCs w:val="24"/>
        </w:rPr>
        <w:t xml:space="preserve">En el municipio de Villapinzón a la altura de la estación Aguas arriba Villapinzón se observa un decrecimiento de la calidad del agua en 0.09 unidades, pese a que el indicador se mantiene en la calificación de aceptable. Del mismo modo, en la estación de monitoreo denominada Puente Villapinzón se evidencia un decrecimiento significativo del indicador, la afectación en la calidad del agua se debe posiblemente al ingreso de los vertimientos del área urbana del municipio de Villapinzón el cual no cuenta con planta de tratamiento de aguas residuales (PTAR). En cuanto a la estación LM Chingacio, se observa una tendencia generalmente estable en los valores del ICA, con mínimas variaciones entre 0.59 y 0.63. </w:t>
      </w:r>
    </w:p>
    <w:p w14:paraId="704014E7" w14:textId="77777777" w:rsidR="00CC5A4D" w:rsidRPr="00131EED" w:rsidRDefault="00CC5A4D" w:rsidP="00410194">
      <w:pPr>
        <w:pStyle w:val="ListParagraph"/>
        <w:numPr>
          <w:ilvl w:val="0"/>
          <w:numId w:val="12"/>
        </w:numPr>
        <w:spacing w:after="0"/>
        <w:rPr>
          <w:rFonts w:cs="Arial"/>
          <w:sz w:val="24"/>
          <w:szCs w:val="24"/>
        </w:rPr>
      </w:pPr>
      <w:r w:rsidRPr="00131EED">
        <w:rPr>
          <w:rFonts w:cs="Arial"/>
          <w:sz w:val="24"/>
          <w:szCs w:val="24"/>
        </w:rPr>
        <w:t xml:space="preserve">En el municipio de Chocontá, se prolongó el descenso del ICA en las tres estaciones analizadas, Puente vía Telecom, Aguas abajo municipio Chocontá y LG Saucío, probablemente debido al ingreso de las descargas domésticas y no domésticas del área rural y del casco urbano del municipio de Chocontá. </w:t>
      </w:r>
    </w:p>
    <w:p w14:paraId="656ED66E" w14:textId="0CE2BB28" w:rsidR="00CC5A4D" w:rsidRPr="00131EED" w:rsidRDefault="00CC5A4D" w:rsidP="00410194">
      <w:pPr>
        <w:pStyle w:val="ListParagraph"/>
        <w:numPr>
          <w:ilvl w:val="0"/>
          <w:numId w:val="12"/>
        </w:numPr>
        <w:spacing w:after="0"/>
        <w:rPr>
          <w:rFonts w:cs="Arial"/>
          <w:sz w:val="24"/>
          <w:szCs w:val="24"/>
        </w:rPr>
      </w:pPr>
      <w:r w:rsidRPr="00131EED">
        <w:rPr>
          <w:rFonts w:cs="Arial"/>
          <w:sz w:val="24"/>
          <w:szCs w:val="24"/>
        </w:rPr>
        <w:t xml:space="preserve">A la altura del municipio de Suesca, en las estaciones LM Santa Rosita y Puente Santander se evidencia una notable mejoría que se puede deber probablemente al ingreso de afluentes de mejor calidad no monitoreados y al ingreso de la descarga del Embalse del Sisga, el cual, de acuerdo con los datos de la CAR </w:t>
      </w:r>
      <w:sdt>
        <w:sdtPr>
          <w:rPr>
            <w:rFonts w:cs="Arial"/>
            <w:sz w:val="24"/>
            <w:szCs w:val="24"/>
          </w:rPr>
          <w:id w:val="-1961794429"/>
          <w:citation/>
        </w:sdtPr>
        <w:sdtEndPr/>
        <w:sdtContent>
          <w:r w:rsidRPr="00131EED">
            <w:rPr>
              <w:rFonts w:cs="Arial"/>
              <w:sz w:val="24"/>
              <w:szCs w:val="24"/>
            </w:rPr>
            <w:fldChar w:fldCharType="begin"/>
          </w:r>
          <w:r w:rsidRPr="00131EED">
            <w:rPr>
              <w:rFonts w:cs="Arial"/>
              <w:sz w:val="24"/>
              <w:szCs w:val="24"/>
            </w:rPr>
            <w:instrText xml:space="preserve">CITATION CAR22 \n  \t  \l 3082 </w:instrText>
          </w:r>
          <w:r w:rsidRPr="00131EED">
            <w:rPr>
              <w:rFonts w:cs="Arial"/>
              <w:sz w:val="24"/>
              <w:szCs w:val="24"/>
            </w:rPr>
            <w:fldChar w:fldCharType="separate"/>
          </w:r>
          <w:r w:rsidRPr="00131EED">
            <w:rPr>
              <w:rFonts w:cs="Arial"/>
              <w:sz w:val="24"/>
              <w:szCs w:val="24"/>
            </w:rPr>
            <w:t>(2022)</w:t>
          </w:r>
          <w:r w:rsidRPr="00131EED">
            <w:rPr>
              <w:rFonts w:cs="Arial"/>
              <w:sz w:val="24"/>
              <w:szCs w:val="24"/>
            </w:rPr>
            <w:fldChar w:fldCharType="end"/>
          </w:r>
        </w:sdtContent>
      </w:sdt>
      <w:r w:rsidRPr="00131EED">
        <w:rPr>
          <w:rFonts w:cs="Arial"/>
          <w:sz w:val="24"/>
          <w:szCs w:val="24"/>
        </w:rPr>
        <w:t xml:space="preserve"> se encuentra en un mejor estado de calidad en la categoría Aceptable, lo que generó la recuperación de la calidad del agua de la corriente principal que ascendió a dicho descriptor. Posteriormente se presenta un descenso importante en el punto Aguas abajo de Suesca posiblemente debido al ingreso de los vertimientos provenientes de dicho municipio. Finalmente, en el tramo comprendido entre esta última estación y la estación denominada LG Pte Florencia se evidencia incremento de la calidad del agua generado por la entrada de la descarga del Embalse de Tominé que se según información de la CAR </w:t>
      </w:r>
      <w:sdt>
        <w:sdtPr>
          <w:rPr>
            <w:rFonts w:cs="Arial"/>
            <w:sz w:val="24"/>
            <w:szCs w:val="24"/>
          </w:rPr>
          <w:id w:val="881525279"/>
          <w:citation/>
        </w:sdtPr>
        <w:sdtEndPr/>
        <w:sdtContent>
          <w:r w:rsidRPr="00131EED">
            <w:rPr>
              <w:rFonts w:cs="Arial"/>
              <w:sz w:val="24"/>
              <w:szCs w:val="24"/>
            </w:rPr>
            <w:fldChar w:fldCharType="begin"/>
          </w:r>
          <w:r w:rsidRPr="00131EED">
            <w:rPr>
              <w:rFonts w:cs="Arial"/>
              <w:sz w:val="24"/>
              <w:szCs w:val="24"/>
            </w:rPr>
            <w:instrText xml:space="preserve">CITATION CAR22 \n  \t  \l 3082 </w:instrText>
          </w:r>
          <w:r w:rsidRPr="00131EED">
            <w:rPr>
              <w:rFonts w:cs="Arial"/>
              <w:sz w:val="24"/>
              <w:szCs w:val="24"/>
            </w:rPr>
            <w:fldChar w:fldCharType="separate"/>
          </w:r>
          <w:r w:rsidRPr="00131EED">
            <w:rPr>
              <w:rFonts w:cs="Arial"/>
              <w:sz w:val="24"/>
              <w:szCs w:val="24"/>
            </w:rPr>
            <w:t>(2022)</w:t>
          </w:r>
          <w:r w:rsidRPr="00131EED">
            <w:rPr>
              <w:rFonts w:cs="Arial"/>
              <w:sz w:val="24"/>
              <w:szCs w:val="24"/>
            </w:rPr>
            <w:fldChar w:fldCharType="end"/>
          </w:r>
        </w:sdtContent>
      </w:sdt>
      <w:r w:rsidRPr="00131EED">
        <w:rPr>
          <w:rFonts w:cs="Arial"/>
          <w:sz w:val="24"/>
          <w:szCs w:val="24"/>
        </w:rPr>
        <w:t xml:space="preserve"> clasificó en categoría Aceptable. </w:t>
      </w:r>
    </w:p>
    <w:p w14:paraId="6825252E" w14:textId="1836103D" w:rsidR="00CC5A4D" w:rsidRPr="00131EED" w:rsidRDefault="00CC5A4D" w:rsidP="00410194">
      <w:pPr>
        <w:pStyle w:val="ListParagraph"/>
        <w:numPr>
          <w:ilvl w:val="0"/>
          <w:numId w:val="12"/>
        </w:numPr>
        <w:spacing w:after="0"/>
        <w:rPr>
          <w:rFonts w:cs="Arial"/>
          <w:sz w:val="24"/>
          <w:szCs w:val="24"/>
        </w:rPr>
      </w:pPr>
      <w:r w:rsidRPr="00131EED">
        <w:rPr>
          <w:rFonts w:cs="Arial"/>
          <w:sz w:val="24"/>
          <w:szCs w:val="24"/>
        </w:rPr>
        <w:t xml:space="preserve">Entre el municipio de Suesca y la estación LG El Espino localizada en el municipio de Tocancipá se observa inicialmente una disminución considerando el ingreso de los vertimientos del municipio de Gachancipá, posteriormente un aumento debido a la descarga del Embalse del Neusa que de acuerdo con datos de CAR </w:t>
      </w:r>
      <w:sdt>
        <w:sdtPr>
          <w:rPr>
            <w:rFonts w:cs="Arial"/>
            <w:sz w:val="24"/>
            <w:szCs w:val="24"/>
          </w:rPr>
          <w:id w:val="1625431227"/>
          <w:citation/>
        </w:sdtPr>
        <w:sdtEndPr/>
        <w:sdtContent>
          <w:r w:rsidRPr="00131EED">
            <w:rPr>
              <w:rFonts w:cs="Arial"/>
              <w:sz w:val="24"/>
              <w:szCs w:val="24"/>
            </w:rPr>
            <w:fldChar w:fldCharType="begin"/>
          </w:r>
          <w:r w:rsidRPr="00131EED">
            <w:rPr>
              <w:rFonts w:cs="Arial"/>
              <w:sz w:val="24"/>
              <w:szCs w:val="24"/>
            </w:rPr>
            <w:instrText xml:space="preserve">CITATION CAR22 \n  \t  \l 3082 </w:instrText>
          </w:r>
          <w:r w:rsidRPr="00131EED">
            <w:rPr>
              <w:rFonts w:cs="Arial"/>
              <w:sz w:val="24"/>
              <w:szCs w:val="24"/>
            </w:rPr>
            <w:fldChar w:fldCharType="separate"/>
          </w:r>
          <w:r w:rsidRPr="00131EED">
            <w:rPr>
              <w:rFonts w:cs="Arial"/>
              <w:sz w:val="24"/>
              <w:szCs w:val="24"/>
            </w:rPr>
            <w:t>(2022)</w:t>
          </w:r>
          <w:r w:rsidRPr="00131EED">
            <w:rPr>
              <w:rFonts w:cs="Arial"/>
              <w:sz w:val="24"/>
              <w:szCs w:val="24"/>
            </w:rPr>
            <w:fldChar w:fldCharType="end"/>
          </w:r>
        </w:sdtContent>
      </w:sdt>
      <w:r w:rsidRPr="00131EED">
        <w:rPr>
          <w:rFonts w:cs="Arial"/>
          <w:sz w:val="24"/>
          <w:szCs w:val="24"/>
        </w:rPr>
        <w:t xml:space="preserve"> se encuentra en categoría Buena, pero inmediatamente después hay una disminución progresiva en la calidad del agua ya que en este tramo ingresan los vertimientos del municipio de Tocancipá, además se da la confluencia del río Checua cuyo ICA se encuentra en la categoría de regular y el río Neusa que previo a su confluencia con el río Bogotá se encontraba en categoría Mala CAR </w:t>
      </w:r>
      <w:sdt>
        <w:sdtPr>
          <w:rPr>
            <w:rFonts w:cs="Arial"/>
            <w:sz w:val="24"/>
            <w:szCs w:val="24"/>
          </w:rPr>
          <w:id w:val="-2074037226"/>
          <w:citation/>
        </w:sdtPr>
        <w:sdtEndPr/>
        <w:sdtContent>
          <w:r w:rsidRPr="00131EED">
            <w:rPr>
              <w:rFonts w:cs="Arial"/>
              <w:sz w:val="24"/>
              <w:szCs w:val="24"/>
            </w:rPr>
            <w:fldChar w:fldCharType="begin"/>
          </w:r>
          <w:r w:rsidRPr="00131EED">
            <w:rPr>
              <w:rFonts w:cs="Arial"/>
              <w:sz w:val="24"/>
              <w:szCs w:val="24"/>
            </w:rPr>
            <w:instrText xml:space="preserve">CITATION CAR22 \n  \t  \l 3082 </w:instrText>
          </w:r>
          <w:r w:rsidRPr="00131EED">
            <w:rPr>
              <w:rFonts w:cs="Arial"/>
              <w:sz w:val="24"/>
              <w:szCs w:val="24"/>
            </w:rPr>
            <w:fldChar w:fldCharType="separate"/>
          </w:r>
          <w:r w:rsidRPr="00131EED">
            <w:rPr>
              <w:rFonts w:cs="Arial"/>
              <w:sz w:val="24"/>
              <w:szCs w:val="24"/>
            </w:rPr>
            <w:t>(2022)</w:t>
          </w:r>
          <w:r w:rsidRPr="00131EED">
            <w:rPr>
              <w:rFonts w:cs="Arial"/>
              <w:sz w:val="24"/>
              <w:szCs w:val="24"/>
            </w:rPr>
            <w:fldChar w:fldCharType="end"/>
          </w:r>
        </w:sdtContent>
      </w:sdt>
      <w:r w:rsidRPr="00131EED">
        <w:rPr>
          <w:rFonts w:cs="Arial"/>
          <w:sz w:val="24"/>
          <w:szCs w:val="24"/>
        </w:rPr>
        <w:t xml:space="preserve">. </w:t>
      </w:r>
    </w:p>
    <w:p w14:paraId="74105323" w14:textId="740E32F6" w:rsidR="00CC5A4D" w:rsidRPr="00131EED" w:rsidRDefault="00CC5A4D" w:rsidP="00410194">
      <w:pPr>
        <w:pStyle w:val="ListParagraph"/>
        <w:numPr>
          <w:ilvl w:val="0"/>
          <w:numId w:val="12"/>
        </w:numPr>
        <w:spacing w:after="0"/>
        <w:rPr>
          <w:rFonts w:cs="Arial"/>
          <w:sz w:val="24"/>
          <w:szCs w:val="24"/>
        </w:rPr>
      </w:pPr>
      <w:r w:rsidRPr="00131EED">
        <w:rPr>
          <w:rFonts w:cs="Arial"/>
          <w:sz w:val="24"/>
          <w:szCs w:val="24"/>
        </w:rPr>
        <w:t xml:space="preserve">En el tramo comprendido entre la altura del municipio de Tocancipá, pasando por Sopó y el municipio de Chía se evidencia una calidad de agua mala, dado que los afluentes que se integran en la zona presentan un estado de calidad deficiente previo a la confluencia con el río Bogotá, estos son el río Checua, río Neusa y el río Frío, clasificados en categoría Mala </w:t>
      </w:r>
      <w:sdt>
        <w:sdtPr>
          <w:rPr>
            <w:rFonts w:cs="Arial"/>
            <w:sz w:val="24"/>
            <w:szCs w:val="24"/>
          </w:rPr>
          <w:id w:val="715402635"/>
          <w:citation/>
        </w:sdtPr>
        <w:sdtEndPr/>
        <w:sdtContent>
          <w:r w:rsidRPr="00131EED">
            <w:rPr>
              <w:rFonts w:cs="Arial"/>
              <w:sz w:val="24"/>
              <w:szCs w:val="24"/>
            </w:rPr>
            <w:fldChar w:fldCharType="begin"/>
          </w:r>
          <w:r w:rsidRPr="00131EED">
            <w:rPr>
              <w:rFonts w:cs="Arial"/>
              <w:sz w:val="24"/>
              <w:szCs w:val="24"/>
            </w:rPr>
            <w:instrText xml:space="preserve">CITATION CAR22 \t  \l 3082 </w:instrText>
          </w:r>
          <w:r w:rsidRPr="00131EED">
            <w:rPr>
              <w:rFonts w:cs="Arial"/>
              <w:sz w:val="24"/>
              <w:szCs w:val="24"/>
            </w:rPr>
            <w:fldChar w:fldCharType="separate"/>
          </w:r>
          <w:r w:rsidRPr="00131EED">
            <w:rPr>
              <w:rFonts w:cs="Arial"/>
              <w:sz w:val="24"/>
              <w:szCs w:val="24"/>
            </w:rPr>
            <w:t>(CAR C. A., 2022)</w:t>
          </w:r>
          <w:r w:rsidRPr="00131EED">
            <w:rPr>
              <w:rFonts w:cs="Arial"/>
              <w:sz w:val="24"/>
              <w:szCs w:val="24"/>
            </w:rPr>
            <w:fldChar w:fldCharType="end"/>
          </w:r>
        </w:sdtContent>
      </w:sdt>
      <w:r w:rsidRPr="00131EED">
        <w:rPr>
          <w:rFonts w:cs="Arial"/>
          <w:sz w:val="24"/>
          <w:szCs w:val="24"/>
        </w:rPr>
        <w:t>. En aproximaciones del municipio de Chía también ingresan las descargas del río Teusacá y la Quebrada la Tenería, además del ingreso de las descargas del municipio de Chía.</w:t>
      </w:r>
    </w:p>
    <w:p w14:paraId="31526877" w14:textId="77777777" w:rsidR="00CC5A4D" w:rsidRPr="00131EED" w:rsidRDefault="00CC5A4D" w:rsidP="00410194">
      <w:pPr>
        <w:pStyle w:val="ListParagraph"/>
        <w:numPr>
          <w:ilvl w:val="0"/>
          <w:numId w:val="12"/>
        </w:numPr>
        <w:spacing w:after="0"/>
        <w:rPr>
          <w:rFonts w:cs="Arial"/>
          <w:sz w:val="24"/>
          <w:szCs w:val="24"/>
        </w:rPr>
      </w:pPr>
      <w:r w:rsidRPr="00131EED">
        <w:rPr>
          <w:rFonts w:cs="Arial"/>
          <w:sz w:val="24"/>
          <w:szCs w:val="24"/>
        </w:rPr>
        <w:t xml:space="preserve">Posteriormente, se observa que en el punto de cierre de este tramo Estación LG – Puente La Virgen el ICA se mantiene en la categoría Malo evidenciando afectaciones en la calidad hídrica. Analizando el comportamiento aguas abajo, a partir de la estación Puente La Virgen comienza una línea de descenso en el valor del ICA hasta el punto LG Puente Cundinamarca manteniéndose en dicha categoría; en este trayecto el río Bogotá recibe las aguas del río Chicú, del By Pass Juan Amarillo y la descarga del humedal Jaboque, que se encontró también en la categoría Mala, lo que genera una continuidad en la calidad del agua de la corriente principal sin presentar mejoras o avances significativos; así mismo, en esta zona recibe las descargas de vertimientos del municipio de Cota y el efluente de la PTAR Salitre. Desde el punto Aguas abajo río Fucha que no representó un cambio de categoría manteniéndose en Mala, hasta el punto Aguas abajo río Tunjuelo que presentó una disminución crítica del índice descendiendo a la categoría Muy mala, este comportamiento se debe a que previo a estos puntos ingresan diferentes afluentes en un estado deficiente de calidad y algunos vertimientos de aguas residuales; previo al primer punto mencionado ingresa el río Fucha que se reportó en la categoría Mala y antes del siguiente punto el río Tunjuelo que presentó el mismo valor y categoría del ICA que el punto aguas abajo, clasificado en el descriptor Muy mala. </w:t>
      </w:r>
    </w:p>
    <w:p w14:paraId="417E75B9" w14:textId="77777777" w:rsidR="00CC5A4D" w:rsidRPr="00131EED" w:rsidRDefault="00CC5A4D" w:rsidP="00410194">
      <w:pPr>
        <w:pStyle w:val="ListParagraph"/>
        <w:numPr>
          <w:ilvl w:val="0"/>
          <w:numId w:val="12"/>
        </w:numPr>
        <w:spacing w:after="0"/>
        <w:rPr>
          <w:rFonts w:cs="Arial"/>
          <w:sz w:val="24"/>
          <w:szCs w:val="24"/>
        </w:rPr>
      </w:pPr>
      <w:r w:rsidRPr="00131EED">
        <w:rPr>
          <w:rFonts w:cs="Arial"/>
          <w:sz w:val="24"/>
          <w:szCs w:val="24"/>
        </w:rPr>
        <w:t xml:space="preserve">A la altura de Soacha la categoría se mantiene en mala considerando la entrada del río Balsillas y del río Soacha. </w:t>
      </w:r>
    </w:p>
    <w:p w14:paraId="2B77018A" w14:textId="77777777" w:rsidR="00CC5A4D" w:rsidRPr="00131EED" w:rsidRDefault="00CC5A4D" w:rsidP="00CC5A4D">
      <w:pPr>
        <w:rPr>
          <w:rFonts w:cs="Arial"/>
        </w:rPr>
      </w:pPr>
    </w:p>
    <w:p w14:paraId="0F82E1FA" w14:textId="10D70AB3" w:rsidR="00CC5A4D" w:rsidRPr="00131EED" w:rsidRDefault="00CC5A4D" w:rsidP="00CC5A4D">
      <w:pPr>
        <w:rPr>
          <w:rFonts w:cs="Arial"/>
        </w:rPr>
      </w:pPr>
      <w:r w:rsidRPr="00131EED">
        <w:rPr>
          <w:rFonts w:cs="Arial"/>
        </w:rPr>
        <w:t>A continuación</w:t>
      </w:r>
      <w:r w:rsidR="009A4786" w:rsidRPr="00131EED">
        <w:rPr>
          <w:rFonts w:cs="Arial"/>
        </w:rPr>
        <w:t>,</w:t>
      </w:r>
      <w:r w:rsidRPr="00131EED">
        <w:rPr>
          <w:rFonts w:cs="Arial"/>
        </w:rPr>
        <w:t xml:space="preserve"> se muestra el comportamiento del ICA para los tres periodos analizados en las estaciones monitoreadas en la cuenca del río Bogotá. El comportamiento temporal del Índice de Calidad del Agua (ICA) en las estaciones de monitoreo revela variaciones significativas a lo largo de los tres periodos evaluados (años 2014, 2021 y 2023). En general, se observa una tendencia a la disminución en los valores del ICA en la mayoría de las estaciones, en la cuenca alta del río Bogotá. Sin embargo, a partir de la estación Puente Vargas, se observa una tendencia contraria pues en el primer año analizado (2014) el ICA era inferior a los observados en los años más recientes (2021, 2023), con lo que se evidencia una mejora en el parámetro a la altura principalmente de la ciudad de Bogotá, desde el punto de vista de la evolución del indicador en el tiempo. Pese a ello, la calidad de agua del río Bogotá en los tramos comprendidos en el territorio Sabana de Bogotá se encuentran en la categoría de regular y mayoritariamente mala, lo que evidencia el problema del deterioro de la calidad de agua en la cuenca, que se ha mantenido a lo largo de los años, sin que las medidas existentes sean suficientes. </w:t>
      </w:r>
    </w:p>
    <w:p w14:paraId="47ECB45A" w14:textId="77777777" w:rsidR="00CC5A4D" w:rsidRPr="00131EED" w:rsidRDefault="00CC5A4D" w:rsidP="00CC5A4D">
      <w:pPr>
        <w:rPr>
          <w:rFonts w:ascii="Baskerville" w:hAnsi="Baskerville" w:cs="Arial"/>
          <w:sz w:val="20"/>
          <w:szCs w:val="20"/>
        </w:rPr>
      </w:pPr>
    </w:p>
    <w:p w14:paraId="5ECFC639" w14:textId="12306FD3" w:rsidR="00CC5A4D" w:rsidRPr="00131EED" w:rsidRDefault="00D873B5" w:rsidP="00D873B5">
      <w:pPr>
        <w:pStyle w:val="Caption"/>
        <w:jc w:val="center"/>
      </w:pPr>
      <w:bookmarkStart w:id="466" w:name="_Toc216468900"/>
      <w:r w:rsidRPr="00131EED">
        <w:t xml:space="preserve">Ilustración </w:t>
      </w:r>
      <w:r w:rsidRPr="00131EED">
        <w:fldChar w:fldCharType="begin"/>
      </w:r>
      <w:r w:rsidRPr="00131EED">
        <w:instrText>SEQ Ilustración \* ARABIC</w:instrText>
      </w:r>
      <w:r w:rsidRPr="00131EED">
        <w:fldChar w:fldCharType="separate"/>
      </w:r>
      <w:r w:rsidR="00CE096F">
        <w:rPr>
          <w:noProof/>
        </w:rPr>
        <w:t>135</w:t>
      </w:r>
      <w:r w:rsidRPr="00131EED">
        <w:fldChar w:fldCharType="end"/>
      </w:r>
      <w:r w:rsidRPr="00131EED">
        <w:t xml:space="preserve"> </w:t>
      </w:r>
      <w:r w:rsidR="00CC5A4D" w:rsidRPr="00131EED">
        <w:t>Comportamiento del ICA años 2014, 2021 y 2023 Río Bogotá</w:t>
      </w:r>
      <w:bookmarkEnd w:id="466"/>
    </w:p>
    <w:p w14:paraId="63F45744" w14:textId="77777777" w:rsidR="00CC5A4D" w:rsidRPr="00131EED" w:rsidRDefault="00CC5A4D" w:rsidP="00CC5A4D">
      <w:pPr>
        <w:jc w:val="center"/>
        <w:rPr>
          <w:rFonts w:ascii="Baskerville" w:hAnsi="Baskerville" w:cs="Arial"/>
        </w:rPr>
      </w:pPr>
      <w:r w:rsidRPr="00131EED">
        <w:rPr>
          <w:rFonts w:ascii="Baskerville" w:hAnsi="Baskerville"/>
          <w:noProof/>
          <w:color w:val="2B579A"/>
          <w:shd w:val="clear" w:color="auto" w:fill="E6E6E6"/>
          <w:lang w:eastAsia="en-US"/>
        </w:rPr>
        <w:drawing>
          <wp:inline distT="0" distB="0" distL="0" distR="0" wp14:anchorId="09E425BE" wp14:editId="64636D86">
            <wp:extent cx="5612130" cy="3249930"/>
            <wp:effectExtent l="0" t="0" r="1270" b="1270"/>
            <wp:docPr id="1085043960" name="Imagen 1"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043960" name="Imagen 1" descr="A graph with lines and dots&#10;&#10;AI-generated content may be incorrect."/>
                    <pic:cNvPicPr/>
                  </pic:nvPicPr>
                  <pic:blipFill>
                    <a:blip r:embed="rId220"/>
                    <a:stretch>
                      <a:fillRect/>
                    </a:stretch>
                  </pic:blipFill>
                  <pic:spPr>
                    <a:xfrm>
                      <a:off x="0" y="0"/>
                      <a:ext cx="5612130" cy="3249930"/>
                    </a:xfrm>
                    <a:prstGeom prst="rect">
                      <a:avLst/>
                    </a:prstGeom>
                  </pic:spPr>
                </pic:pic>
              </a:graphicData>
            </a:graphic>
          </wp:inline>
        </w:drawing>
      </w:r>
    </w:p>
    <w:p w14:paraId="2762C7E9" w14:textId="1AB63F3C" w:rsidR="00CC5A4D" w:rsidRPr="00131EED" w:rsidRDefault="00CC5A4D" w:rsidP="00CC5A4D">
      <w:pPr>
        <w:pStyle w:val="Caption"/>
        <w:spacing w:after="0"/>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 xml:space="preserve">Fuente:  Elaborado por el autor con base en CAR </w:t>
      </w:r>
      <w:sdt>
        <w:sdtPr>
          <w:rPr>
            <w:rFonts w:ascii="Baskerville Old Face" w:hAnsi="Baskerville Old Face"/>
            <w:i w:val="0"/>
            <w:color w:val="auto"/>
            <w:sz w:val="20"/>
            <w:szCs w:val="20"/>
          </w:rPr>
          <w:id w:val="-64884024"/>
          <w:citation/>
        </w:sdtPr>
        <w:sdtEndPr/>
        <w:sdtContent>
          <w:r w:rsidRPr="00131EED">
            <w:rPr>
              <w:rFonts w:ascii="Baskerville Old Face" w:hAnsi="Baskerville Old Face"/>
              <w:i w:val="0"/>
              <w:color w:val="auto"/>
              <w:sz w:val="20"/>
              <w:szCs w:val="20"/>
            </w:rPr>
            <w:fldChar w:fldCharType="begin"/>
          </w:r>
          <w:r w:rsidRPr="00131EED">
            <w:rPr>
              <w:rFonts w:ascii="Baskerville Old Face" w:hAnsi="Baskerville Old Face"/>
              <w:i w:val="0"/>
              <w:color w:val="auto"/>
              <w:sz w:val="20"/>
              <w:szCs w:val="20"/>
            </w:rPr>
            <w:instrText xml:space="preserve">CITATION CAR22 \n  \t  \l 3082 </w:instrText>
          </w:r>
          <w:r w:rsidRPr="00131EED">
            <w:rPr>
              <w:rFonts w:ascii="Baskerville Old Face" w:hAnsi="Baskerville Old Face"/>
              <w:i w:val="0"/>
              <w:color w:val="auto"/>
              <w:sz w:val="20"/>
              <w:szCs w:val="20"/>
            </w:rPr>
            <w:fldChar w:fldCharType="separate"/>
          </w:r>
          <w:r w:rsidRPr="00131EED">
            <w:rPr>
              <w:rFonts w:ascii="Baskerville Old Face" w:hAnsi="Baskerville Old Face"/>
              <w:color w:val="auto"/>
              <w:sz w:val="20"/>
              <w:szCs w:val="20"/>
            </w:rPr>
            <w:t>(2022)</w:t>
          </w:r>
          <w:r w:rsidRPr="00131EED">
            <w:rPr>
              <w:rFonts w:ascii="Baskerville Old Face" w:hAnsi="Baskerville Old Face"/>
              <w:i w:val="0"/>
              <w:color w:val="auto"/>
              <w:sz w:val="20"/>
              <w:szCs w:val="20"/>
            </w:rPr>
            <w:fldChar w:fldCharType="end"/>
          </w:r>
        </w:sdtContent>
      </w:sdt>
      <w:r w:rsidRPr="00131EED">
        <w:rPr>
          <w:rFonts w:ascii="Baskerville Old Face" w:hAnsi="Baskerville Old Face"/>
          <w:i w:val="0"/>
          <w:color w:val="auto"/>
          <w:sz w:val="20"/>
          <w:szCs w:val="20"/>
        </w:rPr>
        <w:t xml:space="preserve"> y ORARBO </w:t>
      </w:r>
      <w:sdt>
        <w:sdtPr>
          <w:rPr>
            <w:rFonts w:ascii="Baskerville Old Face" w:hAnsi="Baskerville Old Face"/>
            <w:i w:val="0"/>
            <w:color w:val="auto"/>
            <w:sz w:val="20"/>
            <w:szCs w:val="20"/>
          </w:rPr>
          <w:id w:val="1257097980"/>
          <w:citation/>
        </w:sdtPr>
        <w:sdtEndPr/>
        <w:sdtContent>
          <w:r w:rsidRPr="00131EED">
            <w:rPr>
              <w:rFonts w:ascii="Baskerville Old Face" w:hAnsi="Baskerville Old Face"/>
              <w:i w:val="0"/>
              <w:color w:val="auto"/>
              <w:sz w:val="20"/>
              <w:szCs w:val="20"/>
            </w:rPr>
            <w:fldChar w:fldCharType="begin"/>
          </w:r>
          <w:r w:rsidRPr="00131EED">
            <w:rPr>
              <w:rFonts w:ascii="Baskerville Old Face" w:hAnsi="Baskerville Old Face"/>
              <w:i w:val="0"/>
              <w:color w:val="auto"/>
              <w:sz w:val="20"/>
              <w:szCs w:val="20"/>
            </w:rPr>
            <w:instrText xml:space="preserve">CITATION ORA \n  \t  \l 3082 </w:instrText>
          </w:r>
          <w:r w:rsidRPr="00131EED">
            <w:rPr>
              <w:rFonts w:ascii="Baskerville Old Face" w:hAnsi="Baskerville Old Face"/>
              <w:i w:val="0"/>
              <w:color w:val="auto"/>
              <w:sz w:val="20"/>
              <w:szCs w:val="20"/>
            </w:rPr>
            <w:fldChar w:fldCharType="separate"/>
          </w:r>
          <w:r w:rsidRPr="00131EED">
            <w:rPr>
              <w:rFonts w:ascii="Baskerville Old Face" w:hAnsi="Baskerville Old Face"/>
              <w:color w:val="auto"/>
              <w:sz w:val="20"/>
              <w:szCs w:val="20"/>
            </w:rPr>
            <w:t>(2023)</w:t>
          </w:r>
          <w:r w:rsidRPr="00131EED">
            <w:rPr>
              <w:rFonts w:ascii="Baskerville Old Face" w:hAnsi="Baskerville Old Face"/>
              <w:i w:val="0"/>
              <w:color w:val="auto"/>
              <w:sz w:val="20"/>
              <w:szCs w:val="20"/>
            </w:rPr>
            <w:fldChar w:fldCharType="end"/>
          </w:r>
        </w:sdtContent>
      </w:sdt>
    </w:p>
    <w:p w14:paraId="139BF51D" w14:textId="6E89CC68" w:rsidR="00CC5A4D" w:rsidRPr="00131EED" w:rsidRDefault="00CC5A4D" w:rsidP="00CC5A4D">
      <w:pPr>
        <w:rPr>
          <w:rFonts w:cs="Arial"/>
        </w:rPr>
      </w:pPr>
    </w:p>
    <w:p w14:paraId="28A7893B" w14:textId="7D491EEC" w:rsidR="00D10854" w:rsidRPr="00131EED" w:rsidRDefault="003F6F9A" w:rsidP="004E7335">
      <w:pPr>
        <w:rPr>
          <w:rFonts w:cs="Arial"/>
        </w:rPr>
      </w:pPr>
      <w:r w:rsidRPr="00131EED">
        <w:rPr>
          <w:rFonts w:cs="Arial"/>
        </w:rPr>
        <w:t xml:space="preserve">A continuación, se presentan los resultados del Índice de Calidad del Agua (ICA) para el 2024 en los ríos principales de la ciudad de Bogotá. </w:t>
      </w:r>
      <w:r w:rsidR="004E7335" w:rsidRPr="00131EED">
        <w:rPr>
          <w:rFonts w:cs="Arial"/>
        </w:rPr>
        <w:t xml:space="preserve">Como se observa en la siguiente figura, la calidad en los puntos de monitoreo que se ubican en las partes altas de los ríos se encuentra en categoría “Aceptable” y “Regular”. Los puntos de los últimos tramos de los ríos alcanzan la categoría “Mala”, los cuales requieren de una focalización y priorización de acciones para el mejoramiento de su calidad (SDA, 2025). </w:t>
      </w:r>
    </w:p>
    <w:p w14:paraId="37AEE929" w14:textId="1ADFDEB3" w:rsidR="00651024" w:rsidRPr="00131EED" w:rsidRDefault="00651024" w:rsidP="003F6F9A">
      <w:pPr>
        <w:rPr>
          <w:rFonts w:cs="Arial"/>
        </w:rPr>
      </w:pPr>
    </w:p>
    <w:p w14:paraId="6387E24F" w14:textId="32D3209D" w:rsidR="00651024" w:rsidRPr="00131EED" w:rsidRDefault="00D873B5" w:rsidP="00D873B5">
      <w:pPr>
        <w:pStyle w:val="Caption"/>
        <w:jc w:val="center"/>
      </w:pPr>
      <w:bookmarkStart w:id="467" w:name="_Toc216468901"/>
      <w:r w:rsidRPr="00131EED">
        <w:t xml:space="preserve">Ilustración </w:t>
      </w:r>
      <w:r w:rsidRPr="00131EED">
        <w:fldChar w:fldCharType="begin"/>
      </w:r>
      <w:r w:rsidRPr="00131EED">
        <w:instrText>SEQ Ilustración \* ARABIC</w:instrText>
      </w:r>
      <w:r w:rsidRPr="00131EED">
        <w:fldChar w:fldCharType="separate"/>
      </w:r>
      <w:r w:rsidR="00CE096F">
        <w:rPr>
          <w:noProof/>
        </w:rPr>
        <w:t>136</w:t>
      </w:r>
      <w:r w:rsidRPr="00131EED">
        <w:fldChar w:fldCharType="end"/>
      </w:r>
      <w:r w:rsidRPr="00131EED">
        <w:t xml:space="preserve"> </w:t>
      </w:r>
      <w:r w:rsidR="00DC6302" w:rsidRPr="00131EED">
        <w:t xml:space="preserve">Resultados del ICA (siete variables) </w:t>
      </w:r>
      <w:r w:rsidRPr="00131EED">
        <w:t>para el</w:t>
      </w:r>
      <w:r w:rsidR="00DC6302" w:rsidRPr="00131EED">
        <w:t xml:space="preserve"> 2024 de las estaciones de la RCHB-T3</w:t>
      </w:r>
      <w:bookmarkEnd w:id="467"/>
    </w:p>
    <w:p w14:paraId="4082A6FA" w14:textId="7FC77B40" w:rsidR="003F6F9A" w:rsidRPr="00131EED" w:rsidRDefault="00CC7E46" w:rsidP="00CC7E46">
      <w:pPr>
        <w:jc w:val="center"/>
        <w:rPr>
          <w:rFonts w:ascii="Baskerville" w:hAnsi="Baskerville" w:cs="Arial"/>
        </w:rPr>
      </w:pPr>
      <w:r w:rsidRPr="00131EED">
        <w:rPr>
          <w:noProof/>
          <w:lang w:eastAsia="en-US"/>
        </w:rPr>
        <w:drawing>
          <wp:inline distT="0" distB="0" distL="0" distR="0" wp14:anchorId="4468D392" wp14:editId="57B7A9C1">
            <wp:extent cx="3650673" cy="4626284"/>
            <wp:effectExtent l="0" t="0" r="6985" b="3175"/>
            <wp:docPr id="1168248834" name="Imagen 1168248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3650673" cy="4626284"/>
                    </a:xfrm>
                    <a:prstGeom prst="rect">
                      <a:avLst/>
                    </a:prstGeom>
                  </pic:spPr>
                </pic:pic>
              </a:graphicData>
            </a:graphic>
          </wp:inline>
        </w:drawing>
      </w:r>
    </w:p>
    <w:p w14:paraId="36DB9BF5" w14:textId="1F1F710C" w:rsidR="00CC7E46" w:rsidRPr="00131EED" w:rsidRDefault="00DC6302" w:rsidP="006845C5">
      <w:pPr>
        <w:jc w:val="center"/>
        <w:rPr>
          <w:rFonts w:eastAsia="Calibri" w:cs="Arial"/>
          <w:sz w:val="20"/>
          <w:szCs w:val="20"/>
          <w:lang w:eastAsia="en-US"/>
        </w:rPr>
      </w:pPr>
      <w:r w:rsidRPr="00131EED">
        <w:rPr>
          <w:rFonts w:eastAsia="Calibri" w:cs="Arial"/>
          <w:sz w:val="20"/>
          <w:szCs w:val="20"/>
          <w:lang w:eastAsia="en-US"/>
        </w:rPr>
        <w:t>Fuente:  Secretaría Distrital de Ambiente (SDA), 2025</w:t>
      </w:r>
    </w:p>
    <w:p w14:paraId="668CCC4D" w14:textId="40096E26" w:rsidR="003F6F9A" w:rsidRPr="00131EED" w:rsidRDefault="003F6F9A" w:rsidP="00CC5A4D">
      <w:pPr>
        <w:rPr>
          <w:rFonts w:cs="Arial"/>
        </w:rPr>
      </w:pPr>
    </w:p>
    <w:p w14:paraId="6117073D" w14:textId="77777777" w:rsidR="00CC5A4D" w:rsidRPr="00131EED" w:rsidRDefault="00CC5A4D" w:rsidP="00CC5A4D">
      <w:pPr>
        <w:rPr>
          <w:rFonts w:cs="Arial"/>
        </w:rPr>
      </w:pPr>
      <w:r w:rsidRPr="00131EED">
        <w:rPr>
          <w:rFonts w:cs="Arial"/>
        </w:rPr>
        <w:t>Otra de las evidencias de la problemática asociada a la calidad de agua en la Región Sabana, se encuentra en el denominado índice de Alteración Potencial de la Calidad de agua (IACAL), que es el referente de la presión sobre las condiciones de calidad de agua en los sistemas hídricos superficiales del país, presenta la probabilidad de contaminación con respecto a la oferta. Para la Región Sabana de Bogotá, de acuerdo con los datos de los POMCAS de las cuencas que conforman dicha región, el IACAL es Muy Alto o Alto.</w:t>
      </w:r>
    </w:p>
    <w:p w14:paraId="7F9E6860" w14:textId="59E03F26" w:rsidR="00CC5A4D" w:rsidRPr="00131EED" w:rsidRDefault="00CC5A4D" w:rsidP="00CC5A4D">
      <w:pPr>
        <w:rPr>
          <w:rFonts w:ascii="Baskerville" w:hAnsi="Baskerville" w:cs="Arial"/>
          <w:sz w:val="20"/>
          <w:szCs w:val="20"/>
        </w:rPr>
      </w:pPr>
    </w:p>
    <w:p w14:paraId="773CBC9D" w14:textId="1C75D624" w:rsidR="00D873B5" w:rsidRPr="00131EED" w:rsidRDefault="00D873B5" w:rsidP="00CC5A4D">
      <w:pPr>
        <w:rPr>
          <w:rFonts w:ascii="Baskerville" w:hAnsi="Baskerville" w:cs="Arial"/>
          <w:sz w:val="20"/>
          <w:szCs w:val="20"/>
        </w:rPr>
      </w:pPr>
    </w:p>
    <w:p w14:paraId="76064D01" w14:textId="5510BDF8" w:rsidR="00D873B5" w:rsidRPr="00131EED" w:rsidRDefault="00D873B5" w:rsidP="00CC5A4D">
      <w:pPr>
        <w:rPr>
          <w:rFonts w:ascii="Baskerville" w:hAnsi="Baskerville" w:cs="Arial"/>
          <w:sz w:val="20"/>
          <w:szCs w:val="20"/>
        </w:rPr>
      </w:pPr>
    </w:p>
    <w:p w14:paraId="545C21C9" w14:textId="1116F918" w:rsidR="00D873B5" w:rsidRPr="00131EED" w:rsidRDefault="00D873B5" w:rsidP="00CC5A4D">
      <w:pPr>
        <w:rPr>
          <w:rFonts w:ascii="Baskerville" w:hAnsi="Baskerville" w:cs="Arial"/>
          <w:sz w:val="20"/>
          <w:szCs w:val="20"/>
        </w:rPr>
      </w:pPr>
    </w:p>
    <w:p w14:paraId="7B171BB7" w14:textId="70C1CF6F" w:rsidR="00CC5A4D" w:rsidRPr="00131EED" w:rsidRDefault="00D873B5" w:rsidP="00D873B5">
      <w:pPr>
        <w:pStyle w:val="Caption"/>
        <w:jc w:val="center"/>
      </w:pPr>
      <w:bookmarkStart w:id="468" w:name="_Toc162338948"/>
      <w:bookmarkStart w:id="469" w:name="_Toc216468902"/>
      <w:r w:rsidRPr="00131EED">
        <w:t xml:space="preserve">Ilustración </w:t>
      </w:r>
      <w:r w:rsidRPr="00131EED">
        <w:fldChar w:fldCharType="begin"/>
      </w:r>
      <w:r w:rsidRPr="00131EED">
        <w:instrText>SEQ Ilustración \* ARABIC</w:instrText>
      </w:r>
      <w:r w:rsidRPr="00131EED">
        <w:fldChar w:fldCharType="separate"/>
      </w:r>
      <w:r w:rsidR="00CE096F">
        <w:rPr>
          <w:noProof/>
        </w:rPr>
        <w:t>137</w:t>
      </w:r>
      <w:r w:rsidRPr="00131EED">
        <w:fldChar w:fldCharType="end"/>
      </w:r>
      <w:r w:rsidRPr="00131EED">
        <w:t xml:space="preserve"> </w:t>
      </w:r>
      <w:r w:rsidR="00CC5A4D" w:rsidRPr="00131EED">
        <w:t>Alteración potencial de la calidad de agua (IACAL) región Sabana de Bogotá</w:t>
      </w:r>
      <w:bookmarkEnd w:id="468"/>
      <w:bookmarkEnd w:id="469"/>
    </w:p>
    <w:p w14:paraId="408F2A99" w14:textId="2A6438D9" w:rsidR="00CC5A4D" w:rsidRPr="00131EED" w:rsidRDefault="00792ED9" w:rsidP="006845C5">
      <w:pPr>
        <w:pStyle w:val="NormalWeb"/>
        <w:spacing w:before="0" w:beforeAutospacing="0" w:after="0" w:afterAutospacing="0"/>
        <w:jc w:val="center"/>
        <w:rPr>
          <w:rFonts w:ascii="Times New Roman" w:hAnsi="Times New Roman" w:cs="Times New Roman"/>
        </w:rPr>
      </w:pPr>
      <w:r w:rsidRPr="00131EED">
        <w:rPr>
          <w:rFonts w:ascii="Times New Roman" w:hAnsi="Times New Roman" w:cs="Times New Roman"/>
          <w:noProof/>
          <w:lang w:eastAsia="en-US"/>
        </w:rPr>
        <w:drawing>
          <wp:inline distT="0" distB="0" distL="0" distR="0" wp14:anchorId="57FF5C69" wp14:editId="7DFDB28C">
            <wp:extent cx="3706918" cy="4797015"/>
            <wp:effectExtent l="0" t="0" r="8255" b="3810"/>
            <wp:docPr id="1168248833" name="Imagen 1168248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3708894" cy="4799572"/>
                    </a:xfrm>
                    <a:prstGeom prst="rect">
                      <a:avLst/>
                    </a:prstGeom>
                    <a:noFill/>
                    <a:ln>
                      <a:noFill/>
                    </a:ln>
                  </pic:spPr>
                </pic:pic>
              </a:graphicData>
            </a:graphic>
          </wp:inline>
        </w:drawing>
      </w:r>
    </w:p>
    <w:p w14:paraId="4F6217CF" w14:textId="77777777" w:rsidR="00CC5A4D" w:rsidRPr="00131EED" w:rsidRDefault="00CC5A4D" w:rsidP="00CC5A4D">
      <w:pPr>
        <w:pStyle w:val="Caption"/>
        <w:spacing w:after="0"/>
        <w:jc w:val="center"/>
        <w:rPr>
          <w:rFonts w:ascii="Baskerville Old Face" w:hAnsi="Baskerville Old Face"/>
          <w:i w:val="0"/>
          <w:color w:val="auto"/>
          <w:sz w:val="20"/>
          <w:szCs w:val="20"/>
        </w:rPr>
      </w:pPr>
      <w:r w:rsidRPr="00131EED">
        <w:rPr>
          <w:rFonts w:ascii="Baskerville Old Face" w:hAnsi="Baskerville Old Face"/>
          <w:i w:val="0"/>
          <w:color w:val="auto"/>
          <w:sz w:val="20"/>
          <w:szCs w:val="20"/>
        </w:rPr>
        <w:t>Fuente:  Adaptado por el autor con base en los POMCAS de las cuencas región Sabana</w:t>
      </w:r>
    </w:p>
    <w:p w14:paraId="01382D14" w14:textId="77777777" w:rsidR="00CC5A4D" w:rsidRPr="00131EED" w:rsidRDefault="00CC5A4D" w:rsidP="00CC5A4D">
      <w:pPr>
        <w:rPr>
          <w:rFonts w:cs="Arial"/>
        </w:rPr>
      </w:pPr>
    </w:p>
    <w:p w14:paraId="632619AD" w14:textId="77777777" w:rsidR="00CC5A4D" w:rsidRPr="00131EED" w:rsidRDefault="00CC5A4D" w:rsidP="00CC5A4D">
      <w:pPr>
        <w:rPr>
          <w:rFonts w:cs="Arial"/>
        </w:rPr>
      </w:pPr>
      <w:r w:rsidRPr="00131EED">
        <w:rPr>
          <w:rFonts w:cs="Arial"/>
        </w:rPr>
        <w:t>El hecho de que el IACAL y un ICA para la Región Sabana de Bogotá sea clasificado como "Muy Alto" o "Alto" sugiere que existe una presión significativa sobre la calidad del agua en esta área. Esto puede deberse a una serie de factores, como la contaminación proveniente de la descarga de aguas residuales domésticas y no domesticas (ARD y ARnD) sin tratamiento adecuado, el uso intensivo de agroquímicos en la agricultura, entre otros. En general, la afectación en la calidad del agua se atribuye a una serie de causas interrelacionadas que abarcan tanto áreas urbanas como rurales. En áreas urbanas, las deficiencias en la cobertura de alcantarillado y las obras de saneamiento contribuyen a la contaminación del agua debido a la descarga directa de aguas residuales sin tratar. A su vez, la falta de aplicación de procesos de tratamiento de aguas residuales, motivada por limitaciones de recursos, desconocimiento de sistemas alternativos y falta de conciencia ambiental, agrava este problema. Además, el incumplimiento de la normativa de calidad de agua para vertimientos existentes por problemas operativos en los sistemas de tratamiento, conexiones erradas y deficiencias en el monitoreo de la calidad del agua. En áreas rurales, los vertimientos a los cuerpos de agua sin permisos correspondientes, la falta de identificación y control de vertimientos, así como las dificultades para obtener los permisos de vertimientos, contribuyen a la degradación del agua. Todas estas causas convergen en una baja aplicación de instrumentos de gestión integral del agua y sectoriales, enfocados en mejorar la calidad del agua.</w:t>
      </w:r>
    </w:p>
    <w:p w14:paraId="47B3F1A4" w14:textId="77777777" w:rsidR="00CC5A4D" w:rsidRPr="00131EED" w:rsidRDefault="00CC5A4D" w:rsidP="00CC5A4D">
      <w:pPr>
        <w:rPr>
          <w:rFonts w:cs="Arial"/>
        </w:rPr>
      </w:pPr>
    </w:p>
    <w:p w14:paraId="5D4A062E" w14:textId="77777777" w:rsidR="00CC5A4D" w:rsidRPr="00131EED" w:rsidRDefault="00CC5A4D" w:rsidP="00CC5A4D">
      <w:pPr>
        <w:rPr>
          <w:rFonts w:cs="Arial"/>
        </w:rPr>
      </w:pPr>
      <w:r w:rsidRPr="00131EED">
        <w:rPr>
          <w:rFonts w:cs="Arial"/>
        </w:rPr>
        <w:t xml:space="preserve">En la región Sabana de Bogotá, para los municipios para los cuales se cuenta con información que en su mayoría corresponden a los entes territoriales que conforman la cuenca del río Bogotá, hay un total de veinticinco (25) planes maestros de acueducto y alcantarillado (PMAA) que constituyen el 76% de los municipios de la región Sabana. Contrariamente se observa que el 24% restante no cuentan con este instrumento de gestión. Resulta preocupante que entre los municipios que no cuentan con PMAA se encuentran Villapinzón y Chocontá, entes territoriales que tienen presencia de actividades de curtiembres que se caracterizan por generar un impacto significativo en términos de contaminación por cromo, sulfuros y amonios. La liberación de cromo, especialmente en su forma hexavalente altamente tóxica, representa una amenaza seria para la calidad del agua, siendo perjudicial para la vida acuática y potencialmente dañino para la salud humana. Los sulfuros, derivados de procesos de curtido, pueden acidificar el agua y causar daños a los ecosistemas acuáticos. Además, la presencia de altos niveles de amonios provenientes de las operaciones de curtido puede desencadenar la eutrofización, agotando el oxígeno en el agua y afectando negativamente la biodiversidad acuática. </w:t>
      </w:r>
    </w:p>
    <w:p w14:paraId="7BDBF83C" w14:textId="77777777" w:rsidR="00CC5A4D" w:rsidRPr="00131EED" w:rsidRDefault="00CC5A4D" w:rsidP="00CC5A4D">
      <w:pPr>
        <w:rPr>
          <w:rFonts w:cs="Arial"/>
        </w:rPr>
      </w:pPr>
    </w:p>
    <w:p w14:paraId="40CF1AB8" w14:textId="3103A472" w:rsidR="00CC5A4D" w:rsidRPr="00131EED" w:rsidRDefault="00CC5A4D" w:rsidP="00CC5A4D">
      <w:pPr>
        <w:rPr>
          <w:rFonts w:cs="Arial"/>
        </w:rPr>
      </w:pPr>
      <w:r w:rsidRPr="00131EED">
        <w:rPr>
          <w:rFonts w:cs="Arial"/>
        </w:rPr>
        <w:t xml:space="preserve">Del mismo modo, es inquietante la inexistencia de PMAA en municipios como Facatativá, ente territorial de la cuenca que ocupa el tercer lugar en cantidad de población después de Bogotá D.C y Soacha </w:t>
      </w:r>
      <w:sdt>
        <w:sdtPr>
          <w:rPr>
            <w:rFonts w:cs="Arial"/>
            <w:lang w:eastAsia="en-GB"/>
          </w:rPr>
          <w:id w:val="-1272780036"/>
          <w:citation/>
        </w:sdtPr>
        <w:sdtEndPr/>
        <w:sdtContent>
          <w:r w:rsidRPr="00131EED">
            <w:rPr>
              <w:rFonts w:cs="Arial"/>
              <w:lang w:eastAsia="en-GB"/>
            </w:rPr>
            <w:fldChar w:fldCharType="begin"/>
          </w:r>
          <w:r w:rsidRPr="00131EED">
            <w:rPr>
              <w:rFonts w:cs="Arial"/>
              <w:lang w:eastAsia="en-GB"/>
            </w:rPr>
            <w:instrText xml:space="preserve"> CITATION DAN18 \l 2058 </w:instrText>
          </w:r>
          <w:r w:rsidRPr="00131EED">
            <w:rPr>
              <w:rFonts w:cs="Arial"/>
              <w:lang w:eastAsia="en-GB"/>
            </w:rPr>
            <w:fldChar w:fldCharType="separate"/>
          </w:r>
          <w:r w:rsidRPr="00131EED">
            <w:rPr>
              <w:rFonts w:cs="Arial"/>
              <w:lang w:eastAsia="en-GB"/>
            </w:rPr>
            <w:t>(DANE D. A., 2018)</w:t>
          </w:r>
          <w:r w:rsidRPr="00131EED">
            <w:rPr>
              <w:rFonts w:cs="Arial"/>
              <w:lang w:eastAsia="en-GB"/>
            </w:rPr>
            <w:fldChar w:fldCharType="end"/>
          </w:r>
        </w:sdtContent>
      </w:sdt>
      <w:r w:rsidRPr="00131EED">
        <w:rPr>
          <w:rFonts w:cs="Arial"/>
          <w:lang w:eastAsia="en-GB"/>
        </w:rPr>
        <w:t>,</w:t>
      </w:r>
      <w:r w:rsidRPr="00131EED">
        <w:rPr>
          <w:rFonts w:cs="Arial"/>
        </w:rPr>
        <w:t xml:space="preserve"> por lo que puede contribuir de manera significativa a la generación de vertimientos residenciales, los cuales aportan aguas residuales domésticas que a menudo contienen una variedad de contaminantes, como materia orgánica, nutrientes y productos químicos domésticos cuyo principal impacto es la eutrofización y la disminución de oxígeno en los cuerpos de agua; o en municipios como Gachancipá cuya actividad económica principal es mayoritariamente de tipo agroindustrial, lo cual resulta de especial importancia considerando que de manera general en la cuenca del río Bogotá el sector industrial aporta el 55% de la carga contaminante total de la DQO y en términos de nutrientes aporta un 34% de nitrógeno total y 21% de fósforo </w:t>
      </w:r>
      <w:sdt>
        <w:sdtPr>
          <w:rPr>
            <w:rFonts w:cs="Arial"/>
            <w:lang w:eastAsia="en-GB"/>
          </w:rPr>
          <w:id w:val="-2086206635"/>
          <w:citation/>
        </w:sdtPr>
        <w:sdtEndPr/>
        <w:sdtContent>
          <w:r w:rsidRPr="00131EED">
            <w:rPr>
              <w:rFonts w:cs="Arial"/>
              <w:lang w:eastAsia="en-GB"/>
            </w:rPr>
            <w:fldChar w:fldCharType="begin"/>
          </w:r>
          <w:r w:rsidRPr="00131EED">
            <w:rPr>
              <w:rFonts w:cs="Arial"/>
              <w:lang w:eastAsia="en-GB"/>
            </w:rPr>
            <w:instrText xml:space="preserve">CITATION MarcadorDePosición2 \t  \l 2058 </w:instrText>
          </w:r>
          <w:r w:rsidRPr="00131EED">
            <w:rPr>
              <w:rFonts w:cs="Arial"/>
              <w:lang w:eastAsia="en-GB"/>
            </w:rPr>
            <w:fldChar w:fldCharType="separate"/>
          </w:r>
          <w:r w:rsidRPr="00131EED">
            <w:rPr>
              <w:rFonts w:cs="Arial"/>
              <w:lang w:eastAsia="en-GB"/>
            </w:rPr>
            <w:t>(CAR C. C., 2022)</w:t>
          </w:r>
          <w:r w:rsidRPr="00131EED">
            <w:rPr>
              <w:rFonts w:cs="Arial"/>
              <w:lang w:eastAsia="en-GB"/>
            </w:rPr>
            <w:fldChar w:fldCharType="end"/>
          </w:r>
        </w:sdtContent>
      </w:sdt>
      <w:r w:rsidRPr="00131EED">
        <w:rPr>
          <w:rFonts w:cs="Arial"/>
          <w:lang w:eastAsia="en-GB"/>
        </w:rPr>
        <w:t>.</w:t>
      </w:r>
      <w:bookmarkStart w:id="470" w:name="_Toc162338949"/>
    </w:p>
    <w:p w14:paraId="6440E7AC" w14:textId="271FA1C5" w:rsidR="00CC5A4D" w:rsidRPr="00131EED" w:rsidRDefault="00CC5A4D" w:rsidP="00CC5A4D">
      <w:pPr>
        <w:rPr>
          <w:rFonts w:ascii="Baskerville" w:hAnsi="Baskerville"/>
        </w:rPr>
      </w:pPr>
    </w:p>
    <w:p w14:paraId="19287002" w14:textId="6D77B47C" w:rsidR="00D873B5" w:rsidRPr="00131EED" w:rsidRDefault="00D873B5" w:rsidP="00CC5A4D">
      <w:pPr>
        <w:rPr>
          <w:rFonts w:ascii="Baskerville" w:hAnsi="Baskerville"/>
        </w:rPr>
      </w:pPr>
    </w:p>
    <w:p w14:paraId="69A3DAF4" w14:textId="58D0DC42" w:rsidR="00D873B5" w:rsidRPr="00131EED" w:rsidRDefault="00D873B5" w:rsidP="00CC5A4D">
      <w:pPr>
        <w:rPr>
          <w:rFonts w:ascii="Baskerville" w:hAnsi="Baskerville"/>
        </w:rPr>
      </w:pPr>
    </w:p>
    <w:p w14:paraId="5E2B93F0" w14:textId="5870567E" w:rsidR="00D873B5" w:rsidRPr="00131EED" w:rsidRDefault="00D873B5" w:rsidP="00CC5A4D">
      <w:pPr>
        <w:rPr>
          <w:rFonts w:ascii="Baskerville" w:hAnsi="Baskerville"/>
        </w:rPr>
      </w:pPr>
    </w:p>
    <w:p w14:paraId="0E9030FA" w14:textId="3495E047" w:rsidR="00D873B5" w:rsidRPr="00131EED" w:rsidRDefault="00D873B5" w:rsidP="00CC5A4D">
      <w:pPr>
        <w:rPr>
          <w:rFonts w:ascii="Baskerville" w:hAnsi="Baskerville"/>
        </w:rPr>
      </w:pPr>
    </w:p>
    <w:p w14:paraId="44959235" w14:textId="2CA4A020" w:rsidR="00D873B5" w:rsidRPr="00131EED" w:rsidRDefault="00D873B5" w:rsidP="00CC5A4D">
      <w:pPr>
        <w:rPr>
          <w:rFonts w:ascii="Baskerville" w:hAnsi="Baskerville"/>
        </w:rPr>
      </w:pPr>
    </w:p>
    <w:p w14:paraId="1E6402DF" w14:textId="0716FC13" w:rsidR="00D873B5" w:rsidRPr="00131EED" w:rsidRDefault="00D873B5" w:rsidP="00CC5A4D">
      <w:pPr>
        <w:rPr>
          <w:rFonts w:ascii="Baskerville" w:hAnsi="Baskerville"/>
        </w:rPr>
      </w:pPr>
    </w:p>
    <w:p w14:paraId="62861A9A" w14:textId="44CAE79C" w:rsidR="00D873B5" w:rsidRPr="00131EED" w:rsidRDefault="00D873B5" w:rsidP="00CC5A4D">
      <w:pPr>
        <w:rPr>
          <w:rFonts w:ascii="Baskerville" w:hAnsi="Baskerville"/>
        </w:rPr>
      </w:pPr>
    </w:p>
    <w:p w14:paraId="2904A1BB" w14:textId="496B0505" w:rsidR="00CC5A4D" w:rsidRPr="00131EED" w:rsidRDefault="00E7556C" w:rsidP="008428A1">
      <w:pPr>
        <w:pStyle w:val="Caption"/>
        <w:jc w:val="center"/>
      </w:pPr>
      <w:r w:rsidRPr="00131EED">
        <w:br w:type="page"/>
      </w:r>
      <w:bookmarkStart w:id="471" w:name="_Toc216468903"/>
      <w:r w:rsidR="00D873B5" w:rsidRPr="00131EED">
        <w:t xml:space="preserve">Ilustración </w:t>
      </w:r>
      <w:r w:rsidR="00D873B5" w:rsidRPr="00131EED">
        <w:fldChar w:fldCharType="begin"/>
      </w:r>
      <w:r w:rsidR="00D873B5" w:rsidRPr="00131EED">
        <w:instrText>SEQ Ilustración \* ARABIC</w:instrText>
      </w:r>
      <w:r w:rsidR="00D873B5" w:rsidRPr="00131EED">
        <w:fldChar w:fldCharType="separate"/>
      </w:r>
      <w:r w:rsidR="00CE096F">
        <w:rPr>
          <w:noProof/>
        </w:rPr>
        <w:t>138</w:t>
      </w:r>
      <w:r w:rsidR="00D873B5" w:rsidRPr="00131EED">
        <w:fldChar w:fldCharType="end"/>
      </w:r>
      <w:r w:rsidR="00D873B5" w:rsidRPr="00131EED">
        <w:t xml:space="preserve"> </w:t>
      </w:r>
      <w:r w:rsidR="00CC5A4D" w:rsidRPr="00131EED">
        <w:t>Información general de los PMAA en la cuenca del río Bogotá</w:t>
      </w:r>
      <w:bookmarkEnd w:id="470"/>
      <w:bookmarkEnd w:id="471"/>
    </w:p>
    <w:p w14:paraId="1C04194C" w14:textId="280E194B" w:rsidR="006B45E3" w:rsidRPr="00131EED" w:rsidRDefault="006B45E3" w:rsidP="006845C5">
      <w:pPr>
        <w:pStyle w:val="NormalWeb"/>
        <w:spacing w:before="0" w:beforeAutospacing="0" w:after="0" w:afterAutospacing="0"/>
        <w:jc w:val="center"/>
        <w:rPr>
          <w:rFonts w:ascii="Times New Roman" w:hAnsi="Times New Roman" w:cs="Times New Roman"/>
        </w:rPr>
      </w:pPr>
      <w:r w:rsidRPr="00131EED">
        <w:rPr>
          <w:rFonts w:ascii="Times New Roman" w:hAnsi="Times New Roman" w:cs="Times New Roman"/>
          <w:noProof/>
          <w:lang w:eastAsia="en-US"/>
        </w:rPr>
        <w:drawing>
          <wp:inline distT="0" distB="0" distL="0" distR="0" wp14:anchorId="6AECDDC1" wp14:editId="776D5510">
            <wp:extent cx="3484858" cy="4509654"/>
            <wp:effectExtent l="0" t="0" r="1905" b="5715"/>
            <wp:docPr id="1168248852" name="Imagen 1168248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3489684" cy="4515899"/>
                    </a:xfrm>
                    <a:prstGeom prst="rect">
                      <a:avLst/>
                    </a:prstGeom>
                    <a:noFill/>
                    <a:ln>
                      <a:noFill/>
                    </a:ln>
                  </pic:spPr>
                </pic:pic>
              </a:graphicData>
            </a:graphic>
          </wp:inline>
        </w:drawing>
      </w:r>
    </w:p>
    <w:p w14:paraId="436CE55A" w14:textId="77777777" w:rsidR="00CC5A4D" w:rsidRPr="00131EED" w:rsidRDefault="00CC5A4D">
      <w:pPr>
        <w:jc w:val="center"/>
        <w:rPr>
          <w:rFonts w:cs="Arial"/>
          <w:sz w:val="20"/>
          <w:szCs w:val="20"/>
        </w:rPr>
      </w:pPr>
      <w:r w:rsidRPr="00131EED">
        <w:rPr>
          <w:rFonts w:cs="Arial"/>
          <w:sz w:val="20"/>
          <w:szCs w:val="20"/>
        </w:rPr>
        <w:t>Fuente:  Elaborado por el autor, 2024</w:t>
      </w:r>
    </w:p>
    <w:p w14:paraId="43A778D9" w14:textId="77777777" w:rsidR="00CC5A4D" w:rsidRPr="00131EED" w:rsidRDefault="00CC5A4D" w:rsidP="00CC5A4D">
      <w:pPr>
        <w:jc w:val="center"/>
        <w:rPr>
          <w:rFonts w:cs="Arial"/>
        </w:rPr>
      </w:pPr>
    </w:p>
    <w:p w14:paraId="0AD3FDCB" w14:textId="77777777" w:rsidR="00CC5A4D" w:rsidRPr="00131EED" w:rsidRDefault="00CC5A4D" w:rsidP="00CC5A4D">
      <w:pPr>
        <w:rPr>
          <w:rFonts w:cs="Arial"/>
        </w:rPr>
      </w:pPr>
      <w:r w:rsidRPr="00131EED">
        <w:rPr>
          <w:rFonts w:cs="Arial"/>
        </w:rPr>
        <w:t>Aunado a lo anterior, es alarmante el hecho que solamente uno (1) de los PMAA existentes en la cuenca se encuentra aprobado y es el correspondiente a la ciudad de Bogotá, los demás instrumentos se encuentran mayoritariamente en construcción o en proceso de viabilidad, algunos otros en diseños, en diagnóstico de alternativas o en actualización.</w:t>
      </w:r>
    </w:p>
    <w:p w14:paraId="01BC09E0" w14:textId="77777777" w:rsidR="00CC5A4D" w:rsidRPr="00131EED" w:rsidRDefault="00CC5A4D" w:rsidP="00CC5A4D">
      <w:pPr>
        <w:rPr>
          <w:rFonts w:cs="Arial"/>
        </w:rPr>
      </w:pPr>
    </w:p>
    <w:p w14:paraId="11A7F65E" w14:textId="501BB702" w:rsidR="00CC5A4D" w:rsidRPr="00131EED" w:rsidRDefault="00CC5A4D" w:rsidP="00CC5A4D">
      <w:pPr>
        <w:rPr>
          <w:rFonts w:cs="Arial"/>
        </w:rPr>
      </w:pPr>
      <w:r w:rsidRPr="00131EED">
        <w:rPr>
          <w:rFonts w:cs="Arial"/>
        </w:rPr>
        <w:t>Por otra parte, en la cuenca del río Bogotá hay en total sesenta y seis (66) planes de saneamiento y manejo de vertimientos (PSMV) formulados o en proceso de implementación para los municipios de interés.  De acuerdo con un diagnóstico realizado por el Ministerio de Ambiente en el año 202</w:t>
      </w:r>
      <w:r w:rsidR="00BB314C" w:rsidRPr="00131EED">
        <w:rPr>
          <w:rFonts w:cs="Arial"/>
        </w:rPr>
        <w:t>4</w:t>
      </w:r>
      <w:r w:rsidRPr="00131EED">
        <w:rPr>
          <w:rFonts w:cs="Arial"/>
        </w:rPr>
        <w:t xml:space="preserve"> con base en la información proporcionada por los municipios de la cuenca del río Bogotá se encuentra que el 87.8% de los municipios cuentan con este instrumento en estado de seguimiento por parte de la CAR, el 8.1% de los entes territoriales están ejecutando su plan de saneamiento y manejo de vertimientos y el 4.1% de los mismos, se encuentran modificando dicho instrumento según requerimientos de la autoridad ambiental. </w:t>
      </w:r>
    </w:p>
    <w:p w14:paraId="108DC0AE" w14:textId="77777777" w:rsidR="00A94146" w:rsidRPr="00131EED" w:rsidRDefault="00A94146" w:rsidP="00CC5A4D">
      <w:pPr>
        <w:rPr>
          <w:rFonts w:cs="Arial"/>
        </w:rPr>
      </w:pPr>
    </w:p>
    <w:p w14:paraId="2BDE344D" w14:textId="77777777" w:rsidR="003126FD" w:rsidRPr="00131EED" w:rsidRDefault="008433A6" w:rsidP="003126FD">
      <w:pPr>
        <w:rPr>
          <w:rFonts w:cs="Arial"/>
        </w:rPr>
      </w:pPr>
      <w:r w:rsidRPr="00131EED">
        <w:rPr>
          <w:rFonts w:cs="Arial"/>
        </w:rPr>
        <w:t>En el caso de la ciudad de Bogotá, según datos de la SDA (2025), a través de las Resoluciones 3428 de 2017 y 5479 20216 se han adelantado los procesos de actualización y modificación del PSMV a la Empresa de Acueducto y Alcantarillado de Bogotá - ESP (EAAB).</w:t>
      </w:r>
      <w:r w:rsidR="003126FD" w:rsidRPr="00131EED">
        <w:rPr>
          <w:rFonts w:cs="Arial"/>
        </w:rPr>
        <w:t xml:space="preserve"> Se han identificado los puntos de vertimientos del PSMV, como se observa en la siguiente figura, la</w:t>
      </w:r>
    </w:p>
    <w:p w14:paraId="203119AA" w14:textId="66896C8D" w:rsidR="00A94146" w:rsidRPr="00131EED" w:rsidRDefault="003126FD" w:rsidP="003126FD">
      <w:pPr>
        <w:rPr>
          <w:rFonts w:cs="Arial"/>
        </w:rPr>
      </w:pPr>
      <w:r w:rsidRPr="00131EED">
        <w:rPr>
          <w:rFonts w:cs="Arial"/>
        </w:rPr>
        <w:t>mayoría de los puntos de vertimientos se encuentran inventariados y con seguimiento continuo por parte de la SDA (resaltados en color blanco) y algunos puntos de vertimiento se ubican en estructura de humedales.</w:t>
      </w:r>
    </w:p>
    <w:p w14:paraId="3C7E8C87" w14:textId="77777777" w:rsidR="003126FD" w:rsidRPr="00131EED" w:rsidRDefault="003126FD" w:rsidP="003126FD">
      <w:pPr>
        <w:rPr>
          <w:rFonts w:ascii="Baskerville" w:hAnsi="Baskerville" w:cs="Arial"/>
        </w:rPr>
      </w:pPr>
    </w:p>
    <w:p w14:paraId="11E591F4" w14:textId="0DBF679C" w:rsidR="003126FD" w:rsidRPr="00131EED" w:rsidRDefault="00D873B5" w:rsidP="00D873B5">
      <w:pPr>
        <w:pStyle w:val="Caption"/>
        <w:jc w:val="center"/>
        <w:rPr>
          <w:rFonts w:ascii="Baskerville" w:hAnsi="Baskerville"/>
        </w:rPr>
      </w:pPr>
      <w:bookmarkStart w:id="472" w:name="_Toc216468904"/>
      <w:r w:rsidRPr="00131EED">
        <w:t xml:space="preserve">Ilustración </w:t>
      </w:r>
      <w:r w:rsidRPr="00131EED">
        <w:fldChar w:fldCharType="begin"/>
      </w:r>
      <w:r w:rsidRPr="00131EED">
        <w:instrText>SEQ Ilustración \* ARABIC</w:instrText>
      </w:r>
      <w:r w:rsidRPr="00131EED">
        <w:fldChar w:fldCharType="separate"/>
      </w:r>
      <w:r w:rsidR="00CE096F">
        <w:rPr>
          <w:noProof/>
        </w:rPr>
        <w:t>139</w:t>
      </w:r>
      <w:r w:rsidRPr="00131EED">
        <w:fldChar w:fldCharType="end"/>
      </w:r>
      <w:r w:rsidRPr="00131EED">
        <w:t xml:space="preserve"> </w:t>
      </w:r>
      <w:r w:rsidR="008768E8" w:rsidRPr="00131EED">
        <w:rPr>
          <w:rFonts w:ascii="Baskerville" w:hAnsi="Baskerville"/>
        </w:rPr>
        <w:t xml:space="preserve">Ubicación del inventario de puntos de vertimientos PSMV vigente a 20277 en </w:t>
      </w:r>
      <w:r w:rsidR="003126FD" w:rsidRPr="00131EED">
        <w:rPr>
          <w:rFonts w:ascii="Baskerville" w:hAnsi="Baskerville"/>
        </w:rPr>
        <w:t>Bogotá</w:t>
      </w:r>
      <w:bookmarkEnd w:id="472"/>
    </w:p>
    <w:p w14:paraId="06912419" w14:textId="754DC8C1" w:rsidR="003126FD" w:rsidRPr="00131EED" w:rsidRDefault="003126FD" w:rsidP="003126FD">
      <w:pPr>
        <w:rPr>
          <w:rFonts w:ascii="Baskerville" w:hAnsi="Baskerville" w:cs="Arial"/>
        </w:rPr>
      </w:pPr>
      <w:r w:rsidRPr="00131EED">
        <w:rPr>
          <w:rFonts w:ascii="Baskerville" w:hAnsi="Baskerville" w:cs="Arial"/>
          <w:noProof/>
          <w:lang w:eastAsia="en-US"/>
        </w:rPr>
        <w:drawing>
          <wp:inline distT="0" distB="0" distL="0" distR="0" wp14:anchorId="441B88ED" wp14:editId="31F72BC2">
            <wp:extent cx="5612130" cy="3186430"/>
            <wp:effectExtent l="0" t="0" r="7620" b="0"/>
            <wp:docPr id="1168248854" name="Imagen 1168248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5612130" cy="3186430"/>
                    </a:xfrm>
                    <a:prstGeom prst="rect">
                      <a:avLst/>
                    </a:prstGeom>
                  </pic:spPr>
                </pic:pic>
              </a:graphicData>
            </a:graphic>
          </wp:inline>
        </w:drawing>
      </w:r>
    </w:p>
    <w:p w14:paraId="0728C1F9" w14:textId="77777777" w:rsidR="008768E8" w:rsidRPr="00131EED" w:rsidRDefault="008768E8" w:rsidP="008768E8">
      <w:pPr>
        <w:jc w:val="center"/>
        <w:rPr>
          <w:rFonts w:eastAsia="Calibri" w:cs="Arial"/>
          <w:sz w:val="20"/>
          <w:szCs w:val="20"/>
          <w:lang w:eastAsia="en-US"/>
        </w:rPr>
      </w:pPr>
      <w:r w:rsidRPr="00131EED">
        <w:rPr>
          <w:rFonts w:eastAsia="Calibri" w:cs="Arial"/>
          <w:sz w:val="20"/>
          <w:szCs w:val="20"/>
          <w:lang w:eastAsia="en-US"/>
        </w:rPr>
        <w:t>Fuente:  Secretaría Distrital de Ambiente (SDA), 2025</w:t>
      </w:r>
    </w:p>
    <w:p w14:paraId="7E0E89E1" w14:textId="77777777" w:rsidR="003126FD" w:rsidRPr="00131EED" w:rsidRDefault="003126FD" w:rsidP="006845C5">
      <w:pPr>
        <w:jc w:val="center"/>
        <w:rPr>
          <w:rFonts w:cs="Arial"/>
          <w:sz w:val="20"/>
          <w:szCs w:val="20"/>
        </w:rPr>
      </w:pPr>
    </w:p>
    <w:p w14:paraId="6F6050D0" w14:textId="4B369DA3" w:rsidR="00435731" w:rsidRPr="00131EED" w:rsidRDefault="00435731" w:rsidP="00435731">
      <w:pPr>
        <w:rPr>
          <w:rFonts w:cs="Arial"/>
          <w:lang w:eastAsia="en-GB"/>
        </w:rPr>
      </w:pPr>
      <w:r w:rsidRPr="00131EED">
        <w:rPr>
          <w:rFonts w:cs="Arial"/>
          <w:lang w:eastAsia="en-GB"/>
        </w:rPr>
        <w:t xml:space="preserve">Por otra parte, se muestra a continuación la cobertura de alcantarillado para los municipios de la cuenca de la región Sabana de Bogotá, encontrando que el 33% de los municipios (10 entes territoriales) incluidos Zipaquirá, Tocancipá, Cajicá, Chía, Bogotá, Funza, Mosquera, Madrid, Facatativá y El Rosal entre otros, cuentan con cobertura de este servicio en un rango entre un 81% y un 100%; el 20% de los municipios (6) tienen una cobertura de alcantarillado entre el 61% y el 80%, en este grupo encontramos municipios como Gachancipá, Bojacá, Sibaté, Sopó, Subachoque y Tenjo. Con un 23% de cobertura de alcantarillado en un rango comprendido entre el 41% y el 60% se encuentran 7 municipios de la cuenca incluidos Suesca, Sesquilé, Nemocón, Guasca, Tabio, Cota y Soacha. Por otra parte, el 23% de los municipios (7) se pueden considerar en estado bajo y crítico ya que tienen una cobertura del servicio de alcantarillado inferior al 40%, en esta última clasificación se encuentran entes territoriales como Villapinzón, Chocontá, Cucunubá, Tausa, Guatavita, Cogua y La Calera. </w:t>
      </w:r>
    </w:p>
    <w:p w14:paraId="3E1D303A" w14:textId="77777777" w:rsidR="00CC5A4D" w:rsidRPr="00131EED" w:rsidRDefault="00CC5A4D" w:rsidP="00CC5A4D">
      <w:pPr>
        <w:rPr>
          <w:rFonts w:ascii="Baskerville" w:hAnsi="Baskerville" w:cs="Arial"/>
        </w:rPr>
      </w:pPr>
    </w:p>
    <w:p w14:paraId="00CFE82E" w14:textId="672C43B7" w:rsidR="00CC5A4D" w:rsidRPr="00131EED" w:rsidRDefault="00D873B5" w:rsidP="00D873B5">
      <w:pPr>
        <w:pStyle w:val="Caption"/>
        <w:jc w:val="center"/>
        <w:rPr>
          <w:rFonts w:ascii="Baskerville" w:hAnsi="Baskerville"/>
        </w:rPr>
      </w:pPr>
      <w:bookmarkStart w:id="473" w:name="_Toc162338950"/>
      <w:bookmarkStart w:id="474" w:name="_Toc216468905"/>
      <w:r w:rsidRPr="00131EED">
        <w:t xml:space="preserve">Ilustración </w:t>
      </w:r>
      <w:r w:rsidRPr="00131EED">
        <w:fldChar w:fldCharType="begin"/>
      </w:r>
      <w:r w:rsidRPr="00131EED">
        <w:instrText>SEQ Ilustración \* ARABIC</w:instrText>
      </w:r>
      <w:r w:rsidRPr="00131EED">
        <w:fldChar w:fldCharType="separate"/>
      </w:r>
      <w:r w:rsidR="00CE096F">
        <w:rPr>
          <w:noProof/>
        </w:rPr>
        <w:t>140</w:t>
      </w:r>
      <w:r w:rsidRPr="00131EED">
        <w:fldChar w:fldCharType="end"/>
      </w:r>
      <w:r w:rsidRPr="00131EED">
        <w:t xml:space="preserve"> </w:t>
      </w:r>
      <w:r w:rsidR="00CC5A4D" w:rsidRPr="00131EED">
        <w:rPr>
          <w:rFonts w:ascii="Baskerville" w:hAnsi="Baskerville"/>
        </w:rPr>
        <w:t>Cobertura de alcantarillado Región Sabana de Bogotá</w:t>
      </w:r>
      <w:bookmarkEnd w:id="473"/>
      <w:bookmarkEnd w:id="474"/>
    </w:p>
    <w:p w14:paraId="1560966A" w14:textId="433E9F6D" w:rsidR="007742D2" w:rsidRPr="00131EED" w:rsidRDefault="007742D2" w:rsidP="006845C5">
      <w:pPr>
        <w:pStyle w:val="NormalWeb"/>
        <w:spacing w:before="0" w:beforeAutospacing="0" w:after="0" w:afterAutospacing="0"/>
        <w:jc w:val="center"/>
        <w:rPr>
          <w:rFonts w:ascii="Times New Roman" w:hAnsi="Times New Roman" w:cs="Times New Roman"/>
        </w:rPr>
      </w:pPr>
      <w:r w:rsidRPr="00131EED">
        <w:rPr>
          <w:rFonts w:ascii="Times New Roman" w:hAnsi="Times New Roman" w:cs="Times New Roman"/>
          <w:noProof/>
          <w:lang w:eastAsia="en-US"/>
        </w:rPr>
        <w:drawing>
          <wp:inline distT="0" distB="0" distL="0" distR="0" wp14:anchorId="2D28E832" wp14:editId="14676C40">
            <wp:extent cx="3061854" cy="3962256"/>
            <wp:effectExtent l="0" t="0" r="5715" b="635"/>
            <wp:docPr id="1168248853" name="Imagen 1168248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3065565" cy="3967058"/>
                    </a:xfrm>
                    <a:prstGeom prst="rect">
                      <a:avLst/>
                    </a:prstGeom>
                    <a:noFill/>
                    <a:ln>
                      <a:noFill/>
                    </a:ln>
                  </pic:spPr>
                </pic:pic>
              </a:graphicData>
            </a:graphic>
          </wp:inline>
        </w:drawing>
      </w:r>
    </w:p>
    <w:p w14:paraId="15722A27" w14:textId="77777777" w:rsidR="00CC5A4D" w:rsidRPr="00131EED" w:rsidRDefault="00CC5A4D">
      <w:pPr>
        <w:jc w:val="center"/>
        <w:rPr>
          <w:rFonts w:cs="Arial"/>
          <w:sz w:val="20"/>
          <w:szCs w:val="20"/>
        </w:rPr>
      </w:pPr>
      <w:r w:rsidRPr="00131EED">
        <w:rPr>
          <w:rFonts w:cs="Arial"/>
          <w:sz w:val="20"/>
          <w:szCs w:val="20"/>
        </w:rPr>
        <w:t>Fuente:  Elaboración propia, 2024</w:t>
      </w:r>
    </w:p>
    <w:p w14:paraId="41C04D60" w14:textId="77777777" w:rsidR="00CC5A4D" w:rsidRPr="00131EED" w:rsidRDefault="00CC5A4D" w:rsidP="00CC5A4D">
      <w:pPr>
        <w:rPr>
          <w:rFonts w:cs="Arial"/>
          <w:lang w:eastAsia="en-GB"/>
        </w:rPr>
      </w:pPr>
    </w:p>
    <w:p w14:paraId="0965216A" w14:textId="29EBCDB5" w:rsidR="00CC5A4D" w:rsidRPr="00131EED" w:rsidRDefault="00CC5A4D" w:rsidP="00CC5A4D">
      <w:pPr>
        <w:rPr>
          <w:rFonts w:cs="Arial"/>
          <w:lang w:eastAsia="en-GB"/>
        </w:rPr>
      </w:pPr>
      <w:r w:rsidRPr="00131EED">
        <w:rPr>
          <w:rFonts w:cs="Arial"/>
          <w:lang w:eastAsia="en-GB"/>
        </w:rPr>
        <w:t>Así mismo, se encu</w:t>
      </w:r>
      <w:r w:rsidR="00435731" w:rsidRPr="00131EED">
        <w:rPr>
          <w:rFonts w:cs="Arial"/>
          <w:lang w:eastAsia="en-GB"/>
        </w:rPr>
        <w:t>e</w:t>
      </w:r>
      <w:r w:rsidRPr="00131EED">
        <w:rPr>
          <w:rFonts w:cs="Arial"/>
          <w:lang w:eastAsia="en-GB"/>
        </w:rPr>
        <w:t xml:space="preserve">ntra que el 63.83% de los municipios cuentan con alcantarillado de tipo combinado, el 31.9% de los mismos tiene algunos tramos de red en alcantarillado con separación entre alcantarillado pluvial-sanitario y otros tramos son de tipo combinado, mientras que el 4.26% de los municipios tienen solamente alcantarillado de tipo sanitario. Estos resultados son alarmantes, ya que el agua residual sanitaria y el agua pluvial que fluyen a las mismas tuberías mediante sistemas combinados puede generar una serie de problemáticas como un aumento en el volumen de agua que fluye por el sistema de alcantarillado, lo que puede traer como consecuencia inundaciones en las calles y en las viviendas, lo que a su vez puede conllevar a problemas de salud pública y al medio ambiente ante posibles exposiciones a volúmenes de agua contaminada. </w:t>
      </w:r>
    </w:p>
    <w:p w14:paraId="07BF8234" w14:textId="77777777" w:rsidR="00CC5A4D" w:rsidRPr="00131EED" w:rsidRDefault="00CC5A4D" w:rsidP="00CC5A4D">
      <w:pPr>
        <w:tabs>
          <w:tab w:val="num" w:pos="720"/>
        </w:tabs>
        <w:rPr>
          <w:rFonts w:cs="Arial"/>
          <w:lang w:eastAsia="en-GB"/>
        </w:rPr>
      </w:pPr>
    </w:p>
    <w:p w14:paraId="58F2BC30" w14:textId="77777777" w:rsidR="00CC5A4D" w:rsidRPr="00131EED" w:rsidRDefault="00CC5A4D" w:rsidP="00CC5A4D">
      <w:pPr>
        <w:rPr>
          <w:rFonts w:cs="Arial"/>
        </w:rPr>
      </w:pPr>
      <w:r w:rsidRPr="00131EED">
        <w:rPr>
          <w:rFonts w:cs="Arial"/>
        </w:rPr>
        <w:t xml:space="preserve">En la región Sabana de Bogotá, se identificaron ochenta y un (81) plantas o sistemas de tratamiento de aguas residuales existentes; con respecto a este ítem se encontró que el 10% de los entes territoriales no cuentan con plantas de tratamiento, este porcentaje corresponde a tres (3) municipios entre los que se encuentran: Sibaté, Tausa, Villapinzón.   </w:t>
      </w:r>
    </w:p>
    <w:p w14:paraId="732A5939" w14:textId="77777777" w:rsidR="00CC5A4D" w:rsidRPr="00131EED" w:rsidRDefault="00CC5A4D" w:rsidP="00CC5A4D">
      <w:pPr>
        <w:rPr>
          <w:rFonts w:cs="Arial"/>
        </w:rPr>
      </w:pPr>
    </w:p>
    <w:p w14:paraId="3AADCD1A" w14:textId="77777777" w:rsidR="00CC5A4D" w:rsidRPr="00131EED" w:rsidRDefault="00CC5A4D" w:rsidP="00CC5A4D">
      <w:pPr>
        <w:rPr>
          <w:rFonts w:cs="Arial"/>
        </w:rPr>
      </w:pPr>
      <w:r w:rsidRPr="00131EED">
        <w:rPr>
          <w:rFonts w:cs="Arial"/>
        </w:rPr>
        <w:t>El diagnóstico realizado también permitió mapear la existencia de 811 puntos de vertimiento en la región, producto de un ejercicio de consolidado de puntos de descarga de prestadores de servicios y de entidades privadas pertenecientes principalmente a la cuenca del río Bogotá para los años 2021 y 2022, información obtenida de la Secretaría Distrital de Ambiente – SDA y la CAR. En cuanto al estado actual de los permisos de vertimiento para la totalidad de puntos mapeados, se encuentra que el 2% de los permisos de los vertimientos existentes en la cuenca se encuentran en trámite (14), un 29% de las descargas cuentan con permiso de vertimiento vigente (237), para el porcentaje restante no se encuentra información específica del estado del trámite; estos resultados pueden explicar en gran medida la calidad de agua actual de la cuenca del río Bogotá.</w:t>
      </w:r>
    </w:p>
    <w:p w14:paraId="38A23FC7" w14:textId="77777777" w:rsidR="00CC5A4D" w:rsidRPr="00131EED" w:rsidRDefault="00CC5A4D" w:rsidP="00CC5A4D">
      <w:pPr>
        <w:tabs>
          <w:tab w:val="num" w:pos="720"/>
        </w:tabs>
        <w:ind w:firstLine="284"/>
        <w:rPr>
          <w:rFonts w:cs="Arial"/>
        </w:rPr>
      </w:pPr>
    </w:p>
    <w:p w14:paraId="43758D42" w14:textId="48B6433C" w:rsidR="00CC5A4D" w:rsidRPr="00131EED" w:rsidRDefault="00CC5A4D" w:rsidP="00CC5A4D">
      <w:pPr>
        <w:tabs>
          <w:tab w:val="num" w:pos="720"/>
        </w:tabs>
        <w:rPr>
          <w:rFonts w:cs="Arial"/>
        </w:rPr>
      </w:pPr>
      <w:r w:rsidRPr="00131EED">
        <w:rPr>
          <w:rFonts w:cs="Arial"/>
        </w:rPr>
        <w:t xml:space="preserve">Con respecto al tipo de tratamiento de los vertimientos existentes tomando como caso de estudio la cuenca del río Bogotá, según se presenta en la </w:t>
      </w:r>
      <w:r w:rsidR="00A568C0" w:rsidRPr="00131EED">
        <w:rPr>
          <w:rFonts w:cs="Arial"/>
        </w:rPr>
        <w:fldChar w:fldCharType="begin"/>
      </w:r>
      <w:r w:rsidR="00A568C0" w:rsidRPr="00131EED">
        <w:rPr>
          <w:rFonts w:cs="Arial"/>
        </w:rPr>
        <w:instrText xml:space="preserve"> REF _Ref210927858 \h </w:instrText>
      </w:r>
      <w:r w:rsidR="00A568C0" w:rsidRPr="00131EED">
        <w:rPr>
          <w:rFonts w:cs="Arial"/>
        </w:rPr>
      </w:r>
      <w:r w:rsidR="00A568C0" w:rsidRPr="00131EED">
        <w:rPr>
          <w:rFonts w:cs="Arial"/>
        </w:rPr>
        <w:fldChar w:fldCharType="separate"/>
      </w:r>
      <w:r w:rsidR="00CE096F" w:rsidRPr="00131EED">
        <w:t xml:space="preserve">Ilustración </w:t>
      </w:r>
      <w:r w:rsidR="00A568C0" w:rsidRPr="00131EED">
        <w:rPr>
          <w:rFonts w:cs="Arial"/>
        </w:rPr>
        <w:fldChar w:fldCharType="end"/>
      </w:r>
      <w:r w:rsidRPr="00131EED">
        <w:rPr>
          <w:rFonts w:cs="Arial"/>
        </w:rPr>
        <w:t xml:space="preserve"> se encontró que el 1.5% de ellos cuenta con tratamiento primario, el 1.63% con tratamiento terciario, un 6.76% con tratamiento secundario, un 23.65% se realiza sin ningún tipo de tratamiento y para el 63.58% restante no se encontró información alguna del tipo de tratamiento. </w:t>
      </w:r>
    </w:p>
    <w:p w14:paraId="0FB90043" w14:textId="77777777" w:rsidR="00CC5A4D" w:rsidRPr="00131EED" w:rsidRDefault="00CC5A4D" w:rsidP="00CC5A4D">
      <w:pPr>
        <w:tabs>
          <w:tab w:val="num" w:pos="720"/>
        </w:tabs>
        <w:rPr>
          <w:rFonts w:ascii="Baskerville" w:hAnsi="Baskerville" w:cs="Arial"/>
          <w:sz w:val="20"/>
          <w:lang w:eastAsia="en-GB"/>
        </w:rPr>
      </w:pPr>
    </w:p>
    <w:p w14:paraId="474BB14D" w14:textId="7AFAA6E2" w:rsidR="00CC5A4D" w:rsidRPr="00131EED" w:rsidRDefault="00D873B5" w:rsidP="00D873B5">
      <w:pPr>
        <w:pStyle w:val="Caption"/>
        <w:jc w:val="center"/>
      </w:pPr>
      <w:bookmarkStart w:id="475" w:name="_Ref210927858"/>
      <w:bookmarkStart w:id="476" w:name="_Toc154045920"/>
      <w:bookmarkStart w:id="477" w:name="_Toc162338951"/>
      <w:bookmarkStart w:id="478" w:name="_Toc216468906"/>
      <w:r w:rsidRPr="00131EED">
        <w:t xml:space="preserve">Ilustración </w:t>
      </w:r>
      <w:bookmarkEnd w:id="475"/>
      <w:r w:rsidRPr="00131EED">
        <w:fldChar w:fldCharType="begin"/>
      </w:r>
      <w:r w:rsidRPr="00131EED">
        <w:instrText>SEQ Ilustración \* ARABIC</w:instrText>
      </w:r>
      <w:r w:rsidRPr="00131EED">
        <w:fldChar w:fldCharType="separate"/>
      </w:r>
      <w:r w:rsidR="00CE096F">
        <w:rPr>
          <w:noProof/>
        </w:rPr>
        <w:t>141</w:t>
      </w:r>
      <w:r w:rsidRPr="00131EED">
        <w:fldChar w:fldCharType="end"/>
      </w:r>
      <w:r w:rsidRPr="00131EED">
        <w:t xml:space="preserve"> </w:t>
      </w:r>
      <w:r w:rsidR="00CC5A4D" w:rsidRPr="00131EED">
        <w:t xml:space="preserve"> Tipo de tratamiento de las descargas existentes</w:t>
      </w:r>
      <w:bookmarkEnd w:id="476"/>
      <w:bookmarkEnd w:id="477"/>
      <w:bookmarkEnd w:id="478"/>
    </w:p>
    <w:p w14:paraId="3DDDC232" w14:textId="77777777" w:rsidR="00CC5A4D" w:rsidRPr="00131EED" w:rsidRDefault="00CC5A4D" w:rsidP="00CC5A4D">
      <w:pPr>
        <w:tabs>
          <w:tab w:val="num" w:pos="720"/>
        </w:tabs>
        <w:jc w:val="center"/>
        <w:rPr>
          <w:rFonts w:ascii="Baskerville" w:hAnsi="Baskerville" w:cs="Arial"/>
          <w:sz w:val="20"/>
          <w:lang w:eastAsia="en-GB"/>
        </w:rPr>
      </w:pPr>
      <w:r w:rsidRPr="00131EED">
        <w:rPr>
          <w:rFonts w:ascii="Baskerville" w:hAnsi="Baskerville" w:cs="Arial"/>
          <w:noProof/>
          <w:sz w:val="20"/>
          <w:lang w:eastAsia="en-US"/>
        </w:rPr>
        <w:drawing>
          <wp:inline distT="0" distB="0" distL="0" distR="0" wp14:anchorId="1F6158E8" wp14:editId="7C9FEF2F">
            <wp:extent cx="4321834" cy="2182214"/>
            <wp:effectExtent l="0" t="0" r="2540" b="8890"/>
            <wp:docPr id="476" name="Imagen 476" descr="A chart with numbers and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n 476" descr="A chart with numbers and a circle&#10;&#10;AI-generated content may be incorrect."/>
                    <pic:cNvPicPr/>
                  </pic:nvPicPr>
                  <pic:blipFill rotWithShape="1">
                    <a:blip r:embed="rId226"/>
                    <a:srcRect l="2306" t="4609"/>
                    <a:stretch/>
                  </pic:blipFill>
                  <pic:spPr bwMode="auto">
                    <a:xfrm>
                      <a:off x="0" y="0"/>
                      <a:ext cx="4390350" cy="2216810"/>
                    </a:xfrm>
                    <a:prstGeom prst="rect">
                      <a:avLst/>
                    </a:prstGeom>
                    <a:ln>
                      <a:noFill/>
                    </a:ln>
                    <a:extLst>
                      <a:ext uri="{53640926-AAD7-44D8-BBD7-CCE9431645EC}">
                        <a14:shadowObscured xmlns:a14="http://schemas.microsoft.com/office/drawing/2010/main"/>
                      </a:ext>
                    </a:extLst>
                  </pic:spPr>
                </pic:pic>
              </a:graphicData>
            </a:graphic>
          </wp:inline>
        </w:drawing>
      </w:r>
    </w:p>
    <w:p w14:paraId="7F6FCF3A" w14:textId="702BF9FC" w:rsidR="00CC5A4D" w:rsidRPr="00131EED" w:rsidRDefault="00CC5A4D" w:rsidP="00CC5A4D">
      <w:pPr>
        <w:tabs>
          <w:tab w:val="num" w:pos="720"/>
        </w:tabs>
        <w:ind w:firstLine="284"/>
        <w:jc w:val="center"/>
        <w:rPr>
          <w:rFonts w:cs="Arial"/>
          <w:sz w:val="20"/>
          <w:szCs w:val="20"/>
        </w:rPr>
      </w:pPr>
      <w:r w:rsidRPr="00131EED">
        <w:rPr>
          <w:rFonts w:cs="Arial"/>
          <w:sz w:val="20"/>
          <w:szCs w:val="20"/>
        </w:rPr>
        <w:t xml:space="preserve">Fuente: </w:t>
      </w:r>
      <w:r w:rsidR="00D873B5" w:rsidRPr="00131EED">
        <w:rPr>
          <w:rFonts w:cs="Arial"/>
          <w:sz w:val="20"/>
          <w:szCs w:val="20"/>
        </w:rPr>
        <w:t>MinAmbiente,</w:t>
      </w:r>
      <w:r w:rsidRPr="00131EED">
        <w:rPr>
          <w:rFonts w:cs="Arial"/>
          <w:sz w:val="20"/>
          <w:szCs w:val="20"/>
        </w:rPr>
        <w:t xml:space="preserve"> 2024</w:t>
      </w:r>
    </w:p>
    <w:p w14:paraId="7F6DE6D1" w14:textId="77777777" w:rsidR="00CC5A4D" w:rsidRPr="00131EED" w:rsidRDefault="00CC5A4D" w:rsidP="00CC5A4D">
      <w:pPr>
        <w:rPr>
          <w:rFonts w:cs="Arial"/>
        </w:rPr>
      </w:pPr>
    </w:p>
    <w:p w14:paraId="363CDEC8" w14:textId="77777777" w:rsidR="00CC5A4D" w:rsidRPr="00131EED" w:rsidRDefault="00CC5A4D" w:rsidP="00CC5A4D">
      <w:pPr>
        <w:rPr>
          <w:rFonts w:ascii="Baskerville" w:hAnsi="Baskerville" w:cs="Arial"/>
        </w:rPr>
      </w:pPr>
      <w:r w:rsidRPr="00131EED">
        <w:rPr>
          <w:rFonts w:cs="Arial"/>
        </w:rPr>
        <w:t>Con respecto a la distribución espacial de los vertimientos existentes en la cuenca del río Bogotá los círculos de mayor diámetro representan una mayor cantidad se vertimientos realizadas por el ente territorial, se observa que hay una mayor cantidad de descargas en la ciudad de Bogotá representada con el circulo naranja y, municipios como Soacha, Facatativá, Cucunubá, Villapinzón, Chía y Cota, también cuentan con un número de vertimientos considerables</w:t>
      </w:r>
      <w:r w:rsidRPr="00131EED">
        <w:rPr>
          <w:rFonts w:ascii="Baskerville" w:hAnsi="Baskerville" w:cs="Arial"/>
        </w:rPr>
        <w:t xml:space="preserve">. </w:t>
      </w:r>
    </w:p>
    <w:p w14:paraId="583B6610" w14:textId="77777777" w:rsidR="00CC5A4D" w:rsidRPr="00131EED" w:rsidRDefault="00CC5A4D" w:rsidP="00CC5A4D">
      <w:pPr>
        <w:rPr>
          <w:rFonts w:ascii="Baskerville" w:hAnsi="Baskerville" w:cs="Arial"/>
          <w:sz w:val="20"/>
          <w:szCs w:val="20"/>
        </w:rPr>
      </w:pPr>
    </w:p>
    <w:p w14:paraId="79C7519F" w14:textId="55AB26FF" w:rsidR="00CC5A4D" w:rsidRPr="00131EED" w:rsidRDefault="00D873B5" w:rsidP="00D873B5">
      <w:pPr>
        <w:pStyle w:val="Caption"/>
        <w:jc w:val="center"/>
        <w:rPr>
          <w:rFonts w:ascii="Baskerville" w:hAnsi="Baskerville"/>
        </w:rPr>
      </w:pPr>
      <w:bookmarkStart w:id="479" w:name="_Toc154045921"/>
      <w:bookmarkStart w:id="480" w:name="_Toc162338952"/>
      <w:bookmarkStart w:id="481" w:name="_Toc216468907"/>
      <w:r w:rsidRPr="00131EED">
        <w:t xml:space="preserve">Ilustración </w:t>
      </w:r>
      <w:r w:rsidRPr="00131EED">
        <w:fldChar w:fldCharType="begin"/>
      </w:r>
      <w:r w:rsidRPr="00131EED">
        <w:instrText>SEQ Ilustración \* ARABIC</w:instrText>
      </w:r>
      <w:r w:rsidRPr="00131EED">
        <w:fldChar w:fldCharType="separate"/>
      </w:r>
      <w:r w:rsidR="00CE096F">
        <w:rPr>
          <w:noProof/>
        </w:rPr>
        <w:t>142</w:t>
      </w:r>
      <w:r w:rsidRPr="00131EED">
        <w:fldChar w:fldCharType="end"/>
      </w:r>
      <w:r w:rsidRPr="00131EED">
        <w:t xml:space="preserve"> </w:t>
      </w:r>
      <w:r w:rsidR="00CC5A4D" w:rsidRPr="00131EED">
        <w:rPr>
          <w:rFonts w:ascii="Baskerville" w:hAnsi="Baskerville"/>
        </w:rPr>
        <w:t>Distribución de los vertimientos en la cuenca</w:t>
      </w:r>
      <w:bookmarkEnd w:id="479"/>
      <w:bookmarkEnd w:id="480"/>
      <w:bookmarkEnd w:id="481"/>
    </w:p>
    <w:p w14:paraId="1ED1BC47" w14:textId="05C8072A" w:rsidR="00CC5A4D" w:rsidRPr="00131EED" w:rsidRDefault="00CC5A4D" w:rsidP="00CC5A4D">
      <w:pPr>
        <w:jc w:val="center"/>
        <w:rPr>
          <w:rFonts w:ascii="Baskerville" w:hAnsi="Baskerville" w:cs="Arial"/>
          <w:sz w:val="20"/>
          <w:lang w:eastAsia="en-GB"/>
        </w:rPr>
      </w:pPr>
      <w:r w:rsidRPr="00131EED">
        <w:rPr>
          <w:rFonts w:ascii="Baskerville" w:hAnsi="Baskerville" w:cs="Arial"/>
          <w:noProof/>
          <w:sz w:val="20"/>
          <w:lang w:eastAsia="en-US"/>
        </w:rPr>
        <w:drawing>
          <wp:inline distT="0" distB="0" distL="0" distR="0" wp14:anchorId="318C2ABC" wp14:editId="057142AC">
            <wp:extent cx="3823105" cy="3645725"/>
            <wp:effectExtent l="0" t="0" r="6350" b="0"/>
            <wp:docPr id="477" name="Imagen 477" descr="A map with many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Imagen 477" descr="A map with many colored circles&#10;&#10;AI-generated content may be incorrect."/>
                    <pic:cNvPicPr/>
                  </pic:nvPicPr>
                  <pic:blipFill rotWithShape="1">
                    <a:blip r:embed="rId227"/>
                    <a:srcRect r="1552"/>
                    <a:stretch/>
                  </pic:blipFill>
                  <pic:spPr bwMode="auto">
                    <a:xfrm>
                      <a:off x="0" y="0"/>
                      <a:ext cx="3840307" cy="3662129"/>
                    </a:xfrm>
                    <a:prstGeom prst="rect">
                      <a:avLst/>
                    </a:prstGeom>
                    <a:ln>
                      <a:noFill/>
                    </a:ln>
                    <a:extLst>
                      <a:ext uri="{53640926-AAD7-44D8-BBD7-CCE9431645EC}">
                        <a14:shadowObscured xmlns:a14="http://schemas.microsoft.com/office/drawing/2010/main"/>
                      </a:ext>
                    </a:extLst>
                  </pic:spPr>
                </pic:pic>
              </a:graphicData>
            </a:graphic>
          </wp:inline>
        </w:drawing>
      </w:r>
    </w:p>
    <w:p w14:paraId="3A3EC55B" w14:textId="77777777" w:rsidR="00CC5A4D" w:rsidRPr="00131EED" w:rsidRDefault="00CC5A4D" w:rsidP="00CC5A4D">
      <w:pPr>
        <w:tabs>
          <w:tab w:val="num" w:pos="720"/>
        </w:tabs>
        <w:ind w:firstLine="284"/>
        <w:jc w:val="center"/>
        <w:rPr>
          <w:rFonts w:cs="Arial"/>
          <w:sz w:val="20"/>
          <w:szCs w:val="20"/>
        </w:rPr>
      </w:pPr>
      <w:r w:rsidRPr="00131EED">
        <w:rPr>
          <w:rFonts w:cs="Arial"/>
          <w:sz w:val="20"/>
          <w:szCs w:val="20"/>
        </w:rPr>
        <w:t>Fuente: Elaborado por el autor, 2024</w:t>
      </w:r>
    </w:p>
    <w:p w14:paraId="152610E6" w14:textId="77777777" w:rsidR="00CC5A4D" w:rsidRPr="00131EED" w:rsidRDefault="00CC5A4D" w:rsidP="00CC5A4D">
      <w:pPr>
        <w:tabs>
          <w:tab w:val="num" w:pos="720"/>
        </w:tabs>
        <w:ind w:firstLine="284"/>
        <w:rPr>
          <w:rFonts w:cs="Arial"/>
          <w:lang w:eastAsia="en-GB"/>
        </w:rPr>
      </w:pPr>
    </w:p>
    <w:p w14:paraId="34D4D663" w14:textId="77777777" w:rsidR="00CC5A4D" w:rsidRPr="00131EED" w:rsidRDefault="00CC5A4D" w:rsidP="00CC5A4D">
      <w:pPr>
        <w:rPr>
          <w:rFonts w:cs="Arial"/>
          <w:lang w:eastAsia="en-GB"/>
        </w:rPr>
      </w:pPr>
      <w:r w:rsidRPr="00131EED">
        <w:rPr>
          <w:rFonts w:cs="Arial"/>
          <w:lang w:eastAsia="en-GB"/>
        </w:rPr>
        <w:t>Los colores de los círculos corresponden a la categoría económica de los municipios, encontrando que algunos de los entes territoriales de mayor categoría económica son consecuentemente los mayores vertedores de la cuenca como Bogotá y Soacha; por otra parte, resulta alarmante que la mayoría de los municipios de la cuenca en color morado son categoría 6 y muchos de ellos contribuyen significativamente con las descarga de aguas residuales, pero no cuentan con suficientes recursos económicos para formular e implementar sus actividades de saneamiento y control de vertimientos.</w:t>
      </w:r>
    </w:p>
    <w:p w14:paraId="2092D017" w14:textId="77777777" w:rsidR="00CC5A4D" w:rsidRPr="00131EED" w:rsidRDefault="00CC5A4D" w:rsidP="00CC5A4D">
      <w:pPr>
        <w:ind w:firstLine="284"/>
        <w:rPr>
          <w:rFonts w:cs="Arial"/>
          <w:lang w:eastAsia="en-GB"/>
        </w:rPr>
      </w:pPr>
    </w:p>
    <w:p w14:paraId="7CE1B819" w14:textId="655A2B72" w:rsidR="00CC5A4D" w:rsidRPr="00131EED" w:rsidRDefault="00CC5A4D">
      <w:pPr>
        <w:rPr>
          <w:rFonts w:cs="Arial"/>
          <w:lang w:eastAsia="en-GB"/>
        </w:rPr>
      </w:pPr>
      <w:r w:rsidRPr="00131EED">
        <w:rPr>
          <w:rFonts w:cs="Arial"/>
          <w:lang w:eastAsia="en-GB"/>
        </w:rPr>
        <w:t>Los anteriores resultados son respaldados al hacer un análisis de los aportes en cuanto a las cargas contaminantes aportadas por los diferentes entes territoriales mostradas en la</w:t>
      </w:r>
      <w:r w:rsidR="00C2312F" w:rsidRPr="00131EED">
        <w:rPr>
          <w:rFonts w:cs="Arial"/>
          <w:lang w:eastAsia="en-GB"/>
        </w:rPr>
        <w:t xml:space="preserve"> Figura 5</w:t>
      </w:r>
      <w:r w:rsidRPr="00131EED">
        <w:rPr>
          <w:rFonts w:cs="Arial"/>
          <w:lang w:eastAsia="en-GB"/>
        </w:rPr>
        <w:t xml:space="preserve">. En color rojo se presentan aquellos municipios que aportan mayores concentraciones de DBO5 en la cuenca entre los que se encuentran Bogotá, Soacha, Chía, Cajicá, Girardot, Ricaurte y Anapoima, este último municipio resulta particular ya que no es uno de los que cuenta con alta cantidad de vertimientos, pero las descargas existentes si son representativos en relación a su carga contaminante. </w:t>
      </w:r>
    </w:p>
    <w:p w14:paraId="7A609914" w14:textId="77777777" w:rsidR="00CC5A4D" w:rsidRPr="00131EED" w:rsidRDefault="00CC5A4D" w:rsidP="00CC5A4D">
      <w:pPr>
        <w:rPr>
          <w:rFonts w:ascii="Baskerville" w:hAnsi="Baskerville" w:cs="Arial"/>
        </w:rPr>
      </w:pPr>
      <w:bookmarkStart w:id="482" w:name="_Ref146704062"/>
      <w:bookmarkStart w:id="483" w:name="_Toc154045922"/>
      <w:bookmarkStart w:id="484" w:name="_Toc162338953"/>
    </w:p>
    <w:bookmarkEnd w:id="482"/>
    <w:p w14:paraId="5196DC1B" w14:textId="77777777" w:rsidR="00E7556C" w:rsidRPr="00131EED" w:rsidRDefault="00E7556C">
      <w:pPr>
        <w:spacing w:after="200" w:line="276" w:lineRule="auto"/>
        <w:jc w:val="left"/>
        <w:rPr>
          <w:rFonts w:ascii="Arial" w:eastAsia="Calibri" w:hAnsi="Arial" w:cs="Arial"/>
          <w:i/>
          <w:iCs/>
          <w:color w:val="44546A"/>
          <w:sz w:val="18"/>
          <w:szCs w:val="18"/>
          <w:lang w:eastAsia="en-US"/>
        </w:rPr>
      </w:pPr>
      <w:r w:rsidRPr="00131EED">
        <w:br w:type="page"/>
      </w:r>
    </w:p>
    <w:p w14:paraId="66DD9A29" w14:textId="01EA7E01" w:rsidR="00CC5A4D" w:rsidRPr="00131EED" w:rsidRDefault="00D873B5" w:rsidP="00D873B5">
      <w:pPr>
        <w:pStyle w:val="Caption"/>
        <w:jc w:val="center"/>
        <w:rPr>
          <w:rFonts w:ascii="Baskerville" w:hAnsi="Baskerville"/>
        </w:rPr>
      </w:pPr>
      <w:bookmarkStart w:id="485" w:name="_Toc216468908"/>
      <w:r w:rsidRPr="00131EED">
        <w:t xml:space="preserve">Ilustración </w:t>
      </w:r>
      <w:r w:rsidRPr="00131EED">
        <w:fldChar w:fldCharType="begin"/>
      </w:r>
      <w:r w:rsidRPr="00131EED">
        <w:instrText>SEQ Ilustración \* ARABIC</w:instrText>
      </w:r>
      <w:r w:rsidRPr="00131EED">
        <w:fldChar w:fldCharType="separate"/>
      </w:r>
      <w:r w:rsidR="00CE096F">
        <w:rPr>
          <w:noProof/>
        </w:rPr>
        <w:t>143</w:t>
      </w:r>
      <w:r w:rsidRPr="00131EED">
        <w:fldChar w:fldCharType="end"/>
      </w:r>
      <w:r w:rsidRPr="00131EED">
        <w:t xml:space="preserve"> </w:t>
      </w:r>
      <w:r w:rsidR="00CC5A4D" w:rsidRPr="00131EED">
        <w:rPr>
          <w:rFonts w:ascii="Baskerville" w:hAnsi="Baskerville"/>
        </w:rPr>
        <w:t>Aportes de carga contaminante en DBO (Kg/día)</w:t>
      </w:r>
      <w:bookmarkEnd w:id="483"/>
      <w:bookmarkEnd w:id="484"/>
      <w:bookmarkEnd w:id="485"/>
    </w:p>
    <w:p w14:paraId="0ADD06A8" w14:textId="77777777" w:rsidR="00CC5A4D" w:rsidRPr="00131EED" w:rsidRDefault="00CC5A4D" w:rsidP="00CC5A4D">
      <w:pPr>
        <w:jc w:val="center"/>
        <w:rPr>
          <w:rFonts w:ascii="Baskerville" w:hAnsi="Baskerville" w:cs="Arial"/>
          <w:sz w:val="20"/>
          <w:lang w:eastAsia="en-GB"/>
        </w:rPr>
      </w:pPr>
      <w:r w:rsidRPr="00131EED">
        <w:rPr>
          <w:rFonts w:ascii="Baskerville" w:hAnsi="Baskerville" w:cs="Arial"/>
          <w:noProof/>
          <w:sz w:val="20"/>
          <w:lang w:eastAsia="en-US"/>
        </w:rPr>
        <w:drawing>
          <wp:inline distT="0" distB="0" distL="0" distR="0" wp14:anchorId="4614CD99" wp14:editId="350C07FF">
            <wp:extent cx="3764280" cy="3931212"/>
            <wp:effectExtent l="0" t="0" r="7620" b="0"/>
            <wp:docPr id="478" name="Imagen 478" descr="A map of a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n 478" descr="A map of a country&#10;&#10;AI-generated content may be incorrect."/>
                    <pic:cNvPicPr/>
                  </pic:nvPicPr>
                  <pic:blipFill>
                    <a:blip r:embed="rId228"/>
                    <a:stretch>
                      <a:fillRect/>
                    </a:stretch>
                  </pic:blipFill>
                  <pic:spPr>
                    <a:xfrm>
                      <a:off x="0" y="0"/>
                      <a:ext cx="3789399" cy="3957445"/>
                    </a:xfrm>
                    <a:prstGeom prst="rect">
                      <a:avLst/>
                    </a:prstGeom>
                  </pic:spPr>
                </pic:pic>
              </a:graphicData>
            </a:graphic>
          </wp:inline>
        </w:drawing>
      </w:r>
    </w:p>
    <w:p w14:paraId="48030CEA" w14:textId="77777777" w:rsidR="00CC5A4D" w:rsidRPr="00131EED" w:rsidRDefault="00CC5A4D" w:rsidP="00CC5A4D">
      <w:pPr>
        <w:tabs>
          <w:tab w:val="num" w:pos="720"/>
        </w:tabs>
        <w:ind w:firstLine="284"/>
        <w:jc w:val="center"/>
        <w:rPr>
          <w:rFonts w:cs="Arial"/>
          <w:sz w:val="20"/>
          <w:szCs w:val="20"/>
        </w:rPr>
      </w:pPr>
      <w:r w:rsidRPr="00131EED">
        <w:rPr>
          <w:rFonts w:cs="Arial"/>
          <w:sz w:val="20"/>
          <w:szCs w:val="20"/>
        </w:rPr>
        <w:t>Fuente: Elaborado por el autor, 2023</w:t>
      </w:r>
    </w:p>
    <w:p w14:paraId="38133C5C" w14:textId="77777777" w:rsidR="00CC5A4D" w:rsidRPr="00131EED" w:rsidRDefault="00CC5A4D" w:rsidP="00CC5A4D">
      <w:pPr>
        <w:tabs>
          <w:tab w:val="num" w:pos="720"/>
        </w:tabs>
        <w:ind w:firstLine="284"/>
        <w:rPr>
          <w:rFonts w:cs="Arial"/>
          <w:lang w:eastAsia="en-GB"/>
        </w:rPr>
      </w:pPr>
    </w:p>
    <w:p w14:paraId="54FF569C" w14:textId="77777777" w:rsidR="00CC5A4D" w:rsidRPr="00131EED" w:rsidRDefault="00CC5A4D" w:rsidP="00CC5A4D">
      <w:pPr>
        <w:rPr>
          <w:rFonts w:cs="Arial"/>
          <w:lang w:eastAsia="en-GB"/>
        </w:rPr>
      </w:pPr>
      <w:r w:rsidRPr="00131EED">
        <w:rPr>
          <w:rFonts w:cs="Arial"/>
          <w:lang w:eastAsia="en-GB"/>
        </w:rPr>
        <w:t xml:space="preserve">La calidad del agua en la cuenca del río Bogotá muestra variaciones significativas según su ubicación geográfica, lo que se refleja en cambios en las concentraciones de los parámetros analizados en las cuencas alta, media y baja, respectivamente. Las principales fuentes de contaminación en esta cuenca son los vertimientos domésticos, agrícolas e industriales, cada uno con sus características específicas. En lo que respecta a los vertimientos domésticos, se destacan los altos niveles de Demanda Bioquímica de Oxígeno (DBO5) y la presencia de Coliformes Totales (CT), que superan ampliamente los objetivos de calidad establecidos por la autoridad ambiental en varias zonas de la cuenca. Estos altos niveles de contaminación se atribuyen a la falta de tratamiento de aguas residuales en una gran parte de la cuenca, especialmente en municipios que carecen de Plantas de Tratamiento de Aguas Residuales (PTAR) y Planes Maestros de Acueducto y Alcantarillado (PMAA). Además, la alta densidad poblacional en la cuenca del río Bogotá y la falta de infraestructura adecuada para el tratamiento de aguas residuales contribuyen significativamente a este problema. Según datos de la Corporación Autónoma Regional de Cundinamarca (CAR), los vertimientos domésticos representan la mayoría de la carga contaminante en términos de DBO total y Sólidos Suspendidos Totales en la cuenca. </w:t>
      </w:r>
    </w:p>
    <w:p w14:paraId="41064974" w14:textId="77777777" w:rsidR="00CC5A4D" w:rsidRPr="00131EED" w:rsidRDefault="00CC5A4D" w:rsidP="00CC5A4D">
      <w:pPr>
        <w:rPr>
          <w:rFonts w:cs="Arial"/>
          <w:lang w:eastAsia="en-GB"/>
        </w:rPr>
      </w:pPr>
      <w:r w:rsidRPr="00131EED">
        <w:rPr>
          <w:rFonts w:cs="Arial"/>
          <w:lang w:eastAsia="en-GB"/>
        </w:rPr>
        <w:t>Los incumplimientos de los objetivos de calidad del agua son significativos, especialmente en lo que respecta a los vertimientos de tipo doméstico. La Demanda Bioquímica de Oxígeno (DBO5) en la cuenca alta del río Bogotá supera los 120 mg/L aguas abajo de Chía y los 32.4 mg/L aguas abajo del municipio de Gachancipá, mientras que en la cuenca media alcanza los 516 mg/L aguas abajo del río Tunjuelo. Asimismo, los niveles de Oxígeno Disuelto (OD) muestran concentraciones bajas, con valores tan bajos como 0 mg/L en la cuenca alta y 0.2 mg/L aguas abajo de Chía. En cuanto a los Coliformes Totales (CT), se observan altas concentraciones en toda la cuenca, con valores críticos en puntos como el paso del río por Bogotá y el río Tunjuelo, donde se exceden los objetivos de calidad previstos. Estos incumplimientos se explican en parte por la falta de infraestructura adecuada para el tratamiento de aguas residuales, con un porcentaje significativo de municipios sin Plantas de Tratamiento de Aguas Residuales (PTAR) ni Planes Maestros de Acueducto y Alcantarillado (PMAA). Según datos de la Corporación Autónoma Regional de Cundinamarca (CAR), los vertimientos de tipo doméstico representan la mayoría de la carga contaminante en términos de DBO total y Sólidos Suspendidos Totales en la cuenca del río Bogotá, lo que subraya la urgencia de implementar medidas efectivas para mejorar la calidad del agua en la región.</w:t>
      </w:r>
    </w:p>
    <w:p w14:paraId="293CAD33" w14:textId="77777777" w:rsidR="00CC5A4D" w:rsidRPr="00131EED" w:rsidRDefault="00CC5A4D" w:rsidP="00CC5A4D">
      <w:pPr>
        <w:rPr>
          <w:rFonts w:cs="Arial"/>
          <w:lang w:eastAsia="en-GB"/>
        </w:rPr>
      </w:pPr>
    </w:p>
    <w:p w14:paraId="17CD5100" w14:textId="77777777" w:rsidR="00CC5A4D" w:rsidRPr="00131EED" w:rsidRDefault="00CC5A4D" w:rsidP="00CC5A4D">
      <w:pPr>
        <w:rPr>
          <w:rFonts w:cs="Arial"/>
        </w:rPr>
      </w:pPr>
      <w:r w:rsidRPr="00131EED">
        <w:rPr>
          <w:rFonts w:cs="Arial"/>
        </w:rPr>
        <w:t>Las implicaciones de tener un ICA y un IACAL alto o muy alto son preocupantes, ya que sugiere que los cuerpos de agua en la Región Sabana están en riesgo de sufrir impactos negativos en su calidad, lo que puede afectar tanto el ecosistema acuático como la disponibilidad de agua para uso humano y otros fines. Por lo tanto, es crucial implementar medidas de gestión adecuadas para reducir la contaminación y proteger la calidad del agua en esta región. Esto puede incluir políticas de control de la contaminación, programas de tratamiento de aguas residuales, prácticas agrícolas sostenibles y medidas de conservación ambiental para preservar los cuerpos de agua y sus ecosistemas asociados.</w:t>
      </w:r>
    </w:p>
    <w:p w14:paraId="3AA92DD0" w14:textId="3895ECEA" w:rsidR="00CC5A4D" w:rsidRPr="00131EED" w:rsidRDefault="00CC5A4D" w:rsidP="00CC5A4D">
      <w:pPr>
        <w:rPr>
          <w:rFonts w:cs="Arial"/>
        </w:rPr>
      </w:pPr>
    </w:p>
    <w:p w14:paraId="0B94BF34" w14:textId="77777777" w:rsidR="00CC5A4D" w:rsidRPr="00131EED" w:rsidRDefault="00CC5A4D" w:rsidP="00410194">
      <w:pPr>
        <w:pStyle w:val="Heading3"/>
        <w:numPr>
          <w:ilvl w:val="2"/>
          <w:numId w:val="31"/>
        </w:numPr>
      </w:pPr>
      <w:bookmarkStart w:id="486" w:name="_Toc216468760"/>
      <w:r w:rsidRPr="00131EED">
        <w:t>Hidrogeoquímica del manganeso y elementos potencialmente tóxicos en la Sabana de Bogotá</w:t>
      </w:r>
      <w:bookmarkEnd w:id="486"/>
      <w:r w:rsidRPr="00131EED">
        <w:t xml:space="preserve"> </w:t>
      </w:r>
    </w:p>
    <w:p w14:paraId="6477F213" w14:textId="77777777" w:rsidR="00CC5A4D" w:rsidRPr="00131EED" w:rsidRDefault="00CC5A4D" w:rsidP="00CC5A4D">
      <w:pPr>
        <w:rPr>
          <w:rFonts w:ascii="Baskerville" w:hAnsi="Baskerville"/>
        </w:rPr>
      </w:pPr>
    </w:p>
    <w:p w14:paraId="688EA7FA" w14:textId="77777777" w:rsidR="00CC5A4D" w:rsidRPr="00131EED" w:rsidRDefault="00CC5A4D" w:rsidP="00CC5A4D">
      <w:pPr>
        <w:rPr>
          <w:rFonts w:cs="Arial"/>
        </w:rPr>
      </w:pPr>
      <w:r w:rsidRPr="00131EED">
        <w:rPr>
          <w:rFonts w:cs="Arial"/>
        </w:rPr>
        <w:t>La hidrogeoquímica del manganeso y de los elementos potencialmente tóxicos en la Sabana de Bogotá es un tema crucial para entender la calidad del agua subterránea y su impacto en la salud humana y el medio ambiente. La Sabana de Bogotá es una región con una intensa actividad agrícola, minera e industrial, lo que contribuye a la contaminación del agua subterránea con metales pesados y otros elementos potencialmente tóxicos, La comprensión de la hidrogeoquímica del manganeso (Mn) y otros elementos es fundamental para el manejo sostenible de los recursos hídricos (Álvarez &amp; Peña, 2019)</w:t>
      </w:r>
      <w:r w:rsidRPr="00131EED">
        <w:rPr>
          <w:rStyle w:val="FootnoteReference"/>
          <w:rFonts w:cs="Arial"/>
        </w:rPr>
        <w:footnoteReference w:id="22"/>
      </w:r>
      <w:r w:rsidRPr="00131EED">
        <w:rPr>
          <w:rStyle w:val="FootnoteReference"/>
        </w:rPr>
        <w:t>.</w:t>
      </w:r>
      <w:r w:rsidRPr="00131EED">
        <w:rPr>
          <w:rFonts w:cs="Arial"/>
        </w:rPr>
        <w:t xml:space="preserve"> </w:t>
      </w:r>
    </w:p>
    <w:p w14:paraId="43CF234C" w14:textId="77777777" w:rsidR="00CC5A4D" w:rsidRPr="00131EED" w:rsidRDefault="00CC5A4D" w:rsidP="00CC5A4D">
      <w:pPr>
        <w:rPr>
          <w:rFonts w:cs="Arial"/>
        </w:rPr>
      </w:pPr>
    </w:p>
    <w:p w14:paraId="7C89EFA6" w14:textId="77777777" w:rsidR="00CC5A4D" w:rsidRPr="00131EED" w:rsidRDefault="00CC5A4D" w:rsidP="00CC5A4D">
      <w:r w:rsidRPr="00131EED">
        <w:rPr>
          <w:rFonts w:cs="Arial"/>
        </w:rPr>
        <w:t>Las fuentes de manganeso y otros elementos tóxicos pueden ser naturales, como la descomposición de minerales, y antropogénicas, como las descargas industriales, el uso de pesticidas y fertilizantes (González &amp; Ramírez, 2021). Los procesos geoquímicos, como la lixiviación y la adsorción, juegan un papel crucial en la movilidad y la concentración de estos elementos en el agua subterránea. Factores como el pH, el potencial redox y la presencia de materia orgánica afectan la solubilidad y la especiación de los metales (Ramírez &amp; Martínez, 2020)</w:t>
      </w:r>
      <w:r w:rsidRPr="00131EED">
        <w:rPr>
          <w:rStyle w:val="FootnoteReference"/>
        </w:rPr>
        <w:footnoteReference w:id="23"/>
      </w:r>
      <w:r w:rsidRPr="00131EED">
        <w:rPr>
          <w:rStyle w:val="FootnoteReference"/>
        </w:rPr>
        <w:t>.</w:t>
      </w:r>
    </w:p>
    <w:p w14:paraId="52BBB9BA" w14:textId="77777777" w:rsidR="00CC5A4D" w:rsidRPr="00131EED" w:rsidRDefault="00CC5A4D" w:rsidP="00CC5A4D">
      <w:pPr>
        <w:rPr>
          <w:rFonts w:cs="Arial"/>
        </w:rPr>
      </w:pPr>
    </w:p>
    <w:p w14:paraId="06D0E951" w14:textId="77777777" w:rsidR="00CC5A4D" w:rsidRPr="00131EED" w:rsidRDefault="00CC5A4D" w:rsidP="00CC5A4D">
      <w:pPr>
        <w:rPr>
          <w:rFonts w:cs="Arial"/>
        </w:rPr>
      </w:pPr>
      <w:r w:rsidRPr="00131EED">
        <w:rPr>
          <w:rFonts w:cs="Arial"/>
        </w:rPr>
        <w:t>La exposición a altos niveles de manganeso y otros elementos tóxicos puede tener serios efectos en la salud humana, incluyendo problemas neurológicos y enfermedades crónicas (Camargo &amp; Alonso, 2006)</w:t>
      </w:r>
      <w:r w:rsidRPr="00131EED">
        <w:rPr>
          <w:rStyle w:val="FootnoteReference"/>
        </w:rPr>
        <w:footnoteReference w:id="24"/>
      </w:r>
      <w:r w:rsidRPr="00131EED">
        <w:rPr>
          <w:rStyle w:val="FootnoteReference"/>
        </w:rPr>
        <w:t>.</w:t>
      </w:r>
      <w:r w:rsidRPr="00131EED">
        <w:rPr>
          <w:rFonts w:cs="Arial"/>
        </w:rPr>
        <w:t xml:space="preserve"> Según Möller y Dulski (2018)</w:t>
      </w:r>
      <w:r w:rsidRPr="00131EED">
        <w:rPr>
          <w:rStyle w:val="FootnoteReference"/>
        </w:rPr>
        <w:footnoteReference w:id="25"/>
      </w:r>
      <w:r w:rsidRPr="00131EED">
        <w:rPr>
          <w:rStyle w:val="FootnoteReference"/>
        </w:rPr>
        <w:t>,</w:t>
      </w:r>
      <w:r w:rsidRPr="00131EED">
        <w:rPr>
          <w:rFonts w:cs="Arial"/>
        </w:rPr>
        <w:t xml:space="preserve"> la distribución de elementos traza en los sistemas acuíferos de la Sabana de Bogotá muestra variaciones significativas, lo que resalta la necesidad de un monitoreo continuo y detallado.</w:t>
      </w:r>
    </w:p>
    <w:p w14:paraId="17938C9D" w14:textId="77777777" w:rsidR="00CC5A4D" w:rsidRPr="00131EED" w:rsidRDefault="00CC5A4D" w:rsidP="00CC5A4D">
      <w:pPr>
        <w:rPr>
          <w:rFonts w:cs="Arial"/>
        </w:rPr>
      </w:pPr>
    </w:p>
    <w:p w14:paraId="128621C1" w14:textId="77777777" w:rsidR="00CC5A4D" w:rsidRPr="00131EED" w:rsidRDefault="00CC5A4D" w:rsidP="00CC5A4D">
      <w:pPr>
        <w:rPr>
          <w:rFonts w:cs="Arial"/>
        </w:rPr>
      </w:pPr>
      <w:r w:rsidRPr="00131EED">
        <w:rPr>
          <w:rFonts w:cs="Arial"/>
        </w:rPr>
        <w:t>La minería es una fuente principal de contaminación antropogénica, liberando una variedad de metales pesados, como el manganeso, que pueden infiltrarse en el sistema acuífero a través del proceso de lixiviación. Este fenómeno ocurre cuando el agua percola a través de escombros mineros o rocas expuestas que contienen estos metales, disolviéndolos y transportándolos hacia el agua subterránea. Los procesos geoquímicos como la adsorción, la precipitación y la lixiviación juegan un papel crucial en la movilidad y la concentración de estos elementos en el agua subterránea (González &amp; Ramírez, 2021).</w:t>
      </w:r>
    </w:p>
    <w:p w14:paraId="3EC99DDD" w14:textId="77777777" w:rsidR="00CC5A4D" w:rsidRPr="00131EED" w:rsidRDefault="00CC5A4D" w:rsidP="00CC5A4D">
      <w:pPr>
        <w:rPr>
          <w:rFonts w:cs="Arial"/>
        </w:rPr>
      </w:pPr>
    </w:p>
    <w:p w14:paraId="57B9FC54" w14:textId="77777777" w:rsidR="00CC5A4D" w:rsidRPr="00131EED" w:rsidRDefault="00CC5A4D" w:rsidP="00CC5A4D">
      <w:pPr>
        <w:rPr>
          <w:rFonts w:cs="Arial"/>
        </w:rPr>
      </w:pPr>
      <w:r w:rsidRPr="00131EED">
        <w:rPr>
          <w:rFonts w:cs="Arial"/>
        </w:rPr>
        <w:t>Además, la acidez generada por la minería puede alterar significativamente estos procesos, incrementando la solubilidad del manganeso y otros metales, lo que puede resultar en niveles tóxicos en el agua subterránea. La interacción entre el pH, el potencial redox, y la presencia de materia orgánica son factores que afectan la solubilidad y la especiación de los metales, resaltando la complejidad de la hidrogeoquímica en zonas mineras (Ramírez &amp; Martínez, 2020).</w:t>
      </w:r>
    </w:p>
    <w:p w14:paraId="15120294" w14:textId="77777777" w:rsidR="00CC5A4D" w:rsidRPr="00131EED" w:rsidRDefault="00CC5A4D" w:rsidP="00CC5A4D">
      <w:pPr>
        <w:rPr>
          <w:rFonts w:cs="Arial"/>
        </w:rPr>
      </w:pPr>
      <w:r w:rsidRPr="00131EED">
        <w:rPr>
          <w:rFonts w:cs="Arial"/>
        </w:rPr>
        <w:t>El impacto de la minería en la calidad del agua no solo afecta los ecosistemas acuáticos sino también la salud pública. La exposición prolongada a altos niveles de manganeso y otros metales pesados puede conducir a enfermedades neurológicas y otros problemas de salud graves. Camargo y Alonso (2006) destacan que los efectos ecológicos y toxicológicos de la contaminación por nitrógeno inorgánico en los ecosistemas acuáticos ofrecen un paralelismo preocupante con los efectos de metales pesados, subrayando la necesidad de una gestión ambiental eficaz.</w:t>
      </w:r>
    </w:p>
    <w:p w14:paraId="6EF995FE" w14:textId="77777777" w:rsidR="00CC5A4D" w:rsidRPr="00131EED" w:rsidRDefault="00CC5A4D" w:rsidP="00CC5A4D">
      <w:pPr>
        <w:rPr>
          <w:rFonts w:cs="Arial"/>
        </w:rPr>
      </w:pPr>
    </w:p>
    <w:p w14:paraId="77FC343F" w14:textId="77777777" w:rsidR="00CC5A4D" w:rsidRPr="00131EED" w:rsidRDefault="00CC5A4D" w:rsidP="00CC5A4D">
      <w:pPr>
        <w:rPr>
          <w:rFonts w:cs="Arial"/>
        </w:rPr>
      </w:pPr>
      <w:r w:rsidRPr="00131EED">
        <w:rPr>
          <w:rFonts w:cs="Arial"/>
        </w:rPr>
        <w:t>Considerando lo anterior, la evaluación hidrogeoquímica es esencial para identificar las fuentes de contaminación y comprender los procesos que afectan la movilidad y la concentración de elementos tóxicos en el agua subterránea de la Sabana de Bogotá. La gestión adecuada de estos recursos es vital para proteger la salud pública y el medio ambiente, considerando los impactos de la minería y otras actividades industriales en la región.</w:t>
      </w:r>
    </w:p>
    <w:p w14:paraId="216D4236" w14:textId="5C8EDEC2" w:rsidR="00CC5A4D" w:rsidRPr="00131EED" w:rsidRDefault="00CC5A4D" w:rsidP="00CC5A4D">
      <w:pPr>
        <w:rPr>
          <w:rFonts w:ascii="Baskerville" w:hAnsi="Baskerville" w:cs="Arial"/>
          <w:sz w:val="20"/>
          <w:szCs w:val="20"/>
        </w:rPr>
      </w:pPr>
    </w:p>
    <w:p w14:paraId="2E59FA5B" w14:textId="77777777" w:rsidR="00CC5A4D" w:rsidRPr="00131EED" w:rsidRDefault="00CC5A4D" w:rsidP="00410194">
      <w:pPr>
        <w:pStyle w:val="Heading3"/>
        <w:numPr>
          <w:ilvl w:val="2"/>
          <w:numId w:val="31"/>
        </w:numPr>
      </w:pPr>
      <w:bookmarkStart w:id="487" w:name="_Toc216468761"/>
      <w:bookmarkStart w:id="488" w:name="_Toc162338662"/>
      <w:bookmarkStart w:id="489" w:name="_Toc162338875"/>
      <w:bookmarkStart w:id="490" w:name="_Toc167294627"/>
      <w:bookmarkStart w:id="491" w:name="_Toc167854514"/>
      <w:r w:rsidRPr="00131EED">
        <w:t>Árbol de conflictos sobre alteración del ciclo del agua</w:t>
      </w:r>
      <w:bookmarkEnd w:id="487"/>
      <w:r w:rsidRPr="00131EED">
        <w:t xml:space="preserve"> </w:t>
      </w:r>
      <w:bookmarkEnd w:id="488"/>
      <w:bookmarkEnd w:id="489"/>
      <w:bookmarkEnd w:id="490"/>
      <w:bookmarkEnd w:id="491"/>
    </w:p>
    <w:p w14:paraId="4CE653FE" w14:textId="3A21C57E" w:rsidR="00CC5A4D" w:rsidRPr="00131EED" w:rsidRDefault="00CC5A4D" w:rsidP="00CC5A4D">
      <w:pPr>
        <w:rPr>
          <w:rFonts w:ascii="Baskerville" w:hAnsi="Baskerville"/>
        </w:rPr>
      </w:pPr>
    </w:p>
    <w:p w14:paraId="3B31166F" w14:textId="5A982534" w:rsidR="00CC5A4D" w:rsidRPr="00131EED" w:rsidRDefault="00D873B5" w:rsidP="00D873B5">
      <w:pPr>
        <w:pStyle w:val="Caption"/>
        <w:jc w:val="center"/>
      </w:pPr>
      <w:bookmarkStart w:id="492" w:name="_Toc216468909"/>
      <w:r w:rsidRPr="00131EED">
        <w:t xml:space="preserve">Ilustración </w:t>
      </w:r>
      <w:r w:rsidRPr="00131EED">
        <w:fldChar w:fldCharType="begin"/>
      </w:r>
      <w:r w:rsidRPr="00131EED">
        <w:instrText>SEQ Ilustración \* ARABIC</w:instrText>
      </w:r>
      <w:r w:rsidRPr="00131EED">
        <w:fldChar w:fldCharType="separate"/>
      </w:r>
      <w:r w:rsidR="00CE096F">
        <w:rPr>
          <w:noProof/>
        </w:rPr>
        <w:t>144</w:t>
      </w:r>
      <w:r w:rsidRPr="00131EED">
        <w:fldChar w:fldCharType="end"/>
      </w:r>
      <w:r w:rsidRPr="00131EED">
        <w:t xml:space="preserve"> </w:t>
      </w:r>
      <w:r w:rsidR="00CC5A4D" w:rsidRPr="00131EED">
        <w:t>. Árbol De Problemas De Conflictos Sobre Ciclo Del Agua</w:t>
      </w:r>
      <w:bookmarkEnd w:id="492"/>
    </w:p>
    <w:p w14:paraId="3131B0E1" w14:textId="0AE213D4" w:rsidR="00D873B5" w:rsidRPr="00131EED" w:rsidRDefault="00D873B5" w:rsidP="00D873B5">
      <w:pPr>
        <w:rPr>
          <w:lang w:eastAsia="en-US"/>
        </w:rPr>
      </w:pPr>
      <w:r w:rsidRPr="00131EED">
        <w:rPr>
          <w:noProof/>
          <w:lang w:eastAsia="en-US"/>
        </w:rPr>
        <w:drawing>
          <wp:anchor distT="0" distB="0" distL="114300" distR="114300" simplePos="0" relativeHeight="251734528" behindDoc="1" locked="0" layoutInCell="1" allowOverlap="1" wp14:anchorId="1E1F6723" wp14:editId="35C46941">
            <wp:simplePos x="0" y="0"/>
            <wp:positionH relativeFrom="page">
              <wp:posOffset>1080135</wp:posOffset>
            </wp:positionH>
            <wp:positionV relativeFrom="paragraph">
              <wp:posOffset>172085</wp:posOffset>
            </wp:positionV>
            <wp:extent cx="5554980" cy="2938145"/>
            <wp:effectExtent l="0" t="0" r="0" b="0"/>
            <wp:wrapTopAndBottom/>
            <wp:docPr id="480" name="Imagen 480"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n 480" descr="A diagram of a company&#10;&#10;AI-generated content may be incorrect."/>
                    <pic:cNvPicPr/>
                  </pic:nvPicPr>
                  <pic:blipFill rotWithShape="1">
                    <a:blip r:embed="rId229" cstate="print">
                      <a:extLst>
                        <a:ext uri="{28A0092B-C50C-407E-A947-70E740481C1C}">
                          <a14:useLocalDpi xmlns:a14="http://schemas.microsoft.com/office/drawing/2010/main" val="0"/>
                        </a:ext>
                      </a:extLst>
                    </a:blip>
                    <a:srcRect l="5951" t="7404" r="3108"/>
                    <a:stretch/>
                  </pic:blipFill>
                  <pic:spPr bwMode="auto">
                    <a:xfrm>
                      <a:off x="0" y="0"/>
                      <a:ext cx="5554980" cy="29381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4927790" w14:textId="571C2D24" w:rsidR="00CC5A4D" w:rsidRPr="00131EED" w:rsidRDefault="00CC5A4D" w:rsidP="006845C5">
      <w:pPr>
        <w:jc w:val="center"/>
        <w:rPr>
          <w:rFonts w:cs="Arial"/>
          <w:sz w:val="20"/>
          <w:szCs w:val="20"/>
        </w:rPr>
      </w:pPr>
      <w:r w:rsidRPr="00131EED">
        <w:rPr>
          <w:rFonts w:cs="Arial"/>
          <w:sz w:val="20"/>
          <w:szCs w:val="20"/>
        </w:rPr>
        <w:t>Fuente: Elaborado por los autores, 202</w:t>
      </w:r>
      <w:r w:rsidR="00B95859" w:rsidRPr="00131EED">
        <w:rPr>
          <w:rFonts w:cs="Arial"/>
          <w:sz w:val="20"/>
          <w:szCs w:val="20"/>
        </w:rPr>
        <w:t>5</w:t>
      </w:r>
    </w:p>
    <w:p w14:paraId="7201ADA5" w14:textId="77777777" w:rsidR="00CC5A4D" w:rsidRPr="00131EED" w:rsidRDefault="00CC5A4D" w:rsidP="00410194">
      <w:pPr>
        <w:pStyle w:val="Heading3"/>
        <w:numPr>
          <w:ilvl w:val="2"/>
          <w:numId w:val="31"/>
        </w:numPr>
      </w:pPr>
      <w:bookmarkStart w:id="493" w:name="_Toc216468762"/>
      <w:r w:rsidRPr="00131EED">
        <w:t>Consideraciones para la generación de directrices sobre seguridad hídrica</w:t>
      </w:r>
      <w:bookmarkEnd w:id="493"/>
    </w:p>
    <w:p w14:paraId="456F8715" w14:textId="77777777" w:rsidR="00CC5A4D" w:rsidRPr="00131EED" w:rsidRDefault="00CC5A4D" w:rsidP="006845C5">
      <w:pPr>
        <w:pStyle w:val="FigurasyTablas"/>
        <w:spacing w:after="0"/>
        <w:rPr>
          <w:lang w:val="es-CO"/>
        </w:rPr>
      </w:pPr>
    </w:p>
    <w:p w14:paraId="629DF915" w14:textId="77777777" w:rsidR="00CC5A4D" w:rsidRPr="00131EED" w:rsidRDefault="00CC5A4D" w:rsidP="00410194">
      <w:pPr>
        <w:pStyle w:val="ListParagraph"/>
        <w:numPr>
          <w:ilvl w:val="0"/>
          <w:numId w:val="22"/>
        </w:numPr>
        <w:autoSpaceDE w:val="0"/>
        <w:autoSpaceDN w:val="0"/>
        <w:adjustRightInd w:val="0"/>
        <w:spacing w:after="0"/>
        <w:rPr>
          <w:rFonts w:cs="Arial"/>
          <w:sz w:val="24"/>
          <w:szCs w:val="24"/>
        </w:rPr>
      </w:pPr>
      <w:r w:rsidRPr="00131EED">
        <w:rPr>
          <w:rFonts w:cs="Arial"/>
          <w:sz w:val="24"/>
          <w:szCs w:val="24"/>
        </w:rPr>
        <w:t>La Sabana de Bogotá es un territorio con fuertes alteraciones del régimen hidrológico por infraestructuras hidráulicas, principalmente asociadas al abastecimiento hídrico pero también al paisajismo y a la implementación de soluciones de infraestructura gris para el manejo de riesgos; lo anterior ha generado procesos de maladaptación.</w:t>
      </w:r>
    </w:p>
    <w:p w14:paraId="61698D44" w14:textId="77777777" w:rsidR="00CC5A4D" w:rsidRPr="00131EED" w:rsidRDefault="00CC5A4D" w:rsidP="00CC5A4D">
      <w:pPr>
        <w:autoSpaceDE w:val="0"/>
        <w:autoSpaceDN w:val="0"/>
        <w:adjustRightInd w:val="0"/>
        <w:rPr>
          <w:rFonts w:cs="Arial"/>
        </w:rPr>
      </w:pPr>
    </w:p>
    <w:p w14:paraId="295D6676" w14:textId="39A4BF10" w:rsidR="00CC5A4D" w:rsidRPr="00131EED" w:rsidRDefault="00CC5A4D" w:rsidP="00410194">
      <w:pPr>
        <w:pStyle w:val="ListParagraph"/>
        <w:numPr>
          <w:ilvl w:val="0"/>
          <w:numId w:val="22"/>
        </w:numPr>
        <w:autoSpaceDE w:val="0"/>
        <w:autoSpaceDN w:val="0"/>
        <w:adjustRightInd w:val="0"/>
        <w:spacing w:after="0"/>
        <w:rPr>
          <w:rFonts w:cs="Arial"/>
          <w:sz w:val="24"/>
          <w:szCs w:val="24"/>
        </w:rPr>
      </w:pPr>
      <w:r w:rsidRPr="00131EED">
        <w:rPr>
          <w:rFonts w:cs="Arial"/>
          <w:sz w:val="24"/>
          <w:szCs w:val="24"/>
        </w:rPr>
        <w:t>La sabana presenta afectación a su regulación hídrica, por ejemplo</w:t>
      </w:r>
      <w:r w:rsidR="5EFB35E7" w:rsidRPr="00131EED">
        <w:rPr>
          <w:rFonts w:cs="Arial"/>
          <w:sz w:val="24"/>
          <w:szCs w:val="24"/>
        </w:rPr>
        <w:t>,</w:t>
      </w:r>
      <w:r w:rsidRPr="00131EED">
        <w:rPr>
          <w:rFonts w:cs="Arial"/>
          <w:sz w:val="24"/>
          <w:szCs w:val="24"/>
        </w:rPr>
        <w:t xml:space="preserve"> el índice de retención y regulación hídrica es bajo para 8 de 9 subcuencas en la Sabana de Bogotá (CAR, 2021).</w:t>
      </w:r>
    </w:p>
    <w:p w14:paraId="7F3080E6" w14:textId="77777777" w:rsidR="00CC5A4D" w:rsidRPr="00131EED" w:rsidRDefault="00CC5A4D" w:rsidP="00CC5A4D">
      <w:pPr>
        <w:pStyle w:val="ListParagraph"/>
        <w:autoSpaceDE w:val="0"/>
        <w:autoSpaceDN w:val="0"/>
        <w:adjustRightInd w:val="0"/>
        <w:spacing w:after="0"/>
        <w:ind w:left="360"/>
        <w:rPr>
          <w:rFonts w:cs="Arial"/>
          <w:sz w:val="24"/>
          <w:szCs w:val="24"/>
        </w:rPr>
      </w:pPr>
    </w:p>
    <w:p w14:paraId="02CDF510" w14:textId="77777777" w:rsidR="00CC5A4D" w:rsidRPr="00131EED" w:rsidRDefault="00CC5A4D" w:rsidP="00410194">
      <w:pPr>
        <w:pStyle w:val="ListParagraph"/>
        <w:numPr>
          <w:ilvl w:val="0"/>
          <w:numId w:val="22"/>
        </w:numPr>
        <w:autoSpaceDE w:val="0"/>
        <w:autoSpaceDN w:val="0"/>
        <w:adjustRightInd w:val="0"/>
        <w:spacing w:after="0"/>
        <w:rPr>
          <w:rFonts w:cs="Arial"/>
          <w:sz w:val="24"/>
          <w:szCs w:val="24"/>
        </w:rPr>
      </w:pPr>
      <w:r w:rsidRPr="00131EED">
        <w:rPr>
          <w:rFonts w:cs="Arial"/>
          <w:sz w:val="24"/>
          <w:szCs w:val="24"/>
        </w:rPr>
        <w:t>El índice de Uso del Agua (IUA) ofrece una perspectiva clara sobre la relación entre la demanda total y la oferta hídrica regional disponible en las diferentes subcuencas, solo una de las subcuencas de la Sabana de Bogotá (embalse de Tominé) muestra valores bajos, las demás tienen valores superiores, indicando presión sobre el uso.</w:t>
      </w:r>
    </w:p>
    <w:p w14:paraId="323F23E1" w14:textId="77777777" w:rsidR="00CC5A4D" w:rsidRPr="00131EED" w:rsidRDefault="00CC5A4D" w:rsidP="00CC5A4D">
      <w:pPr>
        <w:pStyle w:val="ListParagraph"/>
        <w:autoSpaceDE w:val="0"/>
        <w:autoSpaceDN w:val="0"/>
        <w:adjustRightInd w:val="0"/>
        <w:spacing w:after="0"/>
        <w:ind w:left="360"/>
        <w:rPr>
          <w:rFonts w:cs="Arial"/>
          <w:sz w:val="24"/>
          <w:szCs w:val="24"/>
        </w:rPr>
      </w:pPr>
    </w:p>
    <w:p w14:paraId="3B504A01" w14:textId="77777777" w:rsidR="00CC5A4D" w:rsidRPr="00131EED" w:rsidRDefault="00CC5A4D" w:rsidP="00410194">
      <w:pPr>
        <w:pStyle w:val="ListParagraph"/>
        <w:numPr>
          <w:ilvl w:val="0"/>
          <w:numId w:val="22"/>
        </w:numPr>
        <w:autoSpaceDE w:val="0"/>
        <w:autoSpaceDN w:val="0"/>
        <w:adjustRightInd w:val="0"/>
        <w:spacing w:after="0"/>
        <w:rPr>
          <w:rFonts w:cs="Arial"/>
          <w:sz w:val="24"/>
          <w:szCs w:val="24"/>
        </w:rPr>
      </w:pPr>
      <w:r w:rsidRPr="00131EED">
        <w:rPr>
          <w:rFonts w:cs="Arial"/>
          <w:sz w:val="24"/>
          <w:szCs w:val="24"/>
        </w:rPr>
        <w:t>La alta presión de la demanda sobre la oferta hídrica puede generar una notable afectación al índice de vulnerabilidad al desabastecimiento de agua (IVDH). Este índice refleja el grado de fragilidad del sistema hídrico para mantener una oferta suficiente para el abastecimiento de agua potable. En este caso, 8 de 9 cuencas presentan valores altos (CAR, 2021), es decir el sistema hídrico presenta riesgo alto de escasez hídrica.</w:t>
      </w:r>
    </w:p>
    <w:p w14:paraId="1233DBFD" w14:textId="77777777" w:rsidR="00CC5A4D" w:rsidRPr="00131EED" w:rsidRDefault="00CC5A4D" w:rsidP="00CC5A4D">
      <w:pPr>
        <w:pStyle w:val="ListParagraph"/>
        <w:autoSpaceDE w:val="0"/>
        <w:autoSpaceDN w:val="0"/>
        <w:adjustRightInd w:val="0"/>
        <w:spacing w:after="0"/>
        <w:ind w:left="360"/>
        <w:rPr>
          <w:rFonts w:cs="Arial"/>
          <w:sz w:val="24"/>
          <w:szCs w:val="24"/>
        </w:rPr>
      </w:pPr>
    </w:p>
    <w:p w14:paraId="6A8B214B" w14:textId="77777777" w:rsidR="00CC5A4D" w:rsidRPr="00131EED" w:rsidRDefault="00CC5A4D" w:rsidP="00410194">
      <w:pPr>
        <w:pStyle w:val="ListParagraph"/>
        <w:numPr>
          <w:ilvl w:val="0"/>
          <w:numId w:val="22"/>
        </w:numPr>
        <w:autoSpaceDE w:val="0"/>
        <w:autoSpaceDN w:val="0"/>
        <w:adjustRightInd w:val="0"/>
        <w:spacing w:after="0"/>
        <w:rPr>
          <w:rFonts w:cs="Arial"/>
          <w:sz w:val="24"/>
          <w:szCs w:val="24"/>
        </w:rPr>
      </w:pPr>
      <w:r w:rsidRPr="00131EED">
        <w:rPr>
          <w:rFonts w:cs="Arial"/>
          <w:sz w:val="24"/>
          <w:szCs w:val="24"/>
        </w:rPr>
        <w:t xml:space="preserve">El hecho de que indicadores como el IACAL y un ICA para la Región Sabana de Bogotá sea clasificado como "Muy Alto" o "Alto" sugiere que existe una presión significativa sobre la calidad del agua en esta área. Esto puede deberse a una serie de factores, como la contaminación proveniente de la descarga de aguas residuales domésticas y no domésticas (ARD y ARnD) sin tratamiento adecuado, el uso intensivo de agroquímicos en la agricultura, entre otros. </w:t>
      </w:r>
    </w:p>
    <w:p w14:paraId="768936C6" w14:textId="77777777" w:rsidR="00CC5A4D" w:rsidRPr="00131EED" w:rsidRDefault="00CC5A4D" w:rsidP="00CC5A4D">
      <w:pPr>
        <w:autoSpaceDE w:val="0"/>
        <w:autoSpaceDN w:val="0"/>
        <w:adjustRightInd w:val="0"/>
        <w:rPr>
          <w:rFonts w:cs="Arial"/>
        </w:rPr>
      </w:pPr>
    </w:p>
    <w:p w14:paraId="090745CA" w14:textId="77777777" w:rsidR="00CC5A4D" w:rsidRPr="00131EED" w:rsidRDefault="00CC5A4D" w:rsidP="00410194">
      <w:pPr>
        <w:pStyle w:val="ListParagraph"/>
        <w:numPr>
          <w:ilvl w:val="0"/>
          <w:numId w:val="22"/>
        </w:numPr>
        <w:autoSpaceDE w:val="0"/>
        <w:autoSpaceDN w:val="0"/>
        <w:adjustRightInd w:val="0"/>
        <w:spacing w:after="0"/>
        <w:rPr>
          <w:rFonts w:cs="Arial"/>
          <w:sz w:val="24"/>
          <w:szCs w:val="24"/>
        </w:rPr>
      </w:pPr>
      <w:r w:rsidRPr="00131EED">
        <w:rPr>
          <w:rFonts w:cs="Arial"/>
          <w:sz w:val="24"/>
          <w:szCs w:val="24"/>
        </w:rPr>
        <w:t>A pesar de las medidas tomadas por autoridades ambientales para zonas críticas para el aprovechamiento de aguas subterráneas, aún persiste una tendencia descendente en los niveles, principalmente en las áreas delimitadas, donde se localizan los sinclinales de Subachoque, Rio Frio, la planicie de los municipios de Funza-Madrid-Mosquera, y al sur el sinclinal de Sibaté, con registros históricos promedio de niveles que alcanzan diferencias entre 20 y 60 m comparados con las campañas de 1998.</w:t>
      </w:r>
    </w:p>
    <w:p w14:paraId="770D1399" w14:textId="77777777" w:rsidR="00CC5A4D" w:rsidRPr="00131EED" w:rsidRDefault="00CC5A4D" w:rsidP="00CC5A4D">
      <w:pPr>
        <w:autoSpaceDE w:val="0"/>
        <w:autoSpaceDN w:val="0"/>
        <w:adjustRightInd w:val="0"/>
        <w:rPr>
          <w:rFonts w:cs="Arial"/>
        </w:rPr>
      </w:pPr>
    </w:p>
    <w:p w14:paraId="4BB5BDC8" w14:textId="7F5D45EF" w:rsidR="00CC5A4D" w:rsidRPr="00131EED" w:rsidRDefault="00CC5A4D" w:rsidP="00410194">
      <w:pPr>
        <w:pStyle w:val="ListParagraph"/>
        <w:numPr>
          <w:ilvl w:val="0"/>
          <w:numId w:val="22"/>
        </w:numPr>
        <w:autoSpaceDE w:val="0"/>
        <w:autoSpaceDN w:val="0"/>
        <w:adjustRightInd w:val="0"/>
        <w:spacing w:after="0"/>
        <w:rPr>
          <w:rFonts w:cs="Arial"/>
          <w:sz w:val="24"/>
          <w:szCs w:val="24"/>
        </w:rPr>
      </w:pPr>
      <w:r w:rsidRPr="00131EED">
        <w:rPr>
          <w:rFonts w:cs="Arial"/>
          <w:sz w:val="24"/>
          <w:szCs w:val="24"/>
        </w:rPr>
        <w:t>Están identificadas zonas de recarga de acuíferos particularmente desde los POMCA (Planes de Ordenación y Manejo de Cuencas Hidrográficas), sin embargo</w:t>
      </w:r>
      <w:r w:rsidR="424829D5" w:rsidRPr="00131EED">
        <w:rPr>
          <w:rFonts w:cs="Arial"/>
          <w:sz w:val="24"/>
          <w:szCs w:val="24"/>
        </w:rPr>
        <w:t>,</w:t>
      </w:r>
      <w:r w:rsidRPr="00131EED">
        <w:rPr>
          <w:rFonts w:cs="Arial"/>
          <w:sz w:val="24"/>
          <w:szCs w:val="24"/>
        </w:rPr>
        <w:t xml:space="preserve"> siguen deteriorándose estas áreas de protección especial por la transformación del suelo. El desarrollo futuro en estas áreas no debe alterar su funcionalidad ecológica, la infiltración, la conservación de las capas acuíferas y acuitardos, y la contaminación de las aguas subterráneas. </w:t>
      </w:r>
    </w:p>
    <w:p w14:paraId="163E7C66" w14:textId="77777777" w:rsidR="00CC5A4D" w:rsidRPr="00131EED" w:rsidRDefault="00CC5A4D" w:rsidP="00CC5A4D">
      <w:pPr>
        <w:pStyle w:val="ListParagraph"/>
        <w:autoSpaceDE w:val="0"/>
        <w:autoSpaceDN w:val="0"/>
        <w:adjustRightInd w:val="0"/>
        <w:spacing w:after="0"/>
        <w:ind w:left="360"/>
        <w:rPr>
          <w:rFonts w:cs="Arial"/>
          <w:sz w:val="24"/>
          <w:szCs w:val="24"/>
        </w:rPr>
      </w:pPr>
    </w:p>
    <w:p w14:paraId="76370741" w14:textId="77777777" w:rsidR="00CC5A4D" w:rsidRPr="00131EED" w:rsidRDefault="00CC5A4D" w:rsidP="00410194">
      <w:pPr>
        <w:pStyle w:val="ListParagraph"/>
        <w:numPr>
          <w:ilvl w:val="0"/>
          <w:numId w:val="22"/>
        </w:numPr>
        <w:spacing w:after="0"/>
        <w:rPr>
          <w:rFonts w:cs="Arial"/>
          <w:sz w:val="24"/>
          <w:szCs w:val="24"/>
        </w:rPr>
      </w:pPr>
      <w:r w:rsidRPr="00131EED">
        <w:rPr>
          <w:rFonts w:cs="Arial"/>
          <w:sz w:val="24"/>
          <w:szCs w:val="24"/>
        </w:rPr>
        <w:t>No se observan instrumentos para el manejo de acuíferos actualizados y que soporten la toma informada de decisiones, es ausente el plan de manejo ambiental de acuíferos.</w:t>
      </w:r>
    </w:p>
    <w:p w14:paraId="381E3D47" w14:textId="77777777" w:rsidR="00CC5A4D" w:rsidRPr="00131EED" w:rsidRDefault="00CC5A4D" w:rsidP="00CC5A4D">
      <w:pPr>
        <w:pStyle w:val="ListParagraph"/>
        <w:ind w:left="360"/>
        <w:rPr>
          <w:rFonts w:cs="Arial"/>
          <w:sz w:val="24"/>
          <w:szCs w:val="24"/>
        </w:rPr>
      </w:pPr>
    </w:p>
    <w:p w14:paraId="7B219F96" w14:textId="77777777" w:rsidR="00CC5A4D" w:rsidRPr="00131EED" w:rsidRDefault="00CC5A4D" w:rsidP="00410194">
      <w:pPr>
        <w:pStyle w:val="ListParagraph"/>
        <w:numPr>
          <w:ilvl w:val="0"/>
          <w:numId w:val="22"/>
        </w:numPr>
        <w:rPr>
          <w:rFonts w:cs="Arial"/>
          <w:sz w:val="24"/>
          <w:szCs w:val="24"/>
        </w:rPr>
      </w:pPr>
      <w:r w:rsidRPr="00131EED">
        <w:rPr>
          <w:rFonts w:cs="Arial"/>
          <w:sz w:val="24"/>
          <w:szCs w:val="24"/>
        </w:rPr>
        <w:t xml:space="preserve">Ante el incremento de los indicadores de vulnerabilidad hídrica de la Sabana, se requieren directrices de seguridad hídrica que promuevan una mayor armonización del ordenamiento territorial. Para ello, es importante aumentar y mejorar la gestión de la oferta hídrica disponible, así como la adecuada gestión de la demanda hídrica superficial, así como evitar nuevas alteraciones en los balances hídricos de la cuenca del río Bogotá y otras colindantes. </w:t>
      </w:r>
    </w:p>
    <w:p w14:paraId="53F432AE" w14:textId="77777777" w:rsidR="00CC5A4D" w:rsidRPr="00131EED" w:rsidRDefault="00CC5A4D" w:rsidP="00CC5A4D">
      <w:pPr>
        <w:pStyle w:val="ListParagraph"/>
        <w:ind w:left="360"/>
        <w:rPr>
          <w:rFonts w:cs="Arial"/>
          <w:sz w:val="24"/>
          <w:szCs w:val="24"/>
        </w:rPr>
      </w:pPr>
    </w:p>
    <w:p w14:paraId="15CA1E28" w14:textId="580B518A" w:rsidR="0024036E" w:rsidRPr="00131EED" w:rsidRDefault="00CC5A4D" w:rsidP="00410194">
      <w:pPr>
        <w:pStyle w:val="ListParagraph"/>
        <w:numPr>
          <w:ilvl w:val="0"/>
          <w:numId w:val="22"/>
        </w:numPr>
        <w:rPr>
          <w:sz w:val="24"/>
          <w:szCs w:val="24"/>
        </w:rPr>
      </w:pPr>
      <w:r w:rsidRPr="00131EED">
        <w:rPr>
          <w:rFonts w:cs="Arial"/>
          <w:sz w:val="24"/>
          <w:szCs w:val="24"/>
        </w:rPr>
        <w:t>Es necesario estabilizar y reducir el consumo de agua en la Sabana de Bogotá. Además, se debe orientar la posibilidad de mejorar el manejo de los sistemas de acuíferos de la Sabana, aumentando su redundancia para garantizar disponibilidad y calidad del agua. Al mismo tiempo, es fundamental reconocer los límites impuestos por el ciclo del agua en la Sabana, que obligan a armonizar el ordenamiento con dicho ciclo.</w:t>
      </w:r>
    </w:p>
    <w:p w14:paraId="536507E9" w14:textId="65A20C65" w:rsidR="00D873B5" w:rsidRPr="00131EED" w:rsidRDefault="00D873B5">
      <w:pPr>
        <w:spacing w:after="200" w:line="276" w:lineRule="auto"/>
        <w:jc w:val="left"/>
        <w:rPr>
          <w:rFonts w:ascii="Baskerville" w:hAnsi="Baskerville" w:cs="Arial"/>
          <w:smallCaps/>
          <w:color w:val="000000"/>
          <w:sz w:val="36"/>
          <w:szCs w:val="36"/>
          <w:lang w:eastAsia="en-US"/>
        </w:rPr>
      </w:pPr>
      <w:r w:rsidRPr="00131EED">
        <w:rPr>
          <w:rFonts w:ascii="Baskerville" w:hAnsi="Baskerville" w:cs="Arial"/>
          <w:b/>
          <w:bCs/>
        </w:rPr>
        <w:br w:type="page"/>
      </w:r>
    </w:p>
    <w:p w14:paraId="5BEF2B10" w14:textId="0EFBFA5D" w:rsidR="000111BA" w:rsidRPr="00131EED" w:rsidRDefault="000A5247" w:rsidP="00410194">
      <w:pPr>
        <w:pStyle w:val="Heading1"/>
        <w:numPr>
          <w:ilvl w:val="0"/>
          <w:numId w:val="31"/>
        </w:numPr>
      </w:pPr>
      <w:bookmarkStart w:id="494" w:name="_Toc216468763"/>
      <w:r w:rsidRPr="00131EED">
        <w:t xml:space="preserve">Gobernanza, </w:t>
      </w:r>
      <w:r w:rsidR="1F4195E3" w:rsidRPr="00131EED">
        <w:t xml:space="preserve">Acceso a la información y la gestión del </w:t>
      </w:r>
      <w:r w:rsidR="468F452A" w:rsidRPr="00131EED">
        <w:t>conocimiento</w:t>
      </w:r>
      <w:bookmarkEnd w:id="494"/>
    </w:p>
    <w:p w14:paraId="7823893E" w14:textId="77777777" w:rsidR="00807AA5" w:rsidRPr="00131EED" w:rsidRDefault="00807AA5" w:rsidP="00807AA5">
      <w:pPr>
        <w:pStyle w:val="paragraph"/>
        <w:spacing w:before="0" w:beforeAutospacing="0" w:after="0" w:afterAutospacing="0"/>
        <w:textAlignment w:val="baseline"/>
        <w:rPr>
          <w:rStyle w:val="normaltextrun"/>
          <w:rFonts w:cstheme="minorHAnsi"/>
          <w:lang w:val="es-CO"/>
        </w:rPr>
      </w:pPr>
      <w:r w:rsidRPr="00131EED">
        <w:rPr>
          <w:rStyle w:val="normaltextrun"/>
          <w:rFonts w:cstheme="minorHAnsi"/>
          <w:lang w:val="es-CO"/>
        </w:rPr>
        <w:t>La Sabana de Bogotá es una ecorregión cuyo ordenamiento se basa en una relación desigual entre el campo y la ciudad, que transforma los ecosistemas para el beneficio predominante de la población de mayores ingresos tanto urbanos como rurales, así como mayoritariamente para la satisfacción de las necesidades de la capital. </w:t>
      </w:r>
      <w:r w:rsidRPr="00131EED">
        <w:rPr>
          <w:rStyle w:val="eop"/>
          <w:rFonts w:cstheme="minorHAnsi"/>
          <w:lang w:val="es-CO"/>
        </w:rPr>
        <w:t> </w:t>
      </w:r>
      <w:r w:rsidRPr="00131EED">
        <w:rPr>
          <w:rStyle w:val="normaltextrun"/>
          <w:rFonts w:cstheme="minorHAnsi"/>
          <w:lang w:val="es-CO"/>
        </w:rPr>
        <w:t xml:space="preserve">Estas dinámicas se analizan través de varias rutas: el acceso a la información, donde se realiza un paneo a la página web de la CAR Cundinamarca tomando como referencia dos conflictos ambientales. En segunda instancia, se observan conflictos socioambientales paradigmáticos cuyas causas se deben a lo que se denomina la injusticia ambiental y/o la pérdida del paisaje biocultural y por tanto de la gestión de conocimiento. </w:t>
      </w:r>
    </w:p>
    <w:p w14:paraId="06550A1C" w14:textId="77777777" w:rsidR="00807AA5" w:rsidRPr="00131EED" w:rsidRDefault="00807AA5" w:rsidP="00807AA5">
      <w:pPr>
        <w:pStyle w:val="paragraph"/>
        <w:spacing w:before="0" w:beforeAutospacing="0" w:after="0" w:afterAutospacing="0"/>
        <w:textAlignment w:val="baseline"/>
        <w:rPr>
          <w:rStyle w:val="normaltextrun"/>
          <w:rFonts w:cstheme="minorHAnsi"/>
          <w:lang w:val="es-CO"/>
        </w:rPr>
      </w:pPr>
    </w:p>
    <w:p w14:paraId="07718DF2" w14:textId="77777777" w:rsidR="00807AA5" w:rsidRPr="00131EED" w:rsidRDefault="00807AA5" w:rsidP="00807AA5">
      <w:pPr>
        <w:pStyle w:val="paragraph"/>
        <w:spacing w:before="0" w:beforeAutospacing="0" w:after="0" w:afterAutospacing="0"/>
        <w:textAlignment w:val="baseline"/>
        <w:rPr>
          <w:rStyle w:val="eop"/>
          <w:rFonts w:cstheme="minorHAnsi"/>
          <w:lang w:val="es-CO"/>
        </w:rPr>
      </w:pPr>
      <w:r w:rsidRPr="00131EED">
        <w:rPr>
          <w:rFonts w:eastAsia="Century Gothic" w:cstheme="minorHAnsi"/>
          <w:lang w:val="es-CO" w:eastAsia="es-MX"/>
        </w:rPr>
        <w:t xml:space="preserve">Avanzar hacia la justicia ambiental en la Sabana de Bogotá sólo es posible si se replantean los esquemas tradicionales de </w:t>
      </w:r>
      <w:r w:rsidRPr="00131EED">
        <w:rPr>
          <w:rFonts w:eastAsia="Century Gothic" w:cstheme="minorHAnsi"/>
          <w:b/>
          <w:lang w:val="es-CO" w:eastAsia="es-MX"/>
        </w:rPr>
        <w:t>gobernanza</w:t>
      </w:r>
      <w:r w:rsidRPr="00131EED">
        <w:rPr>
          <w:rFonts w:eastAsia="Century Gothic" w:cstheme="minorHAnsi"/>
          <w:lang w:val="es-CO" w:eastAsia="es-MX"/>
        </w:rPr>
        <w:t xml:space="preserve"> y ordenamiento territorial, proporcionando instancias que permitan una participación informada y efectiva de las comunidades en la toma de decisiones y el ordenamiento de sus territorios. Cabe decir que esta participación debe ser social, en el sentido de que pueda intervenir cualquier actor de la sociedad civil, pero también debe ser popular y territorial, en el sentido de que las comunidades locales y de base, sean estas indígenas, campesinas, afrodescendientes o urbanas populares tengan una mayor participación en la toma de decisiones socioambientales</w:t>
      </w:r>
      <w:bookmarkStart w:id="495" w:name="_heading=h.dwes4iegwnoe" w:colFirst="0" w:colLast="0"/>
      <w:bookmarkEnd w:id="495"/>
      <w:r w:rsidRPr="00131EED">
        <w:rPr>
          <w:rFonts w:eastAsia="Century Gothic" w:cstheme="minorHAnsi"/>
          <w:lang w:val="es-CO" w:eastAsia="es-MX"/>
        </w:rPr>
        <w:t>.</w:t>
      </w:r>
    </w:p>
    <w:p w14:paraId="2A5F321D" w14:textId="77777777" w:rsidR="00807AA5" w:rsidRPr="00131EED" w:rsidRDefault="00807AA5" w:rsidP="00807AA5">
      <w:pPr>
        <w:pStyle w:val="paragraph"/>
        <w:spacing w:before="0" w:beforeAutospacing="0" w:after="0" w:afterAutospacing="0"/>
        <w:textAlignment w:val="baseline"/>
        <w:rPr>
          <w:rStyle w:val="normaltextrun"/>
          <w:rFonts w:cstheme="minorHAnsi"/>
          <w:lang w:val="es-CO"/>
        </w:rPr>
      </w:pPr>
    </w:p>
    <w:p w14:paraId="21125B07" w14:textId="77777777" w:rsidR="00807AA5" w:rsidRPr="00131EED" w:rsidRDefault="00807AA5" w:rsidP="00807AA5">
      <w:pPr>
        <w:pStyle w:val="paragraph"/>
        <w:spacing w:before="0" w:beforeAutospacing="0" w:after="0" w:afterAutospacing="0"/>
        <w:textAlignment w:val="baseline"/>
        <w:rPr>
          <w:rFonts w:cstheme="minorHAnsi"/>
          <w:lang w:val="es-CO"/>
        </w:rPr>
      </w:pPr>
    </w:p>
    <w:p w14:paraId="583AE2E0" w14:textId="77777777" w:rsidR="00807AA5" w:rsidRPr="00131EED" w:rsidRDefault="00807AA5" w:rsidP="00807AA5">
      <w:pPr>
        <w:pStyle w:val="paragraph"/>
        <w:spacing w:before="0" w:beforeAutospacing="0" w:after="0" w:afterAutospacing="0"/>
        <w:textAlignment w:val="baseline"/>
        <w:rPr>
          <w:rStyle w:val="eop"/>
          <w:rFonts w:cstheme="minorHAnsi"/>
          <w:lang w:val="es-CO"/>
        </w:rPr>
      </w:pPr>
      <w:r w:rsidRPr="00131EED">
        <w:rPr>
          <w:rStyle w:val="eop"/>
          <w:rFonts w:cstheme="minorHAnsi"/>
          <w:lang w:val="es-CO"/>
        </w:rPr>
        <w:t> </w:t>
      </w:r>
      <w:r w:rsidRPr="00131EED">
        <w:rPr>
          <w:rStyle w:val="eop"/>
          <w:rFonts w:cstheme="minorHAnsi"/>
          <w:b/>
          <w:bCs/>
          <w:lang w:val="es-CO"/>
        </w:rPr>
        <w:t>El Acceso a la información</w:t>
      </w:r>
    </w:p>
    <w:p w14:paraId="661E8237" w14:textId="77777777" w:rsidR="00807AA5" w:rsidRPr="00131EED" w:rsidRDefault="00807AA5" w:rsidP="00807AA5">
      <w:pPr>
        <w:pStyle w:val="paragraph"/>
        <w:spacing w:before="0" w:beforeAutospacing="0" w:after="0" w:afterAutospacing="0"/>
        <w:textAlignment w:val="baseline"/>
        <w:rPr>
          <w:rStyle w:val="eop"/>
          <w:rFonts w:cstheme="minorHAnsi"/>
          <w:b/>
          <w:bCs/>
          <w:lang w:val="es-CO"/>
        </w:rPr>
      </w:pPr>
    </w:p>
    <w:p w14:paraId="3B7665D3" w14:textId="77777777" w:rsidR="00807AA5" w:rsidRPr="00131EED" w:rsidRDefault="00807AA5" w:rsidP="00807AA5">
      <w:pPr>
        <w:pStyle w:val="paragraph"/>
        <w:spacing w:before="0" w:beforeAutospacing="0" w:after="0" w:afterAutospacing="0"/>
        <w:textAlignment w:val="baseline"/>
        <w:rPr>
          <w:rStyle w:val="normaltextrun"/>
          <w:rFonts w:cstheme="minorHAnsi"/>
          <w:lang w:val="es-CO"/>
        </w:rPr>
      </w:pPr>
      <w:r w:rsidRPr="00131EED">
        <w:rPr>
          <w:rStyle w:val="normaltextrun"/>
          <w:rFonts w:cstheme="minorHAnsi"/>
          <w:lang w:val="es-CO"/>
        </w:rPr>
        <w:t xml:space="preserve">Para la débil gobernanza, el análisis se centra en el acceso a la información por parte de las organizaciones sociales en el ejercicio de sus derechos frente al ordenamiento ambiental de la Sabana. El Acuerdo de Escazú es el primer acuerdo regional ambiental que establece garantías para el acceso a la información, la participación pública y el acceso a la justicia en asuntos ambientales, además de proteger a los defensores del medio ambiente. En Colombia, la Ley 2273 de 2022 aprueba este Acuerdo, y la Corte Constitucional lo declaró exequible en agosto de 2024, consolidando el compromiso del país con la transparencia y la protección ambiental.  </w:t>
      </w:r>
    </w:p>
    <w:p w14:paraId="482D346E" w14:textId="77777777" w:rsidR="00807AA5" w:rsidRPr="00131EED" w:rsidRDefault="00807AA5" w:rsidP="00807AA5">
      <w:pPr>
        <w:pStyle w:val="paragraph"/>
        <w:spacing w:before="0" w:beforeAutospacing="0" w:after="0" w:afterAutospacing="0"/>
        <w:textAlignment w:val="baseline"/>
        <w:rPr>
          <w:rStyle w:val="normaltextrun"/>
          <w:rFonts w:cstheme="minorHAnsi"/>
          <w:lang w:val="es-CO"/>
        </w:rPr>
      </w:pPr>
    </w:p>
    <w:p w14:paraId="09414591" w14:textId="77777777" w:rsidR="00807AA5" w:rsidRPr="00131EED" w:rsidRDefault="00807AA5" w:rsidP="00807AA5">
      <w:pPr>
        <w:autoSpaceDE w:val="0"/>
        <w:autoSpaceDN w:val="0"/>
        <w:adjustRightInd w:val="0"/>
        <w:rPr>
          <w:rFonts w:cstheme="minorHAnsi"/>
        </w:rPr>
      </w:pPr>
      <w:r w:rsidRPr="00131EED">
        <w:rPr>
          <w:rFonts w:cstheme="minorHAnsi"/>
          <w:color w:val="001A00"/>
        </w:rPr>
        <w:t>Como lo plantea el Informe Regional de Transparencia y Acceso a la Información en Industrias Extractivas en América Latina y El Caribe, en su capítulo de Colombia: ‘</w:t>
      </w:r>
      <w:r w:rsidRPr="00131EED">
        <w:rPr>
          <w:rFonts w:cstheme="minorHAnsi"/>
        </w:rPr>
        <w:t>Pese a la importancia del acceso a la información para el ejercicio de diferentes derechos humanos, la normativa de nuestros países no contempla mecanismos específicos para acceder a información crucial. A modo de ejemplo, muchas veces no es posible conocer las áreas sujetas a procesos de concesión, instrumentos o espacios de planificación para definir un área a concesionar, los expedientes de concesión, los registros completos de derechos otorgados ni los funcionarios que participan en las tomas decisiones durante el proceso de licitación. Tampoco es posible obtener información completa sobre los procesos y expedientes administrativos de la evaluación de los instrumentos de gestión ambiental de los proyectos, ni el estado de revisión en el que se encuentran estos instrumentos´. (DAR, 2018 p. 35)</w:t>
      </w:r>
    </w:p>
    <w:p w14:paraId="28168AD8" w14:textId="77777777" w:rsidR="00807AA5" w:rsidRPr="00131EED" w:rsidRDefault="00807AA5" w:rsidP="00807AA5">
      <w:pPr>
        <w:autoSpaceDE w:val="0"/>
        <w:autoSpaceDN w:val="0"/>
        <w:adjustRightInd w:val="0"/>
        <w:rPr>
          <w:rFonts w:cstheme="minorHAnsi"/>
        </w:rPr>
      </w:pPr>
    </w:p>
    <w:p w14:paraId="03D938AB" w14:textId="77777777" w:rsidR="00807AA5" w:rsidRPr="00131EED" w:rsidRDefault="00807AA5" w:rsidP="00807AA5">
      <w:pPr>
        <w:autoSpaceDE w:val="0"/>
        <w:autoSpaceDN w:val="0"/>
        <w:adjustRightInd w:val="0"/>
        <w:rPr>
          <w:rStyle w:val="normaltextrun"/>
          <w:rFonts w:cstheme="minorHAnsi"/>
        </w:rPr>
      </w:pPr>
      <w:r w:rsidRPr="00131EED">
        <w:rPr>
          <w:rFonts w:cstheme="minorHAnsi"/>
        </w:rPr>
        <w:t>El informe da cuenta del bajo porcentaje de cumplimiento frente a la garantía de acceso a la información. En el Ministerio de Minas y Energía era del 39,2% y el ANLA, aún más crítico, el 12.5% debido a la incorrecta publicación que se hacía de la información que se exige (Ambiente y Sociedad 2017).</w:t>
      </w:r>
    </w:p>
    <w:p w14:paraId="3F5FB470" w14:textId="77777777" w:rsidR="00807AA5" w:rsidRPr="00131EED" w:rsidRDefault="00807AA5" w:rsidP="00807AA5">
      <w:pPr>
        <w:pStyle w:val="paragraph"/>
        <w:spacing w:before="0" w:beforeAutospacing="0" w:after="0" w:afterAutospacing="0"/>
        <w:textAlignment w:val="baseline"/>
        <w:rPr>
          <w:rStyle w:val="normaltextrun"/>
          <w:rFonts w:cstheme="minorHAnsi"/>
          <w:lang w:val="es-CO"/>
        </w:rPr>
      </w:pPr>
    </w:p>
    <w:p w14:paraId="559A0EFE" w14:textId="77777777" w:rsidR="00807AA5" w:rsidRPr="00131EED" w:rsidRDefault="00807AA5" w:rsidP="00807AA5">
      <w:pPr>
        <w:rPr>
          <w:rFonts w:cstheme="minorHAnsi"/>
        </w:rPr>
      </w:pPr>
      <w:r w:rsidRPr="00131EED">
        <w:rPr>
          <w:rFonts w:cstheme="minorHAnsi"/>
        </w:rPr>
        <w:t xml:space="preserve">Finalmente, para complementar la revisión del acceso a la información por parte de las organizaciones sociales, se retomaron dos conflictos ambientales actuales en la Sabana de Bogotá.  En primera instancia el conflicto en torno a la renovación de concesión para Femsa Coca-cola en el municipio de La Calera, que ha escalado incluso a nivel internacional con el argumento que la prioridad es el consumo humano, de acuerdo a la legislación colombiana.  </w:t>
      </w:r>
    </w:p>
    <w:p w14:paraId="123E0C1B" w14:textId="77777777" w:rsidR="00807AA5" w:rsidRPr="00131EED" w:rsidRDefault="00807AA5" w:rsidP="00807AA5">
      <w:pPr>
        <w:rPr>
          <w:rFonts w:cstheme="minorHAnsi"/>
        </w:rPr>
      </w:pPr>
      <w:r w:rsidRPr="00131EED">
        <w:rPr>
          <w:rFonts w:cstheme="minorHAnsi"/>
        </w:rPr>
        <w:t xml:space="preserve">En este contexto, y en el marco del </w:t>
      </w:r>
      <w:r w:rsidRPr="00131EED">
        <w:rPr>
          <w:rFonts w:cstheme="minorHAnsi"/>
          <w:i/>
          <w:iCs/>
        </w:rPr>
        <w:t>“Acuerdo Regional sobre el Acceso a la Información, la Participación Pública y el Acceso a la Justicia en Asuntos Ambientales en América Latina y el Caribe”</w:t>
      </w:r>
      <w:r w:rsidRPr="00131EED">
        <w:rPr>
          <w:rFonts w:cstheme="minorHAnsi"/>
        </w:rPr>
        <w:t xml:space="preserve"> (Acuerdo de Escazú), se realizó una búsqueda de información referente a las concesiones de aguas subterráneas otorgadas a la empresa Coca-Cola FEMSA en el sitio web de la Corporación Autónoma Regional de Cundinamarca (CAR).</w:t>
      </w:r>
    </w:p>
    <w:p w14:paraId="02E422D2" w14:textId="77777777" w:rsidR="00364BE3" w:rsidRPr="00131EED" w:rsidRDefault="00364BE3" w:rsidP="00807AA5">
      <w:pPr>
        <w:rPr>
          <w:rFonts w:cstheme="minorHAnsi"/>
        </w:rPr>
      </w:pPr>
    </w:p>
    <w:p w14:paraId="71631583" w14:textId="12B9F477" w:rsidR="00807AA5" w:rsidRPr="00131EED" w:rsidRDefault="00807AA5" w:rsidP="00807AA5">
      <w:pPr>
        <w:rPr>
          <w:rFonts w:cstheme="minorHAnsi"/>
        </w:rPr>
      </w:pPr>
      <w:r w:rsidRPr="00131EED">
        <w:rPr>
          <w:rFonts w:cstheme="minorHAnsi"/>
        </w:rPr>
        <w:t xml:space="preserve">En la búsqueda no se encontró información específica sobre las concesiones otorgadas a la empresa Coca-Cola en el municipio de La Calera. Ni los estudios allegados por Coca cola a la CAR.   Se encontró el documento del Plan de Manejo Ambiental de Agua Subterránea en la Sabana de Bogotá y Zona Crítica del año 2008, clasificado en la categoría </w:t>
      </w:r>
      <w:r w:rsidRPr="00131EED">
        <w:rPr>
          <w:rFonts w:cstheme="minorHAnsi"/>
          <w:i/>
          <w:iCs/>
        </w:rPr>
        <w:t>Aguas Subterráneas</w:t>
      </w:r>
      <w:r w:rsidRPr="00131EED">
        <w:rPr>
          <w:rFonts w:cstheme="minorHAnsi"/>
        </w:rPr>
        <w:t xml:space="preserve">, la cual, a su vez, pertenece al apartado </w:t>
      </w:r>
      <w:r w:rsidRPr="00131EED">
        <w:rPr>
          <w:rFonts w:cstheme="minorHAnsi"/>
          <w:i/>
          <w:iCs/>
        </w:rPr>
        <w:t>Agua</w:t>
      </w:r>
      <w:r w:rsidRPr="00131EED">
        <w:rPr>
          <w:rFonts w:cstheme="minorHAnsi"/>
        </w:rPr>
        <w:t xml:space="preserve"> dentro de “Temas Ambientales” en la página principal. Asimismo, y de manera relevante para la temática tratada, se identificaron el Censo de Usuarios de Aguas Subterráneas en la Sabana de Bogotá (no especifica año), el mapa hidrogeológico de la zona, y varios informes de análisis piezométricos en distintas cuencas, cuyos objetivos se especifican en los títulos de los archivos, entre otros documentos relacionados.</w:t>
      </w:r>
    </w:p>
    <w:p w14:paraId="013D3B27" w14:textId="77777777" w:rsidR="00807AA5" w:rsidRPr="00131EED" w:rsidRDefault="00807AA5" w:rsidP="00807AA5">
      <w:pPr>
        <w:rPr>
          <w:rFonts w:cstheme="minorHAnsi"/>
        </w:rPr>
      </w:pPr>
      <w:r w:rsidRPr="00131EED">
        <w:rPr>
          <w:rFonts w:cstheme="minorHAnsi"/>
        </w:rPr>
        <w:t>Sin embargo, los documentos disponibles son eminentemente técnicos y de difícil comprensión para los no especialistas en el tema, debido a la terminología especializada que se utiliza. En este sentido, si bien los documentos son accesibles, podría resultar complejo para los miembros de la comunidad identificar cuáles son pertinentes para su consulta. Además.</w:t>
      </w:r>
    </w:p>
    <w:p w14:paraId="251304B0" w14:textId="77777777" w:rsidR="00807AA5" w:rsidRPr="00131EED" w:rsidRDefault="00807AA5" w:rsidP="00807AA5">
      <w:pPr>
        <w:rPr>
          <w:rFonts w:cstheme="minorHAnsi"/>
        </w:rPr>
      </w:pPr>
      <w:r w:rsidRPr="00131EED">
        <w:rPr>
          <w:rFonts w:cstheme="minorHAnsi"/>
        </w:rPr>
        <w:t>Por otro lado, la sección “Análisis” de la página principal —donde podría esperarse información relacionada— no contiene contenido disponible. Cabe resaltar que algunos de los documentos mencionados también se encuentran en la Biblioteca Digital SIE del Centro de Documentación Ambiental, a la cual se puede acceder desde la página principal de la CAR.</w:t>
      </w:r>
    </w:p>
    <w:p w14:paraId="65A78C48" w14:textId="77777777" w:rsidR="00807AA5" w:rsidRPr="00131EED" w:rsidRDefault="00807AA5" w:rsidP="00807AA5">
      <w:pPr>
        <w:rPr>
          <w:rFonts w:cstheme="minorHAnsi"/>
        </w:rPr>
      </w:pPr>
      <w:r w:rsidRPr="00131EED">
        <w:rPr>
          <w:rFonts w:cstheme="minorHAnsi"/>
        </w:rPr>
        <w:t>Finalmente, al realizar una búsqueda general con comandos como “Coca-Cola”, “La Calera” y “CAR”, no aparece información relacionada con las concesiones de aguas subterráneas. En su lugar, se muestran dos noticias en la Sala de Prensa: una del año anterior, sobre la evaluación de concesiones de agua embotellada en La Calera, y otra de 2014, relativa a un proyecto de Coca-Cola FEMSA en Tocancipá. Es importante señalar que la Sala de Prensa no cuenta con un buscador funcional, lo cual dificulta el acceso a las noticias de la entidad para la consulta de esta temática.</w:t>
      </w:r>
    </w:p>
    <w:p w14:paraId="67BDA246" w14:textId="77777777" w:rsidR="00807AA5" w:rsidRPr="00131EED" w:rsidRDefault="00807AA5" w:rsidP="00807AA5">
      <w:pPr>
        <w:rPr>
          <w:rFonts w:cstheme="minorHAnsi"/>
        </w:rPr>
      </w:pPr>
      <w:r w:rsidRPr="00131EED">
        <w:rPr>
          <w:rFonts w:cstheme="minorHAnsi"/>
        </w:rPr>
        <w:t>Otro caso en el que se realizó una indagación fue el del Humedal de los Andes, un cuerpo de agua no reconocido institucionalmente, ubicado en Chía-Cundinamarca. Este ecosistema sería intervenido por un proyecto que propone ampliar las vías de acceso a Bogotá desde el norte de la ciudad. La comunidad busca el reconocimiento del área como humedal y, a su vez, se opone a la intervención derivada de la construcción de la “Troncal de los Andes”, pues esta generaría afectaciones significativas al ecosistema.</w:t>
      </w:r>
    </w:p>
    <w:p w14:paraId="5538BD17" w14:textId="77777777" w:rsidR="00364BE3" w:rsidRPr="00131EED" w:rsidRDefault="00364BE3" w:rsidP="00807AA5">
      <w:pPr>
        <w:rPr>
          <w:rFonts w:cstheme="minorHAnsi"/>
        </w:rPr>
      </w:pPr>
    </w:p>
    <w:p w14:paraId="7107402D" w14:textId="538FF863" w:rsidR="00807AA5" w:rsidRPr="00131EED" w:rsidRDefault="00807AA5" w:rsidP="00807AA5">
      <w:pPr>
        <w:rPr>
          <w:rFonts w:cstheme="minorHAnsi"/>
        </w:rPr>
      </w:pPr>
      <w:r w:rsidRPr="00131EED">
        <w:rPr>
          <w:rFonts w:cstheme="minorHAnsi"/>
        </w:rPr>
        <w:t>Una vez realizada la búsqueda de información sobre esta temática en la página web de la CAR, se procedió inicialmente a consultar la sección “Humedales” dentro del apartado “Temas Ambientales”. En dicha sección no se encontró información relacionada con la disputa por el Humedal de los Andes, ni algún concepto emitido por la Corporación que permita a la comunidad consultar el estado de la solicitud o su historial.</w:t>
      </w:r>
    </w:p>
    <w:p w14:paraId="3E35FC01" w14:textId="77777777" w:rsidR="00807AA5" w:rsidRPr="00131EED" w:rsidRDefault="00807AA5" w:rsidP="00807AA5">
      <w:pPr>
        <w:rPr>
          <w:rFonts w:cstheme="minorHAnsi"/>
        </w:rPr>
      </w:pPr>
      <w:r w:rsidRPr="00131EED">
        <w:rPr>
          <w:rFonts w:cstheme="minorHAnsi"/>
        </w:rPr>
        <w:t>Por otro lado, en la sección correspondiente a “Agua” se encuentra disponible un compilado sobre el estado de los humedales del territorio CAR, publicado en el año 2011; sin embargo, no incluye información relacionada con el Humedal de los Andes. Asimismo, el concepto emitido por la Corporación no está disponible en la Biblioteca Digital Ambiental SIE, por lo que no existe información actualizada ni fácilmente accesible sobre esta temática.</w:t>
      </w:r>
    </w:p>
    <w:p w14:paraId="38117D5E"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eop"/>
          <w:rFonts w:cstheme="minorHAnsi"/>
          <w:lang w:val="es-CO"/>
        </w:rPr>
        <w:t> </w:t>
      </w:r>
    </w:p>
    <w:p w14:paraId="1203522C" w14:textId="77777777" w:rsidR="00807AA5" w:rsidRPr="00131EED" w:rsidRDefault="00807AA5" w:rsidP="00807AA5">
      <w:pPr>
        <w:pStyle w:val="paragraph"/>
        <w:spacing w:before="0" w:beforeAutospacing="0" w:after="0" w:afterAutospacing="0"/>
        <w:textAlignment w:val="baseline"/>
        <w:rPr>
          <w:rFonts w:cstheme="minorHAnsi"/>
          <w:b/>
          <w:bCs/>
          <w:color w:val="000000"/>
          <w:lang w:val="es-CO"/>
        </w:rPr>
      </w:pPr>
      <w:r w:rsidRPr="00131EED">
        <w:rPr>
          <w:rStyle w:val="eop"/>
          <w:rFonts w:cstheme="minorHAnsi"/>
          <w:lang w:val="es-CO"/>
        </w:rPr>
        <w:t> </w:t>
      </w:r>
      <w:r w:rsidRPr="00131EED">
        <w:rPr>
          <w:rStyle w:val="normaltextrun"/>
          <w:rFonts w:cstheme="minorHAnsi"/>
          <w:b/>
          <w:bCs/>
          <w:color w:val="000000"/>
          <w:lang w:val="es-CO"/>
        </w:rPr>
        <w:t>El trasvase de agua de la cuenca del Orinoco a través del sistema Chingaza para Bogotá</w:t>
      </w:r>
      <w:r w:rsidRPr="00131EED">
        <w:rPr>
          <w:rStyle w:val="eop"/>
          <w:rFonts w:cstheme="minorHAnsi"/>
          <w:b/>
          <w:bCs/>
          <w:color w:val="000000"/>
          <w:lang w:val="es-CO"/>
        </w:rPr>
        <w:t> </w:t>
      </w:r>
    </w:p>
    <w:p w14:paraId="24741F5A"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eop"/>
          <w:rFonts w:cstheme="minorHAnsi"/>
          <w:lang w:val="es-CO"/>
        </w:rPr>
        <w:t> </w:t>
      </w:r>
    </w:p>
    <w:p w14:paraId="15E39079"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normaltextrun"/>
          <w:rFonts w:cstheme="minorHAnsi"/>
          <w:lang w:val="es-CO"/>
        </w:rPr>
        <w:t>Con respecto a este conflicto es importante señalar que desde la construcción del Sistema Chingaza entre 1969 y 1973 se evidencian impactos ambientales debido a la creación de caminos para facilitar el acceso de materiales y trabajadores, la construcción de infraestructura y su futuro mantenimiento. </w:t>
      </w:r>
      <w:r w:rsidRPr="00131EED">
        <w:rPr>
          <w:rStyle w:val="eop"/>
          <w:rFonts w:cstheme="minorHAnsi"/>
          <w:lang w:val="es-CO"/>
        </w:rPr>
        <w:t> </w:t>
      </w:r>
    </w:p>
    <w:p w14:paraId="562A1E17"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eop"/>
          <w:rFonts w:cstheme="minorHAnsi"/>
          <w:lang w:val="es-CO"/>
        </w:rPr>
        <w:t> </w:t>
      </w:r>
    </w:p>
    <w:p w14:paraId="28D131AC"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normaltextrun"/>
          <w:rFonts w:cstheme="minorHAnsi"/>
          <w:lang w:val="es-CO"/>
        </w:rPr>
        <w:t>Desde entonces, el abastecimiento de agua para Bogotá se capta desde la cuenca del Orinoco, lo que generó procesos de desecación de los ríos Guatiquía y Guayuriba, cuyas fuentes hídricas fueron trasvasadas al Sistema Chingaza I. Según Parques Nacionales Naturales de Colombia, la subzona hidrográfica Guatiquía tiene un estado de conservación medio y funcionalidad media, por lo cual es indispensable que en la zona amortiguadora inicien procesos de restauración activa y participativa (PNN, 2016).</w:t>
      </w:r>
      <w:r w:rsidRPr="00131EED">
        <w:rPr>
          <w:rStyle w:val="eop"/>
          <w:rFonts w:cstheme="minorHAnsi"/>
          <w:lang w:val="es-CO"/>
        </w:rPr>
        <w:t> </w:t>
      </w:r>
    </w:p>
    <w:p w14:paraId="7C6B5ABD"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eop"/>
          <w:rFonts w:cstheme="minorHAnsi"/>
          <w:lang w:val="es-CO"/>
        </w:rPr>
        <w:t> </w:t>
      </w:r>
    </w:p>
    <w:p w14:paraId="3D84FAE6"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normaltextrun"/>
          <w:rFonts w:cstheme="minorHAnsi"/>
          <w:lang w:val="es-CO"/>
        </w:rPr>
        <w:t>Una gran porción del Sistema Chingaza se ubica en el municipio de Fómeque. De hecho, el 49% de su territorio hace parte del Parque Nacional Chingaza y el 11% pertenece a la Reserva Forestal Protectora de los ríos Blanco y Negro (Plan de Desarrollo Municipal, 2016). A pesar de esto, el porcentaje de cobertura de alcantarillado es menor que el promedio nacional y el índice de riesgo de la calidad del agua para consumo humano - IRCA es mayor que el promedio departamental (TerriData, 2024).</w:t>
      </w:r>
      <w:r w:rsidRPr="00131EED">
        <w:rPr>
          <w:rStyle w:val="eop"/>
          <w:rFonts w:cstheme="minorHAnsi"/>
          <w:lang w:val="es-CO"/>
        </w:rPr>
        <w:t> </w:t>
      </w:r>
    </w:p>
    <w:p w14:paraId="319A154F"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eop"/>
          <w:rFonts w:cstheme="minorHAnsi"/>
          <w:lang w:val="es-CO"/>
        </w:rPr>
        <w:t> </w:t>
      </w:r>
    </w:p>
    <w:p w14:paraId="7F3043AC" w14:textId="77777777" w:rsidR="00807AA5" w:rsidRPr="00131EED" w:rsidRDefault="00807AA5" w:rsidP="00807AA5">
      <w:pPr>
        <w:pStyle w:val="paragraph"/>
        <w:spacing w:before="0" w:beforeAutospacing="0" w:after="0" w:afterAutospacing="0"/>
        <w:textAlignment w:val="baseline"/>
        <w:rPr>
          <w:rStyle w:val="eop"/>
          <w:rFonts w:cstheme="minorHAnsi"/>
          <w:lang w:val="es-CO"/>
        </w:rPr>
      </w:pPr>
      <w:r w:rsidRPr="00131EED">
        <w:rPr>
          <w:rStyle w:val="normaltextrun"/>
          <w:rFonts w:cstheme="minorHAnsi"/>
          <w:lang w:val="es-CO"/>
        </w:rPr>
        <w:t>A esta situación se añade que la población con predios dentro del Parque Nacional tuvo que frenar sus actividades productivas para proteger el ecosistema y luego vender sus predios. En la actualidad, la población campesina que habita las zonas de amortiguación del parque también ha cambiado sus actividades productivas para la conservación de un ecosistema que beneficia a más de ocho millones de personas en Bogotá y no compensa todas las transformaciones territoriales que implica en los municipios abastecedores.</w:t>
      </w:r>
      <w:r w:rsidRPr="00131EED">
        <w:rPr>
          <w:rStyle w:val="eop"/>
          <w:rFonts w:cstheme="minorHAnsi"/>
          <w:lang w:val="es-CO"/>
        </w:rPr>
        <w:t> </w:t>
      </w:r>
    </w:p>
    <w:p w14:paraId="79A124BA" w14:textId="77777777" w:rsidR="00807AA5" w:rsidRPr="00131EED" w:rsidRDefault="00807AA5" w:rsidP="00807AA5">
      <w:pPr>
        <w:pStyle w:val="paragraph"/>
        <w:spacing w:before="0" w:beforeAutospacing="0" w:after="0" w:afterAutospacing="0"/>
        <w:textAlignment w:val="baseline"/>
        <w:rPr>
          <w:rFonts w:cstheme="minorHAnsi"/>
          <w:lang w:val="es-CO"/>
        </w:rPr>
      </w:pPr>
    </w:p>
    <w:p w14:paraId="360AEE87" w14:textId="77777777" w:rsidR="00807AA5" w:rsidRPr="00131EED" w:rsidRDefault="00807AA5" w:rsidP="00807AA5">
      <w:pPr>
        <w:pStyle w:val="paragraph"/>
        <w:spacing w:before="0" w:beforeAutospacing="0" w:after="0" w:afterAutospacing="0"/>
        <w:textAlignment w:val="baseline"/>
        <w:rPr>
          <w:rFonts w:cstheme="minorHAnsi"/>
          <w:b/>
          <w:bCs/>
          <w:color w:val="000000"/>
          <w:lang w:val="es-CO"/>
        </w:rPr>
      </w:pPr>
      <w:r w:rsidRPr="00131EED">
        <w:rPr>
          <w:rStyle w:val="normaltextrun"/>
          <w:rFonts w:cstheme="minorHAnsi"/>
          <w:b/>
          <w:bCs/>
          <w:color w:val="000000"/>
          <w:lang w:val="es-CO"/>
        </w:rPr>
        <w:t>La degradación ambiental, productiva y cultural de la Laguna de Suesca</w:t>
      </w:r>
      <w:r w:rsidRPr="00131EED">
        <w:rPr>
          <w:rStyle w:val="eop"/>
          <w:rFonts w:cstheme="minorHAnsi"/>
          <w:b/>
          <w:bCs/>
          <w:color w:val="000000"/>
          <w:lang w:val="es-CO"/>
        </w:rPr>
        <w:t> </w:t>
      </w:r>
    </w:p>
    <w:p w14:paraId="5C6D8DBA"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eop"/>
          <w:rFonts w:cstheme="minorHAnsi"/>
          <w:lang w:val="es-CO"/>
        </w:rPr>
        <w:t> </w:t>
      </w:r>
    </w:p>
    <w:p w14:paraId="71E30CDB"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normaltextrun"/>
          <w:rFonts w:cstheme="minorHAnsi"/>
          <w:lang w:val="es-CO"/>
        </w:rPr>
        <w:t xml:space="preserve">La Laguna de Suesca está ubicada en los municipios de Suesca y Cucunubá sobre los 2.800 msnm siendo el elemento principal del sistema hidrográfico de la cuenca del mismo nombre, donde drenan las aguas (Plan de Desarrollo municipio de Suesca (2020 – 2023). Según datos de la CAR, sus espejos de agua tenían originalmente 79 has de extensión, que han ido reduciéndose, alcanzando en el 2.016, en época de sequía, a tener sus mínimos registros, en sus rastreos más bajos con niveles inferiores a los 20 milímetros. (se dice que la laguna tenía hasta 5 islas que hoy no existen). La vegetación original estaba compuesta por bosque de corono y espino, en compañía de comunidades más xerofíticas y bosque andino de encenillo; hoy en día la cobertura está dominada por especies exóticas, en particular </w:t>
      </w:r>
      <w:r w:rsidRPr="00131EED">
        <w:rPr>
          <w:rStyle w:val="normaltextrun"/>
          <w:rFonts w:cstheme="minorHAnsi"/>
          <w:i/>
          <w:iCs/>
          <w:lang w:val="es-CO"/>
        </w:rPr>
        <w:t>Acacia decurrens</w:t>
      </w:r>
      <w:r w:rsidRPr="00131EED">
        <w:rPr>
          <w:rStyle w:val="normaltextrun"/>
          <w:rFonts w:cstheme="minorHAnsi"/>
          <w:lang w:val="es-CO"/>
        </w:rPr>
        <w:t>.</w:t>
      </w:r>
      <w:r w:rsidRPr="00131EED">
        <w:rPr>
          <w:rStyle w:val="eop"/>
          <w:rFonts w:cstheme="minorHAnsi"/>
          <w:lang w:val="es-CO"/>
        </w:rPr>
        <w:t> </w:t>
      </w:r>
    </w:p>
    <w:p w14:paraId="2E712A2A"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eop"/>
          <w:rFonts w:cstheme="minorHAnsi"/>
          <w:lang w:val="es-CO"/>
        </w:rPr>
        <w:t> </w:t>
      </w:r>
    </w:p>
    <w:p w14:paraId="466B69CB"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normaltextrun"/>
          <w:rFonts w:cstheme="minorHAnsi"/>
          <w:lang w:val="es-CO"/>
        </w:rPr>
        <w:t>La Laguna ha dejado de ser un lugar sagrado, como lo era para sus pobladores originarios, los muiscas, donde se realizaban rituales, ceremonias y en general actividades espirituales en las orillas de las lagunas. Probablemente también era una fuente práctica de recursos esenciales para su subsistencia, tales como la pesca y consumo de guapuchas y capitanes; además de los alimentos emanados de los bosques.</w:t>
      </w:r>
      <w:r w:rsidRPr="00131EED">
        <w:rPr>
          <w:rStyle w:val="eop"/>
          <w:rFonts w:cstheme="minorHAnsi"/>
          <w:lang w:val="es-CO"/>
        </w:rPr>
        <w:t> </w:t>
      </w:r>
    </w:p>
    <w:p w14:paraId="21C6771A"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eop"/>
          <w:rFonts w:cstheme="minorHAnsi"/>
          <w:lang w:val="es-CO"/>
        </w:rPr>
        <w:t> </w:t>
      </w:r>
    </w:p>
    <w:p w14:paraId="55D3D891"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normaltextrun"/>
          <w:rFonts w:cstheme="minorHAnsi"/>
          <w:lang w:val="es-CO"/>
        </w:rPr>
        <w:t>Varios momentos y factores han incidido en la degradación del sistema lagunar: durante la conquista y la república, los españoles talaron la cuenca para sembrar trigo y cebada, ya en el siglo pasado en la década del 50, con la crisis económica de la cebada y el trigo, los terrenos los convierten en potreros para la ganadería principalmente; como los límites de los predios van hasta la mitad de la laguna, los dueños cuando ésta se seca ponen a pastar las vacas y los chivos contribuyendo a su contaminación; en la década de 1.980, la CAR Cundinamarca con el proyecto Chequa, utiliza para reforestar acacias que estimularon la creación de cárcavas. </w:t>
      </w:r>
      <w:r w:rsidRPr="00131EED">
        <w:rPr>
          <w:rStyle w:val="eop"/>
          <w:rFonts w:cstheme="minorHAnsi"/>
          <w:lang w:val="es-CO"/>
        </w:rPr>
        <w:t> </w:t>
      </w:r>
    </w:p>
    <w:p w14:paraId="3B280E63"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eop"/>
          <w:rFonts w:cstheme="minorHAnsi"/>
          <w:lang w:val="es-CO"/>
        </w:rPr>
        <w:t> </w:t>
      </w:r>
    </w:p>
    <w:p w14:paraId="0ABCD265"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normaltextrun"/>
          <w:rFonts w:cstheme="minorHAnsi"/>
          <w:lang w:val="es-CO"/>
        </w:rPr>
        <w:t>Actualmente El ecosistema de la Laguna de Suesca se encuentra sometido a un proceso de desestabilización ecológica, que se manifiesta en: disminución del espejo y volumen del agua, originado por; i) Los cerca de 200 reservorios legales e ilegales. (Cartografía Estefan Michell); ii) Bombeo de agua para extracción minera y otras actividades); iii) Destrucción de la red de quebradas y desconexión de las mismas con la laguna y iv) finalmente colonización de plantas acuáticas (macrófitas); incremento de la productividad acuática, originada entre otros aspectos por los vertimientos de aguas residuales con alto contenido orgánico y de fertilizantes, la invasión de las orillas por parte de cultivos agrícolas, la colonización de plantas acuáticas y semiacúaticas, el desecamiento y la erosión de la cuenca, la reforestación con especies inadecuadas; incremento en la escorrentía de sedimentos y colmatación de la cubeta; extracción indiscriminada del Junco, lo cual favorece el proceso de territorialización y afecta las poblaciones de fauna que en él habitan; introducción de especies alóctonas (ajenas al ecosistema) de peces (especialmente trucha) las cuales desestabilizan el ecosistema; práctica de cultivos y pastoreo no sostenible, como el volteo del suelo y los cultivos limpios que aceleran la erosión, el uso de plaguicidas y fertilizantes químicos; deforestación casi total de las cúpulas, laderas y vaguadas (fábricas de agua).</w:t>
      </w:r>
      <w:r w:rsidRPr="00131EED">
        <w:rPr>
          <w:rStyle w:val="eop"/>
          <w:rFonts w:cstheme="minorHAnsi"/>
          <w:lang w:val="es-CO"/>
        </w:rPr>
        <w:t> </w:t>
      </w:r>
    </w:p>
    <w:p w14:paraId="08E02BC9"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eop"/>
          <w:rFonts w:cstheme="minorHAnsi"/>
          <w:lang w:val="es-CO"/>
        </w:rPr>
        <w:t> </w:t>
      </w:r>
    </w:p>
    <w:p w14:paraId="1AFC6F40"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normaltextrun"/>
          <w:rFonts w:cstheme="minorHAnsi"/>
          <w:lang w:val="es-CO"/>
        </w:rPr>
        <w:t>Este conflicto socioambiental por la pérdida del paisaje biocultural se configura como injusticia ambiental contra las comunidades indígenas inicialmente y posteriormente contra las comunidades campesinas, a las que les han diezmado sus prácticas productivas y sus alternativas económicas; su seguridad alimentaria y su profundo conocimiento del entorno, siendo muchas de ellas desplazadas en beneficio de actores con mayor poder económico y político. Su principal causa es la baja gobernanza y gobernabilidad de las autoridades ambientales y los municipios que hacen parte de la cuenca de la Laguna.</w:t>
      </w:r>
      <w:r w:rsidRPr="00131EED">
        <w:rPr>
          <w:rStyle w:val="eop"/>
          <w:rFonts w:cstheme="minorHAnsi"/>
          <w:lang w:val="es-CO"/>
        </w:rPr>
        <w:t> </w:t>
      </w:r>
    </w:p>
    <w:p w14:paraId="6144AAB0" w14:textId="77777777" w:rsidR="00807AA5" w:rsidRPr="00131EED" w:rsidRDefault="00807AA5" w:rsidP="00807AA5">
      <w:pPr>
        <w:pStyle w:val="paragraph"/>
        <w:spacing w:before="0" w:beforeAutospacing="0" w:after="0" w:afterAutospacing="0"/>
        <w:textAlignment w:val="baseline"/>
        <w:rPr>
          <w:rStyle w:val="eop"/>
          <w:rFonts w:cstheme="minorHAnsi"/>
          <w:lang w:val="es-CO"/>
        </w:rPr>
      </w:pPr>
      <w:r w:rsidRPr="00131EED">
        <w:rPr>
          <w:rStyle w:val="eop"/>
          <w:rFonts w:cstheme="minorHAnsi"/>
          <w:lang w:val="es-CO"/>
        </w:rPr>
        <w:t> </w:t>
      </w:r>
    </w:p>
    <w:p w14:paraId="225503DF" w14:textId="77777777" w:rsidR="00807AA5" w:rsidRPr="00131EED" w:rsidRDefault="00807AA5" w:rsidP="00807AA5">
      <w:pPr>
        <w:pStyle w:val="paragraph"/>
        <w:spacing w:before="0" w:beforeAutospacing="0" w:after="0" w:afterAutospacing="0"/>
        <w:textAlignment w:val="baseline"/>
        <w:rPr>
          <w:rFonts w:cstheme="minorHAnsi"/>
          <w:lang w:val="es-CO"/>
        </w:rPr>
      </w:pPr>
    </w:p>
    <w:p w14:paraId="32824500" w14:textId="77777777" w:rsidR="00807AA5" w:rsidRPr="00131EED" w:rsidRDefault="00807AA5" w:rsidP="00807AA5">
      <w:pPr>
        <w:pStyle w:val="paragraph"/>
        <w:spacing w:before="0" w:beforeAutospacing="0" w:after="0" w:afterAutospacing="0"/>
        <w:textAlignment w:val="baseline"/>
        <w:rPr>
          <w:rFonts w:cstheme="minorHAnsi"/>
          <w:b/>
          <w:bCs/>
          <w:color w:val="000000"/>
          <w:lang w:val="es-CO"/>
        </w:rPr>
      </w:pPr>
      <w:r w:rsidRPr="00131EED">
        <w:rPr>
          <w:rStyle w:val="normaltextrun"/>
          <w:rFonts w:cstheme="minorHAnsi"/>
          <w:b/>
          <w:bCs/>
          <w:color w:val="000000"/>
          <w:lang w:val="es-CO"/>
        </w:rPr>
        <w:t>La gestión del conocimiento La pérdida del paisaje biocultural y en relación a las prácticas agroecológicas </w:t>
      </w:r>
      <w:r w:rsidRPr="00131EED">
        <w:rPr>
          <w:rStyle w:val="eop"/>
          <w:rFonts w:cstheme="minorHAnsi"/>
          <w:b/>
          <w:bCs/>
          <w:color w:val="000000"/>
          <w:lang w:val="es-CO"/>
        </w:rPr>
        <w:t> </w:t>
      </w:r>
    </w:p>
    <w:p w14:paraId="4A9DD350" w14:textId="77777777" w:rsidR="00807AA5" w:rsidRPr="00131EED" w:rsidRDefault="00807AA5" w:rsidP="00807AA5">
      <w:pPr>
        <w:pStyle w:val="paragraph"/>
        <w:spacing w:before="0" w:beforeAutospacing="0" w:after="0" w:afterAutospacing="0"/>
        <w:textAlignment w:val="baseline"/>
        <w:rPr>
          <w:rStyle w:val="eop"/>
          <w:rFonts w:cstheme="minorHAnsi"/>
          <w:lang w:val="es-CO"/>
        </w:rPr>
      </w:pPr>
      <w:r w:rsidRPr="00131EED">
        <w:rPr>
          <w:rStyle w:val="eop"/>
          <w:rFonts w:cstheme="minorHAnsi"/>
          <w:lang w:val="es-CO"/>
        </w:rPr>
        <w:t> </w:t>
      </w:r>
    </w:p>
    <w:p w14:paraId="23C07463"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normaltextrun"/>
          <w:rFonts w:cstheme="minorHAnsi"/>
          <w:lang w:val="es-CO"/>
        </w:rPr>
        <w:t>En términos de la gestión del conocimiento, se evidencia (i) la pérdida del conocimiento comunitario sobre la biodiversidad y sus usos, especialmente en zonas transformadas radicalmente por la actividad humana. (ii) El desplazamiento de comunidades locales en favor de élites urbanas y rurales, que paulatinamente transforman el territorio para sus propios beneficios, junto a la pérdida del patrimonio cultural y la soberanía y la seguridad alimentaria de poblaciones históricamente asentadas en zonas con pérdida del paisaje biocultural. Y (iii) una valoración eminentemente económica del territorio que desplaza sus dimensiones culturales, política y socio ecológica a un segundo plano.</w:t>
      </w:r>
      <w:r w:rsidRPr="00131EED">
        <w:rPr>
          <w:rStyle w:val="eop"/>
          <w:rFonts w:cstheme="minorHAnsi"/>
          <w:lang w:val="es-CO"/>
        </w:rPr>
        <w:t> </w:t>
      </w:r>
    </w:p>
    <w:p w14:paraId="293DC904" w14:textId="77777777" w:rsidR="00807AA5" w:rsidRPr="00131EED" w:rsidRDefault="00807AA5" w:rsidP="00807AA5">
      <w:pPr>
        <w:pStyle w:val="paragraph"/>
        <w:spacing w:before="0" w:beforeAutospacing="0" w:after="0" w:afterAutospacing="0"/>
        <w:textAlignment w:val="baseline"/>
        <w:rPr>
          <w:rStyle w:val="normaltextrun"/>
          <w:rFonts w:cstheme="minorHAnsi"/>
          <w:lang w:val="es-CO"/>
        </w:rPr>
      </w:pPr>
    </w:p>
    <w:p w14:paraId="42556A22"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normaltextrun"/>
          <w:rFonts w:cstheme="minorHAnsi"/>
          <w:lang w:val="es-CO"/>
        </w:rPr>
        <w:t>Varias manifestaciones demuestran la pérdida del paisaje biocultural y el desplazamiento de las comunidades campesinas y su agricultura familiar, lo que conlleva a la pérdida del conocimiento indígena y campesino en temas agroecológicos y la pérdida de semillas nativas.  </w:t>
      </w:r>
      <w:r w:rsidRPr="00131EED">
        <w:rPr>
          <w:rStyle w:val="eop"/>
          <w:rFonts w:cstheme="minorHAnsi"/>
          <w:lang w:val="es-CO"/>
        </w:rPr>
        <w:t> </w:t>
      </w:r>
    </w:p>
    <w:p w14:paraId="61D55F5C"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eop"/>
          <w:rFonts w:cstheme="minorHAnsi"/>
          <w:lang w:val="es-CO"/>
        </w:rPr>
        <w:t> </w:t>
      </w:r>
    </w:p>
    <w:p w14:paraId="51B8316D"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normaltextrun"/>
          <w:rFonts w:cstheme="minorHAnsi"/>
          <w:color w:val="1F1F1F"/>
          <w:lang w:val="es-CO"/>
        </w:rPr>
        <w:t>Investigaciones aplicadas recientes dan cuenta de la agrobiodiversidad alimentaria que se fue debilitando en la Sabana durante el siglo pasado. Inventarios de tubérculos, cereales, legumbres y frutales; el manejo campesino de la finca, la conservación y manejo de las semillas nativas, las recetas y preparaciones y los actos sociales asociados a su uso, que se daban comúnmente en la Sabana a principios del siglo pasado. (Asociación Integral Campesina, Asociación Huerto Alto Andino - AHAA, Semillas de Identidad Colombia, 2018</w:t>
      </w:r>
      <w:r w:rsidRPr="00131EED">
        <w:rPr>
          <w:rStyle w:val="normaltextrun"/>
          <w:rFonts w:cstheme="minorHAnsi"/>
          <w:i/>
          <w:iCs/>
          <w:color w:val="1F1F1F"/>
          <w:lang w:val="es-CO"/>
        </w:rPr>
        <w:t>).</w:t>
      </w:r>
      <w:r w:rsidRPr="00131EED">
        <w:rPr>
          <w:rStyle w:val="eop"/>
          <w:rFonts w:cstheme="minorHAnsi"/>
          <w:color w:val="1F1F1F"/>
          <w:lang w:val="es-CO"/>
        </w:rPr>
        <w:t> </w:t>
      </w:r>
    </w:p>
    <w:p w14:paraId="224CF6BF" w14:textId="77777777" w:rsidR="00807AA5" w:rsidRPr="00131EED" w:rsidRDefault="00807AA5" w:rsidP="00807AA5">
      <w:pPr>
        <w:pStyle w:val="paragraph"/>
        <w:spacing w:before="0" w:beforeAutospacing="0" w:after="0" w:afterAutospacing="0"/>
        <w:textAlignment w:val="baseline"/>
        <w:rPr>
          <w:rFonts w:cstheme="minorHAnsi"/>
          <w:lang w:val="es-CO"/>
        </w:rPr>
      </w:pPr>
      <w:r w:rsidRPr="00131EED">
        <w:rPr>
          <w:rStyle w:val="normaltextrun"/>
          <w:rFonts w:cstheme="minorHAnsi"/>
          <w:i/>
          <w:iCs/>
          <w:color w:val="1F1F1F"/>
          <w:lang w:val="es-CO"/>
        </w:rPr>
        <w:t> </w:t>
      </w:r>
      <w:r w:rsidRPr="00131EED">
        <w:rPr>
          <w:rStyle w:val="eop"/>
          <w:rFonts w:cstheme="minorHAnsi"/>
          <w:color w:val="1F1F1F"/>
          <w:lang w:val="es-CO"/>
        </w:rPr>
        <w:t> </w:t>
      </w:r>
    </w:p>
    <w:p w14:paraId="7DA2B02F" w14:textId="66DA6DFA" w:rsidR="00807AA5" w:rsidRPr="00131EED" w:rsidRDefault="00807AA5" w:rsidP="00807AA5">
      <w:pPr>
        <w:pStyle w:val="paragraph"/>
        <w:spacing w:before="0" w:beforeAutospacing="0" w:after="0" w:afterAutospacing="0"/>
        <w:textAlignment w:val="baseline"/>
        <w:rPr>
          <w:rStyle w:val="eop"/>
          <w:rFonts w:cstheme="minorHAnsi"/>
          <w:color w:val="333333"/>
          <w:lang w:val="es-CO"/>
        </w:rPr>
      </w:pPr>
      <w:r w:rsidRPr="00131EED">
        <w:rPr>
          <w:rStyle w:val="normaltextrun"/>
          <w:rFonts w:cstheme="minorHAnsi"/>
          <w:color w:val="1F1F1F"/>
          <w:lang w:val="es-CO"/>
        </w:rPr>
        <w:t>Actualmente priman las semillas certificadas de cultivos agroindustriales</w:t>
      </w:r>
      <w:r w:rsidRPr="00131EED">
        <w:rPr>
          <w:rStyle w:val="normaltextrun"/>
          <w:rFonts w:cstheme="minorHAnsi"/>
          <w:b/>
          <w:bCs/>
          <w:color w:val="1F1F1F"/>
          <w:lang w:val="es-CO"/>
        </w:rPr>
        <w:t xml:space="preserve"> </w:t>
      </w:r>
      <w:r w:rsidRPr="00131EED">
        <w:rPr>
          <w:rStyle w:val="normaltextrun"/>
          <w:rFonts w:cstheme="minorHAnsi"/>
          <w:color w:val="1F1F1F"/>
          <w:lang w:val="es-CO"/>
        </w:rPr>
        <w:t xml:space="preserve">como las flores y la papa, mientras que de las semillas nativas sólo quedan pequeños nichos de cultivos ancestrales de indígenas y pequeños productores con prácticas agroecológicas. </w:t>
      </w:r>
      <w:r w:rsidRPr="00131EED">
        <w:rPr>
          <w:rStyle w:val="normaltextrun"/>
          <w:rFonts w:cstheme="minorHAnsi"/>
          <w:color w:val="333333"/>
          <w:lang w:val="es-CO"/>
        </w:rPr>
        <w:t>En efecto, la privatización del uso de las semillas, expresado entre otras, en prohibiciones de la venta e intercambio de semillas nativas cuando no están certificadas (resolución 970 del 2010 y otros desarrollos) ha contribuido a la desaparición de especies y variedades de productos nativos tales como la mazorca, la papa, entre otros. </w:t>
      </w:r>
      <w:r w:rsidRPr="00131EED">
        <w:rPr>
          <w:rStyle w:val="eop"/>
          <w:rFonts w:cstheme="minorHAnsi"/>
          <w:color w:val="333333"/>
          <w:lang w:val="es-CO"/>
        </w:rPr>
        <w:t> </w:t>
      </w:r>
    </w:p>
    <w:p w14:paraId="64BA00A9" w14:textId="188F751D" w:rsidR="00403C6E" w:rsidRPr="00131EED" w:rsidRDefault="00403C6E" w:rsidP="00807AA5">
      <w:pPr>
        <w:pStyle w:val="paragraph"/>
        <w:spacing w:before="0" w:beforeAutospacing="0" w:after="0" w:afterAutospacing="0"/>
        <w:textAlignment w:val="baseline"/>
        <w:rPr>
          <w:rStyle w:val="eop"/>
          <w:rFonts w:cstheme="minorHAnsi"/>
          <w:color w:val="333333"/>
          <w:lang w:val="es-CO"/>
        </w:rPr>
      </w:pPr>
    </w:p>
    <w:p w14:paraId="485E9C35" w14:textId="77777777" w:rsidR="00403C6E" w:rsidRPr="00131EED" w:rsidRDefault="00403C6E" w:rsidP="00403C6E">
      <w:pPr>
        <w:pStyle w:val="paragraph"/>
        <w:spacing w:before="0" w:beforeAutospacing="0" w:after="0" w:afterAutospacing="0"/>
        <w:textAlignment w:val="baseline"/>
        <w:rPr>
          <w:rStyle w:val="normaltextrun"/>
          <w:rFonts w:cstheme="minorHAnsi"/>
          <w:b/>
          <w:bCs/>
          <w:color w:val="000000"/>
          <w:lang w:val="es-CO"/>
        </w:rPr>
      </w:pPr>
      <w:r w:rsidRPr="00131EED">
        <w:rPr>
          <w:rStyle w:val="normaltextrun"/>
          <w:rFonts w:cstheme="minorHAnsi"/>
          <w:b/>
          <w:bCs/>
          <w:color w:val="000000"/>
          <w:lang w:val="es-CO"/>
        </w:rPr>
        <w:t>La voz del pueblo Muysca en el Ordenamiento Ambiental de la Sabana: Cartografia Social de sitios sagrados.</w:t>
      </w:r>
    </w:p>
    <w:p w14:paraId="709B845A" w14:textId="77777777" w:rsidR="00403C6E" w:rsidRPr="00131EED" w:rsidRDefault="00403C6E" w:rsidP="00403C6E">
      <w:pPr>
        <w:pStyle w:val="paragraph"/>
        <w:spacing w:before="0" w:beforeAutospacing="0" w:after="0" w:afterAutospacing="0"/>
        <w:textAlignment w:val="baseline"/>
        <w:rPr>
          <w:rStyle w:val="normaltextrun"/>
          <w:rFonts w:cstheme="minorHAnsi"/>
          <w:b/>
          <w:bCs/>
          <w:color w:val="000000"/>
          <w:lang w:val="es-CO"/>
        </w:rPr>
      </w:pPr>
    </w:p>
    <w:p w14:paraId="19316E81" w14:textId="77777777" w:rsidR="00403C6E" w:rsidRPr="00131EED" w:rsidRDefault="00403C6E" w:rsidP="00403C6E">
      <w:r w:rsidRPr="00131EED">
        <w:t xml:space="preserve">En el marco de la ruta de coordinación, se llevó a cabo una mesa técnica priorizada en el cabildo indígena de Bosa, donde aproximadamente 60 miembros de las seis comunidades indígenas presentes en la Sabana de Bogotá participaron en un proceso de cartografía social comunitaria. Organizados en grupos de trabajo, identificaron los sitios sagrados de su territorio, detallando su nombre, ubicación e importancia tanto ecosistémica como espiritual. </w:t>
      </w:r>
    </w:p>
    <w:p w14:paraId="1868FD71" w14:textId="77777777" w:rsidR="00403C6E" w:rsidRPr="00131EED" w:rsidRDefault="00403C6E" w:rsidP="00403C6E"/>
    <w:p w14:paraId="0ECFA2D5" w14:textId="77777777" w:rsidR="00403C6E" w:rsidRPr="00131EED" w:rsidRDefault="00403C6E" w:rsidP="00403C6E">
      <w:r w:rsidRPr="00131EED">
        <w:t>Cada grupo presentó su trabajo en plenaria, enriqueciendo el análisis mediante la retroalimentación colectiva. Posteriormente, una geógrafa, utilizando herramientas digitales, tradujo esta información en un mapa del sistema de sitios sagrados del pueblo muysca. En Cota, se presentaron los resultados de esta cartografía, junto con un listado de usos ancestrales y las amenazas identificadas, cruzando la información recopilada con datos oficiales.</w:t>
      </w:r>
    </w:p>
    <w:p w14:paraId="4EA6837E" w14:textId="77777777" w:rsidR="00403C6E" w:rsidRPr="00131EED" w:rsidRDefault="00403C6E" w:rsidP="00403C6E"/>
    <w:p w14:paraId="650F68DD" w14:textId="1E94C54B" w:rsidR="00403C6E" w:rsidRPr="00131EED" w:rsidRDefault="00403C6E" w:rsidP="00403C6E">
      <w:r w:rsidRPr="00131EED">
        <w:rPr>
          <w:lang w:eastAsia="es-CO"/>
        </w:rPr>
        <w:t xml:space="preserve">Como producto de este ejercicio, se </w:t>
      </w:r>
      <w:r w:rsidRPr="00131EED">
        <w:t xml:space="preserve">generó un mapa del sistema de sitios sagrados del pueblo Muysca, considerado una herramienta para argumentar las luchas y defensas territoriales de las comunidades. En total se identificaron 183 puntos sagrados, distribuidos principalmente en los municipios de Bogotá, Soacha, Tocancipá, Sesquilé, Mosquera, Chía y Guasca, como se puede observar en la </w:t>
      </w:r>
      <w:r w:rsidRPr="00131EED">
        <w:fldChar w:fldCharType="begin"/>
      </w:r>
      <w:r w:rsidRPr="00131EED">
        <w:instrText xml:space="preserve"> REF _Ref210967313 \h  \* MERGEFORMAT </w:instrText>
      </w:r>
      <w:r w:rsidRPr="00131EED">
        <w:fldChar w:fldCharType="separate"/>
      </w:r>
      <w:r w:rsidR="00CE096F" w:rsidRPr="00131EED">
        <w:t xml:space="preserve">Ilustración </w:t>
      </w:r>
      <w:r w:rsidRPr="00131EED">
        <w:fldChar w:fldCharType="end"/>
      </w:r>
      <w:r w:rsidRPr="00131EED">
        <w:t>.</w:t>
      </w:r>
    </w:p>
    <w:p w14:paraId="1B36DC4D" w14:textId="77777777" w:rsidR="00403C6E" w:rsidRPr="00131EED" w:rsidRDefault="00403C6E" w:rsidP="00403C6E"/>
    <w:p w14:paraId="22AE2CAC" w14:textId="77777777" w:rsidR="00403C6E" w:rsidRPr="00131EED" w:rsidRDefault="00403C6E" w:rsidP="00403C6E"/>
    <w:p w14:paraId="0EF48CE4" w14:textId="77777777" w:rsidR="00403C6E" w:rsidRPr="00131EED" w:rsidRDefault="00403C6E" w:rsidP="00403C6E">
      <w:pPr>
        <w:pStyle w:val="paragraph"/>
        <w:spacing w:before="0" w:beforeAutospacing="0" w:after="0" w:afterAutospacing="0"/>
        <w:textAlignment w:val="baseline"/>
        <w:rPr>
          <w:rFonts w:cstheme="minorHAnsi"/>
          <w:b/>
          <w:bCs/>
          <w:color w:val="000000"/>
          <w:lang w:val="es-CO"/>
        </w:rPr>
      </w:pPr>
    </w:p>
    <w:p w14:paraId="56CDC877" w14:textId="77777777" w:rsidR="00403C6E" w:rsidRPr="00131EED" w:rsidRDefault="00403C6E" w:rsidP="00403C6E">
      <w:pPr>
        <w:pStyle w:val="paragraph"/>
        <w:spacing w:before="0" w:beforeAutospacing="0" w:after="0" w:afterAutospacing="0"/>
        <w:textAlignment w:val="baseline"/>
        <w:rPr>
          <w:rStyle w:val="eop"/>
          <w:rFonts w:cstheme="minorHAnsi"/>
          <w:color w:val="333333"/>
          <w:lang w:val="es-CO"/>
        </w:rPr>
      </w:pPr>
    </w:p>
    <w:p w14:paraId="2F905B91" w14:textId="77777777" w:rsidR="00403C6E" w:rsidRPr="00131EED" w:rsidRDefault="00403C6E" w:rsidP="00403C6E">
      <w:pPr>
        <w:pStyle w:val="paragraph"/>
        <w:spacing w:before="0" w:beforeAutospacing="0" w:after="0" w:afterAutospacing="0"/>
        <w:textAlignment w:val="baseline"/>
        <w:rPr>
          <w:rStyle w:val="eop"/>
          <w:rFonts w:cstheme="minorHAnsi"/>
          <w:color w:val="333333"/>
          <w:lang w:val="es-CO"/>
        </w:rPr>
      </w:pPr>
    </w:p>
    <w:p w14:paraId="50159773" w14:textId="77777777" w:rsidR="00403C6E" w:rsidRPr="00131EED" w:rsidRDefault="00403C6E" w:rsidP="00403C6E">
      <w:pPr>
        <w:pStyle w:val="paragraph"/>
        <w:spacing w:before="0" w:beforeAutospacing="0" w:after="0" w:afterAutospacing="0"/>
        <w:textAlignment w:val="baseline"/>
        <w:rPr>
          <w:rStyle w:val="eop"/>
          <w:rFonts w:cstheme="minorHAnsi"/>
          <w:color w:val="333333"/>
          <w:lang w:val="es-CO"/>
        </w:rPr>
      </w:pPr>
    </w:p>
    <w:p w14:paraId="67600572" w14:textId="77777777" w:rsidR="00403C6E" w:rsidRPr="00131EED" w:rsidRDefault="00403C6E" w:rsidP="00403C6E">
      <w:pPr>
        <w:pStyle w:val="paragraph"/>
        <w:spacing w:before="0" w:beforeAutospacing="0" w:after="0" w:afterAutospacing="0"/>
        <w:textAlignment w:val="baseline"/>
        <w:rPr>
          <w:rStyle w:val="eop"/>
          <w:rFonts w:cstheme="minorHAnsi"/>
          <w:color w:val="333333"/>
          <w:lang w:val="es-CO"/>
        </w:rPr>
      </w:pPr>
    </w:p>
    <w:p w14:paraId="69BDCB1E" w14:textId="77777777" w:rsidR="00403C6E" w:rsidRPr="00131EED" w:rsidRDefault="00403C6E" w:rsidP="00403C6E">
      <w:pPr>
        <w:pStyle w:val="paragraph"/>
        <w:spacing w:before="0" w:beforeAutospacing="0" w:after="0" w:afterAutospacing="0"/>
        <w:textAlignment w:val="baseline"/>
        <w:rPr>
          <w:rStyle w:val="eop"/>
          <w:rFonts w:cstheme="minorHAnsi"/>
          <w:color w:val="333333"/>
          <w:lang w:val="es-CO"/>
        </w:rPr>
      </w:pPr>
    </w:p>
    <w:p w14:paraId="31261C89" w14:textId="77777777" w:rsidR="00403C6E" w:rsidRPr="00131EED" w:rsidRDefault="00403C6E" w:rsidP="00403C6E">
      <w:pPr>
        <w:pStyle w:val="paragraph"/>
        <w:spacing w:before="0" w:beforeAutospacing="0" w:after="0" w:afterAutospacing="0"/>
        <w:textAlignment w:val="baseline"/>
        <w:rPr>
          <w:rStyle w:val="eop"/>
          <w:rFonts w:cstheme="minorHAnsi"/>
          <w:color w:val="333333"/>
          <w:lang w:val="es-CO"/>
        </w:rPr>
      </w:pPr>
    </w:p>
    <w:p w14:paraId="1E21770F" w14:textId="77777777" w:rsidR="00403C6E" w:rsidRPr="00131EED" w:rsidRDefault="00403C6E" w:rsidP="00403C6E">
      <w:pPr>
        <w:pStyle w:val="paragraph"/>
        <w:spacing w:before="0" w:beforeAutospacing="0" w:after="0" w:afterAutospacing="0"/>
        <w:textAlignment w:val="baseline"/>
        <w:rPr>
          <w:rStyle w:val="eop"/>
          <w:rFonts w:cstheme="minorHAnsi"/>
          <w:color w:val="333333"/>
          <w:lang w:val="es-CO"/>
        </w:rPr>
      </w:pPr>
    </w:p>
    <w:p w14:paraId="04E13246" w14:textId="77777777" w:rsidR="00403C6E" w:rsidRPr="00131EED" w:rsidRDefault="00403C6E" w:rsidP="00403C6E">
      <w:pPr>
        <w:pStyle w:val="paragraph"/>
        <w:spacing w:before="0" w:beforeAutospacing="0" w:after="0" w:afterAutospacing="0"/>
        <w:textAlignment w:val="baseline"/>
        <w:rPr>
          <w:rStyle w:val="eop"/>
          <w:rFonts w:cstheme="minorHAnsi"/>
          <w:color w:val="333333"/>
          <w:lang w:val="es-CO"/>
        </w:rPr>
      </w:pPr>
    </w:p>
    <w:p w14:paraId="4E526745" w14:textId="77777777" w:rsidR="00403C6E" w:rsidRPr="00131EED" w:rsidRDefault="00403C6E" w:rsidP="00403C6E">
      <w:pPr>
        <w:pStyle w:val="paragraph"/>
        <w:spacing w:before="0" w:beforeAutospacing="0" w:after="0" w:afterAutospacing="0"/>
        <w:textAlignment w:val="baseline"/>
        <w:rPr>
          <w:rStyle w:val="eop"/>
          <w:rFonts w:cstheme="minorHAnsi"/>
          <w:color w:val="333333"/>
          <w:lang w:val="es-CO"/>
        </w:rPr>
      </w:pPr>
    </w:p>
    <w:p w14:paraId="4A50929D" w14:textId="2B244061" w:rsidR="00403C6E" w:rsidRPr="00131EED" w:rsidRDefault="00403C6E" w:rsidP="00403C6E">
      <w:pPr>
        <w:pStyle w:val="paragraph"/>
        <w:spacing w:before="0" w:beforeAutospacing="0" w:after="0" w:afterAutospacing="0"/>
        <w:textAlignment w:val="baseline"/>
        <w:rPr>
          <w:rStyle w:val="eop"/>
          <w:rFonts w:cstheme="minorHAnsi"/>
          <w:color w:val="333333"/>
          <w:lang w:val="es-CO"/>
        </w:rPr>
      </w:pPr>
    </w:p>
    <w:p w14:paraId="28C68BB4" w14:textId="1135A68D" w:rsidR="008428A1" w:rsidRPr="00131EED" w:rsidRDefault="008428A1" w:rsidP="00403C6E">
      <w:pPr>
        <w:pStyle w:val="paragraph"/>
        <w:spacing w:before="0" w:beforeAutospacing="0" w:after="0" w:afterAutospacing="0"/>
        <w:textAlignment w:val="baseline"/>
        <w:rPr>
          <w:rStyle w:val="eop"/>
          <w:rFonts w:cstheme="minorHAnsi"/>
          <w:color w:val="333333"/>
          <w:lang w:val="es-CO"/>
        </w:rPr>
      </w:pPr>
    </w:p>
    <w:p w14:paraId="52433415" w14:textId="77777777" w:rsidR="008428A1" w:rsidRPr="00131EED" w:rsidRDefault="008428A1" w:rsidP="00403C6E">
      <w:pPr>
        <w:pStyle w:val="paragraph"/>
        <w:spacing w:before="0" w:beforeAutospacing="0" w:after="0" w:afterAutospacing="0"/>
        <w:textAlignment w:val="baseline"/>
        <w:rPr>
          <w:rStyle w:val="eop"/>
          <w:rFonts w:cstheme="minorHAnsi"/>
          <w:color w:val="333333"/>
          <w:lang w:val="es-CO"/>
        </w:rPr>
      </w:pPr>
    </w:p>
    <w:p w14:paraId="101574FE" w14:textId="77777777" w:rsidR="00403C6E" w:rsidRPr="00131EED" w:rsidRDefault="00403C6E" w:rsidP="00403C6E">
      <w:pPr>
        <w:pStyle w:val="paragraph"/>
        <w:spacing w:before="0" w:beforeAutospacing="0" w:after="0" w:afterAutospacing="0"/>
        <w:textAlignment w:val="baseline"/>
        <w:rPr>
          <w:rStyle w:val="eop"/>
          <w:rFonts w:cstheme="minorHAnsi"/>
          <w:color w:val="333333"/>
          <w:lang w:val="es-CO"/>
        </w:rPr>
      </w:pPr>
    </w:p>
    <w:p w14:paraId="2235F397" w14:textId="047E3318" w:rsidR="00403C6E" w:rsidRPr="00131EED" w:rsidRDefault="00403C6E" w:rsidP="00F33D8B">
      <w:pPr>
        <w:pStyle w:val="Caption"/>
        <w:jc w:val="center"/>
        <w:rPr>
          <w:rStyle w:val="eop"/>
          <w:rFonts w:cstheme="minorHAnsi"/>
          <w:color w:val="333333"/>
        </w:rPr>
      </w:pPr>
      <w:bookmarkStart w:id="496" w:name="_Ref210967313"/>
      <w:bookmarkStart w:id="497" w:name="_Toc210967742"/>
      <w:bookmarkStart w:id="498" w:name="_Toc216468910"/>
      <w:r w:rsidRPr="00131EED">
        <w:t xml:space="preserve">Ilustración </w:t>
      </w:r>
      <w:bookmarkEnd w:id="496"/>
      <w:r w:rsidRPr="00131EED">
        <w:fldChar w:fldCharType="begin"/>
      </w:r>
      <w:r w:rsidRPr="00131EED">
        <w:instrText xml:space="preserve"> SEQ Ilustración \* ARABIC </w:instrText>
      </w:r>
      <w:r w:rsidRPr="00131EED">
        <w:fldChar w:fldCharType="separate"/>
      </w:r>
      <w:r w:rsidR="00CE096F">
        <w:rPr>
          <w:noProof/>
        </w:rPr>
        <w:t>145</w:t>
      </w:r>
      <w:r w:rsidRPr="00131EED">
        <w:fldChar w:fldCharType="end"/>
      </w:r>
      <w:r w:rsidRPr="00131EED">
        <w:t>. Cartografía de los sitios sagrados para las comunidades Muyscas identificadas durante la construcción de las Directrices ambientales para la Sabana de Bogotá.</w:t>
      </w:r>
      <w:bookmarkEnd w:id="497"/>
      <w:bookmarkEnd w:id="498"/>
    </w:p>
    <w:p w14:paraId="0ACEADFE" w14:textId="77777777" w:rsidR="00403C6E" w:rsidRPr="00131EED" w:rsidRDefault="00403C6E" w:rsidP="00403C6E">
      <w:pPr>
        <w:pStyle w:val="paragraph"/>
        <w:spacing w:before="0" w:beforeAutospacing="0" w:after="0" w:afterAutospacing="0"/>
        <w:jc w:val="center"/>
        <w:textAlignment w:val="baseline"/>
        <w:rPr>
          <w:rStyle w:val="eop"/>
          <w:rFonts w:cstheme="minorHAnsi"/>
          <w:color w:val="333333"/>
          <w:lang w:val="es-CO"/>
        </w:rPr>
      </w:pPr>
      <w:r w:rsidRPr="00131EED">
        <w:rPr>
          <w:rStyle w:val="eop"/>
          <w:rFonts w:cstheme="minorHAnsi"/>
          <w:noProof/>
          <w:color w:val="333333"/>
          <w:lang w:val="es-CO"/>
        </w:rPr>
        <w:drawing>
          <wp:inline distT="0" distB="0" distL="0" distR="0" wp14:anchorId="2DD9AEC0" wp14:editId="1311CCFA">
            <wp:extent cx="4286848" cy="6058746"/>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4286848" cy="6058746"/>
                    </a:xfrm>
                    <a:prstGeom prst="rect">
                      <a:avLst/>
                    </a:prstGeom>
                  </pic:spPr>
                </pic:pic>
              </a:graphicData>
            </a:graphic>
          </wp:inline>
        </w:drawing>
      </w:r>
    </w:p>
    <w:p w14:paraId="35F59D59" w14:textId="77777777" w:rsidR="00403C6E" w:rsidRPr="00131EED" w:rsidRDefault="00403C6E" w:rsidP="00403C6E">
      <w:pPr>
        <w:pStyle w:val="paragraph"/>
        <w:spacing w:before="0" w:beforeAutospacing="0" w:after="0" w:afterAutospacing="0"/>
        <w:jc w:val="center"/>
        <w:textAlignment w:val="baseline"/>
        <w:rPr>
          <w:rStyle w:val="eop"/>
          <w:rFonts w:cstheme="minorHAnsi"/>
          <w:color w:val="333333"/>
          <w:lang w:val="es-CO"/>
        </w:rPr>
      </w:pPr>
      <w:r w:rsidRPr="00131EED">
        <w:rPr>
          <w:rStyle w:val="eop"/>
          <w:rFonts w:cstheme="minorHAnsi"/>
          <w:color w:val="333333"/>
          <w:lang w:val="es-CO"/>
        </w:rPr>
        <w:t>Fuente: MinAmbiente, 2025.</w:t>
      </w:r>
    </w:p>
    <w:p w14:paraId="2AA24264" w14:textId="77777777" w:rsidR="00403C6E" w:rsidRPr="00131EED" w:rsidRDefault="00403C6E" w:rsidP="00403C6E">
      <w:pPr>
        <w:pStyle w:val="paragraph"/>
        <w:spacing w:before="0" w:beforeAutospacing="0" w:after="0" w:afterAutospacing="0"/>
        <w:textAlignment w:val="baseline"/>
        <w:rPr>
          <w:rStyle w:val="eop"/>
          <w:rFonts w:cstheme="minorHAnsi"/>
          <w:color w:val="333333"/>
          <w:lang w:val="es-CO"/>
        </w:rPr>
      </w:pPr>
    </w:p>
    <w:p w14:paraId="528C9C38" w14:textId="77777777" w:rsidR="00403C6E" w:rsidRPr="00131EED" w:rsidRDefault="00403C6E" w:rsidP="00807AA5">
      <w:pPr>
        <w:pStyle w:val="paragraph"/>
        <w:spacing w:before="0" w:beforeAutospacing="0" w:after="0" w:afterAutospacing="0"/>
        <w:textAlignment w:val="baseline"/>
        <w:rPr>
          <w:rStyle w:val="eop"/>
          <w:rFonts w:cstheme="minorHAnsi"/>
          <w:color w:val="333333"/>
          <w:lang w:val="es-CO"/>
        </w:rPr>
      </w:pPr>
    </w:p>
    <w:p w14:paraId="654E011E" w14:textId="77777777" w:rsidR="00807AA5" w:rsidRPr="00131EED" w:rsidRDefault="00807AA5" w:rsidP="00807AA5">
      <w:pPr>
        <w:rPr>
          <w:rStyle w:val="eop"/>
          <w:rFonts w:cstheme="minorHAnsi"/>
          <w:color w:val="333333"/>
          <w:lang w:eastAsia="es-CO"/>
        </w:rPr>
      </w:pPr>
      <w:r w:rsidRPr="00131EED">
        <w:rPr>
          <w:rStyle w:val="eop"/>
          <w:rFonts w:cstheme="minorHAnsi"/>
          <w:color w:val="333333"/>
        </w:rPr>
        <w:br w:type="page"/>
      </w:r>
    </w:p>
    <w:p w14:paraId="1C0E75B2" w14:textId="2C31E086" w:rsidR="00807AA5" w:rsidRPr="00131EED" w:rsidRDefault="00807AA5" w:rsidP="00807AA5">
      <w:pPr>
        <w:pStyle w:val="paragraph"/>
        <w:spacing w:before="0" w:beforeAutospacing="0" w:after="0" w:afterAutospacing="0"/>
        <w:textAlignment w:val="baseline"/>
        <w:rPr>
          <w:rFonts w:asciiTheme="minorHAnsi" w:hAnsiTheme="minorHAnsi" w:cstheme="minorHAnsi"/>
          <w:sz w:val="22"/>
          <w:szCs w:val="22"/>
          <w:lang w:val="es-CO"/>
        </w:rPr>
      </w:pPr>
    </w:p>
    <w:p w14:paraId="71C5F3A5" w14:textId="77777777" w:rsidR="00807AA5" w:rsidRPr="00131EED" w:rsidRDefault="00807AA5" w:rsidP="00807AA5">
      <w:pPr>
        <w:pStyle w:val="paragraph"/>
        <w:spacing w:before="0" w:beforeAutospacing="0" w:after="0" w:afterAutospacing="0"/>
        <w:jc w:val="center"/>
        <w:textAlignment w:val="baseline"/>
        <w:rPr>
          <w:rStyle w:val="eop"/>
          <w:rFonts w:asciiTheme="minorHAnsi" w:hAnsiTheme="minorHAnsi" w:cstheme="minorHAnsi"/>
          <w:color w:val="333333"/>
          <w:sz w:val="22"/>
          <w:szCs w:val="22"/>
          <w:lang w:val="es-CO"/>
        </w:rPr>
      </w:pPr>
      <w:r w:rsidRPr="00131EED">
        <w:rPr>
          <w:rStyle w:val="normaltextrun"/>
          <w:rFonts w:asciiTheme="minorHAnsi" w:hAnsiTheme="minorHAnsi" w:cstheme="minorHAnsi"/>
          <w:b/>
          <w:bCs/>
          <w:color w:val="000000"/>
          <w:sz w:val="22"/>
          <w:szCs w:val="22"/>
          <w:lang w:val="es-CO"/>
        </w:rPr>
        <w:t>Árbol de conflictos Baja gobernanza, acceso a la información pública y gestión del conocimiento</w:t>
      </w:r>
    </w:p>
    <w:p w14:paraId="5220F3CE" w14:textId="77777777" w:rsidR="00807AA5" w:rsidRPr="00131EED" w:rsidRDefault="00807AA5" w:rsidP="00807AA5">
      <w:pPr>
        <w:pStyle w:val="paragraph"/>
        <w:spacing w:before="0" w:beforeAutospacing="0" w:after="0" w:afterAutospacing="0"/>
        <w:jc w:val="center"/>
        <w:textAlignment w:val="baseline"/>
        <w:rPr>
          <w:rFonts w:asciiTheme="minorHAnsi" w:hAnsiTheme="minorHAnsi" w:cstheme="minorHAnsi"/>
          <w:sz w:val="20"/>
          <w:szCs w:val="20"/>
          <w:lang w:val="es-CO"/>
        </w:rPr>
      </w:pPr>
      <w:r w:rsidRPr="00131EED">
        <w:rPr>
          <w:rFonts w:asciiTheme="minorHAnsi" w:hAnsiTheme="minorHAnsi" w:cstheme="minorHAnsi"/>
          <w:noProof/>
          <w:sz w:val="22"/>
          <w:szCs w:val="22"/>
          <w:lang w:val="es-CO"/>
        </w:rPr>
        <w:drawing>
          <wp:inline distT="0" distB="0" distL="0" distR="0" wp14:anchorId="0FAE3449" wp14:editId="2918999B">
            <wp:extent cx="5480050" cy="3099484"/>
            <wp:effectExtent l="0" t="0" r="6350" b="5715"/>
            <wp:docPr id="1474823171" name="Imagen 147482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517434" cy="3120628"/>
                    </a:xfrm>
                    <a:prstGeom prst="rect">
                      <a:avLst/>
                    </a:prstGeom>
                    <a:noFill/>
                  </pic:spPr>
                </pic:pic>
              </a:graphicData>
            </a:graphic>
          </wp:inline>
        </w:drawing>
      </w:r>
      <w:r w:rsidRPr="00131EED">
        <w:rPr>
          <w:sz w:val="20"/>
          <w:szCs w:val="20"/>
          <w:lang w:val="es-CO"/>
        </w:rPr>
        <w:t>Fuente: Ministerio de Ambiente y Desarrollo Sostenible</w:t>
      </w:r>
    </w:p>
    <w:p w14:paraId="55361135" w14:textId="77777777" w:rsidR="00807AA5" w:rsidRPr="00131EED" w:rsidRDefault="00807AA5" w:rsidP="00807AA5">
      <w:pPr>
        <w:rPr>
          <w:rFonts w:cstheme="minorHAnsi"/>
        </w:rPr>
      </w:pPr>
    </w:p>
    <w:p w14:paraId="163F0343" w14:textId="77777777" w:rsidR="00807AA5" w:rsidRPr="00131EED" w:rsidRDefault="00807AA5" w:rsidP="00807AA5">
      <w:pPr>
        <w:keepNext/>
        <w:keepLines/>
        <w:spacing w:before="200"/>
        <w:outlineLvl w:val="2"/>
        <w:rPr>
          <w:rFonts w:ascii="Century Gothic" w:hAnsi="Century Gothic" w:cs="Calibri"/>
          <w:b/>
          <w:bCs/>
          <w:color w:val="000000"/>
        </w:rPr>
      </w:pPr>
      <w:bookmarkStart w:id="499" w:name="_Toc210440499"/>
      <w:bookmarkStart w:id="500" w:name="_Toc216468764"/>
      <w:r w:rsidRPr="00131EED">
        <w:rPr>
          <w:rFonts w:ascii="Century Gothic" w:hAnsi="Century Gothic" w:cs="Calibri"/>
          <w:b/>
          <w:bCs/>
          <w:color w:val="000000"/>
        </w:rPr>
        <w:t>Consideraciones para la generación de directrices sobre acceso de la información y gestión del conocimiento</w:t>
      </w:r>
      <w:bookmarkEnd w:id="499"/>
      <w:bookmarkEnd w:id="500"/>
    </w:p>
    <w:p w14:paraId="0A6CCF20" w14:textId="77777777" w:rsidR="00807AA5" w:rsidRPr="00131EED" w:rsidRDefault="00807AA5" w:rsidP="00807AA5"/>
    <w:p w14:paraId="4900234E" w14:textId="77777777" w:rsidR="00AD2F9D" w:rsidRPr="00131EED" w:rsidRDefault="00AD2F9D" w:rsidP="00410194">
      <w:pPr>
        <w:pStyle w:val="ListParagraph"/>
        <w:numPr>
          <w:ilvl w:val="0"/>
          <w:numId w:val="35"/>
        </w:numPr>
        <w:rPr>
          <w:sz w:val="24"/>
          <w:szCs w:val="24"/>
        </w:rPr>
      </w:pPr>
      <w:r w:rsidRPr="00131EED">
        <w:rPr>
          <w:sz w:val="24"/>
          <w:szCs w:val="24"/>
        </w:rPr>
        <w:t>La información disponible en temas de ordenamiento ambiental por parte de autoridades sigue siendo insuficiente. La ausencia de información genera y profundiza los conflictos y genera disparidades en los diálogos y en la participación sobre ordenamiento ambiental territorial.</w:t>
      </w:r>
    </w:p>
    <w:p w14:paraId="393814FD" w14:textId="77777777" w:rsidR="00AD2F9D" w:rsidRPr="00131EED" w:rsidRDefault="00AD2F9D" w:rsidP="00410194">
      <w:pPr>
        <w:pStyle w:val="ListParagraph"/>
        <w:numPr>
          <w:ilvl w:val="0"/>
          <w:numId w:val="35"/>
        </w:numPr>
        <w:rPr>
          <w:sz w:val="24"/>
          <w:szCs w:val="24"/>
        </w:rPr>
      </w:pPr>
      <w:r w:rsidRPr="00131EED">
        <w:rPr>
          <w:sz w:val="24"/>
          <w:szCs w:val="24"/>
        </w:rPr>
        <w:t>No se evidencia una participación informada de las organizaciones ambientales, sociales, campesinas e indígenas en las decisiones de ordenamiento territorial, lo cual se potencia los conflictos socio ambientales presentes en la Sabana.</w:t>
      </w:r>
    </w:p>
    <w:p w14:paraId="4C1DE336" w14:textId="1DD0B654" w:rsidR="00AD2F9D" w:rsidRPr="00131EED" w:rsidRDefault="00AD2F9D" w:rsidP="00410194">
      <w:pPr>
        <w:pStyle w:val="ListParagraph"/>
        <w:numPr>
          <w:ilvl w:val="0"/>
          <w:numId w:val="35"/>
        </w:numPr>
        <w:rPr>
          <w:sz w:val="24"/>
          <w:szCs w:val="24"/>
        </w:rPr>
      </w:pPr>
      <w:r w:rsidRPr="00131EED">
        <w:rPr>
          <w:sz w:val="24"/>
          <w:szCs w:val="24"/>
        </w:rPr>
        <w:t>La poca información disponible desde las entidades públicas hacia las comunidades locales, obstaculiza el monitoreo y control a los proyectos y acciones de ordenamiento territorial.</w:t>
      </w:r>
    </w:p>
    <w:p w14:paraId="04066369" w14:textId="77777777" w:rsidR="00730DDB" w:rsidRPr="00131EED" w:rsidRDefault="00AD2F9D" w:rsidP="00410194">
      <w:pPr>
        <w:pStyle w:val="ListParagraph"/>
        <w:numPr>
          <w:ilvl w:val="0"/>
          <w:numId w:val="35"/>
        </w:numPr>
        <w:rPr>
          <w:sz w:val="24"/>
          <w:szCs w:val="24"/>
        </w:rPr>
      </w:pPr>
      <w:r w:rsidRPr="00131EED">
        <w:rPr>
          <w:sz w:val="24"/>
          <w:szCs w:val="24"/>
        </w:rPr>
        <w:t>La pérdida de los paisajes bioculturales incide en la gestión del conocimiento, debilitando los conocimientos de las comunidades locales.</w:t>
      </w:r>
    </w:p>
    <w:p w14:paraId="3C4C5C2C" w14:textId="7C4257DB" w:rsidR="00AD2F9D" w:rsidRPr="00131EED" w:rsidRDefault="00AD2F9D" w:rsidP="00410194">
      <w:pPr>
        <w:pStyle w:val="ListParagraph"/>
        <w:numPr>
          <w:ilvl w:val="0"/>
          <w:numId w:val="35"/>
        </w:numPr>
        <w:rPr>
          <w:sz w:val="24"/>
          <w:szCs w:val="24"/>
        </w:rPr>
      </w:pPr>
      <w:r w:rsidRPr="00131EED">
        <w:rPr>
          <w:sz w:val="24"/>
          <w:szCs w:val="24"/>
        </w:rPr>
        <w:t>En ese sentido es indispensable que las directrices incluyan en todos los capítulos (temas) la necesidad de que las entidades públicas generen los mecanismos internos p</w:t>
      </w:r>
      <w:r w:rsidR="002D2F85" w:rsidRPr="00131EED">
        <w:rPr>
          <w:sz w:val="24"/>
          <w:szCs w:val="24"/>
        </w:rPr>
        <w:t>a</w:t>
      </w:r>
      <w:r w:rsidRPr="00131EED">
        <w:rPr>
          <w:sz w:val="24"/>
          <w:szCs w:val="24"/>
        </w:rPr>
        <w:t>ra disponer la información de tal forma que sea de fácil acceso para todos los actores, en particular para las comunidades locales.</w:t>
      </w:r>
    </w:p>
    <w:p w14:paraId="5878CDB6" w14:textId="4756C689" w:rsidR="00AD2F9D" w:rsidRPr="00131EED" w:rsidRDefault="00AD2F9D" w:rsidP="00410194">
      <w:pPr>
        <w:pStyle w:val="ListParagraph"/>
        <w:numPr>
          <w:ilvl w:val="0"/>
          <w:numId w:val="35"/>
        </w:numPr>
        <w:rPr>
          <w:sz w:val="24"/>
          <w:szCs w:val="24"/>
        </w:rPr>
      </w:pPr>
      <w:r w:rsidRPr="00131EED">
        <w:rPr>
          <w:sz w:val="24"/>
          <w:szCs w:val="24"/>
        </w:rPr>
        <w:t>En el mismo sentido los Consejos Territoriales del Agua y el Consejo Estratégico de la Cuenca Hidrográfic</w:t>
      </w:r>
      <w:r w:rsidR="00BE6DCA">
        <w:rPr>
          <w:sz w:val="24"/>
          <w:szCs w:val="24"/>
        </w:rPr>
        <w:t>a</w:t>
      </w:r>
      <w:r w:rsidRPr="00131EED">
        <w:rPr>
          <w:sz w:val="24"/>
          <w:szCs w:val="24"/>
        </w:rPr>
        <w:t xml:space="preserve"> del río Bogotá (CECH) pueden ser ejes articuladores que contribuyan al monitoreo y control de los proyectos que afecten el ordenamiento territorial de la Sabana.</w:t>
      </w:r>
    </w:p>
    <w:p w14:paraId="2D78B521" w14:textId="330D0F1F" w:rsidR="00AD2F9D" w:rsidRPr="00131EED" w:rsidRDefault="00AD2F9D" w:rsidP="00410194">
      <w:pPr>
        <w:pStyle w:val="ListParagraph"/>
        <w:numPr>
          <w:ilvl w:val="0"/>
          <w:numId w:val="35"/>
        </w:numPr>
        <w:rPr>
          <w:sz w:val="24"/>
          <w:szCs w:val="24"/>
        </w:rPr>
      </w:pPr>
      <w:r w:rsidRPr="00131EED">
        <w:rPr>
          <w:sz w:val="24"/>
          <w:szCs w:val="24"/>
        </w:rPr>
        <w:t>Reconociendo el papel de las comunidades indígenas, campesinas, de las organizaciones ambientales, de las juntas de acción comunal, de las veedurías ciudadanas, de las reservas naturales de la sociedad civil, de los acueductos comunitarios en su manejo y protección de la integridad ecológica de la Sabana, es fundamental fortalecerlos a través de trabajo en red, para incorporar sus saberes, prácticas y propuestas en las decisiones de ordenamiento territorial.</w:t>
      </w:r>
    </w:p>
    <w:p w14:paraId="617EBD1D" w14:textId="5629F2AD" w:rsidR="009E5D85" w:rsidRPr="00131EED" w:rsidRDefault="009E5D85" w:rsidP="42AD164C">
      <w:pPr>
        <w:rPr>
          <w:rFonts w:eastAsia="Century Gothic" w:cs="Arial"/>
          <w:color w:val="0D0D0D" w:themeColor="text1" w:themeTint="F2"/>
        </w:rPr>
      </w:pPr>
    </w:p>
    <w:p w14:paraId="224FBB54" w14:textId="77777777" w:rsidR="009E5D85" w:rsidRPr="00131EED" w:rsidRDefault="009E5D85" w:rsidP="42AD164C">
      <w:pPr>
        <w:rPr>
          <w:rFonts w:ascii="Baskerville" w:eastAsia="Century Gothic" w:hAnsi="Baskerville" w:cs="Arial"/>
          <w:color w:val="0D0D0D" w:themeColor="text1" w:themeTint="F2"/>
        </w:rPr>
      </w:pPr>
    </w:p>
    <w:p w14:paraId="4DF5979F" w14:textId="77777777" w:rsidR="00194040" w:rsidRPr="00131EED" w:rsidRDefault="00194040">
      <w:pPr>
        <w:spacing w:after="200" w:line="276" w:lineRule="auto"/>
        <w:jc w:val="left"/>
        <w:rPr>
          <w:rFonts w:ascii="Baskerville" w:eastAsia="Century Gothic" w:hAnsi="Baskerville" w:cs="Arial"/>
          <w:bCs/>
          <w:smallCaps/>
          <w:color w:val="000000"/>
          <w:sz w:val="36"/>
          <w:szCs w:val="36"/>
          <w:lang w:eastAsia="en-US"/>
        </w:rPr>
      </w:pPr>
      <w:r w:rsidRPr="00131EED">
        <w:rPr>
          <w:rFonts w:ascii="Baskerville" w:eastAsia="Century Gothic" w:hAnsi="Baskerville" w:cs="Arial"/>
          <w:b/>
        </w:rPr>
        <w:br w:type="page"/>
      </w:r>
    </w:p>
    <w:p w14:paraId="1588E383" w14:textId="68208728" w:rsidR="006C5204" w:rsidRPr="00131EED" w:rsidRDefault="00DC6988" w:rsidP="00410194">
      <w:pPr>
        <w:pStyle w:val="Heading1"/>
        <w:numPr>
          <w:ilvl w:val="0"/>
          <w:numId w:val="31"/>
        </w:numPr>
        <w:rPr>
          <w:rFonts w:eastAsia="Century Gothic"/>
        </w:rPr>
      </w:pPr>
      <w:bookmarkStart w:id="501" w:name="_Toc216468765"/>
      <w:r w:rsidRPr="00131EED">
        <w:rPr>
          <w:rFonts w:eastAsia="Century Gothic"/>
        </w:rPr>
        <w:t>BIBLIOGRAFÍA</w:t>
      </w:r>
      <w:bookmarkEnd w:id="501"/>
      <w:r w:rsidRPr="00131EED">
        <w:rPr>
          <w:rFonts w:eastAsia="Century Gothic"/>
        </w:rPr>
        <w:t> </w:t>
      </w:r>
    </w:p>
    <w:sdt>
      <w:sdtPr>
        <w:rPr>
          <w:rFonts w:ascii="Baskerville Old Face" w:hAnsi="Baskerville Old Face" w:cs="Times New Roman"/>
          <w:b w:val="0"/>
          <w:bCs w:val="0"/>
          <w:smallCaps w:val="0"/>
          <w:color w:val="auto"/>
          <w:sz w:val="24"/>
          <w:szCs w:val="24"/>
          <w:lang w:eastAsia="es-MX"/>
        </w:rPr>
        <w:id w:val="-312034308"/>
        <w:docPartObj>
          <w:docPartGallery w:val="Bibliographies"/>
          <w:docPartUnique/>
        </w:docPartObj>
      </w:sdtPr>
      <w:sdtEndPr/>
      <w:sdtContent>
        <w:p w14:paraId="4761FC4C" w14:textId="09020E17" w:rsidR="00B9026F" w:rsidRPr="00131EED" w:rsidRDefault="00B9026F">
          <w:pPr>
            <w:pStyle w:val="Heading1"/>
          </w:pPr>
        </w:p>
        <w:sdt>
          <w:sdtPr>
            <w:rPr>
              <w:rFonts w:ascii="Baskerville Old Face" w:eastAsia="Times New Roman" w:hAnsi="Baskerville Old Face" w:cs="Times New Roman"/>
              <w:sz w:val="24"/>
              <w:szCs w:val="24"/>
              <w:lang w:eastAsia="es-MX"/>
            </w:rPr>
            <w:id w:val="111145805"/>
            <w:bibliography/>
          </w:sdtPr>
          <w:sdtEndPr/>
          <w:sdtContent>
            <w:p w14:paraId="46066DE8"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fldChar w:fldCharType="begin"/>
              </w:r>
              <w:r w:rsidRPr="00131EED">
                <w:rPr>
                  <w:rFonts w:ascii="Baskerville Old Face" w:hAnsi="Baskerville Old Face"/>
                  <w:sz w:val="24"/>
                  <w:szCs w:val="24"/>
                </w:rPr>
                <w:instrText>BIBLIOGRAPHY</w:instrText>
              </w:r>
              <w:r w:rsidRPr="00131EED">
                <w:rPr>
                  <w:rFonts w:ascii="Baskerville Old Face" w:hAnsi="Baskerville Old Face"/>
                  <w:sz w:val="24"/>
                  <w:szCs w:val="24"/>
                </w:rPr>
                <w:fldChar w:fldCharType="separate"/>
              </w:r>
              <w:r w:rsidRPr="00131EED">
                <w:rPr>
                  <w:rFonts w:ascii="Baskerville Old Face" w:hAnsi="Baskerville Old Face"/>
                  <w:sz w:val="24"/>
                  <w:szCs w:val="24"/>
                </w:rPr>
                <w:t xml:space="preserve">al, d. G. (2002). Una tipología para la clasificación, descripción y valoración.de las funciones, bienes y servicios del ecosistema. </w:t>
              </w:r>
              <w:r w:rsidRPr="00131EED">
                <w:rPr>
                  <w:rFonts w:ascii="Baskerville Old Face" w:hAnsi="Baskerville Old Face"/>
                  <w:i/>
                  <w:iCs/>
                  <w:sz w:val="24"/>
                  <w:szCs w:val="24"/>
                </w:rPr>
                <w:t>Ecological Economics 41</w:t>
              </w:r>
              <w:r w:rsidRPr="00131EED">
                <w:rPr>
                  <w:rFonts w:ascii="Baskerville Old Face" w:hAnsi="Baskerville Old Face"/>
                  <w:sz w:val="24"/>
                  <w:szCs w:val="24"/>
                </w:rPr>
                <w:t>, 393-408.</w:t>
              </w:r>
            </w:p>
            <w:p w14:paraId="7FB344AE"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Alcaldía Mayor de Bogotá. (2019). </w:t>
              </w:r>
              <w:r w:rsidRPr="00131EED">
                <w:rPr>
                  <w:rFonts w:ascii="Baskerville Old Face" w:hAnsi="Baskerville Old Face"/>
                  <w:i/>
                  <w:iCs/>
                  <w:sz w:val="24"/>
                  <w:szCs w:val="24"/>
                </w:rPr>
                <w:t>Vecinos inesperados: Relatos de la fauna silvestre en Bogotá.</w:t>
              </w:r>
              <w:r w:rsidRPr="00131EED">
                <w:rPr>
                  <w:rFonts w:ascii="Baskerville Old Face" w:hAnsi="Baskerville Old Face"/>
                  <w:sz w:val="24"/>
                  <w:szCs w:val="24"/>
                </w:rPr>
                <w:t xml:space="preserve"> Bogotá: EAAB.</w:t>
              </w:r>
            </w:p>
            <w:p w14:paraId="1B5EBA87"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ArcGis Pro. (09 de 9 de 2024). </w:t>
              </w:r>
              <w:r w:rsidRPr="00131EED">
                <w:rPr>
                  <w:rFonts w:ascii="Baskerville Old Face" w:hAnsi="Baskerville Old Face"/>
                  <w:i/>
                  <w:iCs/>
                  <w:sz w:val="24"/>
                  <w:szCs w:val="24"/>
                </w:rPr>
                <w:t>Herramientas de geoprocesamiento</w:t>
              </w:r>
              <w:r w:rsidRPr="00131EED">
                <w:rPr>
                  <w:rFonts w:ascii="Baskerville Old Face" w:hAnsi="Baskerville Old Face"/>
                  <w:sz w:val="24"/>
                  <w:szCs w:val="24"/>
                </w:rPr>
                <w:t>. Obtenido de Mineria de series espacio-temporales: https://pro.arcgis.com/es/pro-app/latest/tool-reference/space-time-pattern-mining/learnmorecurvefitforecast.htm</w:t>
              </w:r>
            </w:p>
            <w:p w14:paraId="1C269580"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Arriaga, A., &amp; Pardo, M. (2012). Justicia Ambiental. El Estado de la Cuestiín. </w:t>
              </w:r>
              <w:r w:rsidRPr="00131EED">
                <w:rPr>
                  <w:rFonts w:ascii="Baskerville Old Face" w:hAnsi="Baskerville Old Face"/>
                  <w:i/>
                  <w:iCs/>
                  <w:sz w:val="24"/>
                  <w:szCs w:val="24"/>
                </w:rPr>
                <w:t>Revista Internacional de Sociología</w:t>
              </w:r>
              <w:r w:rsidRPr="00131EED">
                <w:rPr>
                  <w:rFonts w:ascii="Baskerville Old Face" w:hAnsi="Baskerville Old Face"/>
                  <w:sz w:val="24"/>
                  <w:szCs w:val="24"/>
                </w:rPr>
                <w:t>, 69.</w:t>
              </w:r>
            </w:p>
            <w:p w14:paraId="0F421BC8"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Beltrán, E. (2012). </w:t>
              </w:r>
              <w:r w:rsidRPr="00131EED">
                <w:rPr>
                  <w:rFonts w:ascii="Baskerville Old Face" w:hAnsi="Baskerville Old Face"/>
                  <w:i/>
                  <w:iCs/>
                  <w:sz w:val="24"/>
                  <w:szCs w:val="24"/>
                </w:rPr>
                <w:t>Evaluación de matorrales y bancos de semillas en invasiones de Ulex europaeus de diferente edad al sur de Bogotá D. C - Colombia.</w:t>
              </w:r>
              <w:r w:rsidRPr="00131EED">
                <w:rPr>
                  <w:rFonts w:ascii="Baskerville Old Face" w:hAnsi="Baskerville Old Face"/>
                  <w:sz w:val="24"/>
                  <w:szCs w:val="24"/>
                </w:rPr>
                <w:t xml:space="preserve"> Bogotá: Tesis de Maestría en Ciencias Biológicas Pontificia Universidad Javeriana.</w:t>
              </w:r>
            </w:p>
            <w:p w14:paraId="763077AF"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Bogotá, D. (24 de Junio de 2024). </w:t>
              </w:r>
              <w:r w:rsidRPr="00131EED">
                <w:rPr>
                  <w:rFonts w:ascii="Baskerville Old Face" w:hAnsi="Baskerville Old Face"/>
                  <w:i/>
                  <w:iCs/>
                  <w:sz w:val="24"/>
                  <w:szCs w:val="24"/>
                </w:rPr>
                <w:t>¿Cuáles municipios aledaños a Bogotá dependen del Sistema Chingaza? Te contamos</w:t>
              </w:r>
              <w:r w:rsidRPr="00131EED">
                <w:rPr>
                  <w:rFonts w:ascii="Baskerville Old Face" w:hAnsi="Baskerville Old Face"/>
                  <w:sz w:val="24"/>
                  <w:szCs w:val="24"/>
                </w:rPr>
                <w:t>. Obtenido de https://bogota.gov.co/mi-ciudad/habitat/racionamiento-de-agua-que-municipios-dependen-del-sistema-chingaza</w:t>
              </w:r>
            </w:p>
            <w:p w14:paraId="3C6C5EF9"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Bolívar, V., &amp; Montoya, J. (2021). El sistema tecnológico ampliado hídrico del Área Metropolitana Funcional de Bogotá: un análisis desde la gobernanza del agua. </w:t>
              </w:r>
              <w:r w:rsidRPr="00131EED">
                <w:rPr>
                  <w:rFonts w:ascii="Baskerville Old Face" w:hAnsi="Baskerville Old Face"/>
                  <w:i/>
                  <w:iCs/>
                  <w:sz w:val="24"/>
                  <w:szCs w:val="24"/>
                </w:rPr>
                <w:t>Revista Colombiana de Geografía, Facultad de Ciencias Humanas de la Universidad Nacional de Colombia</w:t>
              </w:r>
              <w:r w:rsidRPr="00131EED">
                <w:rPr>
                  <w:rFonts w:ascii="Baskerville Old Face" w:hAnsi="Baskerville Old Face"/>
                  <w:sz w:val="24"/>
                  <w:szCs w:val="24"/>
                </w:rPr>
                <w:t>.</w:t>
              </w:r>
            </w:p>
            <w:p w14:paraId="24844D9A"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Cadena, C. S. (2015). </w:t>
              </w:r>
              <w:r w:rsidRPr="00131EED">
                <w:rPr>
                  <w:rFonts w:ascii="Baskerville Old Face" w:hAnsi="Baskerville Old Face"/>
                  <w:i/>
                  <w:iCs/>
                  <w:sz w:val="24"/>
                  <w:szCs w:val="24"/>
                </w:rPr>
                <w:t>Cambios en las coberturas paramunas Las amenazas de los páramos en Colombia .</w:t>
              </w:r>
              <w:r w:rsidRPr="00131EED">
                <w:rPr>
                  <w:rFonts w:ascii="Baskerville Old Face" w:hAnsi="Baskerville Old Face"/>
                  <w:sz w:val="24"/>
                  <w:szCs w:val="24"/>
                </w:rPr>
                <w:t xml:space="preserve"> Obtenido de Biodiversidad, Reporte de estado y tendencias de la biodiversidad continental de Colombia : https://reporte.humboldt.org.co/biodiversidad/2015/cap2/204/#seccion9</w:t>
              </w:r>
            </w:p>
            <w:p w14:paraId="02A1C9F1"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Camelo, D. (2015). </w:t>
              </w:r>
              <w:r w:rsidRPr="00131EED">
                <w:rPr>
                  <w:rFonts w:ascii="Baskerville Old Face" w:hAnsi="Baskerville Old Face"/>
                  <w:i/>
                  <w:iCs/>
                  <w:sz w:val="24"/>
                  <w:szCs w:val="24"/>
                </w:rPr>
                <w:t>Evaluación del estado sucesional actual de las áreas restauradas y con invasión previa de Ulex europaeus L. en los Cerros Orientales de Bogotá .</w:t>
              </w:r>
              <w:r w:rsidRPr="00131EED">
                <w:rPr>
                  <w:rFonts w:ascii="Baskerville Old Face" w:hAnsi="Baskerville Old Face"/>
                  <w:sz w:val="24"/>
                  <w:szCs w:val="24"/>
                </w:rPr>
                <w:t xml:space="preserve"> Bogotá, D.C.: Tesis de Maestría Pontificia Universidad Javeriana.</w:t>
              </w:r>
            </w:p>
            <w:p w14:paraId="13CCD07C"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CAR, C. A. (2008). </w:t>
              </w:r>
              <w:r w:rsidRPr="00131EED">
                <w:rPr>
                  <w:rFonts w:ascii="Baskerville Old Face" w:hAnsi="Baskerville Old Face"/>
                  <w:i/>
                  <w:iCs/>
                  <w:sz w:val="24"/>
                  <w:szCs w:val="24"/>
                </w:rPr>
                <w:t>Plan de manejo ambiental de aguas subterráneas en la Sabana de Bogotá y Zona Crítica.</w:t>
              </w:r>
              <w:r w:rsidRPr="00131EED">
                <w:rPr>
                  <w:rFonts w:ascii="Baskerville Old Face" w:hAnsi="Baskerville Old Face"/>
                  <w:sz w:val="24"/>
                  <w:szCs w:val="24"/>
                </w:rPr>
                <w:t xml:space="preserve"> Obtenido de https://www.car.gov.co/vercontenido/2517</w:t>
              </w:r>
            </w:p>
            <w:p w14:paraId="3366E5CA"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CAR, C. A. (2012). </w:t>
              </w:r>
              <w:r w:rsidRPr="00131EED">
                <w:rPr>
                  <w:rFonts w:ascii="Baskerville Old Face" w:hAnsi="Baskerville Old Face"/>
                  <w:i/>
                  <w:iCs/>
                  <w:sz w:val="24"/>
                  <w:szCs w:val="24"/>
                </w:rPr>
                <w:t>Plan de Gestión Ambiental Regional PGAR 2012-2023.</w:t>
              </w:r>
              <w:r w:rsidRPr="00131EED">
                <w:rPr>
                  <w:rFonts w:ascii="Baskerville Old Face" w:hAnsi="Baskerville Old Face"/>
                  <w:sz w:val="24"/>
                  <w:szCs w:val="24"/>
                </w:rPr>
                <w:t xml:space="preserve"> Obtenido de chrome-extension://efaidnbmnnnibpcajpcglclefindmkaj/https://www.car.gov.co/uploads/files/5ac22faf27f5a.pdf</w:t>
              </w:r>
            </w:p>
            <w:p w14:paraId="0D8A3E78"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CAR, C. A. (2019). </w:t>
              </w:r>
              <w:r w:rsidRPr="00131EED">
                <w:rPr>
                  <w:rFonts w:ascii="Baskerville Old Face" w:hAnsi="Baskerville Old Face"/>
                  <w:i/>
                  <w:iCs/>
                  <w:sz w:val="24"/>
                  <w:szCs w:val="24"/>
                </w:rPr>
                <w:t>En el Día Mundial de los Humedales, la CAR reitera el llamado a su conservación.</w:t>
              </w:r>
              <w:r w:rsidRPr="00131EED">
                <w:rPr>
                  <w:rFonts w:ascii="Baskerville Old Face" w:hAnsi="Baskerville Old Face"/>
                  <w:sz w:val="24"/>
                  <w:szCs w:val="24"/>
                </w:rPr>
                <w:t xml:space="preserve"> Obtenido de https://www.car.gov.co/saladeprensa/en-el-dia-mundial-de-los-humedales-la-car-reitera-el-llamado-a-su-conservacion</w:t>
              </w:r>
            </w:p>
            <w:p w14:paraId="0B8B2B08"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CAR, C. A. (2021). </w:t>
              </w:r>
              <w:r w:rsidRPr="00131EED">
                <w:rPr>
                  <w:rFonts w:ascii="Baskerville Old Face" w:hAnsi="Baskerville Old Face"/>
                  <w:i/>
                  <w:iCs/>
                  <w:sz w:val="24"/>
                  <w:szCs w:val="24"/>
                </w:rPr>
                <w:t>Evaluación Regional del Agua - ERA Cuenca del río Bogotá.</w:t>
              </w:r>
              <w:r w:rsidRPr="00131EED">
                <w:rPr>
                  <w:rFonts w:ascii="Baskerville Old Face" w:hAnsi="Baskerville Old Face"/>
                  <w:sz w:val="24"/>
                  <w:szCs w:val="24"/>
                </w:rPr>
                <w:t xml:space="preserve"> Obtenido de https://www.car.gov.co/uploads/files/648b601fc1a45.pdf</w:t>
              </w:r>
            </w:p>
            <w:p w14:paraId="74FE968A"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CAR, C. A. (2022). </w:t>
              </w:r>
              <w:r w:rsidRPr="00131EED">
                <w:rPr>
                  <w:rFonts w:ascii="Baskerville Old Face" w:hAnsi="Baskerville Old Face"/>
                  <w:i/>
                  <w:iCs/>
                  <w:sz w:val="24"/>
                  <w:szCs w:val="24"/>
                </w:rPr>
                <w:t>Boletines de Calidad Hídrica</w:t>
              </w:r>
              <w:r w:rsidRPr="00131EED">
                <w:rPr>
                  <w:rFonts w:ascii="Baskerville Old Face" w:hAnsi="Baskerville Old Face"/>
                  <w:sz w:val="24"/>
                  <w:szCs w:val="24"/>
                </w:rPr>
                <w:t>. Obtenido de https://www.car.gov.co/vercontenido/2314</w:t>
              </w:r>
            </w:p>
            <w:p w14:paraId="65E214A8"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CAR, C. C. (2022). </w:t>
              </w:r>
              <w:r w:rsidRPr="00131EED">
                <w:rPr>
                  <w:rFonts w:ascii="Baskerville Old Face" w:hAnsi="Baskerville Old Face"/>
                  <w:i/>
                  <w:iCs/>
                  <w:sz w:val="24"/>
                  <w:szCs w:val="24"/>
                </w:rPr>
                <w:t>Boletín de Calidad Hídrica</w:t>
              </w:r>
              <w:r w:rsidRPr="00131EED">
                <w:rPr>
                  <w:rFonts w:ascii="Baskerville Old Face" w:hAnsi="Baskerville Old Face"/>
                  <w:sz w:val="24"/>
                  <w:szCs w:val="24"/>
                </w:rPr>
                <w:t>. Obtenido de Informe sobre el cumplimiento de Objetivos de Calidad en las ocho subzonas hidrográficas y dos niveles subsiguientes de la jurisdicción CAR: www.car.gov.co/uploads/files/644706513c2bb.pdf</w:t>
              </w:r>
            </w:p>
            <w:p w14:paraId="2D3F59DB"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CATIE. (2009). </w:t>
              </w:r>
              <w:r w:rsidRPr="00131EED">
                <w:rPr>
                  <w:rFonts w:ascii="Baskerville Old Face" w:hAnsi="Baskerville Old Face"/>
                  <w:i/>
                  <w:iCs/>
                  <w:sz w:val="24"/>
                  <w:szCs w:val="24"/>
                </w:rPr>
                <w:t>Guía para la identificación participativa de zonas con potencial de recarga hídrica Aplicación práctica en la subcuenca del río Jucuapa, Nicaragua.</w:t>
              </w:r>
              <w:r w:rsidRPr="00131EED">
                <w:rPr>
                  <w:rFonts w:ascii="Baskerville Old Face" w:hAnsi="Baskerville Old Face"/>
                  <w:sz w:val="24"/>
                  <w:szCs w:val="24"/>
                </w:rPr>
                <w:t xml:space="preserve"> </w:t>
              </w:r>
            </w:p>
            <w:p w14:paraId="726704D1"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Colombia, P. N. (2022). </w:t>
              </w:r>
              <w:r w:rsidRPr="00131EED">
                <w:rPr>
                  <w:rFonts w:ascii="Baskerville Old Face" w:hAnsi="Baskerville Old Face"/>
                  <w:i/>
                  <w:iCs/>
                  <w:sz w:val="24"/>
                  <w:szCs w:val="24"/>
                </w:rPr>
                <w:t>METODOLÓGICA PARA LA CARACTERIZACIÓN DE LA INTEGRIDAD ECOLÓGICA DE FILTRO GRUESO EN ÁREAS DEL SISTEMA DE PARQUES NACIONALES NATURALES DE COLOMBIA.</w:t>
              </w:r>
              <w:r w:rsidRPr="00131EED">
                <w:rPr>
                  <w:rFonts w:ascii="Baskerville Old Face" w:hAnsi="Baskerville Old Face"/>
                  <w:sz w:val="24"/>
                  <w:szCs w:val="24"/>
                </w:rPr>
                <w:t xml:space="preserve"> Bogotá, DC: PNNC.</w:t>
              </w:r>
            </w:p>
            <w:p w14:paraId="7530B318"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Consorcio Huitaca. (2017). </w:t>
              </w:r>
              <w:r w:rsidRPr="00131EED">
                <w:rPr>
                  <w:rFonts w:ascii="Baskerville Old Face" w:hAnsi="Baskerville Old Face"/>
                  <w:i/>
                  <w:iCs/>
                  <w:sz w:val="24"/>
                  <w:szCs w:val="24"/>
                </w:rPr>
                <w:t>AJUSTE DEL PLAN DE ORDENACIÓN Y MANEJO DE LA CUENCA DEL RÍO BOGOTÁ.</w:t>
              </w:r>
              <w:r w:rsidRPr="00131EED">
                <w:rPr>
                  <w:rFonts w:ascii="Baskerville Old Face" w:hAnsi="Baskerville Old Face"/>
                  <w:sz w:val="24"/>
                  <w:szCs w:val="24"/>
                </w:rPr>
                <w:t xml:space="preserve"> </w:t>
              </w:r>
            </w:p>
            <w:p w14:paraId="68539295"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Convención de Ramsar. (1971). ¿Qué son los humedales? Ramsar.</w:t>
              </w:r>
            </w:p>
            <w:p w14:paraId="692B4980"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Corporación Autónoma Regional de Cundinamarca - CAR. (2019). </w:t>
              </w:r>
              <w:r w:rsidRPr="00131EED">
                <w:rPr>
                  <w:rFonts w:ascii="Baskerville Old Face" w:hAnsi="Baskerville Old Face"/>
                  <w:i/>
                  <w:iCs/>
                  <w:sz w:val="24"/>
                  <w:szCs w:val="24"/>
                </w:rPr>
                <w:t>Plan de Ordenación y Manejo de la Cuenca Río Bogotá.</w:t>
              </w:r>
              <w:r w:rsidRPr="00131EED">
                <w:rPr>
                  <w:rFonts w:ascii="Baskerville Old Face" w:hAnsi="Baskerville Old Face"/>
                  <w:sz w:val="24"/>
                  <w:szCs w:val="24"/>
                </w:rPr>
                <w:t xml:space="preserve"> Bogotá: Corporación Autónoma Regional de Cundinamarca - CAR.</w:t>
              </w:r>
            </w:p>
            <w:p w14:paraId="3CAF9881"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Corporación Autónoma Regional de Cundinamarca, CAR. (2019). </w:t>
              </w:r>
              <w:r w:rsidRPr="00131EED">
                <w:rPr>
                  <w:rFonts w:ascii="Baskerville Old Face" w:hAnsi="Baskerville Old Face"/>
                  <w:i/>
                  <w:iCs/>
                  <w:sz w:val="24"/>
                  <w:szCs w:val="24"/>
                </w:rPr>
                <w:t>Plan de Manejo Y Conservación de La Oncilla (Leopardus tigrinus) para la Jurisdicción de la Corporación Autónoma Regional de Cundinamarca.</w:t>
              </w:r>
              <w:r w:rsidRPr="00131EED">
                <w:rPr>
                  <w:rFonts w:ascii="Baskerville Old Face" w:hAnsi="Baskerville Old Face"/>
                  <w:sz w:val="24"/>
                  <w:szCs w:val="24"/>
                </w:rPr>
                <w:t xml:space="preserve"> Bogotá: CAR.</w:t>
              </w:r>
            </w:p>
            <w:p w14:paraId="377A6102"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Corporación Colombiana de Investigación Agropecuaria. (2023). </w:t>
              </w:r>
              <w:r w:rsidRPr="00131EED">
                <w:rPr>
                  <w:rFonts w:ascii="Baskerville Old Face" w:hAnsi="Baskerville Old Face"/>
                  <w:i/>
                  <w:iCs/>
                  <w:sz w:val="24"/>
                  <w:szCs w:val="24"/>
                </w:rPr>
                <w:t>Estrategias de adaptación y mitigación al cambio climático en sistemas de producción agrícola.</w:t>
              </w:r>
              <w:r w:rsidRPr="00131EED">
                <w:rPr>
                  <w:rFonts w:ascii="Baskerville Old Face" w:hAnsi="Baskerville Old Face"/>
                  <w:sz w:val="24"/>
                  <w:szCs w:val="24"/>
                </w:rPr>
                <w:t xml:space="preserve"> Bogotá: AGROSAVIA.</w:t>
              </w:r>
            </w:p>
            <w:p w14:paraId="6CE862E4"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Corredor et al. (2012). Los servicios ecosistémicos de regulación: tendencias e impacto en el bienestar humano. </w:t>
              </w:r>
              <w:r w:rsidRPr="00131EED">
                <w:rPr>
                  <w:rFonts w:ascii="Baskerville Old Face" w:hAnsi="Baskerville Old Face"/>
                  <w:i/>
                  <w:iCs/>
                  <w:sz w:val="24"/>
                  <w:szCs w:val="24"/>
                </w:rPr>
                <w:t>Revista Universidad Nacional Abierta y a Distancia (UNAD) Vol 3</w:t>
              </w:r>
              <w:r w:rsidRPr="00131EED">
                <w:rPr>
                  <w:rFonts w:ascii="Baskerville Old Face" w:hAnsi="Baskerville Old Face"/>
                  <w:sz w:val="24"/>
                  <w:szCs w:val="24"/>
                </w:rPr>
                <w:t>, 77-83.</w:t>
              </w:r>
            </w:p>
            <w:p w14:paraId="2A26A483"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Custodio, E. (1998). Recarga de los acuíferos: Aspectos generales sobre el proceso, la evaluación y la incertidumbre. </w:t>
              </w:r>
              <w:r w:rsidRPr="00131EED">
                <w:rPr>
                  <w:rFonts w:ascii="Baskerville Old Face" w:hAnsi="Baskerville Old Face"/>
                  <w:i/>
                  <w:iCs/>
                  <w:sz w:val="24"/>
                  <w:szCs w:val="24"/>
                </w:rPr>
                <w:t>Boletín Geológico y Minero</w:t>
              </w:r>
              <w:r w:rsidRPr="00131EED">
                <w:rPr>
                  <w:rFonts w:ascii="Baskerville Old Face" w:hAnsi="Baskerville Old Face"/>
                  <w:sz w:val="24"/>
                  <w:szCs w:val="24"/>
                </w:rPr>
                <w:t>, 13-29.</w:t>
              </w:r>
            </w:p>
            <w:p w14:paraId="27820DC8"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DANE. (2019). </w:t>
              </w:r>
              <w:r w:rsidRPr="00131EED">
                <w:rPr>
                  <w:rFonts w:ascii="Baskerville Old Face" w:hAnsi="Baskerville Old Face"/>
                  <w:i/>
                  <w:iCs/>
                  <w:sz w:val="24"/>
                  <w:szCs w:val="24"/>
                </w:rPr>
                <w:t>Guía de descarga y visualización. Marco Geoestadístico Nacional.</w:t>
              </w:r>
              <w:r w:rsidRPr="00131EED">
                <w:rPr>
                  <w:rFonts w:ascii="Baskerville Old Face" w:hAnsi="Baskerville Old Face"/>
                  <w:sz w:val="24"/>
                  <w:szCs w:val="24"/>
                </w:rPr>
                <w:t xml:space="preserve"> Bogotá: DANE.</w:t>
              </w:r>
            </w:p>
            <w:p w14:paraId="4357837A"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DANE, D. A. (2018). </w:t>
              </w:r>
              <w:r w:rsidRPr="00131EED">
                <w:rPr>
                  <w:rFonts w:ascii="Baskerville Old Face" w:hAnsi="Baskerville Old Face"/>
                  <w:i/>
                  <w:iCs/>
                  <w:sz w:val="24"/>
                  <w:szCs w:val="24"/>
                </w:rPr>
                <w:t>Proyecciones De Población Municipal Por Área Y Pertenencia Étnico-Racial 2018 - 2035.</w:t>
              </w:r>
              <w:r w:rsidRPr="00131EED">
                <w:rPr>
                  <w:rFonts w:ascii="Baskerville Old Face" w:hAnsi="Baskerville Old Face"/>
                  <w:sz w:val="24"/>
                  <w:szCs w:val="24"/>
                </w:rPr>
                <w:t xml:space="preserve"> Bogotá.</w:t>
              </w:r>
            </w:p>
            <w:p w14:paraId="0F5BC6A6"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EAAB- ESP, E. d. (2023). </w:t>
              </w:r>
              <w:r w:rsidRPr="00131EED">
                <w:rPr>
                  <w:rFonts w:ascii="Baskerville Old Face" w:hAnsi="Baskerville Old Face"/>
                  <w:i/>
                  <w:iCs/>
                  <w:sz w:val="24"/>
                  <w:szCs w:val="24"/>
                </w:rPr>
                <w:t>Descripción de los sistemas de abastecimiento</w:t>
              </w:r>
              <w:r w:rsidRPr="00131EED">
                <w:rPr>
                  <w:rFonts w:ascii="Baskerville Old Face" w:hAnsi="Baskerville Old Face"/>
                  <w:sz w:val="24"/>
                  <w:szCs w:val="24"/>
                </w:rPr>
                <w:t>. Obtenido de https://www.acueducto.com.co/wps/portal/EAB2/Home/acueducto-y-alcantarillado/la-infraestructuraAcueducto/plan-maestro-de-abastecimiento/descripcion-del-sistema-de-abastecimiento</w:t>
              </w:r>
            </w:p>
            <w:p w14:paraId="4EE0944A"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Guhl, E. (2013). </w:t>
              </w:r>
              <w:r w:rsidRPr="00131EED">
                <w:rPr>
                  <w:rFonts w:ascii="Baskerville Old Face" w:hAnsi="Baskerville Old Face"/>
                  <w:i/>
                  <w:iCs/>
                  <w:sz w:val="24"/>
                  <w:szCs w:val="24"/>
                </w:rPr>
                <w:t>La Región Hídrica de Bogotá.</w:t>
              </w:r>
              <w:r w:rsidRPr="00131EED">
                <w:rPr>
                  <w:rFonts w:ascii="Baskerville Old Face" w:hAnsi="Baskerville Old Face"/>
                  <w:sz w:val="24"/>
                  <w:szCs w:val="24"/>
                </w:rPr>
                <w:t xml:space="preserve"> Obtenido de http://scielo.org.co/scielo.php?script=sci_arttext&amp;pid=S0370-39082013000300005</w:t>
              </w:r>
            </w:p>
            <w:p w14:paraId="18A5A763"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GWP, G. W. (2019). </w:t>
              </w:r>
              <w:r w:rsidRPr="00131EED">
                <w:rPr>
                  <w:rFonts w:ascii="Baskerville Old Face" w:hAnsi="Baskerville Old Face"/>
                  <w:i/>
                  <w:iCs/>
                  <w:sz w:val="24"/>
                  <w:szCs w:val="24"/>
                </w:rPr>
                <w:t>Principales desafios de la GIRH</w:t>
              </w:r>
              <w:r w:rsidRPr="00131EED">
                <w:rPr>
                  <w:rFonts w:ascii="Baskerville Old Face" w:hAnsi="Baskerville Old Face"/>
                  <w:sz w:val="24"/>
                  <w:szCs w:val="24"/>
                </w:rPr>
                <w:t>. Obtenido de https://www.gwp.org/es/GWP-Sud-America/ACERCA/por-que/PRINCIPALES-DESAFIOS/Que-es-la-GIRH/</w:t>
              </w:r>
            </w:p>
            <w:p w14:paraId="261345E7"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Hurtado, J. (2019). </w:t>
              </w:r>
              <w:r w:rsidRPr="00131EED">
                <w:rPr>
                  <w:rFonts w:ascii="Baskerville Old Face" w:hAnsi="Baskerville Old Face"/>
                  <w:i/>
                  <w:iCs/>
                  <w:sz w:val="24"/>
                  <w:szCs w:val="24"/>
                </w:rPr>
                <w:t>Una aproximación al concepto de justicia hídrica.</w:t>
              </w:r>
              <w:r w:rsidRPr="00131EED">
                <w:rPr>
                  <w:rFonts w:ascii="Baskerville Old Face" w:hAnsi="Baskerville Old Face"/>
                  <w:sz w:val="24"/>
                  <w:szCs w:val="24"/>
                </w:rPr>
                <w:t xml:space="preserve"> Bogotá: Universidad Externado de Colombia.</w:t>
              </w:r>
            </w:p>
            <w:p w14:paraId="4C6D6697"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IAVH, I. A. (2014). </w:t>
              </w:r>
              <w:r w:rsidRPr="00131EED">
                <w:rPr>
                  <w:rFonts w:ascii="Baskerville Old Face" w:hAnsi="Baskerville Old Face"/>
                  <w:i/>
                  <w:iCs/>
                  <w:sz w:val="24"/>
                  <w:szCs w:val="24"/>
                </w:rPr>
                <w:t>Qué es eun ecosistema?</w:t>
              </w:r>
              <w:r w:rsidRPr="00131EED">
                <w:rPr>
                  <w:rFonts w:ascii="Baskerville Old Face" w:hAnsi="Baskerville Old Face"/>
                  <w:sz w:val="24"/>
                  <w:szCs w:val="24"/>
                </w:rPr>
                <w:t xml:space="preserve"> Obtenido de http://www.humboldt.org.co/es/biodiversidad/que-es-la-biodiversidad</w:t>
              </w:r>
            </w:p>
            <w:p w14:paraId="1C058720"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IDEAM. (s.f.). </w:t>
              </w:r>
              <w:r w:rsidRPr="00131EED">
                <w:rPr>
                  <w:rFonts w:ascii="Baskerville Old Face" w:hAnsi="Baskerville Old Face"/>
                  <w:i/>
                  <w:iCs/>
                  <w:sz w:val="24"/>
                  <w:szCs w:val="24"/>
                </w:rPr>
                <w:t>AMENAZAS INUNDACIÓN</w:t>
              </w:r>
              <w:r w:rsidRPr="00131EED">
                <w:rPr>
                  <w:rFonts w:ascii="Baskerville Old Face" w:hAnsi="Baskerville Old Face"/>
                  <w:sz w:val="24"/>
                  <w:szCs w:val="24"/>
                </w:rPr>
                <w:t>. Obtenido de http://www.ideam.gov.co/web/agua/amenazas-inundacion</w:t>
              </w:r>
            </w:p>
            <w:p w14:paraId="1B1D890E"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IDEAM, I. d. (2010). </w:t>
              </w:r>
              <w:r w:rsidRPr="00131EED">
                <w:rPr>
                  <w:rFonts w:ascii="Baskerville Old Face" w:hAnsi="Baskerville Old Face"/>
                  <w:i/>
                  <w:iCs/>
                  <w:sz w:val="24"/>
                  <w:szCs w:val="24"/>
                </w:rPr>
                <w:t>Marco conceptual.</w:t>
              </w:r>
              <w:r w:rsidRPr="00131EED">
                <w:rPr>
                  <w:rFonts w:ascii="Baskerville Old Face" w:hAnsi="Baskerville Old Face"/>
                  <w:sz w:val="24"/>
                  <w:szCs w:val="24"/>
                </w:rPr>
                <w:t xml:space="preserve"> Obtenido de Índice de vulnerabilidad hídrica por desabastecimiento: chrome-extension://efaidnbmnnnibpcajpcglclefindmkaj/http://bart.ideam.gov.co/indiecosistemas/ind/agua/hm/HM_IVH.pdf</w:t>
              </w:r>
            </w:p>
            <w:p w14:paraId="571F9AED"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IDEAM, I. d. (2011). </w:t>
              </w:r>
              <w:r w:rsidRPr="00131EED">
                <w:rPr>
                  <w:rFonts w:ascii="Baskerville Old Face" w:hAnsi="Baskerville Old Face"/>
                  <w:i/>
                  <w:iCs/>
                  <w:sz w:val="24"/>
                  <w:szCs w:val="24"/>
                </w:rPr>
                <w:t>Hoja metodológica del indicador Índice de calidad del agua (Versión 1,00). Sistema de Indicadores Ambientales de Colombia - Indicadores de Calidad del agua superficial. 10 p.</w:t>
              </w:r>
              <w:r w:rsidRPr="00131EED">
                <w:rPr>
                  <w:rFonts w:ascii="Baskerville Old Face" w:hAnsi="Baskerville Old Face"/>
                  <w:sz w:val="24"/>
                  <w:szCs w:val="24"/>
                </w:rPr>
                <w:t xml:space="preserve"> </w:t>
              </w:r>
            </w:p>
            <w:p w14:paraId="728762D1"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IDEAM, I. d. (2013). </w:t>
              </w:r>
              <w:r w:rsidRPr="00131EED">
                <w:rPr>
                  <w:rFonts w:ascii="Baskerville Old Face" w:hAnsi="Baskerville Old Face"/>
                  <w:i/>
                  <w:iCs/>
                  <w:sz w:val="24"/>
                  <w:szCs w:val="24"/>
                </w:rPr>
                <w:t>El ciclo hidrológico.</w:t>
              </w:r>
              <w:r w:rsidRPr="00131EED">
                <w:rPr>
                  <w:rFonts w:ascii="Baskerville Old Face" w:hAnsi="Baskerville Old Face"/>
                  <w:sz w:val="24"/>
                  <w:szCs w:val="24"/>
                </w:rPr>
                <w:t xml:space="preserve"> Obtenido de http://www.ideam.gov.co/web/siac/aguaques</w:t>
              </w:r>
            </w:p>
            <w:p w14:paraId="4EE6DB45"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IDEAM, I. d. (2013). </w:t>
              </w:r>
              <w:r w:rsidRPr="00131EED">
                <w:rPr>
                  <w:rFonts w:ascii="Baskerville Old Face" w:hAnsi="Baskerville Old Face"/>
                  <w:i/>
                  <w:iCs/>
                  <w:sz w:val="24"/>
                  <w:szCs w:val="24"/>
                </w:rPr>
                <w:t>Hoja metodológica del indicador Índice de Vulnerabilidad Hídrica por Desabastecimiento (IVH) (Versión 1,3). Sistema de Indicadores Ambientales de Colombia - Indicadores de Calidad del agua superficial. 15 p.</w:t>
              </w:r>
              <w:r w:rsidRPr="00131EED">
                <w:rPr>
                  <w:rFonts w:ascii="Baskerville Old Face" w:hAnsi="Baskerville Old Face"/>
                  <w:sz w:val="24"/>
                  <w:szCs w:val="24"/>
                </w:rPr>
                <w:t xml:space="preserve"> </w:t>
              </w:r>
            </w:p>
            <w:p w14:paraId="0976BCE9"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IDEAM, I. d. (2013). </w:t>
              </w:r>
              <w:r w:rsidRPr="00131EED">
                <w:rPr>
                  <w:rFonts w:ascii="Baskerville Old Face" w:hAnsi="Baskerville Old Face"/>
                  <w:i/>
                  <w:iCs/>
                  <w:sz w:val="24"/>
                  <w:szCs w:val="24"/>
                </w:rPr>
                <w:t>Índice del Uso del Agua - IUA</w:t>
              </w:r>
              <w:r w:rsidRPr="00131EED">
                <w:rPr>
                  <w:rFonts w:ascii="Baskerville Old Face" w:hAnsi="Baskerville Old Face"/>
                  <w:sz w:val="24"/>
                  <w:szCs w:val="24"/>
                </w:rPr>
                <w:t>. Obtenido de Indicadores: http://www.ideam.gov.co/web/agua/iua</w:t>
              </w:r>
            </w:p>
            <w:p w14:paraId="2B39FE21"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IDEAM, I. d. (2020). </w:t>
              </w:r>
              <w:r w:rsidRPr="00131EED">
                <w:rPr>
                  <w:rFonts w:ascii="Baskerville Old Face" w:hAnsi="Baskerville Old Face"/>
                  <w:i/>
                  <w:iCs/>
                  <w:sz w:val="24"/>
                  <w:szCs w:val="24"/>
                </w:rPr>
                <w:t>Hoja metodológica del Índice de alteración potencial de la calidad del agua (Versión 1,1). 16 p.</w:t>
              </w:r>
              <w:r w:rsidRPr="00131EED">
                <w:rPr>
                  <w:rFonts w:ascii="Baskerville Old Face" w:hAnsi="Baskerville Old Face"/>
                  <w:sz w:val="24"/>
                  <w:szCs w:val="24"/>
                </w:rPr>
                <w:t xml:space="preserve"> </w:t>
              </w:r>
            </w:p>
            <w:p w14:paraId="6AD6F667"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IDEAM, Instituto de Hidrología, Meteorología y Estudios Ambientales. (2015). </w:t>
              </w:r>
              <w:r w:rsidRPr="00131EED">
                <w:rPr>
                  <w:rFonts w:ascii="Baskerville Old Face" w:hAnsi="Baskerville Old Face"/>
                  <w:i/>
                  <w:iCs/>
                  <w:sz w:val="24"/>
                  <w:szCs w:val="24"/>
                </w:rPr>
                <w:t>Oferta Hídrica Total Superficial (OHTS) Histórica .</w:t>
              </w:r>
              <w:r w:rsidRPr="00131EED">
                <w:rPr>
                  <w:rFonts w:ascii="Baskerville Old Face" w:hAnsi="Baskerville Old Face"/>
                  <w:sz w:val="24"/>
                  <w:szCs w:val="24"/>
                </w:rPr>
                <w:t xml:space="preserve"> Obtenido de chrome-extension://efaidnbmnnnibpcajpcglclefindmkaj/http://bart.ideam.gov.co/indiecosistemas/ind/agua/hm/HM%20OHTS_Historica.pdf</w:t>
              </w:r>
            </w:p>
            <w:p w14:paraId="53B7B305"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IDOM. (2019). </w:t>
              </w:r>
              <w:r w:rsidRPr="00131EED">
                <w:rPr>
                  <w:rFonts w:ascii="Baskerville Old Face" w:hAnsi="Baskerville Old Face"/>
                  <w:i/>
                  <w:iCs/>
                  <w:sz w:val="24"/>
                  <w:szCs w:val="24"/>
                </w:rPr>
                <w:t>ESTUDIO DE CRECIMIENTO Y EVOLUCIÓN DE LA HUELLA URBANA PARA LOS MUNICIPIOS QUE CONFORMAN EL ÁREA BOGOTÁ REGIÓN.</w:t>
              </w:r>
              <w:r w:rsidRPr="00131EED">
                <w:rPr>
                  <w:rFonts w:ascii="Baskerville Old Face" w:hAnsi="Baskerville Old Face"/>
                  <w:sz w:val="24"/>
                  <w:szCs w:val="24"/>
                </w:rPr>
                <w:t xml:space="preserve"> BOGOTA .</w:t>
              </w:r>
            </w:p>
            <w:p w14:paraId="495BAC58"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IGAC. (2010). </w:t>
              </w:r>
              <w:r w:rsidRPr="00131EED">
                <w:rPr>
                  <w:rFonts w:ascii="Baskerville Old Face" w:hAnsi="Baskerville Old Face"/>
                  <w:i/>
                  <w:iCs/>
                  <w:sz w:val="24"/>
                  <w:szCs w:val="24"/>
                </w:rPr>
                <w:t>Leyenda Nacional de Coberturas de la Tierra. Metodología Corine Land Cover.</w:t>
              </w:r>
              <w:r w:rsidRPr="00131EED">
                <w:rPr>
                  <w:rFonts w:ascii="Baskerville Old Face" w:hAnsi="Baskerville Old Face"/>
                  <w:sz w:val="24"/>
                  <w:szCs w:val="24"/>
                </w:rPr>
                <w:t xml:space="preserve"> Bogotá: IGAC.</w:t>
              </w:r>
            </w:p>
            <w:p w14:paraId="5CEF8A87"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Instituto Humboldt. (2018). Impacto de la minería en ecosistemas de montaña en Colombia. Bogotá.</w:t>
              </w:r>
            </w:p>
            <w:p w14:paraId="6CA23FB9"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Instituto Universidario de Formosa. (2014). </w:t>
              </w:r>
              <w:r w:rsidRPr="00131EED">
                <w:rPr>
                  <w:rFonts w:ascii="Baskerville Old Face" w:hAnsi="Baskerville Old Face"/>
                  <w:i/>
                  <w:iCs/>
                  <w:sz w:val="24"/>
                  <w:szCs w:val="24"/>
                </w:rPr>
                <w:t>Boletín Técnico Agríloca.</w:t>
              </w:r>
              <w:r w:rsidRPr="00131EED">
                <w:rPr>
                  <w:rFonts w:ascii="Baskerville Old Face" w:hAnsi="Baskerville Old Face"/>
                  <w:sz w:val="24"/>
                  <w:szCs w:val="24"/>
                </w:rPr>
                <w:t xml:space="preserve"> Formosa, Argentina: Gobierno de la Provincia de Formosa.</w:t>
              </w:r>
            </w:p>
            <w:p w14:paraId="27737E84"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MARIN-BENITEZ, A. C. (28 de Febrero de 2023). Caracterización e inventario ambiental de cultivos bajo invernadero en Tenjo, Colombia. Bucaramanga, Santander, Colombia.</w:t>
              </w:r>
            </w:p>
            <w:p w14:paraId="14C94D6C"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MAVDT, M. d. (2010). </w:t>
              </w:r>
              <w:r w:rsidRPr="00131EED">
                <w:rPr>
                  <w:rFonts w:ascii="Baskerville Old Face" w:hAnsi="Baskerville Old Face"/>
                  <w:i/>
                  <w:iCs/>
                  <w:sz w:val="24"/>
                  <w:szCs w:val="24"/>
                </w:rPr>
                <w:t>Política Nacional para la Gestión Integral del Recurso Hídrico.</w:t>
              </w:r>
              <w:r w:rsidRPr="00131EED">
                <w:rPr>
                  <w:rFonts w:ascii="Baskerville Old Face" w:hAnsi="Baskerville Old Face"/>
                  <w:sz w:val="24"/>
                  <w:szCs w:val="24"/>
                </w:rPr>
                <w:t xml:space="preserve"> Obtenido de chrome-extension://efaidnbmnnnibpcajpcglclefindmkaj/https://www.minambiente.gov.co/wp-content/uploads/2021/10/Politica-nacional-Gestion-integral-de-recurso-Hidrico-web.pdf</w:t>
              </w:r>
            </w:p>
            <w:p w14:paraId="09ABD5F2" w14:textId="77777777" w:rsidR="00B9026F" w:rsidRPr="0053684C" w:rsidRDefault="00B9026F" w:rsidP="00B9026F">
              <w:pPr>
                <w:pStyle w:val="Bibliography"/>
                <w:ind w:left="720" w:hanging="720"/>
                <w:rPr>
                  <w:rFonts w:ascii="Baskerville Old Face" w:hAnsi="Baskerville Old Face"/>
                  <w:sz w:val="24"/>
                  <w:szCs w:val="24"/>
                  <w:lang w:val="en-US"/>
                </w:rPr>
              </w:pPr>
              <w:r w:rsidRPr="00131EED">
                <w:rPr>
                  <w:rFonts w:ascii="Baskerville Old Face" w:hAnsi="Baskerville Old Face"/>
                  <w:sz w:val="24"/>
                  <w:szCs w:val="24"/>
                </w:rPr>
                <w:t xml:space="preserve">MEA. (2005). </w:t>
              </w:r>
              <w:r w:rsidRPr="00131EED">
                <w:rPr>
                  <w:rFonts w:ascii="Baskerville Old Face" w:hAnsi="Baskerville Old Face"/>
                  <w:i/>
                  <w:iCs/>
                  <w:sz w:val="24"/>
                  <w:szCs w:val="24"/>
                </w:rPr>
                <w:t>Evaluación de Ecosistemas del Milenio</w:t>
              </w:r>
              <w:r w:rsidRPr="00131EED">
                <w:rPr>
                  <w:rFonts w:ascii="Baskerville Old Face" w:hAnsi="Baskerville Old Face"/>
                  <w:sz w:val="24"/>
                  <w:szCs w:val="24"/>
                </w:rPr>
                <w:t xml:space="preserve">. </w:t>
              </w:r>
              <w:r w:rsidRPr="0053684C">
                <w:rPr>
                  <w:rFonts w:ascii="Baskerville Old Face" w:hAnsi="Baskerville Old Face"/>
                  <w:sz w:val="24"/>
                  <w:szCs w:val="24"/>
                  <w:lang w:val="en-US"/>
                </w:rPr>
                <w:t>Obtenido de Ecosystems and human wellbeing: synthesis Island Press, Washington, DC.: www.millenniumassessment.org/</w:t>
              </w:r>
            </w:p>
            <w:p w14:paraId="203B50C0"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Minambiente, Asocolflores. (2024). </w:t>
              </w:r>
              <w:r w:rsidRPr="00131EED">
                <w:rPr>
                  <w:rFonts w:ascii="Baskerville Old Face" w:hAnsi="Baskerville Old Face"/>
                  <w:i/>
                  <w:iCs/>
                  <w:sz w:val="24"/>
                  <w:szCs w:val="24"/>
                </w:rPr>
                <w:t>Guia ambiental para cultivos de flores y especies ornamentales.</w:t>
              </w:r>
              <w:r w:rsidRPr="00131EED">
                <w:rPr>
                  <w:rFonts w:ascii="Baskerville Old Face" w:hAnsi="Baskerville Old Face"/>
                  <w:sz w:val="24"/>
                  <w:szCs w:val="24"/>
                </w:rPr>
                <w:t xml:space="preserve"> Bogotá: Minambiente.</w:t>
              </w:r>
            </w:p>
            <w:p w14:paraId="1E959332"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Ministerio de Ambiente y Desarrollo Sostenible. (2017). Directrices para la evaluación de impacto ambiental en zonas de alta montaña. Bogotá.</w:t>
              </w:r>
            </w:p>
            <w:p w14:paraId="6B3C968A"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Ministerio de Ambiente y Desarrollo Sostenible. (s.f.). </w:t>
              </w:r>
              <w:r w:rsidRPr="00131EED">
                <w:rPr>
                  <w:rFonts w:ascii="Baskerville Old Face" w:hAnsi="Baskerville Old Face"/>
                  <w:i/>
                  <w:iCs/>
                  <w:sz w:val="24"/>
                  <w:szCs w:val="24"/>
                </w:rPr>
                <w:t>Páramos</w:t>
              </w:r>
              <w:r w:rsidRPr="00131EED">
                <w:rPr>
                  <w:rFonts w:ascii="Baskerville Old Face" w:hAnsi="Baskerville Old Face"/>
                  <w:sz w:val="24"/>
                  <w:szCs w:val="24"/>
                </w:rPr>
                <w:t>. Obtenido de https://www.minambiente.gov.co/direccion-de-bosques-biodiversidad-y-servicios-ecosistemicos/paramos/</w:t>
              </w:r>
            </w:p>
            <w:p w14:paraId="0E6820E0"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Minvivienda. (2021). </w:t>
              </w:r>
              <w:r w:rsidRPr="00131EED">
                <w:rPr>
                  <w:rFonts w:ascii="Baskerville Old Face" w:hAnsi="Baskerville Old Face"/>
                  <w:i/>
                  <w:iCs/>
                  <w:sz w:val="24"/>
                  <w:szCs w:val="24"/>
                </w:rPr>
                <w:t>Circular sobre estructuras livianas.</w:t>
              </w:r>
              <w:r w:rsidRPr="00131EED">
                <w:rPr>
                  <w:rFonts w:ascii="Baskerville Old Face" w:hAnsi="Baskerville Old Face"/>
                  <w:sz w:val="24"/>
                  <w:szCs w:val="24"/>
                </w:rPr>
                <w:t xml:space="preserve"> Bogotá: Minvivienda.</w:t>
              </w:r>
            </w:p>
            <w:p w14:paraId="4BC1E4DA"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Moreno et al . (2022). </w:t>
              </w:r>
              <w:r w:rsidRPr="00131EED">
                <w:rPr>
                  <w:rFonts w:ascii="Baskerville Old Face" w:hAnsi="Baskerville Old Face"/>
                  <w:i/>
                  <w:iCs/>
                  <w:sz w:val="24"/>
                  <w:szCs w:val="24"/>
                </w:rPr>
                <w:t>Descripción General de los Humedales de Bogotá D.C.</w:t>
              </w:r>
              <w:r w:rsidRPr="00131EED">
                <w:rPr>
                  <w:rFonts w:ascii="Baskerville Old Face" w:hAnsi="Baskerville Old Face"/>
                  <w:sz w:val="24"/>
                  <w:szCs w:val="24"/>
                </w:rPr>
                <w:t xml:space="preserve"> Obtenido de chrome-extension://efaidnbmnnnibpcajpcglclefindmkaj/https://www.sogeocol.edu.co/documentos/humed.pdf</w:t>
              </w:r>
            </w:p>
            <w:p w14:paraId="687550DD"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ORARBO. (2023). </w:t>
              </w:r>
              <w:r w:rsidRPr="00131EED">
                <w:rPr>
                  <w:rFonts w:ascii="Baskerville Old Face" w:hAnsi="Baskerville Old Face"/>
                  <w:i/>
                  <w:iCs/>
                  <w:sz w:val="24"/>
                  <w:szCs w:val="24"/>
                </w:rPr>
                <w:t>Observatorio Regional Ambiental y de Desarrollo Sostenible del río Bogotá</w:t>
              </w:r>
              <w:r w:rsidRPr="00131EED">
                <w:rPr>
                  <w:rFonts w:ascii="Baskerville Old Face" w:hAnsi="Baskerville Old Face"/>
                  <w:sz w:val="24"/>
                  <w:szCs w:val="24"/>
                </w:rPr>
                <w:t>. Obtenido de https://orarbo.gov.co/es/todos-los-indicadores</w:t>
              </w:r>
            </w:p>
            <w:p w14:paraId="77AC2E09"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ORARBO. (2023). </w:t>
              </w:r>
              <w:r w:rsidRPr="00131EED">
                <w:rPr>
                  <w:rFonts w:ascii="Baskerville Old Face" w:hAnsi="Baskerville Old Face"/>
                  <w:i/>
                  <w:iCs/>
                  <w:sz w:val="24"/>
                  <w:szCs w:val="24"/>
                </w:rPr>
                <w:t>Observatorio Regional Ambiental y de Desarrollo Sostenible del Río Bogotá</w:t>
              </w:r>
              <w:r w:rsidRPr="00131EED">
                <w:rPr>
                  <w:rFonts w:ascii="Baskerville Old Face" w:hAnsi="Baskerville Old Face"/>
                  <w:sz w:val="24"/>
                  <w:szCs w:val="24"/>
                </w:rPr>
                <w:t>. Obtenido de https://orarbo.gov.co/es/todos-los-indicadores</w:t>
              </w:r>
            </w:p>
            <w:p w14:paraId="236F03DC"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Parques Nacionales Naturales de Colombia. (s.f.). </w:t>
              </w:r>
              <w:r w:rsidRPr="00131EED">
                <w:rPr>
                  <w:rFonts w:ascii="Baskerville Old Face" w:hAnsi="Baskerville Old Face"/>
                  <w:i/>
                  <w:iCs/>
                  <w:sz w:val="24"/>
                  <w:szCs w:val="24"/>
                </w:rPr>
                <w:t>Sistema Nacional de Áreas Protegidas</w:t>
              </w:r>
              <w:r w:rsidRPr="00131EED">
                <w:rPr>
                  <w:rFonts w:ascii="Baskerville Old Face" w:hAnsi="Baskerville Old Face"/>
                  <w:sz w:val="24"/>
                  <w:szCs w:val="24"/>
                </w:rPr>
                <w:t>. Obtenido de https://www.parquesnacionales.gov.co/entidad/sistema-nacional-de-areas-protegidas/</w:t>
              </w:r>
            </w:p>
            <w:p w14:paraId="74F3DAAC"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Restoration, S. f. (2019). </w:t>
              </w:r>
              <w:r w:rsidRPr="00131EED">
                <w:rPr>
                  <w:rFonts w:ascii="Baskerville Old Face" w:hAnsi="Baskerville Old Face"/>
                  <w:i/>
                  <w:iCs/>
                  <w:sz w:val="24"/>
                  <w:szCs w:val="24"/>
                </w:rPr>
                <w:t>Principios y estándares internacionales para la práctica de la restauración ecológica.</w:t>
              </w:r>
              <w:r w:rsidRPr="00131EED">
                <w:rPr>
                  <w:rFonts w:ascii="Baskerville Old Face" w:hAnsi="Baskerville Old Face"/>
                  <w:sz w:val="24"/>
                  <w:szCs w:val="24"/>
                </w:rPr>
                <w:t xml:space="preserve"> Weiley Periodicals.</w:t>
              </w:r>
            </w:p>
            <w:p w14:paraId="4A18EAD3"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Rivera, A. (2015). </w:t>
              </w:r>
              <w:r w:rsidRPr="00131EED">
                <w:rPr>
                  <w:rFonts w:ascii="Baskerville Old Face" w:hAnsi="Baskerville Old Face"/>
                  <w:i/>
                  <w:iCs/>
                  <w:sz w:val="24"/>
                  <w:szCs w:val="24"/>
                </w:rPr>
                <w:t xml:space="preserve">Efecto de las eliminaciones sucesivas de la vegetación en pie sobre el reclutamiento de Ulex europaeus, en matorrales de diferentes edades en Bogotá D.C. en Colombia </w:t>
              </w:r>
              <w:r w:rsidRPr="00131EED">
                <w:rPr>
                  <w:rFonts w:ascii="Tahoma" w:hAnsi="Tahoma" w:cs="Tahoma"/>
                  <w:i/>
                  <w:iCs/>
                  <w:sz w:val="24"/>
                  <w:szCs w:val="24"/>
                </w:rPr>
                <w:t>﻿</w:t>
              </w:r>
              <w:r w:rsidRPr="00131EED">
                <w:rPr>
                  <w:rFonts w:ascii="Baskerville Old Face" w:hAnsi="Baskerville Old Face"/>
                  <w:i/>
                  <w:iCs/>
                  <w:sz w:val="24"/>
                  <w:szCs w:val="24"/>
                </w:rPr>
                <w:t>.</w:t>
              </w:r>
              <w:r w:rsidRPr="00131EED">
                <w:rPr>
                  <w:rFonts w:ascii="Baskerville Old Face" w:hAnsi="Baskerville Old Face"/>
                  <w:sz w:val="24"/>
                  <w:szCs w:val="24"/>
                </w:rPr>
                <w:t xml:space="preserve"> Bogotá, D.C: Tesis de maestría en Ciencias Biológicas, Pontificia Universidad Javeriana.</w:t>
              </w:r>
            </w:p>
            <w:p w14:paraId="38F581AF"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Romero Mejía, M. (2020). </w:t>
              </w:r>
              <w:r w:rsidRPr="00131EED">
                <w:rPr>
                  <w:rFonts w:ascii="Baskerville Old Face" w:hAnsi="Baskerville Old Face"/>
                  <w:i/>
                  <w:iCs/>
                  <w:sz w:val="24"/>
                  <w:szCs w:val="24"/>
                </w:rPr>
                <w:t>Territorios híbridos metropolitanos: transformaciones urbanizadoras en el sector central de la Sabana de Bogotá.</w:t>
              </w:r>
              <w:r w:rsidRPr="00131EED">
                <w:rPr>
                  <w:rFonts w:ascii="Baskerville Old Face" w:hAnsi="Baskerville Old Face"/>
                  <w:sz w:val="24"/>
                  <w:szCs w:val="24"/>
                </w:rPr>
                <w:t xml:space="preserve"> Barcelona.</w:t>
              </w:r>
            </w:p>
            <w:p w14:paraId="3D7CF908"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Romero, I. (2022). </w:t>
              </w:r>
              <w:r w:rsidRPr="00131EED">
                <w:rPr>
                  <w:rFonts w:ascii="Baskerville Old Face" w:hAnsi="Baskerville Old Face"/>
                  <w:i/>
                  <w:iCs/>
                  <w:sz w:val="24"/>
                  <w:szCs w:val="24"/>
                </w:rPr>
                <w:t>Efectos ambientales de presas y embalses de las presas y embalses.</w:t>
              </w:r>
              <w:r w:rsidRPr="00131EED">
                <w:rPr>
                  <w:rFonts w:ascii="Baskerville Old Face" w:hAnsi="Baskerville Old Face"/>
                  <w:sz w:val="24"/>
                  <w:szCs w:val="24"/>
                </w:rPr>
                <w:t xml:space="preserve"> Obtenido de Universidad Politécnica de Valencia: chrome-extension://efaidnbmnnnibpcajpcglclefindmkaj/https://riunet.upv.es/bitstream/handle/10251/167775/Romero%20-%20Efectos%20ambentales%20de%20presas%20y%20embalses.pdf?sequence=1</w:t>
              </w:r>
            </w:p>
            <w:p w14:paraId="7E6A754E"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Sabana Centro Como Vamos. (10 de abril de 2025). Obtenido de https://sabanacentrocomovamos.org/bogota-completa-un-ano-de-racionamiento-de-agua-que-sigue</w:t>
              </w:r>
            </w:p>
            <w:p w14:paraId="55232387"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SDP. (2016). </w:t>
              </w:r>
              <w:r w:rsidRPr="00131EED">
                <w:rPr>
                  <w:rFonts w:ascii="Baskerville Old Face" w:hAnsi="Baskerville Old Face"/>
                  <w:i/>
                  <w:iCs/>
                  <w:sz w:val="24"/>
                  <w:szCs w:val="24"/>
                </w:rPr>
                <w:t>Región Metropolitana de Bogotá: Una visión de ocupación del suelo.</w:t>
              </w:r>
              <w:r w:rsidRPr="00131EED">
                <w:rPr>
                  <w:rFonts w:ascii="Baskerville Old Face" w:hAnsi="Baskerville Old Face"/>
                  <w:sz w:val="24"/>
                  <w:szCs w:val="24"/>
                </w:rPr>
                <w:t xml:space="preserve"> Bogotá: SDP.</w:t>
              </w:r>
            </w:p>
            <w:p w14:paraId="4016C4FD"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SDP. (2021). </w:t>
              </w:r>
              <w:r w:rsidRPr="00131EED">
                <w:rPr>
                  <w:rFonts w:ascii="Baskerville Old Face" w:hAnsi="Baskerville Old Face"/>
                  <w:i/>
                  <w:iCs/>
                  <w:sz w:val="24"/>
                  <w:szCs w:val="24"/>
                </w:rPr>
                <w:t>DTS Componente Urbano - POT de Bogotá.</w:t>
              </w:r>
              <w:r w:rsidRPr="00131EED">
                <w:rPr>
                  <w:rFonts w:ascii="Baskerville Old Face" w:hAnsi="Baskerville Old Face"/>
                  <w:sz w:val="24"/>
                  <w:szCs w:val="24"/>
                </w:rPr>
                <w:t xml:space="preserve"> Bogotá: Alcaldía Mayor de Bogotá.</w:t>
              </w:r>
            </w:p>
            <w:p w14:paraId="448FFAAC"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Secretaría del Hábitat. (2020). </w:t>
              </w:r>
              <w:r w:rsidRPr="00131EED">
                <w:rPr>
                  <w:rFonts w:ascii="Baskerville Old Face" w:hAnsi="Baskerville Old Face"/>
                  <w:i/>
                  <w:iCs/>
                  <w:sz w:val="24"/>
                  <w:szCs w:val="24"/>
                </w:rPr>
                <w:t>Disponibilidad de suelo urbanizable para Bogotá y la Región 2020.</w:t>
              </w:r>
              <w:r w:rsidRPr="00131EED">
                <w:rPr>
                  <w:rFonts w:ascii="Baskerville Old Face" w:hAnsi="Baskerville Old Face"/>
                  <w:sz w:val="24"/>
                  <w:szCs w:val="24"/>
                </w:rPr>
                <w:t xml:space="preserve"> Bogotá: Secretaría del Hábitat.</w:t>
              </w:r>
            </w:p>
            <w:p w14:paraId="62906D60"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Servicio Geológico Colombiano. (2017). </w:t>
              </w:r>
              <w:r w:rsidRPr="00131EED">
                <w:rPr>
                  <w:rFonts w:ascii="Baskerville Old Face" w:hAnsi="Baskerville Old Face"/>
                  <w:i/>
                  <w:iCs/>
                  <w:sz w:val="24"/>
                  <w:szCs w:val="24"/>
                </w:rPr>
                <w:t>GUÍA METODOLÓGICA PARA LA ZONIFICACIÓN DE AMENAZA POR MOVIMIENTOS EN MASA ESCALA 1: 25.000.</w:t>
              </w:r>
              <w:r w:rsidRPr="00131EED">
                <w:rPr>
                  <w:rFonts w:ascii="Baskerville Old Face" w:hAnsi="Baskerville Old Face"/>
                  <w:sz w:val="24"/>
                  <w:szCs w:val="24"/>
                </w:rPr>
                <w:t xml:space="preserve"> Bogotá.</w:t>
              </w:r>
            </w:p>
            <w:p w14:paraId="59C0F45C"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Servicio Geológico Colombiano y Universidad Pontificia Javeriana. (2021). </w:t>
              </w:r>
              <w:r w:rsidRPr="00131EED">
                <w:rPr>
                  <w:rFonts w:ascii="Baskerville Old Face" w:hAnsi="Baskerville Old Face"/>
                  <w:i/>
                  <w:iCs/>
                  <w:sz w:val="24"/>
                  <w:szCs w:val="24"/>
                </w:rPr>
                <w:t>Guía metodológica para zonificación de amenaza por avenidas torrenciales.</w:t>
              </w:r>
              <w:r w:rsidRPr="00131EED">
                <w:rPr>
                  <w:rFonts w:ascii="Baskerville Old Face" w:hAnsi="Baskerville Old Face"/>
                  <w:sz w:val="24"/>
                  <w:szCs w:val="24"/>
                </w:rPr>
                <w:t xml:space="preserve"> </w:t>
              </w:r>
            </w:p>
            <w:p w14:paraId="5A6B4A42"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SIC, R. 1. (28 de Febrero de 2018). </w:t>
              </w:r>
              <w:r w:rsidRPr="00131EED">
                <w:rPr>
                  <w:rFonts w:ascii="Baskerville Old Face" w:hAnsi="Baskerville Old Face"/>
                  <w:i/>
                  <w:iCs/>
                  <w:sz w:val="24"/>
                  <w:szCs w:val="24"/>
                </w:rPr>
                <w:t>Por la cual se imponen sanciones por infracciones del régimen de protección de la competencia</w:t>
              </w:r>
              <w:r w:rsidRPr="00131EED">
                <w:rPr>
                  <w:rFonts w:ascii="Baskerville Old Face" w:hAnsi="Baskerville Old Face"/>
                  <w:sz w:val="24"/>
                  <w:szCs w:val="24"/>
                </w:rPr>
                <w:t>. Obtenido de https://www.sic.gov.co/sites/default/files/files/Proteccion_Competencia/Ordenes_de_Publicaciones/Resoluciones_Sancion/RESOLUCI%C3%93N%2014305%20DEL%2028-02-2018.pdf</w:t>
              </w:r>
            </w:p>
            <w:p w14:paraId="610CA1D6"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Unión Europea. (09 de 09 de 2024). </w:t>
              </w:r>
              <w:r w:rsidRPr="00131EED">
                <w:rPr>
                  <w:rFonts w:ascii="Baskerville Old Face" w:hAnsi="Baskerville Old Face"/>
                  <w:i/>
                  <w:iCs/>
                  <w:sz w:val="24"/>
                  <w:szCs w:val="24"/>
                </w:rPr>
                <w:t>GHSL - Global Human Settlement Layer</w:t>
              </w:r>
              <w:r w:rsidRPr="00131EED">
                <w:rPr>
                  <w:rFonts w:ascii="Baskerville Old Face" w:hAnsi="Baskerville Old Face"/>
                  <w:sz w:val="24"/>
                  <w:szCs w:val="24"/>
                </w:rPr>
                <w:t>. Obtenido de https://human-settlement.emergency.copernicus.eu/copernicus.php</w:t>
              </w:r>
            </w:p>
            <w:p w14:paraId="3CA9831B"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Universidad Nacional de Colombia. (2020). Impacto del desarrollo urbano en los ecosistemas de la Sabana de Bogotá. Bogotá .</w:t>
              </w:r>
            </w:p>
            <w:p w14:paraId="4E178005" w14:textId="77777777" w:rsidR="00B9026F" w:rsidRPr="00131EED" w:rsidRDefault="00B9026F" w:rsidP="00B9026F">
              <w:pPr>
                <w:pStyle w:val="Bibliography"/>
                <w:ind w:left="720" w:hanging="720"/>
                <w:rPr>
                  <w:rFonts w:ascii="Baskerville Old Face" w:hAnsi="Baskerville Old Face"/>
                  <w:sz w:val="24"/>
                  <w:szCs w:val="24"/>
                </w:rPr>
              </w:pPr>
              <w:r w:rsidRPr="00131EED">
                <w:rPr>
                  <w:rFonts w:ascii="Baskerville Old Face" w:hAnsi="Baskerville Old Face"/>
                  <w:sz w:val="24"/>
                  <w:szCs w:val="24"/>
                </w:rPr>
                <w:t xml:space="preserve">Van der Hammen, T. (1998). </w:t>
              </w:r>
              <w:r w:rsidRPr="00131EED">
                <w:rPr>
                  <w:rFonts w:ascii="Baskerville Old Face" w:hAnsi="Baskerville Old Face"/>
                  <w:i/>
                  <w:iCs/>
                  <w:sz w:val="24"/>
                  <w:szCs w:val="24"/>
                </w:rPr>
                <w:t>Plan ambiental de la Cuenca Alta del Río Bogotá.</w:t>
              </w:r>
              <w:r w:rsidRPr="00131EED">
                <w:rPr>
                  <w:rFonts w:ascii="Baskerville Old Face" w:hAnsi="Baskerville Old Face"/>
                  <w:sz w:val="24"/>
                  <w:szCs w:val="24"/>
                </w:rPr>
                <w:t xml:space="preserve"> Bogota. D.C.: Corporación Autónoma Regional del Río Bogotá.</w:t>
              </w:r>
            </w:p>
            <w:p w14:paraId="1518D956" w14:textId="1D86964B" w:rsidR="00B9026F" w:rsidRPr="00131EED" w:rsidRDefault="00B9026F" w:rsidP="00B9026F">
              <w:r w:rsidRPr="00131EED">
                <w:rPr>
                  <w:b/>
                  <w:bCs/>
                </w:rPr>
                <w:fldChar w:fldCharType="end"/>
              </w:r>
            </w:p>
          </w:sdtContent>
        </w:sdt>
      </w:sdtContent>
    </w:sdt>
    <w:bookmarkEnd w:id="0"/>
    <w:bookmarkEnd w:id="1"/>
    <w:p w14:paraId="6CDCC9C0" w14:textId="31D7EEBB" w:rsidR="006C5204" w:rsidRPr="0025317C" w:rsidRDefault="006C5204" w:rsidP="002943FB">
      <w:pPr>
        <w:rPr>
          <w:rFonts w:eastAsia="Baskerville Old Face" w:cs="Baskerville Old Face"/>
          <w:color w:val="333333"/>
        </w:rPr>
      </w:pPr>
      <w:r w:rsidRPr="00131EED">
        <w:rPr>
          <w:rFonts w:eastAsia="Century Gothic" w:cs="Arial"/>
          <w:color w:val="333333"/>
        </w:rPr>
        <w:t> </w:t>
      </w:r>
    </w:p>
    <w:sectPr w:rsidR="006C5204" w:rsidRPr="0025317C" w:rsidSect="00A06448">
      <w:type w:val="continuous"/>
      <w:pgSz w:w="12240" w:h="15840"/>
      <w:pgMar w:top="2109" w:right="1701" w:bottom="992" w:left="1701"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69A947" w14:textId="77777777" w:rsidR="00FC4B87" w:rsidRPr="00131EED" w:rsidRDefault="00FC4B87">
      <w:r w:rsidRPr="00131EED">
        <w:separator/>
      </w:r>
    </w:p>
  </w:endnote>
  <w:endnote w:type="continuationSeparator" w:id="0">
    <w:p w14:paraId="3ACDF456" w14:textId="77777777" w:rsidR="00FC4B87" w:rsidRPr="00131EED" w:rsidRDefault="00FC4B87">
      <w:r w:rsidRPr="00131EED">
        <w:continuationSeparator/>
      </w:r>
    </w:p>
  </w:endnote>
  <w:endnote w:type="continuationNotice" w:id="1">
    <w:p w14:paraId="0764D5EE" w14:textId="77777777" w:rsidR="00FC4B87" w:rsidRPr="00131EED" w:rsidRDefault="00FC4B8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E89A8AF2-9CEB-43BB-AD7A-DAD04A225268}"/>
    <w:embedBold r:id="rId2" w:fontKey="{36DFE5C2-8547-4365-BFFF-843C46A4F6E6}"/>
    <w:embedItalic r:id="rId3" w:fontKey="{9762AE7A-4858-4268-BAB9-2246565AD3D5}"/>
    <w:embedBoldItalic r:id="rId4" w:fontKey="{CCAB6D22-34ED-4D1D-951C-B2BC542818AC}"/>
  </w:font>
  <w:font w:name="Baskerville Old Face">
    <w:panose1 w:val="02020602080505020303"/>
    <w:charset w:val="00"/>
    <w:family w:val="roman"/>
    <w:pitch w:val="variable"/>
    <w:sig w:usb0="00000003" w:usb1="00000000" w:usb2="00000000" w:usb3="00000000" w:csb0="00000001" w:csb1="00000000"/>
    <w:embedRegular r:id="rId5" w:fontKey="{CDAD5A51-55F6-443E-A721-2754E5419A78}"/>
    <w:embedBold r:id="rId6" w:fontKey="{23AB1B8F-6286-4CDE-8C2D-337758FCE5F1}"/>
    <w:embedItalic r:id="rId7" w:fontKey="{983CE477-37A3-438A-B11F-FA6C7829362C}"/>
    <w:embedBoldItalic r:id="rId8" w:fontKey="{25092BF5-2580-46C2-A545-8B5417D6FACC}"/>
  </w:font>
  <w:font w:name="Century Gothic">
    <w:panose1 w:val="020B0502020202020204"/>
    <w:charset w:val="00"/>
    <w:family w:val="swiss"/>
    <w:pitch w:val="variable"/>
    <w:sig w:usb0="00000287" w:usb1="00000000" w:usb2="00000000" w:usb3="00000000" w:csb0="0000009F" w:csb1="00000000"/>
    <w:embedRegular r:id="rId9" w:fontKey="{E12D2655-A2EE-4BC0-BF7D-E9812A2DD231}"/>
    <w:embedBold r:id="rId10" w:fontKey="{16BD7E9E-E94B-4413-B33A-6DF41AA189B8}"/>
    <w:embedItalic r:id="rId11" w:fontKey="{38A304EC-E7D5-4E71-8F7D-88034EEC985D}"/>
    <w:embedBoldItalic r:id="rId12" w:fontKey="{C7434B29-F2D7-485C-B25A-EDBB324EA265}"/>
  </w:font>
  <w:font w:name="Tahoma">
    <w:panose1 w:val="020B0604030504040204"/>
    <w:charset w:val="00"/>
    <w:family w:val="swiss"/>
    <w:pitch w:val="variable"/>
    <w:sig w:usb0="E1002EFF" w:usb1="C000605B" w:usb2="00000029" w:usb3="00000000" w:csb0="000101FF" w:csb1="00000000"/>
    <w:embedRegular r:id="rId13" w:fontKey="{2FBD0540-72A8-48CD-8DF9-5B39052080A3}"/>
    <w:embedItalic r:id="rId14" w:fontKey="{FB4A771B-77EE-4189-9058-5764A0A9EA9E}"/>
  </w:font>
  <w:font w:name="Calibri Light">
    <w:panose1 w:val="020F0302020204030204"/>
    <w:charset w:val="00"/>
    <w:family w:val="swiss"/>
    <w:pitch w:val="variable"/>
    <w:sig w:usb0="E4002EFF" w:usb1="C200247B" w:usb2="00000009" w:usb3="00000000" w:csb0="000001FF" w:csb1="00000000"/>
    <w:embedRegular r:id="rId15" w:fontKey="{582C60DE-E524-4F46-9B0D-C3EFCF1B3A20}"/>
    <w:embedItalic r:id="rId16" w:fontKey="{7AD920FD-452A-4496-8B6D-600538EA012A}"/>
  </w:font>
  <w:font w:name="Georgia">
    <w:panose1 w:val="02040502050405020303"/>
    <w:charset w:val="00"/>
    <w:family w:val="roman"/>
    <w:pitch w:val="variable"/>
    <w:sig w:usb0="00000287" w:usb1="00000000" w:usb2="00000000" w:usb3="00000000" w:csb0="0000009F" w:csb1="00000000"/>
    <w:embedRegular r:id="rId17" w:fontKey="{8AD33B7B-9C43-417F-A3CC-616622EE0AEB}"/>
    <w:embedBold r:id="rId18" w:fontKey="{225DDF04-9CC8-4DCC-AEF7-C119A296910C}"/>
    <w:embedItalic r:id="rId19" w:fontKey="{0C40EF4A-E0B9-4247-B0E5-95D5A54CF8F9}"/>
  </w:font>
  <w:font w:name="DejaVu LGC Sans">
    <w:altName w:val="Times New Roman"/>
    <w:charset w:val="00"/>
    <w:family w:val="auto"/>
    <w:pitch w:val="variable"/>
  </w:font>
  <w:font w:name="Yu Gothic Light">
    <w:panose1 w:val="020B0300000000000000"/>
    <w:charset w:val="80"/>
    <w:family w:val="swiss"/>
    <w:pitch w:val="variable"/>
    <w:sig w:usb0="E00002FF" w:usb1="2AC7FDFF" w:usb2="00000016" w:usb3="00000000" w:csb0="0002009F" w:csb1="00000000"/>
  </w:font>
  <w:font w:name="Baskerville">
    <w:altName w:val="Cambria Math"/>
    <w:charset w:val="00"/>
    <w:family w:val="roman"/>
    <w:pitch w:val="variable"/>
    <w:sig w:usb0="80000067" w:usb1="02000000" w:usb2="00000000" w:usb3="00000000" w:csb0="0000019F" w:csb1="00000000"/>
  </w:font>
  <w:font w:name="Verdana">
    <w:panose1 w:val="020B0604030504040204"/>
    <w:charset w:val="00"/>
    <w:family w:val="swiss"/>
    <w:pitch w:val="variable"/>
    <w:sig w:usb0="A00006FF" w:usb1="4000205B" w:usb2="00000010" w:usb3="00000000" w:csb0="0000019F" w:csb1="00000000"/>
    <w:embedRegular r:id="rId20" w:fontKey="{A66B7263-1C14-4E48-AEB1-4AF8BC86E694}"/>
    <w:embedBold r:id="rId21" w:fontKey="{CC8031A3-7F3D-4A79-803B-3A834BE9A1C7}"/>
    <w:embedItalic r:id="rId22" w:fontKey="{8D03EC3E-B789-4407-9511-BCA0D86DC346}"/>
    <w:embedBoldItalic r:id="rId23" w:fontKey="{739A2269-2DFC-42CC-AE5A-1E7BC10FEAB8}"/>
  </w:font>
  <w:font w:name="Helvetica">
    <w:altName w:val="Arial"/>
    <w:panose1 w:val="020B0604020202020204"/>
    <w:charset w:val="00"/>
    <w:family w:val="auto"/>
    <w:pitch w:val="variable"/>
    <w:sig w:usb0="E00002FF" w:usb1="5000785B" w:usb2="00000000" w:usb3="00000000" w:csb0="0000019F" w:csb1="00000000"/>
    <w:embedRegular r:id="rId24" w:fontKey="{DD7B2A38-5B4F-4E21-A9E8-A3DF1B91FF7F}"/>
  </w:font>
  <w:font w:name="Yu Mincho">
    <w:charset w:val="80"/>
    <w:family w:val="roman"/>
    <w:pitch w:val="variable"/>
    <w:sig w:usb0="800002E7" w:usb1="2AC7FCFF" w:usb2="00000012" w:usb3="00000000" w:csb0="0002009F" w:csb1="00000000"/>
  </w:font>
  <w:font w:name="system-ui">
    <w:altName w:val="Cambria"/>
    <w:charset w:val="00"/>
    <w:family w:val="roman"/>
    <w:pitch w:val="default"/>
  </w:font>
  <w:font w:name="Aptos">
    <w:charset w:val="00"/>
    <w:family w:val="swiss"/>
    <w:pitch w:val="variable"/>
    <w:sig w:usb0="20000287" w:usb1="00000003" w:usb2="00000000" w:usb3="00000000" w:csb0="0000019F" w:csb1="00000000"/>
    <w:embedRegular r:id="rId25" w:fontKey="{3E67CE16-8B8D-4465-96F6-169D3324797B}"/>
  </w:font>
  <w:font w:name="Aptos Narrow">
    <w:charset w:val="00"/>
    <w:family w:val="swiss"/>
    <w:pitch w:val="variable"/>
    <w:sig w:usb0="20000287" w:usb1="00000003" w:usb2="00000000" w:usb3="00000000" w:csb0="0000019F" w:csb1="00000000"/>
    <w:embedRegular r:id="rId26" w:fontKey="{F863D8B7-0A9A-436C-AF51-9E84B9E3FE42}"/>
  </w:font>
  <w:font w:name="Utsaah">
    <w:charset w:val="00"/>
    <w:family w:val="swiss"/>
    <w:pitch w:val="variable"/>
    <w:sig w:usb0="00008003" w:usb1="00000000" w:usb2="00000000" w:usb3="00000000" w:csb0="00000001" w:csb1="00000000"/>
  </w:font>
  <w:font w:name="Gautami">
    <w:panose1 w:val="02000500000000000000"/>
    <w:charset w:val="00"/>
    <w:family w:val="swiss"/>
    <w:pitch w:val="variable"/>
    <w:sig w:usb0="00200003" w:usb1="00000000" w:usb2="00000000" w:usb3="00000000" w:csb0="00000001" w:csb1="00000000"/>
    <w:embedItalic r:id="rId27" w:fontKey="{B4E1C9BE-DF15-436E-812F-79230D8B3E8C}"/>
  </w:font>
  <w:font w:name="Arial Narrow">
    <w:panose1 w:val="020B0606020202030204"/>
    <w:charset w:val="00"/>
    <w:family w:val="swiss"/>
    <w:pitch w:val="variable"/>
    <w:sig w:usb0="00000287" w:usb1="00000800" w:usb2="00000000" w:usb3="00000000" w:csb0="0000009F" w:csb1="00000000"/>
    <w:embedRegular r:id="rId28" w:fontKey="{35DC2D44-837C-4EE3-A397-6EF30ADD41F6}"/>
    <w:embedBold r:id="rId29" w:fontKey="{59938351-8E98-452F-A66E-76F06271E78C}"/>
    <w:embedItalic r:id="rId30" w:fontKey="{E90888FF-C729-4A0A-A7CE-3B1546F67F03}"/>
    <w:embedBoldItalic r:id="rId31" w:fontKey="{176223BD-E0A8-4DDA-B2FF-0348214EF018}"/>
  </w:font>
  <w:font w:name="Garamond">
    <w:panose1 w:val="02020404030301010803"/>
    <w:charset w:val="00"/>
    <w:family w:val="roman"/>
    <w:pitch w:val="variable"/>
    <w:sig w:usb0="00000287" w:usb1="00000000" w:usb2="00000000" w:usb3="00000000" w:csb0="0000009F" w:csb1="00000000"/>
    <w:embedRegular r:id="rId32" w:fontKey="{5D65B3DB-ABE0-4A2C-9D44-3A926F914DF2}"/>
    <w:embedItalic r:id="rId33" w:fontKey="{7849CF01-2EC1-44C2-B2DA-60E0F50C1F26}"/>
  </w:font>
  <w:font w:name="Cambria">
    <w:panose1 w:val="02040503050406030204"/>
    <w:charset w:val="00"/>
    <w:family w:val="roman"/>
    <w:pitch w:val="variable"/>
    <w:sig w:usb0="E00006FF" w:usb1="420024FF" w:usb2="02000000" w:usb3="00000000" w:csb0="0000019F" w:csb1="00000000"/>
    <w:embedRegular r:id="rId34" w:fontKey="{BAAC3948-5792-4847-85C1-5E971C0439B6}"/>
    <w:embedBold r:id="rId35" w:fontKey="{3C1F47D6-0FC0-4C06-82D8-4677893FA209}"/>
  </w:font>
  <w:font w:name="Cambria Math">
    <w:panose1 w:val="02040503050406030204"/>
    <w:charset w:val="00"/>
    <w:family w:val="roman"/>
    <w:pitch w:val="variable"/>
    <w:sig w:usb0="E00006FF" w:usb1="420024FF" w:usb2="02000000" w:usb3="00000000" w:csb0="0000019F" w:csb1="00000000"/>
    <w:embedRegular r:id="rId36" w:fontKey="{DB136C4D-95E4-4FF8-AF1D-B216F523C3B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27926" w14:textId="77777777" w:rsidR="00B3405F" w:rsidRPr="00131EED" w:rsidRDefault="00B3405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C84D67" w14:textId="77777777" w:rsidR="00950F07" w:rsidRPr="00131EED" w:rsidRDefault="00950F07" w:rsidP="00DE1CE8">
    <w:pPr>
      <w:pStyle w:val="Footer"/>
      <w:jc w:val="right"/>
    </w:pPr>
    <w:r w:rsidRPr="00131EED">
      <w:rPr>
        <w:rFonts w:ascii="Verdana" w:hAnsi="Verdana"/>
        <w:noProof/>
        <w:sz w:val="18"/>
        <w:szCs w:val="18"/>
      </w:rPr>
      <mc:AlternateContent>
        <mc:Choice Requires="wps">
          <w:drawing>
            <wp:anchor distT="0" distB="0" distL="114300" distR="114300" simplePos="0" relativeHeight="251668992" behindDoc="0" locked="0" layoutInCell="1" allowOverlap="1" wp14:anchorId="328C2603" wp14:editId="40B5F9DF">
              <wp:simplePos x="0" y="0"/>
              <wp:positionH relativeFrom="margin">
                <wp:posOffset>-99002</wp:posOffset>
              </wp:positionH>
              <wp:positionV relativeFrom="paragraph">
                <wp:posOffset>-176818</wp:posOffset>
              </wp:positionV>
              <wp:extent cx="5457825" cy="1229995"/>
              <wp:effectExtent l="0" t="0" r="0" b="0"/>
              <wp:wrapNone/>
              <wp:docPr id="1223101586" name="Cuadro de texto 1"/>
              <wp:cNvGraphicFramePr/>
              <a:graphic xmlns:a="http://schemas.openxmlformats.org/drawingml/2006/main">
                <a:graphicData uri="http://schemas.microsoft.com/office/word/2010/wordprocessingShape">
                  <wps:wsp>
                    <wps:cNvSpPr txBox="1"/>
                    <wps:spPr>
                      <a:xfrm>
                        <a:off x="0" y="0"/>
                        <a:ext cx="5457825" cy="1229995"/>
                      </a:xfrm>
                      <a:prstGeom prst="rect">
                        <a:avLst/>
                      </a:prstGeom>
                      <a:noFill/>
                      <a:ln w="6350">
                        <a:noFill/>
                      </a:ln>
                    </wps:spPr>
                    <wps:txbx>
                      <w:txbxContent>
                        <w:p w14:paraId="00D875C7" w14:textId="77777777" w:rsidR="00950F07" w:rsidRPr="00131EED" w:rsidRDefault="00950F07" w:rsidP="00DE1CE8">
                          <w:pPr>
                            <w:spacing w:line="276" w:lineRule="auto"/>
                            <w:rPr>
                              <w:rFonts w:ascii="Helvetica" w:hAnsi="Helvetica"/>
                              <w:sz w:val="20"/>
                              <w:szCs w:val="20"/>
                            </w:rPr>
                          </w:pPr>
                          <w:r w:rsidRPr="00131EED">
                            <w:rPr>
                              <w:rFonts w:ascii="Helvetica" w:hAnsi="Helvetica"/>
                              <w:sz w:val="20"/>
                              <w:szCs w:val="20"/>
                            </w:rPr>
                            <w:t>________________________________________________________________________</w:t>
                          </w:r>
                        </w:p>
                        <w:p w14:paraId="0B2AF696" w14:textId="77777777" w:rsidR="00950F07" w:rsidRPr="00131EED" w:rsidRDefault="00950F07" w:rsidP="00DE1CE8">
                          <w:pPr>
                            <w:spacing w:line="276" w:lineRule="auto"/>
                            <w:rPr>
                              <w:rFonts w:ascii="Verdana" w:hAnsi="Verdana"/>
                              <w:b/>
                              <w:sz w:val="18"/>
                              <w:szCs w:val="18"/>
                            </w:rPr>
                          </w:pPr>
                          <w:r w:rsidRPr="00131EED">
                            <w:rPr>
                              <w:rFonts w:ascii="Verdana" w:hAnsi="Verdana"/>
                              <w:b/>
                              <w:sz w:val="18"/>
                              <w:szCs w:val="18"/>
                            </w:rPr>
                            <w:t>Ministerio de Ambiente y Desarrollo Sostenible</w:t>
                          </w:r>
                        </w:p>
                        <w:p w14:paraId="0A42A12D" w14:textId="77777777" w:rsidR="00950F07" w:rsidRPr="00131EED" w:rsidRDefault="00950F07" w:rsidP="00DE1CE8">
                          <w:pPr>
                            <w:spacing w:line="276" w:lineRule="auto"/>
                            <w:rPr>
                              <w:rFonts w:ascii="Verdana" w:hAnsi="Verdana"/>
                              <w:sz w:val="18"/>
                              <w:szCs w:val="18"/>
                            </w:rPr>
                          </w:pPr>
                          <w:r w:rsidRPr="00131EED">
                            <w:rPr>
                              <w:rFonts w:ascii="Verdana" w:hAnsi="Verdana"/>
                              <w:sz w:val="18"/>
                              <w:szCs w:val="18"/>
                            </w:rPr>
                            <w:t xml:space="preserve">Dirección: Calle 37 #8 - 40, Bogotá D.C., Colombia </w:t>
                          </w:r>
                        </w:p>
                        <w:p w14:paraId="392E01AB" w14:textId="77777777" w:rsidR="00950F07" w:rsidRPr="00131EED" w:rsidRDefault="00950F07" w:rsidP="00DE1CE8">
                          <w:pPr>
                            <w:spacing w:line="276" w:lineRule="auto"/>
                            <w:rPr>
                              <w:rFonts w:ascii="Verdana" w:hAnsi="Verdana"/>
                              <w:sz w:val="18"/>
                              <w:szCs w:val="18"/>
                            </w:rPr>
                          </w:pPr>
                          <w:r w:rsidRPr="00131EED">
                            <w:rPr>
                              <w:rFonts w:ascii="Verdana" w:hAnsi="Verdana"/>
                              <w:sz w:val="18"/>
                              <w:szCs w:val="18"/>
                            </w:rPr>
                            <w:t>Conmutador: (+57) 601 332 3400 - 3133463676</w:t>
                          </w:r>
                        </w:p>
                        <w:p w14:paraId="3502D5CD" w14:textId="77777777" w:rsidR="00950F07" w:rsidRPr="00131EED" w:rsidRDefault="00950F07" w:rsidP="00DE1CE8">
                          <w:pPr>
                            <w:spacing w:line="276" w:lineRule="auto"/>
                            <w:rPr>
                              <w:rFonts w:ascii="Verdana" w:hAnsi="Verdana"/>
                              <w:sz w:val="18"/>
                              <w:szCs w:val="18"/>
                            </w:rPr>
                          </w:pPr>
                          <w:r w:rsidRPr="00131EED">
                            <w:rPr>
                              <w:rFonts w:ascii="Verdana" w:hAnsi="Verdana"/>
                              <w:sz w:val="18"/>
                              <w:szCs w:val="18"/>
                            </w:rPr>
                            <w:t>Línea Gratuita: (+57) 01 8000 919301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8C2603" id="_x0000_t202" coordsize="21600,21600" o:spt="202" path="m,l,21600r21600,l21600,xe">
              <v:stroke joinstyle="miter"/>
              <v:path gradientshapeok="t" o:connecttype="rect"/>
            </v:shapetype>
            <v:shape id="Cuadro de texto 1" o:spid="_x0000_s1027" type="#_x0000_t202" style="position:absolute;left:0;text-align:left;margin-left:-7.8pt;margin-top:-13.9pt;width:429.75pt;height:96.85pt;z-index:251668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" filled="f" stroked="f" strokeweight=".5pt">
              <v:textbox>
                <w:txbxContent>
                  <w:p w14:paraId="00D875C7" w14:textId="77777777" w:rsidR="00950F07" w:rsidRPr="00131EED" w:rsidRDefault="00950F07" w:rsidP="00DE1CE8">
                    <w:pPr>
                      <w:spacing w:line="276" w:lineRule="auto"/>
                      <w:rPr>
                        <w:rFonts w:ascii="Helvetica" w:hAnsi="Helvetica"/>
                        <w:sz w:val="20"/>
                        <w:szCs w:val="20"/>
                      </w:rPr>
                    </w:pPr>
                    <w:r w:rsidRPr="00131EED">
                      <w:rPr>
                        <w:rFonts w:ascii="Helvetica" w:hAnsi="Helvetica"/>
                        <w:sz w:val="20"/>
                        <w:szCs w:val="20"/>
                      </w:rPr>
                      <w:t>________________________________________________________________________</w:t>
                    </w:r>
                  </w:p>
                  <w:p w14:paraId="0B2AF696" w14:textId="77777777" w:rsidR="00950F07" w:rsidRPr="00131EED" w:rsidRDefault="00950F07" w:rsidP="00DE1CE8">
                    <w:pPr>
                      <w:spacing w:line="276" w:lineRule="auto"/>
                      <w:rPr>
                        <w:rFonts w:ascii="Verdana" w:hAnsi="Verdana"/>
                        <w:b/>
                        <w:sz w:val="18"/>
                        <w:szCs w:val="18"/>
                      </w:rPr>
                    </w:pPr>
                    <w:r w:rsidRPr="00131EED">
                      <w:rPr>
                        <w:rFonts w:ascii="Verdana" w:hAnsi="Verdana"/>
                        <w:b/>
                        <w:sz w:val="18"/>
                        <w:szCs w:val="18"/>
                      </w:rPr>
                      <w:t>Ministerio de Ambiente y Desarrollo Sostenible</w:t>
                    </w:r>
                  </w:p>
                  <w:p w14:paraId="0A42A12D" w14:textId="77777777" w:rsidR="00950F07" w:rsidRPr="00131EED" w:rsidRDefault="00950F07" w:rsidP="00DE1CE8">
                    <w:pPr>
                      <w:spacing w:line="276" w:lineRule="auto"/>
                      <w:rPr>
                        <w:rFonts w:ascii="Verdana" w:hAnsi="Verdana"/>
                        <w:sz w:val="18"/>
                        <w:szCs w:val="18"/>
                      </w:rPr>
                    </w:pPr>
                    <w:r w:rsidRPr="00131EED">
                      <w:rPr>
                        <w:rFonts w:ascii="Verdana" w:hAnsi="Verdana"/>
                        <w:sz w:val="18"/>
                        <w:szCs w:val="18"/>
                      </w:rPr>
                      <w:t xml:space="preserve">Dirección: Calle 37 #8 - 40, Bogotá D.C., Colombia </w:t>
                    </w:r>
                  </w:p>
                  <w:p w14:paraId="392E01AB" w14:textId="77777777" w:rsidR="00950F07" w:rsidRPr="00131EED" w:rsidRDefault="00950F07" w:rsidP="00DE1CE8">
                    <w:pPr>
                      <w:spacing w:line="276" w:lineRule="auto"/>
                      <w:rPr>
                        <w:rFonts w:ascii="Verdana" w:hAnsi="Verdana"/>
                        <w:sz w:val="18"/>
                        <w:szCs w:val="18"/>
                      </w:rPr>
                    </w:pPr>
                    <w:r w:rsidRPr="00131EED">
                      <w:rPr>
                        <w:rFonts w:ascii="Verdana" w:hAnsi="Verdana"/>
                        <w:sz w:val="18"/>
                        <w:szCs w:val="18"/>
                      </w:rPr>
                      <w:t>Conmutador: (+57) 601 332 3400 - 3133463676</w:t>
                    </w:r>
                  </w:p>
                  <w:p w14:paraId="3502D5CD" w14:textId="77777777" w:rsidR="00950F07" w:rsidRPr="00131EED" w:rsidRDefault="00950F07" w:rsidP="00DE1CE8">
                    <w:pPr>
                      <w:spacing w:line="276" w:lineRule="auto"/>
                      <w:rPr>
                        <w:rFonts w:ascii="Verdana" w:hAnsi="Verdana"/>
                        <w:sz w:val="18"/>
                        <w:szCs w:val="18"/>
                      </w:rPr>
                    </w:pPr>
                    <w:r w:rsidRPr="00131EED">
                      <w:rPr>
                        <w:rFonts w:ascii="Verdana" w:hAnsi="Verdana"/>
                        <w:sz w:val="18"/>
                        <w:szCs w:val="18"/>
                      </w:rPr>
                      <w:t>Línea Gratuita: (+57) 01 8000 919301</w:t>
                    </w:r>
                  </w:p>
                </w:txbxContent>
              </v:textbox>
              <w10:wrap anchorx="margin"/>
            </v:shape>
          </w:pict>
        </mc:Fallback>
      </mc:AlternateContent>
    </w:r>
  </w:p>
  <w:sdt>
    <w:sdtPr>
      <w:id w:val="-1071572585"/>
      <w:docPartObj>
        <w:docPartGallery w:val="Page Numbers (Bottom of Page)"/>
        <w:docPartUnique/>
      </w:docPartObj>
    </w:sdtPr>
    <w:sdtEndPr>
      <w:rPr>
        <w:rFonts w:ascii="Verdana" w:hAnsi="Verdana"/>
        <w:color w:val="000000"/>
        <w:sz w:val="18"/>
        <w:szCs w:val="18"/>
      </w:rPr>
    </w:sdtEndPr>
    <w:sdtContent>
      <w:p w14:paraId="100818C9" w14:textId="2A5D5EBC" w:rsidR="00950F07" w:rsidRPr="00131EED" w:rsidRDefault="00950F07" w:rsidP="00DE1CE8">
        <w:pPr>
          <w:pStyle w:val="Footer"/>
          <w:jc w:val="right"/>
          <w:rPr>
            <w:rFonts w:ascii="Verdana" w:hAnsi="Verdana"/>
            <w:color w:val="000000"/>
            <w:sz w:val="18"/>
            <w:szCs w:val="18"/>
          </w:rPr>
        </w:pPr>
        <w:r w:rsidRPr="00131EED">
          <w:rPr>
            <w:rFonts w:ascii="Verdana" w:hAnsi="Verdana"/>
            <w:color w:val="000000"/>
            <w:sz w:val="18"/>
            <w:szCs w:val="18"/>
          </w:rPr>
          <w:t xml:space="preserve">Página </w:t>
        </w:r>
        <w:r w:rsidRPr="00131EED">
          <w:rPr>
            <w:rFonts w:ascii="Verdana" w:hAnsi="Verdana"/>
            <w:color w:val="000000"/>
            <w:sz w:val="18"/>
            <w:szCs w:val="18"/>
          </w:rPr>
          <w:fldChar w:fldCharType="begin"/>
        </w:r>
        <w:r w:rsidRPr="00131EED">
          <w:rPr>
            <w:rFonts w:ascii="Verdana" w:hAnsi="Verdana"/>
            <w:color w:val="000000"/>
            <w:sz w:val="18"/>
            <w:szCs w:val="18"/>
          </w:rPr>
          <w:instrText>PAGE   \* MERGEFORMAT</w:instrText>
        </w:r>
        <w:r w:rsidRPr="00131EED">
          <w:rPr>
            <w:rFonts w:ascii="Verdana" w:hAnsi="Verdana"/>
            <w:color w:val="000000"/>
            <w:sz w:val="18"/>
            <w:szCs w:val="18"/>
          </w:rPr>
          <w:fldChar w:fldCharType="separate"/>
        </w:r>
        <w:r w:rsidR="00602DD4" w:rsidRPr="00131EED">
          <w:rPr>
            <w:rFonts w:ascii="Verdana" w:hAnsi="Verdana"/>
            <w:color w:val="000000"/>
            <w:sz w:val="18"/>
            <w:szCs w:val="18"/>
          </w:rPr>
          <w:t>1</w:t>
        </w:r>
        <w:r w:rsidRPr="00131EED">
          <w:rPr>
            <w:rFonts w:ascii="Verdana" w:hAnsi="Verdana"/>
            <w:color w:val="000000"/>
            <w:sz w:val="18"/>
            <w:szCs w:val="18"/>
          </w:rPr>
          <w:fldChar w:fldCharType="end"/>
        </w:r>
        <w:r w:rsidRPr="00131EED">
          <w:rPr>
            <w:rFonts w:ascii="Verdana" w:hAnsi="Verdana"/>
            <w:color w:val="000000"/>
            <w:sz w:val="18"/>
            <w:szCs w:val="18"/>
          </w:rPr>
          <w:t xml:space="preserve"> | </w:t>
        </w:r>
        <w:r w:rsidRPr="00131EED">
          <w:rPr>
            <w:rFonts w:ascii="Verdana" w:hAnsi="Verdana"/>
            <w:color w:val="000000"/>
            <w:sz w:val="18"/>
            <w:szCs w:val="18"/>
          </w:rPr>
          <w:fldChar w:fldCharType="begin"/>
        </w:r>
        <w:r w:rsidRPr="00131EED">
          <w:rPr>
            <w:rFonts w:ascii="Verdana" w:hAnsi="Verdana"/>
            <w:color w:val="000000"/>
            <w:sz w:val="18"/>
            <w:szCs w:val="18"/>
          </w:rPr>
          <w:instrText>NUMPAGES  \* Arabic  \* MERGEFORMAT</w:instrText>
        </w:r>
        <w:r w:rsidRPr="00131EED">
          <w:rPr>
            <w:rFonts w:ascii="Verdana" w:hAnsi="Verdana"/>
            <w:color w:val="000000"/>
            <w:sz w:val="18"/>
            <w:szCs w:val="18"/>
          </w:rPr>
          <w:fldChar w:fldCharType="separate"/>
        </w:r>
        <w:r w:rsidR="002943FB" w:rsidRPr="00131EED">
          <w:rPr>
            <w:rFonts w:ascii="Verdana" w:hAnsi="Verdana"/>
            <w:color w:val="000000"/>
            <w:sz w:val="18"/>
            <w:szCs w:val="18"/>
          </w:rPr>
          <w:t>337</w:t>
        </w:r>
        <w:r w:rsidRPr="00131EED">
          <w:rPr>
            <w:rFonts w:ascii="Verdana" w:hAnsi="Verdana"/>
            <w:color w:val="000000"/>
            <w:sz w:val="18"/>
            <w:szCs w:val="18"/>
          </w:rPr>
          <w:fldChar w:fldCharType="end"/>
        </w:r>
      </w:p>
      <w:p w14:paraId="21AB8E52" w14:textId="77777777" w:rsidR="00950F07" w:rsidRPr="00131EED" w:rsidRDefault="00A848D3" w:rsidP="00DE1CE8">
        <w:pPr>
          <w:pStyle w:val="Footer"/>
          <w:jc w:val="right"/>
          <w:rPr>
            <w:rFonts w:ascii="Verdana" w:hAnsi="Verdana"/>
            <w:color w:val="000000"/>
            <w:sz w:val="18"/>
            <w:szCs w:val="18"/>
          </w:rPr>
        </w:pPr>
      </w:p>
    </w:sdtContent>
  </w:sdt>
  <w:p w14:paraId="4D7F9536" w14:textId="77777777" w:rsidR="00950F07" w:rsidRPr="00131EED" w:rsidRDefault="00950F07" w:rsidP="00DE1CE8">
    <w:pPr>
      <w:pStyle w:val="Footer"/>
      <w:jc w:val="right"/>
      <w:rPr>
        <w:rFonts w:ascii="Verdana" w:hAnsi="Verdana"/>
        <w:sz w:val="18"/>
        <w:szCs w:val="18"/>
      </w:rPr>
    </w:pPr>
    <w:r w:rsidRPr="00131EED">
      <w:rPr>
        <w:rFonts w:ascii="Verdana" w:hAnsi="Verdana"/>
        <w:sz w:val="18"/>
        <w:szCs w:val="18"/>
      </w:rPr>
      <w:t>F-E-SIG-26:V7 02-08-2024</w:t>
    </w:r>
  </w:p>
  <w:p w14:paraId="213F1FE7" w14:textId="77777777" w:rsidR="00950F07" w:rsidRPr="00131EED" w:rsidRDefault="00950F07" w:rsidP="00DE1CE8">
    <w:pPr>
      <w:pStyle w:val="Footer"/>
      <w:jc w:val="right"/>
      <w:rPr>
        <w:rFonts w:ascii="Verdana" w:hAnsi="Verdana"/>
        <w:sz w:val="18"/>
        <w:szCs w:val="18"/>
      </w:rPr>
    </w:pPr>
  </w:p>
  <w:p w14:paraId="0C93DDA0" w14:textId="77777777" w:rsidR="00950F07" w:rsidRPr="00131EED" w:rsidRDefault="00950F07" w:rsidP="00DE1CE8">
    <w:pPr>
      <w:pStyle w:val="Footer"/>
      <w:jc w:val="right"/>
      <w:rPr>
        <w:rFonts w:ascii="Verdana" w:hAnsi="Verdana"/>
        <w:sz w:val="18"/>
        <w:szCs w:val="18"/>
      </w:rPr>
    </w:pPr>
  </w:p>
  <w:p w14:paraId="5214C478" w14:textId="77777777" w:rsidR="00950F07" w:rsidRPr="00131EED" w:rsidRDefault="00950F07" w:rsidP="00DE1CE8">
    <w:pPr>
      <w:pStyle w:val="Footer"/>
      <w:jc w:val="right"/>
      <w:rPr>
        <w:rFonts w:ascii="Verdana" w:hAnsi="Verdana"/>
        <w:sz w:val="18"/>
        <w:szCs w:val="18"/>
      </w:rPr>
    </w:pPr>
  </w:p>
  <w:p w14:paraId="1524418E" w14:textId="77777777" w:rsidR="00950F07" w:rsidRPr="00131EED" w:rsidRDefault="00950F07" w:rsidP="00702BBC">
    <w:pPr>
      <w:pBdr>
        <w:top w:val="nil"/>
        <w:left w:val="nil"/>
        <w:bottom w:val="nil"/>
        <w:right w:val="nil"/>
        <w:between w:val="nil"/>
      </w:pBdr>
      <w:tabs>
        <w:tab w:val="center" w:pos="4419"/>
        <w:tab w:val="right" w:pos="8838"/>
        <w:tab w:val="left" w:pos="7937"/>
      </w:tabs>
      <w:rPr>
        <w:rFonts w:ascii="Verdana" w:eastAsia="Verdana" w:hAnsi="Verdana" w:cs="Verdana"/>
        <w:color w:val="000000"/>
        <w:sz w:val="18"/>
        <w:szCs w:val="18"/>
      </w:rPr>
    </w:pPr>
  </w:p>
  <w:p w14:paraId="1067803E" w14:textId="77777777" w:rsidR="00950F07" w:rsidRPr="00131EED" w:rsidRDefault="00950F07" w:rsidP="00702BBC">
    <w:pPr>
      <w:pBdr>
        <w:top w:val="nil"/>
        <w:left w:val="nil"/>
        <w:bottom w:val="nil"/>
        <w:right w:val="nil"/>
        <w:between w:val="nil"/>
      </w:pBdr>
      <w:tabs>
        <w:tab w:val="center" w:pos="4419"/>
        <w:tab w:val="right" w:pos="8838"/>
        <w:tab w:val="left" w:pos="7937"/>
      </w:tabs>
      <w:rPr>
        <w:rFonts w:ascii="Verdana" w:eastAsia="Verdana" w:hAnsi="Verdana" w:cs="Verdana"/>
        <w:color w:val="000000"/>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01C31F" w14:textId="77777777" w:rsidR="00B3405F" w:rsidRPr="00131EED" w:rsidRDefault="00B3405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791F18" w14:textId="77777777" w:rsidR="00FC4B87" w:rsidRPr="00131EED" w:rsidRDefault="00FC4B87">
      <w:r w:rsidRPr="00131EED">
        <w:separator/>
      </w:r>
    </w:p>
  </w:footnote>
  <w:footnote w:type="continuationSeparator" w:id="0">
    <w:p w14:paraId="0AEE387C" w14:textId="77777777" w:rsidR="00FC4B87" w:rsidRPr="00131EED" w:rsidRDefault="00FC4B87">
      <w:r w:rsidRPr="00131EED">
        <w:continuationSeparator/>
      </w:r>
    </w:p>
  </w:footnote>
  <w:footnote w:type="continuationNotice" w:id="1">
    <w:p w14:paraId="58F44ACE" w14:textId="77777777" w:rsidR="00FC4B87" w:rsidRPr="00131EED" w:rsidRDefault="00FC4B87"/>
  </w:footnote>
  <w:footnote w:id="2">
    <w:p w14:paraId="209C70EC" w14:textId="77777777" w:rsidR="00950F07" w:rsidRPr="00131EED" w:rsidRDefault="00950F07" w:rsidP="008A326C">
      <w:pPr>
        <w:rPr>
          <w:rFonts w:ascii="Baskerville" w:eastAsia="Century Gothic" w:hAnsi="Baskerville" w:cs="Arial"/>
          <w:sz w:val="17"/>
          <w:szCs w:val="17"/>
        </w:rPr>
      </w:pPr>
      <w:r w:rsidRPr="00131EED">
        <w:rPr>
          <w:rStyle w:val="FootnoteReference"/>
          <w:rFonts w:ascii="Baskerville" w:hAnsi="Baskerville" w:cs="Arial"/>
          <w:sz w:val="17"/>
          <w:szCs w:val="17"/>
        </w:rPr>
        <w:footnoteRef/>
      </w:r>
      <w:r w:rsidRPr="00131EED">
        <w:rPr>
          <w:rFonts w:ascii="Baskerville" w:hAnsi="Baskerville" w:cs="Arial"/>
          <w:sz w:val="17"/>
          <w:szCs w:val="17"/>
        </w:rPr>
        <w:t xml:space="preserve"> Se entiende como conservación de la biodiversidad al f</w:t>
      </w:r>
      <w:r w:rsidRPr="00131EED">
        <w:rPr>
          <w:rFonts w:ascii="Baskerville" w:eastAsia="Century Gothic" w:hAnsi="Baskerville" w:cs="Arial"/>
          <w:sz w:val="17"/>
          <w:szCs w:val="17"/>
        </w:rPr>
        <w:t>actor o propiedad emergente, que resulta de adelantar acciones de preservación, uso sostenible, generación de conocimiento y restauración. Es el principal objetivo de la gestión integral de la biodiversidad y sus servicios ecosistémicos (PNGIBSE).</w:t>
      </w:r>
    </w:p>
    <w:p w14:paraId="2CA4E1F5" w14:textId="77777777" w:rsidR="00950F07" w:rsidRPr="00131EED" w:rsidRDefault="00950F07" w:rsidP="008A326C">
      <w:pPr>
        <w:pStyle w:val="FootnoteText"/>
        <w:spacing w:after="0" w:line="240" w:lineRule="auto"/>
        <w:rPr>
          <w:rFonts w:ascii="Baskerville" w:hAnsi="Baskerville" w:cs="Arial"/>
          <w:sz w:val="17"/>
          <w:szCs w:val="17"/>
        </w:rPr>
      </w:pPr>
    </w:p>
  </w:footnote>
  <w:footnote w:id="3">
    <w:p w14:paraId="6F4872F0" w14:textId="77777777" w:rsidR="00950F07" w:rsidRPr="00131EED" w:rsidRDefault="00950F07" w:rsidP="0039679F">
      <w:pPr>
        <w:pStyle w:val="FootnoteText"/>
        <w:rPr>
          <w:rFonts w:ascii="Baskerville" w:hAnsi="Baskerville"/>
          <w:sz w:val="17"/>
          <w:szCs w:val="17"/>
        </w:rPr>
      </w:pPr>
      <w:r w:rsidRPr="00131EED">
        <w:rPr>
          <w:rStyle w:val="FootnoteReference"/>
          <w:rFonts w:ascii="Baskerville" w:hAnsi="Baskerville"/>
          <w:sz w:val="17"/>
          <w:szCs w:val="17"/>
        </w:rPr>
        <w:footnoteRef/>
      </w:r>
      <w:r w:rsidRPr="00131EED">
        <w:rPr>
          <w:rFonts w:ascii="Baskerville" w:hAnsi="Baskerville"/>
          <w:sz w:val="17"/>
          <w:szCs w:val="17"/>
        </w:rPr>
        <w:t xml:space="preserve"> Bogotá - La Caro, Av. Calle 180 - Bogotá – Cota, Bogotá  - Soacha, Bogotá - Villavicencio (Calle 115 Sur), Bogotá - Villavicencio (Carretera de Oriente), Regiotram de Occidente, Regiotram del Norte Aeropuerto Internacional El Dorado, Tramo Bogotá - Siberia - La Punta - El Vino – Villeta, Tramo Briceño -Tunja – Sogamoso, Troncal de los Andes, Tramo Fontibón Facatativá Los Alpes, Perimetral Oriente de Cundinamarca, Bogotá - Choachí - Puente Real, Avenida Calle 103 (Vía La Calera), Calle 184 - Limite con la Calera - El Triunfo/ La cita, El Cruce - El Triunfo - Puente Adobes - Parque de Sopó, y Chía - La Balsa.</w:t>
      </w:r>
    </w:p>
  </w:footnote>
  <w:footnote w:id="4">
    <w:p w14:paraId="5F3D31DE" w14:textId="77777777" w:rsidR="00950F07" w:rsidRPr="00131EED" w:rsidRDefault="00950F07" w:rsidP="000959B9">
      <w:pPr>
        <w:rPr>
          <w:rFonts w:ascii="Baskerville" w:hAnsi="Baskerville" w:cs="Arial"/>
          <w:sz w:val="17"/>
          <w:szCs w:val="17"/>
        </w:rPr>
      </w:pPr>
      <w:r w:rsidRPr="00131EED">
        <w:rPr>
          <w:rStyle w:val="FootnoteReference"/>
          <w:rFonts w:ascii="Baskerville" w:hAnsi="Baskerville"/>
          <w:sz w:val="17"/>
          <w:szCs w:val="17"/>
        </w:rPr>
        <w:footnoteRef/>
      </w:r>
      <w:r w:rsidRPr="00131EED">
        <w:rPr>
          <w:rFonts w:ascii="Baskerville" w:hAnsi="Baskerville"/>
          <w:sz w:val="17"/>
          <w:szCs w:val="17"/>
        </w:rPr>
        <w:t xml:space="preserve"> </w:t>
      </w:r>
      <w:r w:rsidRPr="00131EED">
        <w:rPr>
          <w:rFonts w:ascii="Baskerville" w:hAnsi="Baskerville" w:cs="Arial"/>
          <w:sz w:val="17"/>
          <w:szCs w:val="17"/>
        </w:rPr>
        <w:t xml:space="preserve">Para realizar el presente estudio técnico, se realizó la descarga de los contratos de concesión, solicitudes de contratos de Concesión y Subcontratos desde el aplicativo ANNA Minería de la Agencia Nacional de Minería – ANM, por medio de los servicios </w:t>
      </w:r>
      <w:hyperlink r:id="rId1" w:tgtFrame="_blank" w:history="1">
        <w:r w:rsidRPr="00131EED">
          <w:rPr>
            <w:rFonts w:ascii="Baskerville" w:hAnsi="Baskerville" w:cs="Arial"/>
            <w:sz w:val="17"/>
            <w:szCs w:val="17"/>
          </w:rPr>
          <w:t>https://geo.anm.gov.co/webgis/services/ANM/ServiciosANM/MapServer/WMSServer?</w:t>
        </w:r>
      </w:hyperlink>
      <w:r w:rsidRPr="00131EED">
        <w:rPr>
          <w:rFonts w:ascii="Baskerville" w:hAnsi="Baskerville" w:cs="Arial"/>
          <w:sz w:val="17"/>
          <w:szCs w:val="17"/>
        </w:rPr>
        <w:t xml:space="preserve"> y </w:t>
      </w:r>
      <w:hyperlink r:id="rId2" w:tgtFrame="_blank" w:history="1">
        <w:r w:rsidRPr="00131EED">
          <w:rPr>
            <w:rFonts w:ascii="Baskerville" w:hAnsi="Baskerville" w:cs="Arial"/>
            <w:sz w:val="17"/>
            <w:szCs w:val="17"/>
          </w:rPr>
          <w:t>https://geo.anm.gov.co/webgis/services/ANM/ServiciosANM/MapServer/WFSServer?</w:t>
        </w:r>
      </w:hyperlink>
      <w:r w:rsidRPr="00131EED">
        <w:rPr>
          <w:rFonts w:ascii="Baskerville" w:hAnsi="Baskerville" w:cs="Arial"/>
          <w:sz w:val="17"/>
          <w:szCs w:val="17"/>
        </w:rPr>
        <w:t xml:space="preserve"> vinculados en el software ArcMap de la suite ArcGIS. </w:t>
      </w:r>
    </w:p>
  </w:footnote>
  <w:footnote w:id="5">
    <w:p w14:paraId="49AEF920" w14:textId="77777777" w:rsidR="00950F07" w:rsidRPr="00131EED" w:rsidRDefault="00950F07" w:rsidP="000959B9">
      <w:pPr>
        <w:pStyle w:val="FootnoteText"/>
        <w:rPr>
          <w:rFonts w:ascii="Baskerville" w:hAnsi="Baskerville"/>
          <w:sz w:val="17"/>
          <w:szCs w:val="17"/>
        </w:rPr>
      </w:pPr>
      <w:r w:rsidRPr="00131EED">
        <w:rPr>
          <w:rStyle w:val="FootnoteReference"/>
          <w:rFonts w:ascii="Baskerville" w:hAnsi="Baskerville"/>
          <w:sz w:val="17"/>
          <w:szCs w:val="17"/>
        </w:rPr>
        <w:footnoteRef/>
      </w:r>
      <w:r w:rsidRPr="00131EED">
        <w:rPr>
          <w:rFonts w:ascii="Baskerville" w:hAnsi="Baskerville"/>
          <w:sz w:val="17"/>
          <w:szCs w:val="17"/>
        </w:rPr>
        <w:t xml:space="preserve"> https://annamineria.anm.gov.co/</w:t>
      </w:r>
    </w:p>
  </w:footnote>
  <w:footnote w:id="6">
    <w:p w14:paraId="3AD981F2" w14:textId="77777777" w:rsidR="00950F07" w:rsidRPr="00131EED" w:rsidRDefault="00950F07" w:rsidP="000959B9">
      <w:pPr>
        <w:pStyle w:val="FootnoteText"/>
        <w:rPr>
          <w:rFonts w:ascii="Baskerville" w:hAnsi="Baskerville"/>
          <w:sz w:val="17"/>
          <w:szCs w:val="17"/>
        </w:rPr>
      </w:pPr>
      <w:r w:rsidRPr="00131EED">
        <w:rPr>
          <w:rStyle w:val="FootnoteReference"/>
          <w:rFonts w:ascii="Baskerville" w:hAnsi="Baskerville"/>
          <w:sz w:val="17"/>
          <w:szCs w:val="17"/>
        </w:rPr>
        <w:footnoteRef/>
      </w:r>
      <w:r w:rsidRPr="00131EED">
        <w:rPr>
          <w:rFonts w:ascii="Baskerville" w:hAnsi="Baskerville"/>
          <w:sz w:val="17"/>
          <w:szCs w:val="17"/>
        </w:rPr>
        <w:t xml:space="preserve"> Instituto Distrital de Patrimonio Cultural (IDPC). (2023). Documento soporte de valoración frente a solicitud de declaratoria como bien de interés cultural del ámbito distrital: Predio DG 81 Sur 37 01 (Parque de Borde de Cerro Seco)​</w:t>
      </w:r>
    </w:p>
  </w:footnote>
  <w:footnote w:id="7">
    <w:p w14:paraId="455AF7E8" w14:textId="77777777" w:rsidR="00950F07" w:rsidRPr="00131EED" w:rsidRDefault="00950F07" w:rsidP="000959B9">
      <w:pPr>
        <w:rPr>
          <w:rFonts w:ascii="Baskerville" w:hAnsi="Baskerville" w:cs="Arial"/>
          <w:sz w:val="17"/>
          <w:szCs w:val="17"/>
        </w:rPr>
      </w:pPr>
      <w:r w:rsidRPr="00131EED">
        <w:rPr>
          <w:rFonts w:ascii="Baskerville" w:hAnsi="Baskerville" w:cs="Arial"/>
          <w:sz w:val="17"/>
          <w:szCs w:val="17"/>
          <w:vertAlign w:val="superscript"/>
        </w:rPr>
        <w:footnoteRef/>
      </w:r>
      <w:r w:rsidRPr="00131EED">
        <w:rPr>
          <w:rFonts w:ascii="Baskerville" w:hAnsi="Baskerville" w:cs="Arial"/>
          <w:sz w:val="17"/>
          <w:szCs w:val="17"/>
        </w:rPr>
        <w:t xml:space="preserve"> De acuerdo con la SDA, en total son 8 instrumentos entre PMRRA y PRR que se encuentran vigentes debido a que las canteras La Laja y El Milagro comparten un solo PMRRA. </w:t>
      </w:r>
    </w:p>
  </w:footnote>
  <w:footnote w:id="8">
    <w:p w14:paraId="7F8D55A4" w14:textId="77777777" w:rsidR="00950F07" w:rsidRPr="00131EED" w:rsidRDefault="00950F07" w:rsidP="00F421F8">
      <w:pPr>
        <w:rPr>
          <w:rFonts w:ascii="Baskerville" w:eastAsia="Century Gothic" w:hAnsi="Baskerville" w:cs="Arial"/>
          <w:sz w:val="17"/>
          <w:szCs w:val="17"/>
        </w:rPr>
      </w:pPr>
      <w:r w:rsidRPr="00131EED">
        <w:rPr>
          <w:rFonts w:ascii="Baskerville" w:hAnsi="Baskerville" w:cs="Arial"/>
          <w:sz w:val="17"/>
          <w:szCs w:val="17"/>
          <w:vertAlign w:val="superscript"/>
        </w:rPr>
        <w:footnoteRef/>
      </w:r>
      <w:r w:rsidRPr="00131EED">
        <w:rPr>
          <w:rFonts w:ascii="Baskerville" w:eastAsia="Century Gothic" w:hAnsi="Baskerville" w:cs="Arial"/>
          <w:sz w:val="17"/>
          <w:szCs w:val="17"/>
        </w:rPr>
        <w:t xml:space="preserve"> Ovalle, R. Et al (2023). El poder sobre el agua: Gobernanza, territorio y conflictos en Bogotá-Región.</w:t>
      </w:r>
    </w:p>
  </w:footnote>
  <w:footnote w:id="9">
    <w:p w14:paraId="6C1B603F" w14:textId="77777777" w:rsidR="00950F07" w:rsidRPr="00131EED" w:rsidRDefault="00950F07" w:rsidP="00F421F8">
      <w:pPr>
        <w:rPr>
          <w:rFonts w:ascii="Baskerville" w:eastAsia="Century Gothic" w:hAnsi="Baskerville" w:cs="Arial"/>
          <w:sz w:val="17"/>
          <w:szCs w:val="17"/>
        </w:rPr>
      </w:pPr>
      <w:r w:rsidRPr="00131EED">
        <w:rPr>
          <w:rFonts w:ascii="Baskerville" w:hAnsi="Baskerville" w:cs="Arial"/>
          <w:sz w:val="17"/>
          <w:szCs w:val="17"/>
          <w:vertAlign w:val="superscript"/>
        </w:rPr>
        <w:footnoteRef/>
      </w:r>
      <w:r w:rsidRPr="00131EED">
        <w:rPr>
          <w:rFonts w:ascii="Baskerville" w:eastAsia="Century Gothic" w:hAnsi="Baskerville" w:cs="Arial"/>
          <w:sz w:val="17"/>
          <w:szCs w:val="17"/>
        </w:rPr>
        <w:t xml:space="preserve"> DNP, 2020. Reflexiones sobre ordenamiento y desarrollo territorial en Colombia.</w:t>
      </w:r>
    </w:p>
  </w:footnote>
  <w:footnote w:id="10">
    <w:p w14:paraId="714851D6" w14:textId="77777777" w:rsidR="00950F07" w:rsidRPr="00131EED" w:rsidRDefault="00950F07" w:rsidP="00F421F8">
      <w:pPr>
        <w:pStyle w:val="FootnoteText"/>
        <w:spacing w:after="0" w:line="240" w:lineRule="auto"/>
        <w:rPr>
          <w:rFonts w:ascii="Baskerville" w:hAnsi="Baskerville" w:cs="Arial"/>
          <w:sz w:val="17"/>
          <w:szCs w:val="17"/>
        </w:rPr>
      </w:pPr>
      <w:r w:rsidRPr="00131EED">
        <w:rPr>
          <w:rStyle w:val="FootnoteReference"/>
          <w:rFonts w:ascii="Baskerville" w:hAnsi="Baskerville" w:cs="Arial"/>
          <w:sz w:val="17"/>
          <w:szCs w:val="17"/>
        </w:rPr>
        <w:footnoteRef/>
      </w:r>
      <w:r w:rsidRPr="00131EED">
        <w:rPr>
          <w:rFonts w:ascii="Baskerville" w:hAnsi="Baskerville" w:cs="Arial"/>
          <w:sz w:val="17"/>
          <w:szCs w:val="17"/>
        </w:rPr>
        <w:t xml:space="preserve"> Solá-Morales, M 1997. Las formas de crecimiento urbano.</w:t>
      </w:r>
    </w:p>
  </w:footnote>
  <w:footnote w:id="11">
    <w:p w14:paraId="7E786FCE" w14:textId="77777777" w:rsidR="00950F07" w:rsidRPr="00131EED" w:rsidRDefault="00950F07" w:rsidP="00F421F8">
      <w:pPr>
        <w:pStyle w:val="FootnoteText"/>
        <w:rPr>
          <w:rFonts w:ascii="Baskerville" w:hAnsi="Baskerville"/>
          <w:sz w:val="17"/>
          <w:szCs w:val="17"/>
        </w:rPr>
      </w:pPr>
      <w:r w:rsidRPr="00131EED">
        <w:rPr>
          <w:rStyle w:val="FootnoteReference"/>
          <w:rFonts w:ascii="Baskerville" w:hAnsi="Baskerville"/>
          <w:sz w:val="17"/>
          <w:szCs w:val="17"/>
        </w:rPr>
        <w:footnoteRef/>
      </w:r>
      <w:r w:rsidRPr="00131EED">
        <w:rPr>
          <w:rFonts w:ascii="Baskerville" w:hAnsi="Baskerville"/>
          <w:sz w:val="17"/>
          <w:szCs w:val="17"/>
        </w:rPr>
        <w:t xml:space="preserve"> La propuesta metodológica fue elaborada por el Grupo de Análisis Geográfico de la Dirección de Ordenamiento Ambiental Territorial del Ministerio de Ambiente.</w:t>
      </w:r>
    </w:p>
  </w:footnote>
  <w:footnote w:id="12">
    <w:p w14:paraId="44C56B78" w14:textId="77777777" w:rsidR="00950F07" w:rsidRPr="00131EED" w:rsidRDefault="00950F07" w:rsidP="00565CA7">
      <w:pPr>
        <w:pStyle w:val="FootnoteText"/>
        <w:spacing w:after="0" w:line="240" w:lineRule="auto"/>
        <w:rPr>
          <w:rFonts w:ascii="Baskerville" w:hAnsi="Baskerville" w:cs="Arial"/>
          <w:sz w:val="17"/>
          <w:szCs w:val="17"/>
        </w:rPr>
      </w:pPr>
      <w:r w:rsidRPr="00131EED">
        <w:rPr>
          <w:rFonts w:ascii="Baskerville" w:hAnsi="Baskerville" w:cs="Arial"/>
          <w:sz w:val="17"/>
          <w:szCs w:val="17"/>
          <w:vertAlign w:val="superscript"/>
        </w:rPr>
        <w:footnoteRef/>
      </w:r>
      <w:r w:rsidRPr="00131EED">
        <w:rPr>
          <w:rFonts w:ascii="Baskerville" w:hAnsi="Baskerville" w:cs="Arial"/>
          <w:sz w:val="17"/>
          <w:szCs w:val="17"/>
        </w:rPr>
        <w:t xml:space="preserve"> </w:t>
      </w:r>
      <w:r w:rsidRPr="00131EED">
        <w:rPr>
          <w:rFonts w:ascii="Baskerville" w:hAnsi="Baskerville" w:cs="Arial"/>
          <w:sz w:val="17"/>
          <w:szCs w:val="17"/>
          <w:highlight w:val="white"/>
        </w:rPr>
        <w:t>Misión satelital de observación de la Tierra más antigua en operación, generando imágenes desde 1972 hasta la actualidad, capturando imágenes en 12 bandas distintas con una resolución máxima de 15m</w:t>
      </w:r>
    </w:p>
  </w:footnote>
  <w:footnote w:id="13">
    <w:p w14:paraId="64B8B81A" w14:textId="77777777" w:rsidR="00950F07" w:rsidRPr="00131EED" w:rsidRDefault="00950F07" w:rsidP="00565CA7">
      <w:pPr>
        <w:pStyle w:val="FootnoteText"/>
        <w:spacing w:after="0" w:line="240" w:lineRule="auto"/>
        <w:rPr>
          <w:rFonts w:ascii="Baskerville" w:hAnsi="Baskerville" w:cs="Arial"/>
          <w:sz w:val="17"/>
          <w:szCs w:val="17"/>
        </w:rPr>
      </w:pPr>
      <w:r w:rsidRPr="00131EED">
        <w:rPr>
          <w:rFonts w:ascii="Baskerville" w:hAnsi="Baskerville" w:cs="Arial"/>
          <w:sz w:val="17"/>
          <w:szCs w:val="17"/>
          <w:vertAlign w:val="superscript"/>
        </w:rPr>
        <w:footnoteRef/>
      </w:r>
      <w:r w:rsidRPr="00131EED">
        <w:rPr>
          <w:rFonts w:ascii="Baskerville" w:hAnsi="Baskerville" w:cs="Arial"/>
          <w:sz w:val="17"/>
          <w:szCs w:val="17"/>
        </w:rPr>
        <w:t xml:space="preserve"> </w:t>
      </w:r>
      <w:r w:rsidRPr="00131EED">
        <w:rPr>
          <w:rFonts w:ascii="Baskerville" w:hAnsi="Baskerville" w:cs="Arial"/>
          <w:sz w:val="17"/>
          <w:szCs w:val="17"/>
          <w:highlight w:val="white"/>
        </w:rPr>
        <w:t>La base de datos de Corine Land Cover Colombia (CLC) permite describir, caracterizar, clasificar y comparar las características de la cobertura de la tierra, interpretadas a partir de la utilización de imágenes de satélite de resolución media (Landsat), para la construcción de mapas de cobertura a diferentes escalas.</w:t>
      </w:r>
    </w:p>
  </w:footnote>
  <w:footnote w:id="14">
    <w:p w14:paraId="6112C179" w14:textId="77777777" w:rsidR="00950F07" w:rsidRPr="00131EED" w:rsidRDefault="00950F07" w:rsidP="00697DB3">
      <w:pPr>
        <w:pStyle w:val="FootnoteText"/>
        <w:spacing w:after="0" w:line="240" w:lineRule="auto"/>
        <w:rPr>
          <w:rFonts w:ascii="Baskerville" w:hAnsi="Baskerville"/>
          <w:sz w:val="17"/>
          <w:szCs w:val="17"/>
        </w:rPr>
      </w:pPr>
      <w:r w:rsidRPr="00131EED">
        <w:rPr>
          <w:rStyle w:val="FootnoteReference"/>
          <w:rFonts w:ascii="Baskerville" w:hAnsi="Baskerville"/>
          <w:sz w:val="17"/>
          <w:szCs w:val="17"/>
        </w:rPr>
        <w:footnoteRef/>
      </w:r>
      <w:r w:rsidRPr="00131EED">
        <w:rPr>
          <w:rFonts w:ascii="Baskerville" w:hAnsi="Baskerville"/>
          <w:sz w:val="17"/>
          <w:szCs w:val="17"/>
        </w:rPr>
        <w:t xml:space="preserve"> Elaborado a partir de insumos del Instituto Geográfico Agustín Codazzi (IGAC), el Servicio Geológico Colombiano (SGC), el Instituto de Hidrología, Meteorología y Estudios Ambientales (IDEAM), y la Universidad Nacional de Colombia, entre otros.</w:t>
      </w:r>
    </w:p>
  </w:footnote>
  <w:footnote w:id="15">
    <w:p w14:paraId="279520BE" w14:textId="77777777" w:rsidR="00950F07" w:rsidRPr="00131EED" w:rsidRDefault="00950F07" w:rsidP="00697DB3">
      <w:pPr>
        <w:pStyle w:val="FootnoteText"/>
        <w:spacing w:after="0" w:line="240" w:lineRule="auto"/>
        <w:rPr>
          <w:rFonts w:ascii="Baskerville" w:hAnsi="Baskerville"/>
          <w:sz w:val="17"/>
          <w:szCs w:val="17"/>
        </w:rPr>
      </w:pPr>
      <w:r w:rsidRPr="00131EED">
        <w:rPr>
          <w:rStyle w:val="FootnoteReference"/>
          <w:rFonts w:ascii="Baskerville" w:hAnsi="Baskerville"/>
          <w:sz w:val="17"/>
          <w:szCs w:val="17"/>
        </w:rPr>
        <w:footnoteRef/>
      </w:r>
      <w:r w:rsidRPr="00131EED">
        <w:rPr>
          <w:rFonts w:ascii="Baskerville" w:hAnsi="Baskerville"/>
          <w:sz w:val="17"/>
          <w:szCs w:val="17"/>
        </w:rPr>
        <w:t xml:space="preserve"> Puede ser consultada en el siguiente link: </w:t>
      </w:r>
      <w:hyperlink r:id="rId3" w:history="1">
        <w:r w:rsidRPr="00131EED">
          <w:rPr>
            <w:rStyle w:val="Hyperlink"/>
            <w:rFonts w:ascii="Baskerville" w:hAnsi="Baskerville"/>
            <w:sz w:val="17"/>
            <w:szCs w:val="17"/>
          </w:rPr>
          <w:t>https://economiacircular.minambiente.gov.co/wp-content/uploads/2022/06/Politica-para-la-gestion-sostenible-del-suelo-minambiente.pdf</w:t>
        </w:r>
      </w:hyperlink>
      <w:r w:rsidRPr="00131EED">
        <w:rPr>
          <w:rFonts w:ascii="Baskerville" w:hAnsi="Baskerville"/>
          <w:sz w:val="17"/>
          <w:szCs w:val="17"/>
        </w:rPr>
        <w:t xml:space="preserve"> </w:t>
      </w:r>
    </w:p>
  </w:footnote>
  <w:footnote w:id="16">
    <w:p w14:paraId="1F15CE13" w14:textId="77777777" w:rsidR="00950F07" w:rsidRPr="00131EED" w:rsidRDefault="00950F07" w:rsidP="00697DB3">
      <w:pPr>
        <w:pStyle w:val="FootnoteText"/>
        <w:spacing w:after="0" w:line="240" w:lineRule="auto"/>
        <w:rPr>
          <w:rFonts w:ascii="Baskerville" w:hAnsi="Baskerville"/>
          <w:sz w:val="17"/>
          <w:szCs w:val="17"/>
        </w:rPr>
      </w:pPr>
      <w:r w:rsidRPr="00131EED">
        <w:rPr>
          <w:rStyle w:val="FootnoteReference"/>
          <w:rFonts w:ascii="Baskerville" w:hAnsi="Baskerville"/>
          <w:sz w:val="17"/>
          <w:szCs w:val="17"/>
        </w:rPr>
        <w:footnoteRef/>
      </w:r>
      <w:r w:rsidRPr="00131EED">
        <w:rPr>
          <w:rFonts w:ascii="Baskerville" w:hAnsi="Baskerville"/>
          <w:sz w:val="17"/>
          <w:szCs w:val="17"/>
        </w:rPr>
        <w:t xml:space="preserve"> La PGSS fue liderada por el Ministerio de Ambiente y Desarrollo Sostenible, de la mano con IDEAM y la Universidad Nacional de Colombia; con participación y aportes de actores diversos, que en su momento constituyeron un Comité Interinstitucional de Suelos - CTS, conformado por representantes de diferentes entidades públicas y privadas y de la academia, entre los cuales se destacan el DNP, el IGAC, el Ministerio de Agricultura y Desarrollo Rural, el Ministerio de Vivienda Ciudad y Territorio, el Ministerio de Minas y Energía, Colciencias, Parques Nacionales Naturales de Colombia, el Servicio Geológico Colombiano, la Sociedad Colombiana de la Ciencia del Suelo, la Universidad Piloto de Colombia y Corporaciones Autónomas Regionales. Fue además objeto de consulta, a través de la página web del Ministerio, con aportes del Ministerio de Agricultura y Desarrollo Rural, Ministerio de Minas y Energía IGAC, Invemar, CDMB, Dagma, CVC, Corponor, CorpaMag, IDEAM, Sinchi, IaVH, PNN, Área Metropolitana del Valle de Aburrá, Corporación Autónoma Regional del Atlántico, Corpouraba, Empresas Públicas de Medellín, la Universidades Javeriana, Nacional y Distrital expertos y ciudadanía en general.</w:t>
      </w:r>
    </w:p>
  </w:footnote>
  <w:footnote w:id="17">
    <w:p w14:paraId="228F7975" w14:textId="77777777" w:rsidR="00950F07" w:rsidRPr="00131EED" w:rsidRDefault="00950F07" w:rsidP="00697DB3">
      <w:pPr>
        <w:pStyle w:val="FootnoteText"/>
        <w:spacing w:after="0" w:line="240" w:lineRule="auto"/>
        <w:rPr>
          <w:rFonts w:ascii="Baskerville" w:hAnsi="Baskerville"/>
          <w:sz w:val="17"/>
          <w:szCs w:val="17"/>
        </w:rPr>
      </w:pPr>
      <w:r w:rsidRPr="00131EED">
        <w:rPr>
          <w:rStyle w:val="FootnoteReference"/>
          <w:rFonts w:ascii="Baskerville" w:hAnsi="Baskerville"/>
          <w:sz w:val="17"/>
          <w:szCs w:val="17"/>
        </w:rPr>
        <w:footnoteRef/>
      </w:r>
      <w:r w:rsidRPr="00131EED">
        <w:rPr>
          <w:rFonts w:ascii="Baskerville" w:hAnsi="Baskerville"/>
          <w:sz w:val="17"/>
          <w:szCs w:val="17"/>
        </w:rPr>
        <w:t xml:space="preserve"> European Environment Agency, 2022. Report: Soil monitoring in Europe — Indicators and thresholds for soil health assessments. Dinamarca.</w:t>
      </w:r>
    </w:p>
  </w:footnote>
  <w:footnote w:id="18">
    <w:p w14:paraId="5AEF94C0" w14:textId="77777777" w:rsidR="00950F07" w:rsidRPr="00131EED" w:rsidRDefault="00950F07" w:rsidP="00CC5A4D">
      <w:pPr>
        <w:rPr>
          <w:rFonts w:ascii="Baskerville" w:hAnsi="Baskerville"/>
          <w:sz w:val="17"/>
          <w:szCs w:val="17"/>
        </w:rPr>
      </w:pPr>
      <w:r w:rsidRPr="00131EED">
        <w:rPr>
          <w:rFonts w:ascii="Baskerville" w:hAnsi="Baskerville"/>
          <w:sz w:val="17"/>
          <w:szCs w:val="17"/>
        </w:rPr>
        <w:footnoteRef/>
      </w:r>
      <w:r w:rsidRPr="00131EED">
        <w:rPr>
          <w:rFonts w:ascii="Baskerville" w:hAnsi="Baskerville"/>
          <w:sz w:val="17"/>
          <w:szCs w:val="17"/>
        </w:rPr>
        <w:t xml:space="preserve"> Izquierdo-Tort, S., D. Restrepo-Zambrano, S. Ozment, N. Acero, L. Bulbena, J. Camacho, L. Villegas Ortiz, F. Arjona, P. Bejarano, M. Mora, and M. Garcia. 2023. “Integrando infraestructura natural al sistema de abastecimiento de agua de Bogotá.” Washington, DC: World Resources Institute. Disponible online en https://doi.org/10.46830/wrirpt.22.00046sp</w:t>
      </w:r>
    </w:p>
  </w:footnote>
  <w:footnote w:id="19">
    <w:p w14:paraId="342A6A55" w14:textId="77777777" w:rsidR="00950F07" w:rsidRPr="00131EED" w:rsidRDefault="00950F07" w:rsidP="00CC5A4D">
      <w:pPr>
        <w:rPr>
          <w:rFonts w:ascii="Baskerville" w:hAnsi="Baskerville"/>
          <w:sz w:val="17"/>
          <w:szCs w:val="17"/>
        </w:rPr>
      </w:pPr>
      <w:r w:rsidRPr="00131EED">
        <w:rPr>
          <w:rFonts w:ascii="Baskerville" w:hAnsi="Baskerville"/>
          <w:sz w:val="17"/>
          <w:szCs w:val="17"/>
        </w:rPr>
        <w:footnoteRef/>
      </w:r>
      <w:r w:rsidRPr="00131EED">
        <w:rPr>
          <w:rFonts w:ascii="Baskerville" w:hAnsi="Baskerville"/>
          <w:sz w:val="17"/>
          <w:szCs w:val="17"/>
        </w:rPr>
        <w:t xml:space="preserve"> Actualización Plan Maestro de Expansión del Sistema de Abastecimiento de Agua para Bogotá y sus Municipios Vecinos, INGETEC 2015.</w:t>
      </w:r>
    </w:p>
  </w:footnote>
  <w:footnote w:id="20">
    <w:p w14:paraId="5A3E1DE3" w14:textId="77777777" w:rsidR="00950F07" w:rsidRPr="00131EED" w:rsidRDefault="00950F07" w:rsidP="00CC5A4D">
      <w:pPr>
        <w:rPr>
          <w:rFonts w:ascii="Baskerville" w:hAnsi="Baskerville"/>
          <w:sz w:val="17"/>
          <w:szCs w:val="17"/>
        </w:rPr>
      </w:pPr>
      <w:r w:rsidRPr="00131EED">
        <w:rPr>
          <w:rFonts w:ascii="Baskerville" w:hAnsi="Baskerville"/>
          <w:sz w:val="17"/>
          <w:szCs w:val="17"/>
        </w:rPr>
        <w:footnoteRef/>
      </w:r>
      <w:r w:rsidRPr="00131EED">
        <w:rPr>
          <w:rFonts w:ascii="Baskerville" w:hAnsi="Baskerville"/>
          <w:sz w:val="17"/>
          <w:szCs w:val="17"/>
        </w:rPr>
        <w:t xml:space="preserve"> K. Sánchez, G. Corzo, G. Santos, G. Hernández. C. Tami, J. Gacharná, G- Herrán, D Gutiérrez, F Rubiano. (2024). Evaluación de los transportes de flujos y balance basado en datos de observación de modelos climáticos.  XXXI Congreso Latinoamericano de hidráulica. Medellín, Colombia.</w:t>
      </w:r>
    </w:p>
  </w:footnote>
  <w:footnote w:id="21">
    <w:p w14:paraId="1C0D7398" w14:textId="683D3D80" w:rsidR="00950F07" w:rsidRPr="00131EED" w:rsidRDefault="00950F07" w:rsidP="00CC5A4D">
      <w:pPr>
        <w:pStyle w:val="FootnoteText"/>
        <w:spacing w:after="0" w:line="240" w:lineRule="auto"/>
        <w:rPr>
          <w:rFonts w:ascii="Baskerville" w:hAnsi="Baskerville" w:cs="Arial"/>
          <w:sz w:val="17"/>
          <w:szCs w:val="17"/>
        </w:rPr>
      </w:pPr>
      <w:r w:rsidRPr="00131EED">
        <w:rPr>
          <w:rStyle w:val="FootnoteReference"/>
          <w:rFonts w:ascii="Baskerville" w:hAnsi="Baskerville" w:cs="Arial"/>
          <w:sz w:val="17"/>
          <w:szCs w:val="17"/>
        </w:rPr>
        <w:footnoteRef/>
      </w:r>
      <w:r w:rsidRPr="00131EED">
        <w:rPr>
          <w:rFonts w:ascii="Baskerville" w:hAnsi="Baskerville" w:cs="Arial"/>
          <w:sz w:val="17"/>
          <w:szCs w:val="17"/>
        </w:rPr>
        <w:t xml:space="preserve"> El rendimiento hídrico es una manera de expresar la escorrentía por unidad de área, definido como la cantidad de agua superficial por unidad de superficie en un tiempo determinado </w:t>
      </w:r>
      <w:sdt>
        <w:sdtPr>
          <w:rPr>
            <w:rFonts w:ascii="Baskerville" w:hAnsi="Baskerville" w:cs="Arial"/>
            <w:sz w:val="17"/>
            <w:szCs w:val="17"/>
          </w:rPr>
          <w:id w:val="-453330020"/>
          <w:citation/>
        </w:sdtPr>
        <w:sdtEndPr/>
        <w:sdtContent>
          <w:r w:rsidRPr="00131EED">
            <w:rPr>
              <w:rFonts w:ascii="Baskerville" w:hAnsi="Baskerville" w:cs="Arial"/>
              <w:sz w:val="17"/>
              <w:szCs w:val="17"/>
            </w:rPr>
            <w:fldChar w:fldCharType="begin"/>
          </w:r>
          <w:r w:rsidRPr="00131EED">
            <w:rPr>
              <w:rFonts w:ascii="Baskerville" w:hAnsi="Baskerville" w:cs="Arial"/>
              <w:sz w:val="17"/>
              <w:szCs w:val="17"/>
            </w:rPr>
            <w:instrText xml:space="preserve"> CITATION IDE15 \l 3082 </w:instrText>
          </w:r>
          <w:r w:rsidRPr="00131EED">
            <w:rPr>
              <w:rFonts w:ascii="Baskerville" w:hAnsi="Baskerville" w:cs="Arial"/>
              <w:sz w:val="17"/>
              <w:szCs w:val="17"/>
            </w:rPr>
            <w:fldChar w:fldCharType="separate"/>
          </w:r>
          <w:r w:rsidRPr="00131EED">
            <w:rPr>
              <w:rFonts w:ascii="Baskerville" w:hAnsi="Baskerville" w:cs="Arial"/>
              <w:sz w:val="17"/>
              <w:szCs w:val="17"/>
            </w:rPr>
            <w:t>(IDEAM, Instituto de Hidrología, Meteorología y Estudios Ambientales, 2015)</w:t>
          </w:r>
          <w:r w:rsidRPr="00131EED">
            <w:rPr>
              <w:rFonts w:ascii="Baskerville" w:hAnsi="Baskerville" w:cs="Arial"/>
              <w:sz w:val="17"/>
              <w:szCs w:val="17"/>
            </w:rPr>
            <w:fldChar w:fldCharType="end"/>
          </w:r>
        </w:sdtContent>
      </w:sdt>
    </w:p>
  </w:footnote>
  <w:footnote w:id="22">
    <w:p w14:paraId="4B1857CC" w14:textId="77777777" w:rsidR="00950F07" w:rsidRPr="00131EED" w:rsidRDefault="00950F07" w:rsidP="00CC5A4D">
      <w:pPr>
        <w:pStyle w:val="FootnoteText"/>
        <w:spacing w:after="0" w:line="240" w:lineRule="auto"/>
        <w:rPr>
          <w:rFonts w:ascii="Baskerville" w:hAnsi="Baskerville"/>
          <w:sz w:val="17"/>
          <w:szCs w:val="17"/>
        </w:rPr>
      </w:pPr>
      <w:r w:rsidRPr="00131EED">
        <w:rPr>
          <w:rStyle w:val="FootnoteReference"/>
          <w:rFonts w:ascii="Baskerville" w:hAnsi="Baskerville"/>
          <w:sz w:val="17"/>
          <w:szCs w:val="17"/>
        </w:rPr>
        <w:footnoteRef/>
      </w:r>
      <w:r w:rsidRPr="00131EED">
        <w:rPr>
          <w:rFonts w:ascii="Baskerville" w:hAnsi="Baskerville"/>
          <w:sz w:val="17"/>
          <w:szCs w:val="17"/>
        </w:rPr>
        <w:t xml:space="preserve"> Álvarez, A., &amp; Peña, E. (2019). Evaluación de la calidad del agua subterránea en la Sabana de Bogotá. Revista Colombiana de Hidrología, 24(3), 213-229. https://doi.org/10.1016/j.rcid.2019.03.006</w:t>
      </w:r>
    </w:p>
  </w:footnote>
  <w:footnote w:id="23">
    <w:p w14:paraId="7FED152E" w14:textId="77777777" w:rsidR="00950F07" w:rsidRPr="00131EED" w:rsidRDefault="00950F07" w:rsidP="00CC5A4D">
      <w:pPr>
        <w:pStyle w:val="FootnoteText"/>
        <w:spacing w:after="0" w:line="240" w:lineRule="auto"/>
        <w:rPr>
          <w:rFonts w:ascii="Baskerville" w:hAnsi="Baskerville" w:cstheme="minorHAnsi"/>
          <w:sz w:val="17"/>
          <w:szCs w:val="17"/>
        </w:rPr>
      </w:pPr>
      <w:r w:rsidRPr="00131EED">
        <w:rPr>
          <w:rStyle w:val="FootnoteReference"/>
          <w:rFonts w:ascii="Baskerville" w:hAnsi="Baskerville"/>
          <w:sz w:val="17"/>
          <w:szCs w:val="17"/>
        </w:rPr>
        <w:footnoteRef/>
      </w:r>
      <w:r w:rsidRPr="00131EED">
        <w:rPr>
          <w:rFonts w:ascii="Baskerville" w:hAnsi="Baskerville"/>
          <w:sz w:val="17"/>
          <w:szCs w:val="17"/>
        </w:rPr>
        <w:t xml:space="preserve"> </w:t>
      </w:r>
      <w:r w:rsidRPr="00131EED">
        <w:rPr>
          <w:rFonts w:ascii="Baskerville" w:hAnsi="Baskerville" w:cstheme="minorHAnsi"/>
          <w:sz w:val="17"/>
          <w:szCs w:val="17"/>
        </w:rPr>
        <w:t>González, R., &amp; Ramírez, L. (2021). Distribución espacial del manganeso en aguas subterráneas de la Sabana de Bogotá. Revista Internacional de Ciencias del Agua, 37(2), 98-112. https://doi.org/10.1016/j.ricagua.2021.05.007</w:t>
      </w:r>
    </w:p>
  </w:footnote>
  <w:footnote w:id="24">
    <w:p w14:paraId="45529161" w14:textId="77777777" w:rsidR="00950F07" w:rsidRPr="00131EED" w:rsidRDefault="00950F07" w:rsidP="00CC5A4D">
      <w:pPr>
        <w:pStyle w:val="FootnoteText"/>
        <w:spacing w:after="0" w:line="240" w:lineRule="auto"/>
        <w:rPr>
          <w:rFonts w:ascii="Baskerville" w:hAnsi="Baskerville" w:cstheme="minorHAnsi"/>
          <w:sz w:val="17"/>
          <w:szCs w:val="17"/>
        </w:rPr>
      </w:pPr>
      <w:r w:rsidRPr="00131EED">
        <w:rPr>
          <w:rStyle w:val="FootnoteReference"/>
          <w:rFonts w:ascii="Baskerville" w:hAnsi="Baskerville" w:cstheme="minorHAnsi"/>
          <w:sz w:val="17"/>
          <w:szCs w:val="17"/>
        </w:rPr>
        <w:footnoteRef/>
      </w:r>
      <w:r w:rsidRPr="00131EED">
        <w:rPr>
          <w:rFonts w:ascii="Baskerville" w:hAnsi="Baskerville" w:cstheme="minorHAnsi"/>
          <w:sz w:val="17"/>
          <w:szCs w:val="17"/>
        </w:rPr>
        <w:t xml:space="preserve"> Camargo, J. A., &amp; Alonso, Á. (2006). Ecological and toxicological effects of inorganic nitrogen pollution in aquatic ecosystems: A global assessment. Environment International, 32(6), 831-849. https://doi.org/10.1016/j.envint.2006.05.002</w:t>
      </w:r>
    </w:p>
  </w:footnote>
  <w:footnote w:id="25">
    <w:p w14:paraId="0B9FFFE5" w14:textId="77777777" w:rsidR="00950F07" w:rsidRPr="006E26C0" w:rsidRDefault="00950F07" w:rsidP="00CC5A4D">
      <w:pPr>
        <w:pStyle w:val="FootnoteText"/>
        <w:spacing w:after="0" w:line="240" w:lineRule="auto"/>
        <w:rPr>
          <w:rFonts w:ascii="Baskerville" w:hAnsi="Baskerville" w:cstheme="minorHAnsi"/>
          <w:sz w:val="17"/>
          <w:szCs w:val="17"/>
          <w:lang w:val="en-US"/>
        </w:rPr>
      </w:pPr>
      <w:r w:rsidRPr="00131EED">
        <w:rPr>
          <w:rStyle w:val="FootnoteReference"/>
          <w:rFonts w:ascii="Baskerville" w:hAnsi="Baskerville" w:cstheme="minorHAnsi"/>
          <w:sz w:val="17"/>
          <w:szCs w:val="17"/>
        </w:rPr>
        <w:footnoteRef/>
      </w:r>
      <w:r w:rsidRPr="00131EED">
        <w:rPr>
          <w:rFonts w:ascii="Baskerville" w:hAnsi="Baskerville" w:cstheme="minorHAnsi"/>
          <w:sz w:val="17"/>
          <w:szCs w:val="17"/>
        </w:rPr>
        <w:t xml:space="preserve"> Möller, P., &amp; Dulski, P. (2018). Distribution of trace elements in groundwaters in different aquifer systems of the Sabana de Bogotá, Colombia. Journal of South American Earth Sciences, 84, 14-25. https://doi.org/10.1016/j.jsames.2017.11.005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EDF2E7" w14:textId="504BB621" w:rsidR="00B3405F" w:rsidRPr="00131EED" w:rsidRDefault="00A848D3">
    <w:pPr>
      <w:pStyle w:val="Header"/>
    </w:pPr>
    <w:r>
      <w:pict w14:anchorId="7FC1FE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7832016" o:spid="_x0000_s1027" type="#_x0000_t136" alt="" style="position:absolute;left:0;text-align:left;margin-left:0;margin-top:0;width:558.45pt;height:64.4pt;rotation:315;z-index:-251654143;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Baskerville Old Face&quot;;font-size:1pt" string="BORRADOR - 16 DIC 2025"/>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DFF4E" w14:textId="03E96943" w:rsidR="00950F07" w:rsidRPr="00131EED" w:rsidRDefault="00A848D3">
    <w:pPr>
      <w:pBdr>
        <w:top w:val="nil"/>
        <w:left w:val="nil"/>
        <w:bottom w:val="nil"/>
        <w:right w:val="nil"/>
        <w:between w:val="nil"/>
      </w:pBdr>
      <w:tabs>
        <w:tab w:val="center" w:pos="4419"/>
        <w:tab w:val="right" w:pos="8838"/>
        <w:tab w:val="left" w:pos="4920"/>
      </w:tabs>
      <w:rPr>
        <w:rFonts w:ascii="Verdana" w:eastAsia="Verdana" w:hAnsi="Verdana" w:cs="Verdana"/>
        <w:color w:val="000000"/>
      </w:rPr>
    </w:pPr>
    <w:r>
      <w:pict w14:anchorId="0106FB7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7832017" o:spid="_x0000_s1026" type="#_x0000_t136" alt="" style="position:absolute;left:0;text-align:left;margin-left:0;margin-top:0;width:558.45pt;height:64.4pt;rotation:315;z-index:-251652095;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Baskerville Old Face&quot;;font-size:1pt" string="BORRADOR - 16 DIC 2025"/>
          <w10:wrap anchorx="margin" anchory="margin"/>
        </v:shape>
      </w:pict>
    </w:r>
    <w:r w:rsidR="00950F07" w:rsidRPr="00131EED">
      <w:rPr>
        <w:noProof/>
        <w:lang w:eastAsia="en-US"/>
      </w:rPr>
      <w:drawing>
        <wp:anchor distT="0" distB="0" distL="114300" distR="114300" simplePos="0" relativeHeight="251642368" behindDoc="1" locked="0" layoutInCell="1" allowOverlap="1" wp14:anchorId="5F1C4276" wp14:editId="4494B166">
          <wp:simplePos x="0" y="0"/>
          <wp:positionH relativeFrom="page">
            <wp:posOffset>-1905</wp:posOffset>
          </wp:positionH>
          <wp:positionV relativeFrom="paragraph">
            <wp:posOffset>-434975</wp:posOffset>
          </wp:positionV>
          <wp:extent cx="7756896" cy="10051011"/>
          <wp:effectExtent l="0" t="0" r="0" b="0"/>
          <wp:wrapNone/>
          <wp:docPr id="1217281471" name="Imagen 121728147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966253" name="Imagen 1750966253" descr="A black background with a black square&#10;&#10;AI-generated content may be incorrect."/>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56896" cy="10051011"/>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D0C98" w14:textId="55172C88" w:rsidR="00B3405F" w:rsidRPr="00131EED" w:rsidRDefault="00A848D3">
    <w:pPr>
      <w:pStyle w:val="Header"/>
    </w:pPr>
    <w:r>
      <w:pict w14:anchorId="3F3AFD6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7832015" o:spid="_x0000_s1025" type="#_x0000_t136" alt="" style="position:absolute;left:0;text-align:left;margin-left:0;margin-top:0;width:558.45pt;height:64.4pt;rotation:315;z-index:-251656191;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Baskerville Old Face&quot;;font-size:1pt" string="BORRADOR - 16 DIC 2025"/>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0738B1"/>
    <w:multiLevelType w:val="hybridMultilevel"/>
    <w:tmpl w:val="4F2E10A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D5A5734"/>
    <w:multiLevelType w:val="hybridMultilevel"/>
    <w:tmpl w:val="4F00271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F1C4EBF"/>
    <w:multiLevelType w:val="hybridMultilevel"/>
    <w:tmpl w:val="D2D6EF04"/>
    <w:lvl w:ilvl="0" w:tplc="FD6E2968">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5AE68D2"/>
    <w:multiLevelType w:val="multilevel"/>
    <w:tmpl w:val="DFAEC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69344E0"/>
    <w:multiLevelType w:val="hybridMultilevel"/>
    <w:tmpl w:val="2A88F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B2703D"/>
    <w:multiLevelType w:val="hybridMultilevel"/>
    <w:tmpl w:val="3D569476"/>
    <w:lvl w:ilvl="0" w:tplc="24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1E804CAF"/>
    <w:multiLevelType w:val="hybridMultilevel"/>
    <w:tmpl w:val="487655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2541A77"/>
    <w:multiLevelType w:val="hybridMultilevel"/>
    <w:tmpl w:val="01B0F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E50ACB"/>
    <w:multiLevelType w:val="hybridMultilevel"/>
    <w:tmpl w:val="60CA89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D7115DF"/>
    <w:multiLevelType w:val="multilevel"/>
    <w:tmpl w:val="DFAECB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FAB70D6"/>
    <w:multiLevelType w:val="hybridMultilevel"/>
    <w:tmpl w:val="0D26C7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31583FEB"/>
    <w:multiLevelType w:val="hybridMultilevel"/>
    <w:tmpl w:val="A4FE2FCE"/>
    <w:lvl w:ilvl="0" w:tplc="24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341724C6"/>
    <w:multiLevelType w:val="hybridMultilevel"/>
    <w:tmpl w:val="FEA6AA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384F6960"/>
    <w:multiLevelType w:val="hybridMultilevel"/>
    <w:tmpl w:val="EC66B178"/>
    <w:lvl w:ilvl="0" w:tplc="240A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B5B5136"/>
    <w:multiLevelType w:val="hybridMultilevel"/>
    <w:tmpl w:val="7034E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CA0006E"/>
    <w:multiLevelType w:val="hybridMultilevel"/>
    <w:tmpl w:val="31EEF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453A2E"/>
    <w:multiLevelType w:val="hybridMultilevel"/>
    <w:tmpl w:val="9C4E02E2"/>
    <w:lvl w:ilvl="0" w:tplc="94B8DC14">
      <w:start w:val="1"/>
      <w:numFmt w:val="bullet"/>
      <w:lvlText w:val="-"/>
      <w:lvlJc w:val="left"/>
      <w:pPr>
        <w:ind w:left="360" w:hanging="360"/>
      </w:pPr>
      <w:rPr>
        <w:rFonts w:ascii="Arial" w:eastAsia="Arial" w:hAnsi="Arial"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7" w15:restartNumberingAfterBreak="0">
    <w:nsid w:val="401B7CFD"/>
    <w:multiLevelType w:val="hybridMultilevel"/>
    <w:tmpl w:val="E1A662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3013E0"/>
    <w:multiLevelType w:val="hybridMultilevel"/>
    <w:tmpl w:val="75688B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42131216"/>
    <w:multiLevelType w:val="hybridMultilevel"/>
    <w:tmpl w:val="16D2D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6B97426"/>
    <w:multiLevelType w:val="multilevel"/>
    <w:tmpl w:val="087A69E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A0A2C82"/>
    <w:multiLevelType w:val="multilevel"/>
    <w:tmpl w:val="DFAEC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A9672F7"/>
    <w:multiLevelType w:val="hybridMultilevel"/>
    <w:tmpl w:val="5E6845E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5E466826"/>
    <w:multiLevelType w:val="hybridMultilevel"/>
    <w:tmpl w:val="8EEA0E8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616F20AF"/>
    <w:multiLevelType w:val="hybridMultilevel"/>
    <w:tmpl w:val="2D625B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690E0040"/>
    <w:multiLevelType w:val="multilevel"/>
    <w:tmpl w:val="AF5E4F2C"/>
    <w:styleLink w:val="Estilo2"/>
    <w:lvl w:ilvl="0">
      <w:start w:val="1"/>
      <w:numFmt w:val="upperRoman"/>
      <w:lvlText w:val="MAPA %1."/>
      <w:lvlJc w:val="left"/>
      <w:pPr>
        <w:ind w:left="0" w:firstLine="0"/>
      </w:pPr>
      <w:rPr>
        <w:rFonts w:hint="default"/>
      </w:rPr>
    </w:lvl>
    <w:lvl w:ilvl="1">
      <w:start w:val="1"/>
      <w:numFmt w:val="decimalZero"/>
      <w:isLgl/>
      <w:lvlText w:val="Section %1.%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26" w15:restartNumberingAfterBreak="0">
    <w:nsid w:val="6A82417F"/>
    <w:multiLevelType w:val="hybridMultilevel"/>
    <w:tmpl w:val="C0D07E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1546A5D"/>
    <w:multiLevelType w:val="hybridMultilevel"/>
    <w:tmpl w:val="5E38ED6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72FA25A1"/>
    <w:multiLevelType w:val="hybridMultilevel"/>
    <w:tmpl w:val="9C285C0C"/>
    <w:lvl w:ilvl="0" w:tplc="94B8DC14">
      <w:start w:val="1"/>
      <w:numFmt w:val="bullet"/>
      <w:lvlText w:val="-"/>
      <w:lvlJc w:val="left"/>
      <w:pPr>
        <w:ind w:left="360" w:hanging="360"/>
      </w:pPr>
      <w:rPr>
        <w:rFonts w:ascii="Arial" w:eastAsia="Arial" w:hAnsi="Arial" w:cs="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9" w15:restartNumberingAfterBreak="0">
    <w:nsid w:val="758E0A74"/>
    <w:multiLevelType w:val="hybridMultilevel"/>
    <w:tmpl w:val="9DF0B154"/>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79C717AD"/>
    <w:multiLevelType w:val="hybridMultilevel"/>
    <w:tmpl w:val="BA4EE6C4"/>
    <w:lvl w:ilvl="0" w:tplc="080A0001">
      <w:start w:val="1"/>
      <w:numFmt w:val="bullet"/>
      <w:lvlText w:val=""/>
      <w:lvlJc w:val="left"/>
      <w:pPr>
        <w:ind w:left="360" w:hanging="360"/>
      </w:pPr>
      <w:rPr>
        <w:rFonts w:ascii="Symbol" w:hAnsi="Symbol" w:hint="default"/>
      </w:rPr>
    </w:lvl>
    <w:lvl w:ilvl="1" w:tplc="A4920720">
      <w:start w:val="1"/>
      <w:numFmt w:val="decimal"/>
      <w:lvlText w:val="%2."/>
      <w:lvlJc w:val="left"/>
      <w:pPr>
        <w:ind w:left="1080" w:hanging="360"/>
      </w:pPr>
      <w:rPr>
        <w:rFonts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7A9D217B"/>
    <w:multiLevelType w:val="hybridMultilevel"/>
    <w:tmpl w:val="560C6220"/>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7D282DC5"/>
    <w:multiLevelType w:val="hybridMultilevel"/>
    <w:tmpl w:val="2CF2C9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DEE7718"/>
    <w:multiLevelType w:val="hybridMultilevel"/>
    <w:tmpl w:val="401A8D4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0">
    <w:nsid w:val="7ED34A45"/>
    <w:multiLevelType w:val="hybridMultilevel"/>
    <w:tmpl w:val="FEB883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768889410">
    <w:abstractNumId w:val="25"/>
  </w:num>
  <w:num w:numId="2" w16cid:durableId="1812210781">
    <w:abstractNumId w:val="4"/>
  </w:num>
  <w:num w:numId="3" w16cid:durableId="502162550">
    <w:abstractNumId w:val="14"/>
  </w:num>
  <w:num w:numId="4" w16cid:durableId="1700013472">
    <w:abstractNumId w:val="7"/>
  </w:num>
  <w:num w:numId="5" w16cid:durableId="1043942392">
    <w:abstractNumId w:val="17"/>
  </w:num>
  <w:num w:numId="6" w16cid:durableId="1875075145">
    <w:abstractNumId w:val="29"/>
  </w:num>
  <w:num w:numId="7" w16cid:durableId="352999880">
    <w:abstractNumId w:val="22"/>
  </w:num>
  <w:num w:numId="8" w16cid:durableId="1809857166">
    <w:abstractNumId w:val="33"/>
  </w:num>
  <w:num w:numId="9" w16cid:durableId="1615481353">
    <w:abstractNumId w:val="23"/>
  </w:num>
  <w:num w:numId="10" w16cid:durableId="593710089">
    <w:abstractNumId w:val="34"/>
  </w:num>
  <w:num w:numId="11" w16cid:durableId="1740596995">
    <w:abstractNumId w:val="2"/>
  </w:num>
  <w:num w:numId="12" w16cid:durableId="1520437069">
    <w:abstractNumId w:val="31"/>
  </w:num>
  <w:num w:numId="13" w16cid:durableId="1592467975">
    <w:abstractNumId w:val="16"/>
  </w:num>
  <w:num w:numId="14" w16cid:durableId="358043815">
    <w:abstractNumId w:val="28"/>
  </w:num>
  <w:num w:numId="15" w16cid:durableId="1972591823">
    <w:abstractNumId w:val="30"/>
  </w:num>
  <w:num w:numId="16" w16cid:durableId="1580405990">
    <w:abstractNumId w:val="13"/>
  </w:num>
  <w:num w:numId="17" w16cid:durableId="1339850247">
    <w:abstractNumId w:val="24"/>
  </w:num>
  <w:num w:numId="18" w16cid:durableId="351153018">
    <w:abstractNumId w:val="0"/>
  </w:num>
  <w:num w:numId="19" w16cid:durableId="1897205880">
    <w:abstractNumId w:val="12"/>
  </w:num>
  <w:num w:numId="20" w16cid:durableId="1704473115">
    <w:abstractNumId w:val="1"/>
  </w:num>
  <w:num w:numId="21" w16cid:durableId="1843546240">
    <w:abstractNumId w:val="5"/>
  </w:num>
  <w:num w:numId="22" w16cid:durableId="986279234">
    <w:abstractNumId w:val="11"/>
  </w:num>
  <w:num w:numId="23" w16cid:durableId="1359090505">
    <w:abstractNumId w:val="32"/>
  </w:num>
  <w:num w:numId="24" w16cid:durableId="1522626237">
    <w:abstractNumId w:val="26"/>
  </w:num>
  <w:num w:numId="25" w16cid:durableId="431828275">
    <w:abstractNumId w:val="21"/>
  </w:num>
  <w:num w:numId="26" w16cid:durableId="738358856">
    <w:abstractNumId w:val="3"/>
  </w:num>
  <w:num w:numId="27" w16cid:durableId="1884555181">
    <w:abstractNumId w:val="18"/>
  </w:num>
  <w:num w:numId="28" w16cid:durableId="2092845105">
    <w:abstractNumId w:val="8"/>
  </w:num>
  <w:num w:numId="29" w16cid:durableId="1400129164">
    <w:abstractNumId w:val="9"/>
  </w:num>
  <w:num w:numId="30" w16cid:durableId="1047603137">
    <w:abstractNumId w:val="6"/>
  </w:num>
  <w:num w:numId="31" w16cid:durableId="33509538">
    <w:abstractNumId w:val="20"/>
  </w:num>
  <w:num w:numId="32" w16cid:durableId="1289823282">
    <w:abstractNumId w:val="10"/>
  </w:num>
  <w:num w:numId="33" w16cid:durableId="854459192">
    <w:abstractNumId w:val="15"/>
  </w:num>
  <w:num w:numId="34" w16cid:durableId="389230963">
    <w:abstractNumId w:val="27"/>
  </w:num>
  <w:num w:numId="35" w16cid:durableId="175315738">
    <w:abstractNumId w:val="19"/>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defaultTabStop w:val="720"/>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412B"/>
    <w:rsid w:val="0000019D"/>
    <w:rsid w:val="000004CD"/>
    <w:rsid w:val="00000F14"/>
    <w:rsid w:val="00001055"/>
    <w:rsid w:val="0000131E"/>
    <w:rsid w:val="0000139B"/>
    <w:rsid w:val="000021B7"/>
    <w:rsid w:val="00002D6C"/>
    <w:rsid w:val="00003294"/>
    <w:rsid w:val="0000392D"/>
    <w:rsid w:val="00003A43"/>
    <w:rsid w:val="00003DDA"/>
    <w:rsid w:val="00003E00"/>
    <w:rsid w:val="00004773"/>
    <w:rsid w:val="000054AE"/>
    <w:rsid w:val="000054FA"/>
    <w:rsid w:val="000056B5"/>
    <w:rsid w:val="0000636C"/>
    <w:rsid w:val="00006AF8"/>
    <w:rsid w:val="0000734D"/>
    <w:rsid w:val="00007CDA"/>
    <w:rsid w:val="00010614"/>
    <w:rsid w:val="0001082A"/>
    <w:rsid w:val="00010D49"/>
    <w:rsid w:val="00010EF8"/>
    <w:rsid w:val="0001114D"/>
    <w:rsid w:val="000111BA"/>
    <w:rsid w:val="00011343"/>
    <w:rsid w:val="0001135F"/>
    <w:rsid w:val="00011DD6"/>
    <w:rsid w:val="0001233B"/>
    <w:rsid w:val="00012350"/>
    <w:rsid w:val="0001283D"/>
    <w:rsid w:val="00012C31"/>
    <w:rsid w:val="00012F0F"/>
    <w:rsid w:val="000140C8"/>
    <w:rsid w:val="00015472"/>
    <w:rsid w:val="000162A0"/>
    <w:rsid w:val="00016558"/>
    <w:rsid w:val="00016F28"/>
    <w:rsid w:val="000174BD"/>
    <w:rsid w:val="000177C3"/>
    <w:rsid w:val="00017D60"/>
    <w:rsid w:val="00017F9E"/>
    <w:rsid w:val="00020DD3"/>
    <w:rsid w:val="00020F97"/>
    <w:rsid w:val="00021006"/>
    <w:rsid w:val="000210B6"/>
    <w:rsid w:val="00021737"/>
    <w:rsid w:val="00022187"/>
    <w:rsid w:val="000228B8"/>
    <w:rsid w:val="0002346F"/>
    <w:rsid w:val="00023483"/>
    <w:rsid w:val="00023579"/>
    <w:rsid w:val="00023D5B"/>
    <w:rsid w:val="00024421"/>
    <w:rsid w:val="000247B5"/>
    <w:rsid w:val="00024A46"/>
    <w:rsid w:val="00025019"/>
    <w:rsid w:val="000260C6"/>
    <w:rsid w:val="000264D3"/>
    <w:rsid w:val="0002683A"/>
    <w:rsid w:val="00026B15"/>
    <w:rsid w:val="00026C8D"/>
    <w:rsid w:val="00027124"/>
    <w:rsid w:val="000275D3"/>
    <w:rsid w:val="00027E83"/>
    <w:rsid w:val="00027F0A"/>
    <w:rsid w:val="000304D5"/>
    <w:rsid w:val="000308D5"/>
    <w:rsid w:val="0003099E"/>
    <w:rsid w:val="00030B86"/>
    <w:rsid w:val="00030D56"/>
    <w:rsid w:val="00031673"/>
    <w:rsid w:val="0003212C"/>
    <w:rsid w:val="000321B1"/>
    <w:rsid w:val="000323A2"/>
    <w:rsid w:val="000330C7"/>
    <w:rsid w:val="000334AC"/>
    <w:rsid w:val="00033F76"/>
    <w:rsid w:val="00035564"/>
    <w:rsid w:val="00035794"/>
    <w:rsid w:val="00035896"/>
    <w:rsid w:val="00035BEC"/>
    <w:rsid w:val="00036A33"/>
    <w:rsid w:val="00037160"/>
    <w:rsid w:val="00037786"/>
    <w:rsid w:val="0003793B"/>
    <w:rsid w:val="00037A86"/>
    <w:rsid w:val="00037BEE"/>
    <w:rsid w:val="00037C77"/>
    <w:rsid w:val="00037CBA"/>
    <w:rsid w:val="00037E2C"/>
    <w:rsid w:val="00040322"/>
    <w:rsid w:val="00040F02"/>
    <w:rsid w:val="00041504"/>
    <w:rsid w:val="00041B8E"/>
    <w:rsid w:val="00041D22"/>
    <w:rsid w:val="00042804"/>
    <w:rsid w:val="00042BBD"/>
    <w:rsid w:val="000436B4"/>
    <w:rsid w:val="00043A26"/>
    <w:rsid w:val="00043C13"/>
    <w:rsid w:val="000444E4"/>
    <w:rsid w:val="000448A3"/>
    <w:rsid w:val="00044A2F"/>
    <w:rsid w:val="0004520D"/>
    <w:rsid w:val="000457E7"/>
    <w:rsid w:val="000458EA"/>
    <w:rsid w:val="00046926"/>
    <w:rsid w:val="00046B71"/>
    <w:rsid w:val="00046D01"/>
    <w:rsid w:val="00047316"/>
    <w:rsid w:val="0004745A"/>
    <w:rsid w:val="000476E9"/>
    <w:rsid w:val="00047A69"/>
    <w:rsid w:val="00047B5F"/>
    <w:rsid w:val="00047E5E"/>
    <w:rsid w:val="000512D7"/>
    <w:rsid w:val="000517A1"/>
    <w:rsid w:val="00051933"/>
    <w:rsid w:val="00052F0D"/>
    <w:rsid w:val="00053167"/>
    <w:rsid w:val="000532C8"/>
    <w:rsid w:val="0005348A"/>
    <w:rsid w:val="00053C1A"/>
    <w:rsid w:val="000540E4"/>
    <w:rsid w:val="00054C86"/>
    <w:rsid w:val="00054C9F"/>
    <w:rsid w:val="00054F21"/>
    <w:rsid w:val="00055DA5"/>
    <w:rsid w:val="00056334"/>
    <w:rsid w:val="00057834"/>
    <w:rsid w:val="00057A1F"/>
    <w:rsid w:val="00057B94"/>
    <w:rsid w:val="0006017E"/>
    <w:rsid w:val="00060821"/>
    <w:rsid w:val="00060F2A"/>
    <w:rsid w:val="0006119F"/>
    <w:rsid w:val="00061C8E"/>
    <w:rsid w:val="00061CB1"/>
    <w:rsid w:val="00061F61"/>
    <w:rsid w:val="000629E4"/>
    <w:rsid w:val="00062C23"/>
    <w:rsid w:val="00062DAA"/>
    <w:rsid w:val="00063478"/>
    <w:rsid w:val="000641D3"/>
    <w:rsid w:val="00064ABB"/>
    <w:rsid w:val="00064C2A"/>
    <w:rsid w:val="00064EB1"/>
    <w:rsid w:val="000651FA"/>
    <w:rsid w:val="00065514"/>
    <w:rsid w:val="00065FD5"/>
    <w:rsid w:val="000669C6"/>
    <w:rsid w:val="00066D77"/>
    <w:rsid w:val="0007091C"/>
    <w:rsid w:val="000719E8"/>
    <w:rsid w:val="00071E49"/>
    <w:rsid w:val="00071E74"/>
    <w:rsid w:val="0007210F"/>
    <w:rsid w:val="0007217B"/>
    <w:rsid w:val="000724E3"/>
    <w:rsid w:val="0007293A"/>
    <w:rsid w:val="00074572"/>
    <w:rsid w:val="00074766"/>
    <w:rsid w:val="000748D4"/>
    <w:rsid w:val="00074A6C"/>
    <w:rsid w:val="00075602"/>
    <w:rsid w:val="000756AA"/>
    <w:rsid w:val="000767E2"/>
    <w:rsid w:val="00077A75"/>
    <w:rsid w:val="00077CEC"/>
    <w:rsid w:val="000805B0"/>
    <w:rsid w:val="00081197"/>
    <w:rsid w:val="000811E1"/>
    <w:rsid w:val="00081213"/>
    <w:rsid w:val="00081AE4"/>
    <w:rsid w:val="00082B7D"/>
    <w:rsid w:val="00083926"/>
    <w:rsid w:val="00084AC1"/>
    <w:rsid w:val="00084CB7"/>
    <w:rsid w:val="00085E48"/>
    <w:rsid w:val="00086FD8"/>
    <w:rsid w:val="000870CB"/>
    <w:rsid w:val="000873FB"/>
    <w:rsid w:val="00087594"/>
    <w:rsid w:val="00087738"/>
    <w:rsid w:val="0008798F"/>
    <w:rsid w:val="00090843"/>
    <w:rsid w:val="0009097C"/>
    <w:rsid w:val="00090B52"/>
    <w:rsid w:val="00090D9E"/>
    <w:rsid w:val="00091926"/>
    <w:rsid w:val="00091EED"/>
    <w:rsid w:val="000920CC"/>
    <w:rsid w:val="00092C75"/>
    <w:rsid w:val="000940F4"/>
    <w:rsid w:val="0009425D"/>
    <w:rsid w:val="00094330"/>
    <w:rsid w:val="000944A4"/>
    <w:rsid w:val="000947E0"/>
    <w:rsid w:val="00094A62"/>
    <w:rsid w:val="00094B61"/>
    <w:rsid w:val="00094EDF"/>
    <w:rsid w:val="000950B3"/>
    <w:rsid w:val="00095283"/>
    <w:rsid w:val="0009533A"/>
    <w:rsid w:val="000955BE"/>
    <w:rsid w:val="000959B9"/>
    <w:rsid w:val="00095A8D"/>
    <w:rsid w:val="0009616A"/>
    <w:rsid w:val="00096FA9"/>
    <w:rsid w:val="0009769E"/>
    <w:rsid w:val="000A02C7"/>
    <w:rsid w:val="000A0A47"/>
    <w:rsid w:val="000A0A69"/>
    <w:rsid w:val="000A13D2"/>
    <w:rsid w:val="000A13FC"/>
    <w:rsid w:val="000A2E81"/>
    <w:rsid w:val="000A3EB3"/>
    <w:rsid w:val="000A4EF1"/>
    <w:rsid w:val="000A5247"/>
    <w:rsid w:val="000A570C"/>
    <w:rsid w:val="000A5843"/>
    <w:rsid w:val="000A5A6F"/>
    <w:rsid w:val="000A5E2F"/>
    <w:rsid w:val="000A5EB2"/>
    <w:rsid w:val="000A60A5"/>
    <w:rsid w:val="000A6354"/>
    <w:rsid w:val="000A709E"/>
    <w:rsid w:val="000A7E67"/>
    <w:rsid w:val="000B02B3"/>
    <w:rsid w:val="000B0422"/>
    <w:rsid w:val="000B0530"/>
    <w:rsid w:val="000B1203"/>
    <w:rsid w:val="000B12E6"/>
    <w:rsid w:val="000B1636"/>
    <w:rsid w:val="000B2F14"/>
    <w:rsid w:val="000B325D"/>
    <w:rsid w:val="000B372D"/>
    <w:rsid w:val="000B377E"/>
    <w:rsid w:val="000B3839"/>
    <w:rsid w:val="000B39EE"/>
    <w:rsid w:val="000B45C2"/>
    <w:rsid w:val="000B47E1"/>
    <w:rsid w:val="000B4D4F"/>
    <w:rsid w:val="000B4E83"/>
    <w:rsid w:val="000B4F5A"/>
    <w:rsid w:val="000B551A"/>
    <w:rsid w:val="000B5BC8"/>
    <w:rsid w:val="000B635E"/>
    <w:rsid w:val="000B6C93"/>
    <w:rsid w:val="000B73D0"/>
    <w:rsid w:val="000B75A8"/>
    <w:rsid w:val="000B78DB"/>
    <w:rsid w:val="000C01A7"/>
    <w:rsid w:val="000C0235"/>
    <w:rsid w:val="000C02D7"/>
    <w:rsid w:val="000C03EB"/>
    <w:rsid w:val="000C1281"/>
    <w:rsid w:val="000C1334"/>
    <w:rsid w:val="000C18BC"/>
    <w:rsid w:val="000C1B87"/>
    <w:rsid w:val="000C1CB2"/>
    <w:rsid w:val="000C275A"/>
    <w:rsid w:val="000C282C"/>
    <w:rsid w:val="000C2BC7"/>
    <w:rsid w:val="000C2D9E"/>
    <w:rsid w:val="000C3397"/>
    <w:rsid w:val="000C39D3"/>
    <w:rsid w:val="000C3EC5"/>
    <w:rsid w:val="000C3F16"/>
    <w:rsid w:val="000C4247"/>
    <w:rsid w:val="000C42B3"/>
    <w:rsid w:val="000C4913"/>
    <w:rsid w:val="000C511A"/>
    <w:rsid w:val="000C581F"/>
    <w:rsid w:val="000C5CD2"/>
    <w:rsid w:val="000C677A"/>
    <w:rsid w:val="000C6B68"/>
    <w:rsid w:val="000C771A"/>
    <w:rsid w:val="000C7D64"/>
    <w:rsid w:val="000C7F0C"/>
    <w:rsid w:val="000D035C"/>
    <w:rsid w:val="000D035D"/>
    <w:rsid w:val="000D0800"/>
    <w:rsid w:val="000D0868"/>
    <w:rsid w:val="000D0A27"/>
    <w:rsid w:val="000D13EF"/>
    <w:rsid w:val="000D1804"/>
    <w:rsid w:val="000D1A25"/>
    <w:rsid w:val="000D20EA"/>
    <w:rsid w:val="000D23DA"/>
    <w:rsid w:val="000D2434"/>
    <w:rsid w:val="000D256A"/>
    <w:rsid w:val="000D2672"/>
    <w:rsid w:val="000D2FC4"/>
    <w:rsid w:val="000D3827"/>
    <w:rsid w:val="000D3C74"/>
    <w:rsid w:val="000D4818"/>
    <w:rsid w:val="000D4BAA"/>
    <w:rsid w:val="000D507E"/>
    <w:rsid w:val="000D6590"/>
    <w:rsid w:val="000D6647"/>
    <w:rsid w:val="000D7380"/>
    <w:rsid w:val="000D7722"/>
    <w:rsid w:val="000E0135"/>
    <w:rsid w:val="000E044C"/>
    <w:rsid w:val="000E1938"/>
    <w:rsid w:val="000E1EB0"/>
    <w:rsid w:val="000E226A"/>
    <w:rsid w:val="000E235D"/>
    <w:rsid w:val="000E23E9"/>
    <w:rsid w:val="000E274E"/>
    <w:rsid w:val="000E2A9A"/>
    <w:rsid w:val="000E2C46"/>
    <w:rsid w:val="000E3341"/>
    <w:rsid w:val="000E3387"/>
    <w:rsid w:val="000E37F4"/>
    <w:rsid w:val="000E3B3A"/>
    <w:rsid w:val="000E3E01"/>
    <w:rsid w:val="000E45E3"/>
    <w:rsid w:val="000E4D62"/>
    <w:rsid w:val="000E4F33"/>
    <w:rsid w:val="000E4F56"/>
    <w:rsid w:val="000E63BD"/>
    <w:rsid w:val="000E6808"/>
    <w:rsid w:val="000E6B3B"/>
    <w:rsid w:val="000E6C62"/>
    <w:rsid w:val="000E6C6A"/>
    <w:rsid w:val="000E6F98"/>
    <w:rsid w:val="000E7129"/>
    <w:rsid w:val="000E7706"/>
    <w:rsid w:val="000E77BF"/>
    <w:rsid w:val="000E78FA"/>
    <w:rsid w:val="000E7C1C"/>
    <w:rsid w:val="000F0100"/>
    <w:rsid w:val="000F052A"/>
    <w:rsid w:val="000F077E"/>
    <w:rsid w:val="000F0E95"/>
    <w:rsid w:val="000F1ADF"/>
    <w:rsid w:val="000F1EAE"/>
    <w:rsid w:val="000F207A"/>
    <w:rsid w:val="000F20B7"/>
    <w:rsid w:val="000F2E81"/>
    <w:rsid w:val="000F4040"/>
    <w:rsid w:val="000F4601"/>
    <w:rsid w:val="000F4CE9"/>
    <w:rsid w:val="000F52B1"/>
    <w:rsid w:val="000F53DD"/>
    <w:rsid w:val="000F58F6"/>
    <w:rsid w:val="000F5AD4"/>
    <w:rsid w:val="000F5C99"/>
    <w:rsid w:val="000F6580"/>
    <w:rsid w:val="000F69E9"/>
    <w:rsid w:val="000F6A58"/>
    <w:rsid w:val="000F6BF9"/>
    <w:rsid w:val="000F6C89"/>
    <w:rsid w:val="000F72C1"/>
    <w:rsid w:val="000F73C3"/>
    <w:rsid w:val="000F780F"/>
    <w:rsid w:val="00100A10"/>
    <w:rsid w:val="00100DBF"/>
    <w:rsid w:val="00101125"/>
    <w:rsid w:val="0010117E"/>
    <w:rsid w:val="001015FA"/>
    <w:rsid w:val="0010160B"/>
    <w:rsid w:val="00101F1E"/>
    <w:rsid w:val="00102B3E"/>
    <w:rsid w:val="00102F3D"/>
    <w:rsid w:val="001030D7"/>
    <w:rsid w:val="00103579"/>
    <w:rsid w:val="00104481"/>
    <w:rsid w:val="00104A85"/>
    <w:rsid w:val="00104BDE"/>
    <w:rsid w:val="00104F43"/>
    <w:rsid w:val="001052D0"/>
    <w:rsid w:val="0010599C"/>
    <w:rsid w:val="00106021"/>
    <w:rsid w:val="00106762"/>
    <w:rsid w:val="00106E17"/>
    <w:rsid w:val="00106E63"/>
    <w:rsid w:val="001075E7"/>
    <w:rsid w:val="00107AC5"/>
    <w:rsid w:val="00107EC5"/>
    <w:rsid w:val="00107FFD"/>
    <w:rsid w:val="00110253"/>
    <w:rsid w:val="0011060C"/>
    <w:rsid w:val="00111423"/>
    <w:rsid w:val="001118EC"/>
    <w:rsid w:val="00111AFA"/>
    <w:rsid w:val="00111B7F"/>
    <w:rsid w:val="00111D26"/>
    <w:rsid w:val="00111E58"/>
    <w:rsid w:val="00112E46"/>
    <w:rsid w:val="001135ED"/>
    <w:rsid w:val="00113794"/>
    <w:rsid w:val="00113921"/>
    <w:rsid w:val="001146B5"/>
    <w:rsid w:val="0011472D"/>
    <w:rsid w:val="001147A6"/>
    <w:rsid w:val="00114F0D"/>
    <w:rsid w:val="00115174"/>
    <w:rsid w:val="001153AD"/>
    <w:rsid w:val="00115574"/>
    <w:rsid w:val="001158D1"/>
    <w:rsid w:val="00115FD3"/>
    <w:rsid w:val="00116DFE"/>
    <w:rsid w:val="001170D4"/>
    <w:rsid w:val="00117446"/>
    <w:rsid w:val="00117490"/>
    <w:rsid w:val="0011771B"/>
    <w:rsid w:val="00117D0B"/>
    <w:rsid w:val="00121035"/>
    <w:rsid w:val="0012140E"/>
    <w:rsid w:val="00121549"/>
    <w:rsid w:val="0012184A"/>
    <w:rsid w:val="00122DDB"/>
    <w:rsid w:val="0012317B"/>
    <w:rsid w:val="00123487"/>
    <w:rsid w:val="00123C6A"/>
    <w:rsid w:val="00123EF2"/>
    <w:rsid w:val="0012423C"/>
    <w:rsid w:val="0012490A"/>
    <w:rsid w:val="00125275"/>
    <w:rsid w:val="00125686"/>
    <w:rsid w:val="001256A2"/>
    <w:rsid w:val="00125F48"/>
    <w:rsid w:val="00126159"/>
    <w:rsid w:val="0012629B"/>
    <w:rsid w:val="0012645F"/>
    <w:rsid w:val="00126DB2"/>
    <w:rsid w:val="0013002E"/>
    <w:rsid w:val="00130176"/>
    <w:rsid w:val="00130851"/>
    <w:rsid w:val="00130B1C"/>
    <w:rsid w:val="0013134A"/>
    <w:rsid w:val="00131945"/>
    <w:rsid w:val="00131A97"/>
    <w:rsid w:val="00131EED"/>
    <w:rsid w:val="00132252"/>
    <w:rsid w:val="00132A3F"/>
    <w:rsid w:val="00132D8A"/>
    <w:rsid w:val="00132DC8"/>
    <w:rsid w:val="001335F9"/>
    <w:rsid w:val="00133806"/>
    <w:rsid w:val="00134EEB"/>
    <w:rsid w:val="001355CB"/>
    <w:rsid w:val="0013598F"/>
    <w:rsid w:val="0013656C"/>
    <w:rsid w:val="00136621"/>
    <w:rsid w:val="00136BBC"/>
    <w:rsid w:val="0013724A"/>
    <w:rsid w:val="001373E0"/>
    <w:rsid w:val="001374E3"/>
    <w:rsid w:val="00137736"/>
    <w:rsid w:val="00140437"/>
    <w:rsid w:val="001408A5"/>
    <w:rsid w:val="00140F5A"/>
    <w:rsid w:val="001410CA"/>
    <w:rsid w:val="001413F4"/>
    <w:rsid w:val="00141999"/>
    <w:rsid w:val="00141B98"/>
    <w:rsid w:val="00141C77"/>
    <w:rsid w:val="00141C9F"/>
    <w:rsid w:val="00141D1A"/>
    <w:rsid w:val="0014276E"/>
    <w:rsid w:val="00142FAA"/>
    <w:rsid w:val="00143985"/>
    <w:rsid w:val="001445C2"/>
    <w:rsid w:val="001445F2"/>
    <w:rsid w:val="00144777"/>
    <w:rsid w:val="00144F40"/>
    <w:rsid w:val="001456D6"/>
    <w:rsid w:val="00146677"/>
    <w:rsid w:val="001466E1"/>
    <w:rsid w:val="00146AF5"/>
    <w:rsid w:val="00147001"/>
    <w:rsid w:val="001475BF"/>
    <w:rsid w:val="00150302"/>
    <w:rsid w:val="00150522"/>
    <w:rsid w:val="00151042"/>
    <w:rsid w:val="001516D6"/>
    <w:rsid w:val="001524A5"/>
    <w:rsid w:val="00152590"/>
    <w:rsid w:val="00152CC0"/>
    <w:rsid w:val="00152F67"/>
    <w:rsid w:val="00153070"/>
    <w:rsid w:val="00153610"/>
    <w:rsid w:val="00153734"/>
    <w:rsid w:val="00153A49"/>
    <w:rsid w:val="00153B46"/>
    <w:rsid w:val="00153BF2"/>
    <w:rsid w:val="00153C5B"/>
    <w:rsid w:val="001542E2"/>
    <w:rsid w:val="001547A9"/>
    <w:rsid w:val="00154A51"/>
    <w:rsid w:val="00154D73"/>
    <w:rsid w:val="001562F1"/>
    <w:rsid w:val="0015744E"/>
    <w:rsid w:val="00157F73"/>
    <w:rsid w:val="0016003D"/>
    <w:rsid w:val="0016008C"/>
    <w:rsid w:val="001606DC"/>
    <w:rsid w:val="001608BE"/>
    <w:rsid w:val="0016093F"/>
    <w:rsid w:val="00160A00"/>
    <w:rsid w:val="00160C7E"/>
    <w:rsid w:val="001624AC"/>
    <w:rsid w:val="00162D29"/>
    <w:rsid w:val="001633D3"/>
    <w:rsid w:val="001634F3"/>
    <w:rsid w:val="00163A2D"/>
    <w:rsid w:val="00163DED"/>
    <w:rsid w:val="00163EAE"/>
    <w:rsid w:val="00164277"/>
    <w:rsid w:val="00164D87"/>
    <w:rsid w:val="00164E62"/>
    <w:rsid w:val="00165BBB"/>
    <w:rsid w:val="0016667C"/>
    <w:rsid w:val="00166B61"/>
    <w:rsid w:val="0017058D"/>
    <w:rsid w:val="00170AEC"/>
    <w:rsid w:val="00170B63"/>
    <w:rsid w:val="00170EC4"/>
    <w:rsid w:val="0017346D"/>
    <w:rsid w:val="001736D1"/>
    <w:rsid w:val="0017377C"/>
    <w:rsid w:val="00174FD8"/>
    <w:rsid w:val="00175184"/>
    <w:rsid w:val="0017549A"/>
    <w:rsid w:val="00176EC3"/>
    <w:rsid w:val="001779CA"/>
    <w:rsid w:val="00177DE3"/>
    <w:rsid w:val="00177EE9"/>
    <w:rsid w:val="001801E8"/>
    <w:rsid w:val="00180466"/>
    <w:rsid w:val="00181275"/>
    <w:rsid w:val="001814A4"/>
    <w:rsid w:val="00181522"/>
    <w:rsid w:val="0018168F"/>
    <w:rsid w:val="001817CB"/>
    <w:rsid w:val="00182D97"/>
    <w:rsid w:val="001833DD"/>
    <w:rsid w:val="00183F1B"/>
    <w:rsid w:val="00184F8B"/>
    <w:rsid w:val="0018510D"/>
    <w:rsid w:val="00185A98"/>
    <w:rsid w:val="001862BD"/>
    <w:rsid w:val="001863C3"/>
    <w:rsid w:val="00186864"/>
    <w:rsid w:val="001868F7"/>
    <w:rsid w:val="00190197"/>
    <w:rsid w:val="00190759"/>
    <w:rsid w:val="00190942"/>
    <w:rsid w:val="0019277F"/>
    <w:rsid w:val="00193D85"/>
    <w:rsid w:val="00193E55"/>
    <w:rsid w:val="00194040"/>
    <w:rsid w:val="001941C6"/>
    <w:rsid w:val="001941FA"/>
    <w:rsid w:val="001947F7"/>
    <w:rsid w:val="00194BA0"/>
    <w:rsid w:val="00195398"/>
    <w:rsid w:val="001954A0"/>
    <w:rsid w:val="00195717"/>
    <w:rsid w:val="00195A19"/>
    <w:rsid w:val="0019623A"/>
    <w:rsid w:val="001969AA"/>
    <w:rsid w:val="001969D0"/>
    <w:rsid w:val="00197090"/>
    <w:rsid w:val="001970C9"/>
    <w:rsid w:val="001975F2"/>
    <w:rsid w:val="001A03EA"/>
    <w:rsid w:val="001A05E5"/>
    <w:rsid w:val="001A0622"/>
    <w:rsid w:val="001A06A8"/>
    <w:rsid w:val="001A08C8"/>
    <w:rsid w:val="001A12A5"/>
    <w:rsid w:val="001A1FFC"/>
    <w:rsid w:val="001A209D"/>
    <w:rsid w:val="001A2202"/>
    <w:rsid w:val="001A28BC"/>
    <w:rsid w:val="001A31C7"/>
    <w:rsid w:val="001A38D0"/>
    <w:rsid w:val="001A3EA3"/>
    <w:rsid w:val="001A49B3"/>
    <w:rsid w:val="001A4ACA"/>
    <w:rsid w:val="001A51F0"/>
    <w:rsid w:val="001A5292"/>
    <w:rsid w:val="001A56D4"/>
    <w:rsid w:val="001A5E2E"/>
    <w:rsid w:val="001A5F93"/>
    <w:rsid w:val="001A67A0"/>
    <w:rsid w:val="001B0253"/>
    <w:rsid w:val="001B05DC"/>
    <w:rsid w:val="001B0AF1"/>
    <w:rsid w:val="001B0B0C"/>
    <w:rsid w:val="001B0BF1"/>
    <w:rsid w:val="001B0BF4"/>
    <w:rsid w:val="001B1201"/>
    <w:rsid w:val="001B1C9C"/>
    <w:rsid w:val="001B2190"/>
    <w:rsid w:val="001B287A"/>
    <w:rsid w:val="001B2A61"/>
    <w:rsid w:val="001B3205"/>
    <w:rsid w:val="001B3470"/>
    <w:rsid w:val="001B34D9"/>
    <w:rsid w:val="001B3667"/>
    <w:rsid w:val="001B3D31"/>
    <w:rsid w:val="001B4552"/>
    <w:rsid w:val="001B4633"/>
    <w:rsid w:val="001B521B"/>
    <w:rsid w:val="001B5877"/>
    <w:rsid w:val="001B5C8F"/>
    <w:rsid w:val="001B62B4"/>
    <w:rsid w:val="001B69AD"/>
    <w:rsid w:val="001B6F1C"/>
    <w:rsid w:val="001B6F65"/>
    <w:rsid w:val="001B72B9"/>
    <w:rsid w:val="001B732A"/>
    <w:rsid w:val="001B75DC"/>
    <w:rsid w:val="001B76DA"/>
    <w:rsid w:val="001C0578"/>
    <w:rsid w:val="001C0B9C"/>
    <w:rsid w:val="001C0E56"/>
    <w:rsid w:val="001C2166"/>
    <w:rsid w:val="001C23E4"/>
    <w:rsid w:val="001C387D"/>
    <w:rsid w:val="001C5BFB"/>
    <w:rsid w:val="001C645D"/>
    <w:rsid w:val="001C6606"/>
    <w:rsid w:val="001C72F6"/>
    <w:rsid w:val="001C78E6"/>
    <w:rsid w:val="001C7A4B"/>
    <w:rsid w:val="001C7E20"/>
    <w:rsid w:val="001D00AA"/>
    <w:rsid w:val="001D1077"/>
    <w:rsid w:val="001D2A1A"/>
    <w:rsid w:val="001D2B1D"/>
    <w:rsid w:val="001D2E68"/>
    <w:rsid w:val="001D3C24"/>
    <w:rsid w:val="001D3DBE"/>
    <w:rsid w:val="001D3E0A"/>
    <w:rsid w:val="001D427D"/>
    <w:rsid w:val="001D486A"/>
    <w:rsid w:val="001D54B2"/>
    <w:rsid w:val="001D5700"/>
    <w:rsid w:val="001D6128"/>
    <w:rsid w:val="001D6E92"/>
    <w:rsid w:val="001E0F55"/>
    <w:rsid w:val="001E17A5"/>
    <w:rsid w:val="001E1C59"/>
    <w:rsid w:val="001E24A1"/>
    <w:rsid w:val="001E28F0"/>
    <w:rsid w:val="001E2EF5"/>
    <w:rsid w:val="001E3061"/>
    <w:rsid w:val="001E3632"/>
    <w:rsid w:val="001E36F4"/>
    <w:rsid w:val="001E3870"/>
    <w:rsid w:val="001E3E93"/>
    <w:rsid w:val="001E413D"/>
    <w:rsid w:val="001E42D2"/>
    <w:rsid w:val="001E4651"/>
    <w:rsid w:val="001E5B66"/>
    <w:rsid w:val="001E6376"/>
    <w:rsid w:val="001E6619"/>
    <w:rsid w:val="001E72D2"/>
    <w:rsid w:val="001E7C8D"/>
    <w:rsid w:val="001E7D54"/>
    <w:rsid w:val="001F0422"/>
    <w:rsid w:val="001F0505"/>
    <w:rsid w:val="001F0670"/>
    <w:rsid w:val="001F19E8"/>
    <w:rsid w:val="001F27AC"/>
    <w:rsid w:val="001F2D94"/>
    <w:rsid w:val="001F30F9"/>
    <w:rsid w:val="001F3457"/>
    <w:rsid w:val="001F3CA5"/>
    <w:rsid w:val="001F48F6"/>
    <w:rsid w:val="001F5872"/>
    <w:rsid w:val="001F5C52"/>
    <w:rsid w:val="001F5FD3"/>
    <w:rsid w:val="001F6521"/>
    <w:rsid w:val="001F6E1F"/>
    <w:rsid w:val="001F768A"/>
    <w:rsid w:val="002000EF"/>
    <w:rsid w:val="002004AD"/>
    <w:rsid w:val="00200719"/>
    <w:rsid w:val="002019D0"/>
    <w:rsid w:val="00201B6C"/>
    <w:rsid w:val="00201DE0"/>
    <w:rsid w:val="00201E26"/>
    <w:rsid w:val="002024BD"/>
    <w:rsid w:val="002024C9"/>
    <w:rsid w:val="002027B2"/>
    <w:rsid w:val="002032C2"/>
    <w:rsid w:val="00203FC2"/>
    <w:rsid w:val="0020462C"/>
    <w:rsid w:val="00205376"/>
    <w:rsid w:val="0020648D"/>
    <w:rsid w:val="002076DE"/>
    <w:rsid w:val="002077D0"/>
    <w:rsid w:val="002107FA"/>
    <w:rsid w:val="002109C8"/>
    <w:rsid w:val="0021179F"/>
    <w:rsid w:val="002119D6"/>
    <w:rsid w:val="00211CD5"/>
    <w:rsid w:val="00212A6F"/>
    <w:rsid w:val="00213430"/>
    <w:rsid w:val="002136FB"/>
    <w:rsid w:val="002138EB"/>
    <w:rsid w:val="002150DA"/>
    <w:rsid w:val="0021640E"/>
    <w:rsid w:val="00216452"/>
    <w:rsid w:val="00216D62"/>
    <w:rsid w:val="00216E87"/>
    <w:rsid w:val="00217B72"/>
    <w:rsid w:val="002206E3"/>
    <w:rsid w:val="00220B20"/>
    <w:rsid w:val="00220F3F"/>
    <w:rsid w:val="00221039"/>
    <w:rsid w:val="00222A07"/>
    <w:rsid w:val="00223073"/>
    <w:rsid w:val="00223612"/>
    <w:rsid w:val="002238DF"/>
    <w:rsid w:val="00223938"/>
    <w:rsid w:val="00223B36"/>
    <w:rsid w:val="00223FED"/>
    <w:rsid w:val="002241D7"/>
    <w:rsid w:val="002251AD"/>
    <w:rsid w:val="00225B55"/>
    <w:rsid w:val="00225BAF"/>
    <w:rsid w:val="00225F30"/>
    <w:rsid w:val="002261F0"/>
    <w:rsid w:val="00226296"/>
    <w:rsid w:val="002264F0"/>
    <w:rsid w:val="00226DE8"/>
    <w:rsid w:val="0022708A"/>
    <w:rsid w:val="00227454"/>
    <w:rsid w:val="0022790B"/>
    <w:rsid w:val="00227EF4"/>
    <w:rsid w:val="00230519"/>
    <w:rsid w:val="00230769"/>
    <w:rsid w:val="00230824"/>
    <w:rsid w:val="0023169D"/>
    <w:rsid w:val="00231BE0"/>
    <w:rsid w:val="002323DD"/>
    <w:rsid w:val="0023261E"/>
    <w:rsid w:val="00233D77"/>
    <w:rsid w:val="002341F8"/>
    <w:rsid w:val="0023629C"/>
    <w:rsid w:val="00236A09"/>
    <w:rsid w:val="00237DEA"/>
    <w:rsid w:val="002401F8"/>
    <w:rsid w:val="0024036E"/>
    <w:rsid w:val="002406F4"/>
    <w:rsid w:val="002422C3"/>
    <w:rsid w:val="002426AB"/>
    <w:rsid w:val="00242925"/>
    <w:rsid w:val="00243661"/>
    <w:rsid w:val="0024408E"/>
    <w:rsid w:val="00244283"/>
    <w:rsid w:val="002455E7"/>
    <w:rsid w:val="00245BCF"/>
    <w:rsid w:val="002461F7"/>
    <w:rsid w:val="0024658F"/>
    <w:rsid w:val="00246658"/>
    <w:rsid w:val="00246833"/>
    <w:rsid w:val="00247165"/>
    <w:rsid w:val="00247302"/>
    <w:rsid w:val="00247AEA"/>
    <w:rsid w:val="00247B26"/>
    <w:rsid w:val="00247CE3"/>
    <w:rsid w:val="0024F96B"/>
    <w:rsid w:val="00250B28"/>
    <w:rsid w:val="002522B8"/>
    <w:rsid w:val="00252688"/>
    <w:rsid w:val="00252DB3"/>
    <w:rsid w:val="0025317C"/>
    <w:rsid w:val="0025360F"/>
    <w:rsid w:val="00253961"/>
    <w:rsid w:val="00254337"/>
    <w:rsid w:val="00254928"/>
    <w:rsid w:val="00255375"/>
    <w:rsid w:val="00255AC8"/>
    <w:rsid w:val="00255C82"/>
    <w:rsid w:val="00256617"/>
    <w:rsid w:val="0025713E"/>
    <w:rsid w:val="00257FA7"/>
    <w:rsid w:val="00260034"/>
    <w:rsid w:val="00260871"/>
    <w:rsid w:val="0026092A"/>
    <w:rsid w:val="00260D6C"/>
    <w:rsid w:val="0026150E"/>
    <w:rsid w:val="00261B86"/>
    <w:rsid w:val="00261F55"/>
    <w:rsid w:val="00262254"/>
    <w:rsid w:val="00262634"/>
    <w:rsid w:val="00262C90"/>
    <w:rsid w:val="0026323C"/>
    <w:rsid w:val="00263758"/>
    <w:rsid w:val="002648B6"/>
    <w:rsid w:val="00264B72"/>
    <w:rsid w:val="00264B74"/>
    <w:rsid w:val="002651D7"/>
    <w:rsid w:val="002657F5"/>
    <w:rsid w:val="00265DFB"/>
    <w:rsid w:val="0026614F"/>
    <w:rsid w:val="0026652D"/>
    <w:rsid w:val="00266570"/>
    <w:rsid w:val="00267691"/>
    <w:rsid w:val="00271012"/>
    <w:rsid w:val="00271D5C"/>
    <w:rsid w:val="002723D3"/>
    <w:rsid w:val="00272BE7"/>
    <w:rsid w:val="00272C8F"/>
    <w:rsid w:val="00272F05"/>
    <w:rsid w:val="00273255"/>
    <w:rsid w:val="00273357"/>
    <w:rsid w:val="002735CF"/>
    <w:rsid w:val="00273806"/>
    <w:rsid w:val="00274AF2"/>
    <w:rsid w:val="0027513D"/>
    <w:rsid w:val="002754C4"/>
    <w:rsid w:val="002755F5"/>
    <w:rsid w:val="00276473"/>
    <w:rsid w:val="00276495"/>
    <w:rsid w:val="00276C0D"/>
    <w:rsid w:val="002770A6"/>
    <w:rsid w:val="00277CF1"/>
    <w:rsid w:val="00280476"/>
    <w:rsid w:val="002804C5"/>
    <w:rsid w:val="002807FC"/>
    <w:rsid w:val="00281475"/>
    <w:rsid w:val="0028166A"/>
    <w:rsid w:val="00281AED"/>
    <w:rsid w:val="00281FDD"/>
    <w:rsid w:val="00282EAB"/>
    <w:rsid w:val="00284080"/>
    <w:rsid w:val="0028435A"/>
    <w:rsid w:val="0028446D"/>
    <w:rsid w:val="002846B7"/>
    <w:rsid w:val="002865A3"/>
    <w:rsid w:val="002866D6"/>
    <w:rsid w:val="00286722"/>
    <w:rsid w:val="00286797"/>
    <w:rsid w:val="0028692C"/>
    <w:rsid w:val="00286E89"/>
    <w:rsid w:val="0028711A"/>
    <w:rsid w:val="00287C27"/>
    <w:rsid w:val="002904CB"/>
    <w:rsid w:val="00290973"/>
    <w:rsid w:val="00291015"/>
    <w:rsid w:val="00291433"/>
    <w:rsid w:val="00291F25"/>
    <w:rsid w:val="0029207F"/>
    <w:rsid w:val="002922AF"/>
    <w:rsid w:val="0029231A"/>
    <w:rsid w:val="00292803"/>
    <w:rsid w:val="002928FD"/>
    <w:rsid w:val="00292DBD"/>
    <w:rsid w:val="002930D6"/>
    <w:rsid w:val="00293ADC"/>
    <w:rsid w:val="00293CDE"/>
    <w:rsid w:val="00294290"/>
    <w:rsid w:val="002943FB"/>
    <w:rsid w:val="00294656"/>
    <w:rsid w:val="002949B0"/>
    <w:rsid w:val="00294D26"/>
    <w:rsid w:val="0029587F"/>
    <w:rsid w:val="002959E1"/>
    <w:rsid w:val="00295D5A"/>
    <w:rsid w:val="00296E30"/>
    <w:rsid w:val="002976B7"/>
    <w:rsid w:val="00297AB9"/>
    <w:rsid w:val="00297B2D"/>
    <w:rsid w:val="00297BC8"/>
    <w:rsid w:val="00297C25"/>
    <w:rsid w:val="00297F55"/>
    <w:rsid w:val="002A0A15"/>
    <w:rsid w:val="002A0DEF"/>
    <w:rsid w:val="002A144A"/>
    <w:rsid w:val="002A1A6C"/>
    <w:rsid w:val="002A2CAE"/>
    <w:rsid w:val="002A370F"/>
    <w:rsid w:val="002A3DC8"/>
    <w:rsid w:val="002A4BBF"/>
    <w:rsid w:val="002A4E29"/>
    <w:rsid w:val="002A5B9A"/>
    <w:rsid w:val="002A63ED"/>
    <w:rsid w:val="002A6691"/>
    <w:rsid w:val="002A6EAE"/>
    <w:rsid w:val="002A7875"/>
    <w:rsid w:val="002A7A4D"/>
    <w:rsid w:val="002A7B57"/>
    <w:rsid w:val="002B25BF"/>
    <w:rsid w:val="002B2759"/>
    <w:rsid w:val="002B2A7F"/>
    <w:rsid w:val="002B2D35"/>
    <w:rsid w:val="002B2D56"/>
    <w:rsid w:val="002B2FBF"/>
    <w:rsid w:val="002B3012"/>
    <w:rsid w:val="002B4216"/>
    <w:rsid w:val="002B4491"/>
    <w:rsid w:val="002B4C20"/>
    <w:rsid w:val="002B4FCD"/>
    <w:rsid w:val="002B5240"/>
    <w:rsid w:val="002B5353"/>
    <w:rsid w:val="002B5674"/>
    <w:rsid w:val="002B622A"/>
    <w:rsid w:val="002B6D47"/>
    <w:rsid w:val="002B76AB"/>
    <w:rsid w:val="002B7863"/>
    <w:rsid w:val="002B7D2B"/>
    <w:rsid w:val="002C0381"/>
    <w:rsid w:val="002C0673"/>
    <w:rsid w:val="002C089C"/>
    <w:rsid w:val="002C09B2"/>
    <w:rsid w:val="002C0CC0"/>
    <w:rsid w:val="002C1207"/>
    <w:rsid w:val="002C16CD"/>
    <w:rsid w:val="002C1A91"/>
    <w:rsid w:val="002C2075"/>
    <w:rsid w:val="002C233D"/>
    <w:rsid w:val="002C25CC"/>
    <w:rsid w:val="002C263C"/>
    <w:rsid w:val="002C3C89"/>
    <w:rsid w:val="002C4982"/>
    <w:rsid w:val="002C5147"/>
    <w:rsid w:val="002C5AF8"/>
    <w:rsid w:val="002C66C4"/>
    <w:rsid w:val="002C7236"/>
    <w:rsid w:val="002C73AD"/>
    <w:rsid w:val="002C7600"/>
    <w:rsid w:val="002D0049"/>
    <w:rsid w:val="002D0288"/>
    <w:rsid w:val="002D0AC4"/>
    <w:rsid w:val="002D1268"/>
    <w:rsid w:val="002D193E"/>
    <w:rsid w:val="002D1A22"/>
    <w:rsid w:val="002D1BB2"/>
    <w:rsid w:val="002D2F38"/>
    <w:rsid w:val="002D2F85"/>
    <w:rsid w:val="002D3DA2"/>
    <w:rsid w:val="002D420A"/>
    <w:rsid w:val="002D48D2"/>
    <w:rsid w:val="002D5286"/>
    <w:rsid w:val="002D58F3"/>
    <w:rsid w:val="002D6286"/>
    <w:rsid w:val="002D6307"/>
    <w:rsid w:val="002D6554"/>
    <w:rsid w:val="002D6C43"/>
    <w:rsid w:val="002D76FB"/>
    <w:rsid w:val="002D7F18"/>
    <w:rsid w:val="002E0402"/>
    <w:rsid w:val="002E04C9"/>
    <w:rsid w:val="002E06EA"/>
    <w:rsid w:val="002E0B21"/>
    <w:rsid w:val="002E184C"/>
    <w:rsid w:val="002E1EDA"/>
    <w:rsid w:val="002E308D"/>
    <w:rsid w:val="002E30A7"/>
    <w:rsid w:val="002E3119"/>
    <w:rsid w:val="002E3237"/>
    <w:rsid w:val="002E35A5"/>
    <w:rsid w:val="002E3AD0"/>
    <w:rsid w:val="002E3FB9"/>
    <w:rsid w:val="002E5183"/>
    <w:rsid w:val="002E53EE"/>
    <w:rsid w:val="002E72E3"/>
    <w:rsid w:val="002E7483"/>
    <w:rsid w:val="002F0105"/>
    <w:rsid w:val="002F031A"/>
    <w:rsid w:val="002F11DD"/>
    <w:rsid w:val="002F1645"/>
    <w:rsid w:val="002F21C6"/>
    <w:rsid w:val="002F2BC8"/>
    <w:rsid w:val="002F2CE1"/>
    <w:rsid w:val="002F310D"/>
    <w:rsid w:val="002F31A8"/>
    <w:rsid w:val="002F354C"/>
    <w:rsid w:val="002F3A83"/>
    <w:rsid w:val="002F3E6C"/>
    <w:rsid w:val="002F3FBB"/>
    <w:rsid w:val="002F49A8"/>
    <w:rsid w:val="002F5809"/>
    <w:rsid w:val="002F5A01"/>
    <w:rsid w:val="002F5E32"/>
    <w:rsid w:val="002F65F9"/>
    <w:rsid w:val="002F6CAB"/>
    <w:rsid w:val="002F6FE7"/>
    <w:rsid w:val="002F7163"/>
    <w:rsid w:val="002F7585"/>
    <w:rsid w:val="002F7830"/>
    <w:rsid w:val="002F7868"/>
    <w:rsid w:val="002F78E7"/>
    <w:rsid w:val="002F7D09"/>
    <w:rsid w:val="002F7FEA"/>
    <w:rsid w:val="003000D0"/>
    <w:rsid w:val="00300245"/>
    <w:rsid w:val="00300F9B"/>
    <w:rsid w:val="00301FCF"/>
    <w:rsid w:val="00302043"/>
    <w:rsid w:val="00303104"/>
    <w:rsid w:val="00304B01"/>
    <w:rsid w:val="00304CFC"/>
    <w:rsid w:val="0030540A"/>
    <w:rsid w:val="003054AF"/>
    <w:rsid w:val="003056F3"/>
    <w:rsid w:val="0030598E"/>
    <w:rsid w:val="00305B69"/>
    <w:rsid w:val="00306760"/>
    <w:rsid w:val="00306805"/>
    <w:rsid w:val="00306A2D"/>
    <w:rsid w:val="00306A70"/>
    <w:rsid w:val="0030719D"/>
    <w:rsid w:val="00307353"/>
    <w:rsid w:val="00307F2B"/>
    <w:rsid w:val="00307FCD"/>
    <w:rsid w:val="0031079D"/>
    <w:rsid w:val="00310ABA"/>
    <w:rsid w:val="0031155D"/>
    <w:rsid w:val="00311B25"/>
    <w:rsid w:val="0031204C"/>
    <w:rsid w:val="00312353"/>
    <w:rsid w:val="003124E7"/>
    <w:rsid w:val="003126FD"/>
    <w:rsid w:val="003127DE"/>
    <w:rsid w:val="00312814"/>
    <w:rsid w:val="00312FC9"/>
    <w:rsid w:val="003132DC"/>
    <w:rsid w:val="00313BA8"/>
    <w:rsid w:val="003144E4"/>
    <w:rsid w:val="0031459C"/>
    <w:rsid w:val="00314B9F"/>
    <w:rsid w:val="00314BAD"/>
    <w:rsid w:val="00314D0E"/>
    <w:rsid w:val="0031568E"/>
    <w:rsid w:val="00315945"/>
    <w:rsid w:val="003173AE"/>
    <w:rsid w:val="0031752A"/>
    <w:rsid w:val="0032029C"/>
    <w:rsid w:val="00320A1A"/>
    <w:rsid w:val="00320FB8"/>
    <w:rsid w:val="003219CF"/>
    <w:rsid w:val="003220F8"/>
    <w:rsid w:val="003228A4"/>
    <w:rsid w:val="00322C2C"/>
    <w:rsid w:val="003234A3"/>
    <w:rsid w:val="00323980"/>
    <w:rsid w:val="00323F59"/>
    <w:rsid w:val="00323F75"/>
    <w:rsid w:val="0032421F"/>
    <w:rsid w:val="0032456C"/>
    <w:rsid w:val="0032459D"/>
    <w:rsid w:val="003245BC"/>
    <w:rsid w:val="00324E7C"/>
    <w:rsid w:val="00325501"/>
    <w:rsid w:val="00325C32"/>
    <w:rsid w:val="00326E57"/>
    <w:rsid w:val="00327095"/>
    <w:rsid w:val="00327452"/>
    <w:rsid w:val="0032762C"/>
    <w:rsid w:val="00327F4F"/>
    <w:rsid w:val="00330BDA"/>
    <w:rsid w:val="00330D13"/>
    <w:rsid w:val="00331437"/>
    <w:rsid w:val="00331552"/>
    <w:rsid w:val="00331578"/>
    <w:rsid w:val="0033168C"/>
    <w:rsid w:val="0033180B"/>
    <w:rsid w:val="00331F7D"/>
    <w:rsid w:val="0033318F"/>
    <w:rsid w:val="003336C9"/>
    <w:rsid w:val="00333948"/>
    <w:rsid w:val="00334033"/>
    <w:rsid w:val="00334B97"/>
    <w:rsid w:val="003354B0"/>
    <w:rsid w:val="00335777"/>
    <w:rsid w:val="00335CD6"/>
    <w:rsid w:val="00335D08"/>
    <w:rsid w:val="0033670F"/>
    <w:rsid w:val="00336856"/>
    <w:rsid w:val="00336A78"/>
    <w:rsid w:val="00336FC2"/>
    <w:rsid w:val="00337026"/>
    <w:rsid w:val="003377D4"/>
    <w:rsid w:val="00337A6D"/>
    <w:rsid w:val="003405E7"/>
    <w:rsid w:val="00340734"/>
    <w:rsid w:val="0034086F"/>
    <w:rsid w:val="00340DAF"/>
    <w:rsid w:val="00341503"/>
    <w:rsid w:val="00341FDF"/>
    <w:rsid w:val="00342C09"/>
    <w:rsid w:val="003432BB"/>
    <w:rsid w:val="00343A31"/>
    <w:rsid w:val="00343D68"/>
    <w:rsid w:val="003445EB"/>
    <w:rsid w:val="00344782"/>
    <w:rsid w:val="00345901"/>
    <w:rsid w:val="00345DAC"/>
    <w:rsid w:val="003463BC"/>
    <w:rsid w:val="0034645A"/>
    <w:rsid w:val="00346C6A"/>
    <w:rsid w:val="00346F88"/>
    <w:rsid w:val="0034715A"/>
    <w:rsid w:val="00347320"/>
    <w:rsid w:val="00347BE2"/>
    <w:rsid w:val="00347FB5"/>
    <w:rsid w:val="003507C7"/>
    <w:rsid w:val="00350A4E"/>
    <w:rsid w:val="00350CF6"/>
    <w:rsid w:val="00351284"/>
    <w:rsid w:val="00351822"/>
    <w:rsid w:val="00351D2F"/>
    <w:rsid w:val="00352762"/>
    <w:rsid w:val="00352AAE"/>
    <w:rsid w:val="00354AA7"/>
    <w:rsid w:val="00355148"/>
    <w:rsid w:val="003558AA"/>
    <w:rsid w:val="003558D2"/>
    <w:rsid w:val="00355A75"/>
    <w:rsid w:val="00355B13"/>
    <w:rsid w:val="00355E68"/>
    <w:rsid w:val="00356180"/>
    <w:rsid w:val="00356250"/>
    <w:rsid w:val="00356919"/>
    <w:rsid w:val="0035699E"/>
    <w:rsid w:val="00357464"/>
    <w:rsid w:val="003574E4"/>
    <w:rsid w:val="003576EC"/>
    <w:rsid w:val="0035776F"/>
    <w:rsid w:val="003577B4"/>
    <w:rsid w:val="00357D5D"/>
    <w:rsid w:val="003603AE"/>
    <w:rsid w:val="00361222"/>
    <w:rsid w:val="00361258"/>
    <w:rsid w:val="0036149A"/>
    <w:rsid w:val="0036218E"/>
    <w:rsid w:val="003621D1"/>
    <w:rsid w:val="003625EC"/>
    <w:rsid w:val="003625F1"/>
    <w:rsid w:val="0036266E"/>
    <w:rsid w:val="003627BF"/>
    <w:rsid w:val="003627F4"/>
    <w:rsid w:val="00362DA5"/>
    <w:rsid w:val="00362E1B"/>
    <w:rsid w:val="00362E8C"/>
    <w:rsid w:val="00363693"/>
    <w:rsid w:val="003636C3"/>
    <w:rsid w:val="003638F8"/>
    <w:rsid w:val="00363C08"/>
    <w:rsid w:val="00363E03"/>
    <w:rsid w:val="00364275"/>
    <w:rsid w:val="00364B6E"/>
    <w:rsid w:val="00364B9C"/>
    <w:rsid w:val="00364BE3"/>
    <w:rsid w:val="00365260"/>
    <w:rsid w:val="003659CF"/>
    <w:rsid w:val="00366104"/>
    <w:rsid w:val="00366176"/>
    <w:rsid w:val="00366E95"/>
    <w:rsid w:val="00367AC8"/>
    <w:rsid w:val="00367AFB"/>
    <w:rsid w:val="00367C5B"/>
    <w:rsid w:val="00370337"/>
    <w:rsid w:val="00370BA0"/>
    <w:rsid w:val="00370D77"/>
    <w:rsid w:val="00371034"/>
    <w:rsid w:val="003711C6"/>
    <w:rsid w:val="003717B8"/>
    <w:rsid w:val="0037196D"/>
    <w:rsid w:val="00371AFA"/>
    <w:rsid w:val="00371F8A"/>
    <w:rsid w:val="0037219A"/>
    <w:rsid w:val="0037251A"/>
    <w:rsid w:val="00372945"/>
    <w:rsid w:val="00372A62"/>
    <w:rsid w:val="00372CB9"/>
    <w:rsid w:val="00373006"/>
    <w:rsid w:val="00373AAA"/>
    <w:rsid w:val="00373C62"/>
    <w:rsid w:val="00374E02"/>
    <w:rsid w:val="00375B64"/>
    <w:rsid w:val="00375CDD"/>
    <w:rsid w:val="00375FE1"/>
    <w:rsid w:val="00376395"/>
    <w:rsid w:val="00376594"/>
    <w:rsid w:val="00376C98"/>
    <w:rsid w:val="00377028"/>
    <w:rsid w:val="00377214"/>
    <w:rsid w:val="00377344"/>
    <w:rsid w:val="00377EBB"/>
    <w:rsid w:val="00377F3A"/>
    <w:rsid w:val="003804AD"/>
    <w:rsid w:val="00380B73"/>
    <w:rsid w:val="003813B9"/>
    <w:rsid w:val="00382026"/>
    <w:rsid w:val="00382679"/>
    <w:rsid w:val="003827EE"/>
    <w:rsid w:val="00382DE3"/>
    <w:rsid w:val="003831AC"/>
    <w:rsid w:val="003833F1"/>
    <w:rsid w:val="00383504"/>
    <w:rsid w:val="0038489F"/>
    <w:rsid w:val="00384F8B"/>
    <w:rsid w:val="00384FB8"/>
    <w:rsid w:val="0038522C"/>
    <w:rsid w:val="00385A1B"/>
    <w:rsid w:val="00385B88"/>
    <w:rsid w:val="003862BF"/>
    <w:rsid w:val="003863A1"/>
    <w:rsid w:val="00386671"/>
    <w:rsid w:val="00386B75"/>
    <w:rsid w:val="00386B9D"/>
    <w:rsid w:val="00386C29"/>
    <w:rsid w:val="00386C68"/>
    <w:rsid w:val="00386E47"/>
    <w:rsid w:val="00387791"/>
    <w:rsid w:val="00387D8C"/>
    <w:rsid w:val="00387F2F"/>
    <w:rsid w:val="00390664"/>
    <w:rsid w:val="0039101B"/>
    <w:rsid w:val="00392225"/>
    <w:rsid w:val="00392565"/>
    <w:rsid w:val="0039275F"/>
    <w:rsid w:val="00393389"/>
    <w:rsid w:val="00394934"/>
    <w:rsid w:val="0039543B"/>
    <w:rsid w:val="003959D6"/>
    <w:rsid w:val="0039679F"/>
    <w:rsid w:val="00396EAD"/>
    <w:rsid w:val="00397295"/>
    <w:rsid w:val="00397964"/>
    <w:rsid w:val="00397B15"/>
    <w:rsid w:val="00397C44"/>
    <w:rsid w:val="003A0966"/>
    <w:rsid w:val="003A14C3"/>
    <w:rsid w:val="003A1522"/>
    <w:rsid w:val="003A179D"/>
    <w:rsid w:val="003A1ADC"/>
    <w:rsid w:val="003A27FF"/>
    <w:rsid w:val="003A38C9"/>
    <w:rsid w:val="003A3BE0"/>
    <w:rsid w:val="003A3DAA"/>
    <w:rsid w:val="003A412B"/>
    <w:rsid w:val="003A46EF"/>
    <w:rsid w:val="003A4997"/>
    <w:rsid w:val="003A49CF"/>
    <w:rsid w:val="003A4DB1"/>
    <w:rsid w:val="003A4FA9"/>
    <w:rsid w:val="003A5139"/>
    <w:rsid w:val="003A5415"/>
    <w:rsid w:val="003A562B"/>
    <w:rsid w:val="003A5BFB"/>
    <w:rsid w:val="003A61BF"/>
    <w:rsid w:val="003A6F5B"/>
    <w:rsid w:val="003A7820"/>
    <w:rsid w:val="003A7922"/>
    <w:rsid w:val="003A798E"/>
    <w:rsid w:val="003A7B7B"/>
    <w:rsid w:val="003A7D3C"/>
    <w:rsid w:val="003B05C4"/>
    <w:rsid w:val="003B07F6"/>
    <w:rsid w:val="003B0FCE"/>
    <w:rsid w:val="003B17FB"/>
    <w:rsid w:val="003B22D5"/>
    <w:rsid w:val="003B3B3F"/>
    <w:rsid w:val="003B3B6B"/>
    <w:rsid w:val="003B3CBC"/>
    <w:rsid w:val="003B3D28"/>
    <w:rsid w:val="003B3EC1"/>
    <w:rsid w:val="003B427F"/>
    <w:rsid w:val="003B452A"/>
    <w:rsid w:val="003B563D"/>
    <w:rsid w:val="003B5B37"/>
    <w:rsid w:val="003B5D6A"/>
    <w:rsid w:val="003B67C7"/>
    <w:rsid w:val="003B6AD9"/>
    <w:rsid w:val="003B6C8C"/>
    <w:rsid w:val="003B7FF7"/>
    <w:rsid w:val="003C070D"/>
    <w:rsid w:val="003C075F"/>
    <w:rsid w:val="003C291E"/>
    <w:rsid w:val="003C2BCD"/>
    <w:rsid w:val="003C2D28"/>
    <w:rsid w:val="003C3F20"/>
    <w:rsid w:val="003C46FF"/>
    <w:rsid w:val="003C4A2C"/>
    <w:rsid w:val="003C5037"/>
    <w:rsid w:val="003C5470"/>
    <w:rsid w:val="003C60B2"/>
    <w:rsid w:val="003C65F1"/>
    <w:rsid w:val="003C70A0"/>
    <w:rsid w:val="003C7192"/>
    <w:rsid w:val="003C73B3"/>
    <w:rsid w:val="003D09F4"/>
    <w:rsid w:val="003D188E"/>
    <w:rsid w:val="003D1919"/>
    <w:rsid w:val="003D1934"/>
    <w:rsid w:val="003D1ADE"/>
    <w:rsid w:val="003D1AED"/>
    <w:rsid w:val="003D1E9F"/>
    <w:rsid w:val="003D2E06"/>
    <w:rsid w:val="003D2E0D"/>
    <w:rsid w:val="003D3FEA"/>
    <w:rsid w:val="003D40B8"/>
    <w:rsid w:val="003D41EF"/>
    <w:rsid w:val="003D49BF"/>
    <w:rsid w:val="003D4C37"/>
    <w:rsid w:val="003D4C62"/>
    <w:rsid w:val="003D4F27"/>
    <w:rsid w:val="003D4FF0"/>
    <w:rsid w:val="003D5327"/>
    <w:rsid w:val="003D53C0"/>
    <w:rsid w:val="003D58ED"/>
    <w:rsid w:val="003D5F48"/>
    <w:rsid w:val="003D624B"/>
    <w:rsid w:val="003D66C6"/>
    <w:rsid w:val="003D6D0C"/>
    <w:rsid w:val="003D6E1C"/>
    <w:rsid w:val="003D7746"/>
    <w:rsid w:val="003D7AFE"/>
    <w:rsid w:val="003D7C53"/>
    <w:rsid w:val="003E0662"/>
    <w:rsid w:val="003E0BCC"/>
    <w:rsid w:val="003E1399"/>
    <w:rsid w:val="003E14A7"/>
    <w:rsid w:val="003E157C"/>
    <w:rsid w:val="003E1F0C"/>
    <w:rsid w:val="003E226E"/>
    <w:rsid w:val="003E22E2"/>
    <w:rsid w:val="003E2ECE"/>
    <w:rsid w:val="003E3220"/>
    <w:rsid w:val="003E3B13"/>
    <w:rsid w:val="003E3B48"/>
    <w:rsid w:val="003E3CAD"/>
    <w:rsid w:val="003E3D6E"/>
    <w:rsid w:val="003E47AE"/>
    <w:rsid w:val="003E4934"/>
    <w:rsid w:val="003E4C76"/>
    <w:rsid w:val="003E4F27"/>
    <w:rsid w:val="003E5773"/>
    <w:rsid w:val="003E5DE0"/>
    <w:rsid w:val="003E60B8"/>
    <w:rsid w:val="003E6379"/>
    <w:rsid w:val="003F04C6"/>
    <w:rsid w:val="003F0DE1"/>
    <w:rsid w:val="003F17CE"/>
    <w:rsid w:val="003F1A7C"/>
    <w:rsid w:val="003F258B"/>
    <w:rsid w:val="003F27DA"/>
    <w:rsid w:val="003F2D03"/>
    <w:rsid w:val="003F348C"/>
    <w:rsid w:val="003F371E"/>
    <w:rsid w:val="003F3775"/>
    <w:rsid w:val="003F3C4B"/>
    <w:rsid w:val="003F421D"/>
    <w:rsid w:val="003F4617"/>
    <w:rsid w:val="003F5B7E"/>
    <w:rsid w:val="003F61A9"/>
    <w:rsid w:val="003F6323"/>
    <w:rsid w:val="003F676E"/>
    <w:rsid w:val="003F6985"/>
    <w:rsid w:val="003F6F9A"/>
    <w:rsid w:val="003F720E"/>
    <w:rsid w:val="003F726C"/>
    <w:rsid w:val="003F79E8"/>
    <w:rsid w:val="004003BC"/>
    <w:rsid w:val="004009AD"/>
    <w:rsid w:val="00400B32"/>
    <w:rsid w:val="00400DA1"/>
    <w:rsid w:val="00401040"/>
    <w:rsid w:val="00401469"/>
    <w:rsid w:val="00402427"/>
    <w:rsid w:val="00402951"/>
    <w:rsid w:val="00402EDC"/>
    <w:rsid w:val="0040325E"/>
    <w:rsid w:val="00403C6E"/>
    <w:rsid w:val="004041DC"/>
    <w:rsid w:val="004044A3"/>
    <w:rsid w:val="004046A9"/>
    <w:rsid w:val="00404B5D"/>
    <w:rsid w:val="0040522A"/>
    <w:rsid w:val="00405A2F"/>
    <w:rsid w:val="004065CA"/>
    <w:rsid w:val="0040674D"/>
    <w:rsid w:val="00406B69"/>
    <w:rsid w:val="00406FAC"/>
    <w:rsid w:val="00410194"/>
    <w:rsid w:val="004102CC"/>
    <w:rsid w:val="00411537"/>
    <w:rsid w:val="0041271B"/>
    <w:rsid w:val="00412FC0"/>
    <w:rsid w:val="004130AB"/>
    <w:rsid w:val="00413CE5"/>
    <w:rsid w:val="004147D1"/>
    <w:rsid w:val="00414B53"/>
    <w:rsid w:val="00414E6C"/>
    <w:rsid w:val="00415906"/>
    <w:rsid w:val="00417586"/>
    <w:rsid w:val="00417661"/>
    <w:rsid w:val="004177BB"/>
    <w:rsid w:val="004200CE"/>
    <w:rsid w:val="00420759"/>
    <w:rsid w:val="00421540"/>
    <w:rsid w:val="00421E30"/>
    <w:rsid w:val="00422798"/>
    <w:rsid w:val="004238DC"/>
    <w:rsid w:val="00423C76"/>
    <w:rsid w:val="0042418D"/>
    <w:rsid w:val="00424D4A"/>
    <w:rsid w:val="00425627"/>
    <w:rsid w:val="004257CD"/>
    <w:rsid w:val="0042595F"/>
    <w:rsid w:val="00425A37"/>
    <w:rsid w:val="00426E55"/>
    <w:rsid w:val="00427214"/>
    <w:rsid w:val="004301D9"/>
    <w:rsid w:val="0043060A"/>
    <w:rsid w:val="00430B90"/>
    <w:rsid w:val="00430CF1"/>
    <w:rsid w:val="004316C9"/>
    <w:rsid w:val="00431C62"/>
    <w:rsid w:val="00431D29"/>
    <w:rsid w:val="00432259"/>
    <w:rsid w:val="00432FDC"/>
    <w:rsid w:val="00433D68"/>
    <w:rsid w:val="004348E0"/>
    <w:rsid w:val="0043490F"/>
    <w:rsid w:val="00434991"/>
    <w:rsid w:val="00434C83"/>
    <w:rsid w:val="00435731"/>
    <w:rsid w:val="00435A2C"/>
    <w:rsid w:val="00435A8C"/>
    <w:rsid w:val="00435B66"/>
    <w:rsid w:val="00436AE4"/>
    <w:rsid w:val="0043772C"/>
    <w:rsid w:val="0043790E"/>
    <w:rsid w:val="00437F91"/>
    <w:rsid w:val="00440781"/>
    <w:rsid w:val="004411DB"/>
    <w:rsid w:val="004417BF"/>
    <w:rsid w:val="00441861"/>
    <w:rsid w:val="004418F9"/>
    <w:rsid w:val="0044307B"/>
    <w:rsid w:val="004431E7"/>
    <w:rsid w:val="004437C8"/>
    <w:rsid w:val="004438C4"/>
    <w:rsid w:val="004439D8"/>
    <w:rsid w:val="00443C26"/>
    <w:rsid w:val="004442B4"/>
    <w:rsid w:val="004445E5"/>
    <w:rsid w:val="00444B32"/>
    <w:rsid w:val="00444EAD"/>
    <w:rsid w:val="004452AF"/>
    <w:rsid w:val="00447507"/>
    <w:rsid w:val="00447580"/>
    <w:rsid w:val="004476AE"/>
    <w:rsid w:val="00447891"/>
    <w:rsid w:val="00447D0B"/>
    <w:rsid w:val="00447DF2"/>
    <w:rsid w:val="004502BE"/>
    <w:rsid w:val="00450DF0"/>
    <w:rsid w:val="00450F9C"/>
    <w:rsid w:val="0045102D"/>
    <w:rsid w:val="004516D3"/>
    <w:rsid w:val="0045272C"/>
    <w:rsid w:val="004529CA"/>
    <w:rsid w:val="004529E6"/>
    <w:rsid w:val="00452D3E"/>
    <w:rsid w:val="0045318A"/>
    <w:rsid w:val="00453869"/>
    <w:rsid w:val="0045413F"/>
    <w:rsid w:val="004542FC"/>
    <w:rsid w:val="004547BD"/>
    <w:rsid w:val="00454C02"/>
    <w:rsid w:val="004551F8"/>
    <w:rsid w:val="0045724E"/>
    <w:rsid w:val="00457271"/>
    <w:rsid w:val="004575DA"/>
    <w:rsid w:val="004575F8"/>
    <w:rsid w:val="00457CE0"/>
    <w:rsid w:val="00457D70"/>
    <w:rsid w:val="00460668"/>
    <w:rsid w:val="00460C4D"/>
    <w:rsid w:val="00460DAE"/>
    <w:rsid w:val="00460F83"/>
    <w:rsid w:val="0046133B"/>
    <w:rsid w:val="004620C8"/>
    <w:rsid w:val="00462657"/>
    <w:rsid w:val="00462962"/>
    <w:rsid w:val="00462A1A"/>
    <w:rsid w:val="00462BFC"/>
    <w:rsid w:val="00462CED"/>
    <w:rsid w:val="00462CFD"/>
    <w:rsid w:val="00462E11"/>
    <w:rsid w:val="00462F3E"/>
    <w:rsid w:val="0046308E"/>
    <w:rsid w:val="004638EF"/>
    <w:rsid w:val="00464D42"/>
    <w:rsid w:val="00464FE4"/>
    <w:rsid w:val="00465079"/>
    <w:rsid w:val="00465155"/>
    <w:rsid w:val="00466579"/>
    <w:rsid w:val="00466973"/>
    <w:rsid w:val="00467372"/>
    <w:rsid w:val="00471AC9"/>
    <w:rsid w:val="004723B0"/>
    <w:rsid w:val="00472619"/>
    <w:rsid w:val="00472AD7"/>
    <w:rsid w:val="00473095"/>
    <w:rsid w:val="00474464"/>
    <w:rsid w:val="00474DAE"/>
    <w:rsid w:val="00474F24"/>
    <w:rsid w:val="00474F7F"/>
    <w:rsid w:val="00475BFA"/>
    <w:rsid w:val="00475CEA"/>
    <w:rsid w:val="00476A95"/>
    <w:rsid w:val="00480178"/>
    <w:rsid w:val="00480622"/>
    <w:rsid w:val="00480698"/>
    <w:rsid w:val="00481F3F"/>
    <w:rsid w:val="00481FCE"/>
    <w:rsid w:val="00482318"/>
    <w:rsid w:val="00482514"/>
    <w:rsid w:val="00482698"/>
    <w:rsid w:val="00482DAC"/>
    <w:rsid w:val="00483491"/>
    <w:rsid w:val="0048390A"/>
    <w:rsid w:val="00483CEB"/>
    <w:rsid w:val="00483D46"/>
    <w:rsid w:val="00484FD3"/>
    <w:rsid w:val="00485150"/>
    <w:rsid w:val="00485464"/>
    <w:rsid w:val="00485796"/>
    <w:rsid w:val="00485C2B"/>
    <w:rsid w:val="00485C8A"/>
    <w:rsid w:val="004860B4"/>
    <w:rsid w:val="00486A29"/>
    <w:rsid w:val="00486ED4"/>
    <w:rsid w:val="00487A2E"/>
    <w:rsid w:val="00487BB0"/>
    <w:rsid w:val="00490089"/>
    <w:rsid w:val="004900AE"/>
    <w:rsid w:val="00490738"/>
    <w:rsid w:val="0049090E"/>
    <w:rsid w:val="00491280"/>
    <w:rsid w:val="0049131F"/>
    <w:rsid w:val="00491C09"/>
    <w:rsid w:val="0049203B"/>
    <w:rsid w:val="004920C7"/>
    <w:rsid w:val="00492300"/>
    <w:rsid w:val="0049275E"/>
    <w:rsid w:val="004933A0"/>
    <w:rsid w:val="00493E44"/>
    <w:rsid w:val="004948CF"/>
    <w:rsid w:val="004949B4"/>
    <w:rsid w:val="00494A98"/>
    <w:rsid w:val="004962A1"/>
    <w:rsid w:val="00497595"/>
    <w:rsid w:val="00497B0D"/>
    <w:rsid w:val="00497CEE"/>
    <w:rsid w:val="004A0223"/>
    <w:rsid w:val="004A032C"/>
    <w:rsid w:val="004A06E6"/>
    <w:rsid w:val="004A11FA"/>
    <w:rsid w:val="004A17B3"/>
    <w:rsid w:val="004A1CD8"/>
    <w:rsid w:val="004A1E6D"/>
    <w:rsid w:val="004A1FA5"/>
    <w:rsid w:val="004A21C2"/>
    <w:rsid w:val="004A25B6"/>
    <w:rsid w:val="004A276F"/>
    <w:rsid w:val="004A4139"/>
    <w:rsid w:val="004A4273"/>
    <w:rsid w:val="004A43E2"/>
    <w:rsid w:val="004A441C"/>
    <w:rsid w:val="004A4EAA"/>
    <w:rsid w:val="004A55CD"/>
    <w:rsid w:val="004A615F"/>
    <w:rsid w:val="004A620E"/>
    <w:rsid w:val="004A67BA"/>
    <w:rsid w:val="004A7A4F"/>
    <w:rsid w:val="004A7B0B"/>
    <w:rsid w:val="004B012D"/>
    <w:rsid w:val="004B03BA"/>
    <w:rsid w:val="004B0613"/>
    <w:rsid w:val="004B0C50"/>
    <w:rsid w:val="004B0F6E"/>
    <w:rsid w:val="004B111F"/>
    <w:rsid w:val="004B18B1"/>
    <w:rsid w:val="004B1C92"/>
    <w:rsid w:val="004B2C38"/>
    <w:rsid w:val="004B2DB4"/>
    <w:rsid w:val="004B2DCA"/>
    <w:rsid w:val="004B34F5"/>
    <w:rsid w:val="004B355D"/>
    <w:rsid w:val="004B3CB0"/>
    <w:rsid w:val="004B3E7C"/>
    <w:rsid w:val="004B43E2"/>
    <w:rsid w:val="004B5379"/>
    <w:rsid w:val="004B5BD0"/>
    <w:rsid w:val="004B64F7"/>
    <w:rsid w:val="004C0707"/>
    <w:rsid w:val="004C0CFD"/>
    <w:rsid w:val="004C0D60"/>
    <w:rsid w:val="004C112A"/>
    <w:rsid w:val="004C12BE"/>
    <w:rsid w:val="004C21C2"/>
    <w:rsid w:val="004C2784"/>
    <w:rsid w:val="004C350D"/>
    <w:rsid w:val="004C35A4"/>
    <w:rsid w:val="004C3A01"/>
    <w:rsid w:val="004C3BFC"/>
    <w:rsid w:val="004C3DD5"/>
    <w:rsid w:val="004C4561"/>
    <w:rsid w:val="004C49E4"/>
    <w:rsid w:val="004C5198"/>
    <w:rsid w:val="004C538B"/>
    <w:rsid w:val="004C5AEA"/>
    <w:rsid w:val="004C5CEB"/>
    <w:rsid w:val="004C5F61"/>
    <w:rsid w:val="004C6A6A"/>
    <w:rsid w:val="004C7376"/>
    <w:rsid w:val="004C7DB6"/>
    <w:rsid w:val="004C7F71"/>
    <w:rsid w:val="004D0093"/>
    <w:rsid w:val="004D080B"/>
    <w:rsid w:val="004D1315"/>
    <w:rsid w:val="004D1893"/>
    <w:rsid w:val="004D1992"/>
    <w:rsid w:val="004D1B6C"/>
    <w:rsid w:val="004D1D7E"/>
    <w:rsid w:val="004D1D83"/>
    <w:rsid w:val="004D255B"/>
    <w:rsid w:val="004D2B5F"/>
    <w:rsid w:val="004D2F32"/>
    <w:rsid w:val="004D3495"/>
    <w:rsid w:val="004D379D"/>
    <w:rsid w:val="004D3958"/>
    <w:rsid w:val="004D3988"/>
    <w:rsid w:val="004D43E7"/>
    <w:rsid w:val="004D4536"/>
    <w:rsid w:val="004D4D64"/>
    <w:rsid w:val="004D4D91"/>
    <w:rsid w:val="004D4E67"/>
    <w:rsid w:val="004D4FA9"/>
    <w:rsid w:val="004D5E9F"/>
    <w:rsid w:val="004D5FA3"/>
    <w:rsid w:val="004D6D2D"/>
    <w:rsid w:val="004D7236"/>
    <w:rsid w:val="004D76D2"/>
    <w:rsid w:val="004D7869"/>
    <w:rsid w:val="004D7B4F"/>
    <w:rsid w:val="004D7D1F"/>
    <w:rsid w:val="004D7E0B"/>
    <w:rsid w:val="004E048D"/>
    <w:rsid w:val="004E1ACB"/>
    <w:rsid w:val="004E1CD9"/>
    <w:rsid w:val="004E23F5"/>
    <w:rsid w:val="004E32F0"/>
    <w:rsid w:val="004E3C55"/>
    <w:rsid w:val="004E4B68"/>
    <w:rsid w:val="004E4D95"/>
    <w:rsid w:val="004E4E21"/>
    <w:rsid w:val="004E4F6E"/>
    <w:rsid w:val="004E5130"/>
    <w:rsid w:val="004E6260"/>
    <w:rsid w:val="004E66DA"/>
    <w:rsid w:val="004E670F"/>
    <w:rsid w:val="004E6D66"/>
    <w:rsid w:val="004E730F"/>
    <w:rsid w:val="004E7335"/>
    <w:rsid w:val="004E7DAF"/>
    <w:rsid w:val="004F040D"/>
    <w:rsid w:val="004F100B"/>
    <w:rsid w:val="004F2047"/>
    <w:rsid w:val="004F2323"/>
    <w:rsid w:val="004F26E1"/>
    <w:rsid w:val="004F3C6E"/>
    <w:rsid w:val="004F3D6F"/>
    <w:rsid w:val="004F3F56"/>
    <w:rsid w:val="004F4493"/>
    <w:rsid w:val="004F44F3"/>
    <w:rsid w:val="004F48A3"/>
    <w:rsid w:val="004F57F0"/>
    <w:rsid w:val="004F6795"/>
    <w:rsid w:val="004F6F4D"/>
    <w:rsid w:val="004F7126"/>
    <w:rsid w:val="005004C3"/>
    <w:rsid w:val="00500764"/>
    <w:rsid w:val="00500C81"/>
    <w:rsid w:val="00501973"/>
    <w:rsid w:val="00501B7F"/>
    <w:rsid w:val="00502C9A"/>
    <w:rsid w:val="005033BB"/>
    <w:rsid w:val="00503D05"/>
    <w:rsid w:val="00503FE1"/>
    <w:rsid w:val="005043CD"/>
    <w:rsid w:val="005044AF"/>
    <w:rsid w:val="00504E03"/>
    <w:rsid w:val="00505304"/>
    <w:rsid w:val="005054A1"/>
    <w:rsid w:val="005054E8"/>
    <w:rsid w:val="005055BD"/>
    <w:rsid w:val="0050600F"/>
    <w:rsid w:val="00506ED2"/>
    <w:rsid w:val="00507820"/>
    <w:rsid w:val="00507E54"/>
    <w:rsid w:val="005101E6"/>
    <w:rsid w:val="005103A7"/>
    <w:rsid w:val="00510969"/>
    <w:rsid w:val="00511C55"/>
    <w:rsid w:val="00511E87"/>
    <w:rsid w:val="00512D46"/>
    <w:rsid w:val="0051300C"/>
    <w:rsid w:val="00513A67"/>
    <w:rsid w:val="00513A6C"/>
    <w:rsid w:val="00513A7C"/>
    <w:rsid w:val="00514398"/>
    <w:rsid w:val="00514AB4"/>
    <w:rsid w:val="00516712"/>
    <w:rsid w:val="00517091"/>
    <w:rsid w:val="0052128D"/>
    <w:rsid w:val="0052210D"/>
    <w:rsid w:val="005227EB"/>
    <w:rsid w:val="00523096"/>
    <w:rsid w:val="005230EA"/>
    <w:rsid w:val="005232A8"/>
    <w:rsid w:val="00523DE9"/>
    <w:rsid w:val="00523EAB"/>
    <w:rsid w:val="00523FA6"/>
    <w:rsid w:val="005253B0"/>
    <w:rsid w:val="00525AF1"/>
    <w:rsid w:val="00525B04"/>
    <w:rsid w:val="00526540"/>
    <w:rsid w:val="00526CF6"/>
    <w:rsid w:val="00526D2C"/>
    <w:rsid w:val="00526FEC"/>
    <w:rsid w:val="00527AC1"/>
    <w:rsid w:val="00527D3E"/>
    <w:rsid w:val="00530606"/>
    <w:rsid w:val="005313E4"/>
    <w:rsid w:val="0053175A"/>
    <w:rsid w:val="00531978"/>
    <w:rsid w:val="00532AA9"/>
    <w:rsid w:val="00532F73"/>
    <w:rsid w:val="00533F54"/>
    <w:rsid w:val="005346A8"/>
    <w:rsid w:val="00534803"/>
    <w:rsid w:val="005350F6"/>
    <w:rsid w:val="00535112"/>
    <w:rsid w:val="00535485"/>
    <w:rsid w:val="0053562D"/>
    <w:rsid w:val="00535892"/>
    <w:rsid w:val="00535F84"/>
    <w:rsid w:val="00536021"/>
    <w:rsid w:val="00536674"/>
    <w:rsid w:val="0053684C"/>
    <w:rsid w:val="005369BA"/>
    <w:rsid w:val="00536AA0"/>
    <w:rsid w:val="00536D19"/>
    <w:rsid w:val="00536E68"/>
    <w:rsid w:val="0053771D"/>
    <w:rsid w:val="00537E7A"/>
    <w:rsid w:val="00540285"/>
    <w:rsid w:val="005402E0"/>
    <w:rsid w:val="0054165D"/>
    <w:rsid w:val="00541696"/>
    <w:rsid w:val="00541986"/>
    <w:rsid w:val="005423B1"/>
    <w:rsid w:val="0054270A"/>
    <w:rsid w:val="00542EE0"/>
    <w:rsid w:val="00542EF7"/>
    <w:rsid w:val="005438F2"/>
    <w:rsid w:val="00543D53"/>
    <w:rsid w:val="00543FA9"/>
    <w:rsid w:val="00544498"/>
    <w:rsid w:val="005447B5"/>
    <w:rsid w:val="00545AE1"/>
    <w:rsid w:val="00545DDA"/>
    <w:rsid w:val="00546245"/>
    <w:rsid w:val="005464A1"/>
    <w:rsid w:val="005464BB"/>
    <w:rsid w:val="0054763C"/>
    <w:rsid w:val="0054767F"/>
    <w:rsid w:val="0054784A"/>
    <w:rsid w:val="00547BAA"/>
    <w:rsid w:val="00547DAC"/>
    <w:rsid w:val="005508C9"/>
    <w:rsid w:val="00550A3F"/>
    <w:rsid w:val="00550C7F"/>
    <w:rsid w:val="00550E97"/>
    <w:rsid w:val="00550F02"/>
    <w:rsid w:val="00550F11"/>
    <w:rsid w:val="0055175B"/>
    <w:rsid w:val="00551903"/>
    <w:rsid w:val="00551E61"/>
    <w:rsid w:val="0055222C"/>
    <w:rsid w:val="0055337B"/>
    <w:rsid w:val="005541A9"/>
    <w:rsid w:val="005543DC"/>
    <w:rsid w:val="005546C0"/>
    <w:rsid w:val="005547A5"/>
    <w:rsid w:val="00555106"/>
    <w:rsid w:val="005553F3"/>
    <w:rsid w:val="00555E4A"/>
    <w:rsid w:val="00556A42"/>
    <w:rsid w:val="00556A94"/>
    <w:rsid w:val="005571CF"/>
    <w:rsid w:val="005572D6"/>
    <w:rsid w:val="005574C2"/>
    <w:rsid w:val="005574FC"/>
    <w:rsid w:val="0055774B"/>
    <w:rsid w:val="0055778B"/>
    <w:rsid w:val="00557862"/>
    <w:rsid w:val="00557D29"/>
    <w:rsid w:val="005600F3"/>
    <w:rsid w:val="00560983"/>
    <w:rsid w:val="00561753"/>
    <w:rsid w:val="0056202D"/>
    <w:rsid w:val="00563973"/>
    <w:rsid w:val="00563C2C"/>
    <w:rsid w:val="00564BD4"/>
    <w:rsid w:val="0056565C"/>
    <w:rsid w:val="005658A6"/>
    <w:rsid w:val="00565CA7"/>
    <w:rsid w:val="00565CD2"/>
    <w:rsid w:val="00565DBC"/>
    <w:rsid w:val="00566134"/>
    <w:rsid w:val="005663AD"/>
    <w:rsid w:val="00566A9C"/>
    <w:rsid w:val="005673A0"/>
    <w:rsid w:val="005677A5"/>
    <w:rsid w:val="0057054C"/>
    <w:rsid w:val="005706EE"/>
    <w:rsid w:val="00570B7A"/>
    <w:rsid w:val="00571A89"/>
    <w:rsid w:val="00571AA4"/>
    <w:rsid w:val="00571DEF"/>
    <w:rsid w:val="005721A8"/>
    <w:rsid w:val="00572252"/>
    <w:rsid w:val="0057295F"/>
    <w:rsid w:val="00572AC6"/>
    <w:rsid w:val="00573212"/>
    <w:rsid w:val="00573230"/>
    <w:rsid w:val="0057331D"/>
    <w:rsid w:val="00573FD2"/>
    <w:rsid w:val="00574AE6"/>
    <w:rsid w:val="00574B67"/>
    <w:rsid w:val="00575C45"/>
    <w:rsid w:val="00575D45"/>
    <w:rsid w:val="00575D96"/>
    <w:rsid w:val="005764E6"/>
    <w:rsid w:val="00576649"/>
    <w:rsid w:val="00576679"/>
    <w:rsid w:val="0057743E"/>
    <w:rsid w:val="0057764D"/>
    <w:rsid w:val="0057774B"/>
    <w:rsid w:val="00577807"/>
    <w:rsid w:val="00577D46"/>
    <w:rsid w:val="00580155"/>
    <w:rsid w:val="005814C3"/>
    <w:rsid w:val="00581A09"/>
    <w:rsid w:val="0058200F"/>
    <w:rsid w:val="00582057"/>
    <w:rsid w:val="005824C2"/>
    <w:rsid w:val="00582C83"/>
    <w:rsid w:val="00583557"/>
    <w:rsid w:val="0058371F"/>
    <w:rsid w:val="00583C81"/>
    <w:rsid w:val="005849D8"/>
    <w:rsid w:val="00584A59"/>
    <w:rsid w:val="00584C9F"/>
    <w:rsid w:val="00585E4E"/>
    <w:rsid w:val="00585F82"/>
    <w:rsid w:val="0058619F"/>
    <w:rsid w:val="00586AF8"/>
    <w:rsid w:val="005870E0"/>
    <w:rsid w:val="005874A0"/>
    <w:rsid w:val="005879B8"/>
    <w:rsid w:val="0059001A"/>
    <w:rsid w:val="005902DD"/>
    <w:rsid w:val="005913B5"/>
    <w:rsid w:val="00592A23"/>
    <w:rsid w:val="00593AC4"/>
    <w:rsid w:val="00593C9F"/>
    <w:rsid w:val="00594322"/>
    <w:rsid w:val="0059464F"/>
    <w:rsid w:val="00594A0F"/>
    <w:rsid w:val="005957B5"/>
    <w:rsid w:val="00595D0F"/>
    <w:rsid w:val="00595E68"/>
    <w:rsid w:val="00595EF8"/>
    <w:rsid w:val="00596ABB"/>
    <w:rsid w:val="00596E0D"/>
    <w:rsid w:val="005970E4"/>
    <w:rsid w:val="00597257"/>
    <w:rsid w:val="005972ED"/>
    <w:rsid w:val="0059770E"/>
    <w:rsid w:val="005A0368"/>
    <w:rsid w:val="005A182F"/>
    <w:rsid w:val="005A1BC0"/>
    <w:rsid w:val="005A1D4B"/>
    <w:rsid w:val="005A2228"/>
    <w:rsid w:val="005A2274"/>
    <w:rsid w:val="005A2BBE"/>
    <w:rsid w:val="005A2D04"/>
    <w:rsid w:val="005A30F7"/>
    <w:rsid w:val="005A3311"/>
    <w:rsid w:val="005A3EEC"/>
    <w:rsid w:val="005A418D"/>
    <w:rsid w:val="005A41F6"/>
    <w:rsid w:val="005A44B8"/>
    <w:rsid w:val="005A4CD6"/>
    <w:rsid w:val="005A594A"/>
    <w:rsid w:val="005A60BA"/>
    <w:rsid w:val="005A60C2"/>
    <w:rsid w:val="005A6289"/>
    <w:rsid w:val="005A6A0D"/>
    <w:rsid w:val="005A72A4"/>
    <w:rsid w:val="005B01C7"/>
    <w:rsid w:val="005B062E"/>
    <w:rsid w:val="005B067E"/>
    <w:rsid w:val="005B069F"/>
    <w:rsid w:val="005B0991"/>
    <w:rsid w:val="005B1E3E"/>
    <w:rsid w:val="005B1E81"/>
    <w:rsid w:val="005B2034"/>
    <w:rsid w:val="005B23E8"/>
    <w:rsid w:val="005B27B4"/>
    <w:rsid w:val="005B2997"/>
    <w:rsid w:val="005B44AB"/>
    <w:rsid w:val="005B4575"/>
    <w:rsid w:val="005B4ADF"/>
    <w:rsid w:val="005B4AF1"/>
    <w:rsid w:val="005B4D2B"/>
    <w:rsid w:val="005B50A2"/>
    <w:rsid w:val="005B5461"/>
    <w:rsid w:val="005B55BF"/>
    <w:rsid w:val="005B5942"/>
    <w:rsid w:val="005B5CCF"/>
    <w:rsid w:val="005B60DA"/>
    <w:rsid w:val="005B6112"/>
    <w:rsid w:val="005B625F"/>
    <w:rsid w:val="005B67F7"/>
    <w:rsid w:val="005B6DE1"/>
    <w:rsid w:val="005C0167"/>
    <w:rsid w:val="005C06D1"/>
    <w:rsid w:val="005C081F"/>
    <w:rsid w:val="005C09BF"/>
    <w:rsid w:val="005C0AB5"/>
    <w:rsid w:val="005C0E53"/>
    <w:rsid w:val="005C0F10"/>
    <w:rsid w:val="005C109E"/>
    <w:rsid w:val="005C15C7"/>
    <w:rsid w:val="005C183B"/>
    <w:rsid w:val="005C1CF6"/>
    <w:rsid w:val="005C1D4A"/>
    <w:rsid w:val="005C1DF2"/>
    <w:rsid w:val="005C265F"/>
    <w:rsid w:val="005C2AC4"/>
    <w:rsid w:val="005C324B"/>
    <w:rsid w:val="005C437F"/>
    <w:rsid w:val="005C5131"/>
    <w:rsid w:val="005C5876"/>
    <w:rsid w:val="005C5B6F"/>
    <w:rsid w:val="005C5E5B"/>
    <w:rsid w:val="005C653F"/>
    <w:rsid w:val="005C68C0"/>
    <w:rsid w:val="005C6D7B"/>
    <w:rsid w:val="005C71BF"/>
    <w:rsid w:val="005C7849"/>
    <w:rsid w:val="005C7CF6"/>
    <w:rsid w:val="005D0033"/>
    <w:rsid w:val="005D0857"/>
    <w:rsid w:val="005D1574"/>
    <w:rsid w:val="005D1ACE"/>
    <w:rsid w:val="005D2904"/>
    <w:rsid w:val="005D2B62"/>
    <w:rsid w:val="005D2EC7"/>
    <w:rsid w:val="005D3883"/>
    <w:rsid w:val="005D3B06"/>
    <w:rsid w:val="005D4B6D"/>
    <w:rsid w:val="005D4D06"/>
    <w:rsid w:val="005D4DAA"/>
    <w:rsid w:val="005D5813"/>
    <w:rsid w:val="005D6C9D"/>
    <w:rsid w:val="005D74E8"/>
    <w:rsid w:val="005D7C57"/>
    <w:rsid w:val="005D7E41"/>
    <w:rsid w:val="005E0160"/>
    <w:rsid w:val="005E0B25"/>
    <w:rsid w:val="005E0DCD"/>
    <w:rsid w:val="005E12D5"/>
    <w:rsid w:val="005E1492"/>
    <w:rsid w:val="005E21F5"/>
    <w:rsid w:val="005E237E"/>
    <w:rsid w:val="005E28E1"/>
    <w:rsid w:val="005E2B84"/>
    <w:rsid w:val="005E3726"/>
    <w:rsid w:val="005E3C03"/>
    <w:rsid w:val="005E4846"/>
    <w:rsid w:val="005E5A6A"/>
    <w:rsid w:val="005E5A7C"/>
    <w:rsid w:val="005E66B7"/>
    <w:rsid w:val="005E6AD9"/>
    <w:rsid w:val="005E6D03"/>
    <w:rsid w:val="005E6DEC"/>
    <w:rsid w:val="005E716E"/>
    <w:rsid w:val="005E73D1"/>
    <w:rsid w:val="005F02A9"/>
    <w:rsid w:val="005F0333"/>
    <w:rsid w:val="005F0D70"/>
    <w:rsid w:val="005F22A8"/>
    <w:rsid w:val="005F2341"/>
    <w:rsid w:val="005F2CA4"/>
    <w:rsid w:val="005F3456"/>
    <w:rsid w:val="005F385B"/>
    <w:rsid w:val="005F4229"/>
    <w:rsid w:val="005F4572"/>
    <w:rsid w:val="005F5606"/>
    <w:rsid w:val="005F58C9"/>
    <w:rsid w:val="005F725F"/>
    <w:rsid w:val="005F7787"/>
    <w:rsid w:val="00600966"/>
    <w:rsid w:val="00601512"/>
    <w:rsid w:val="00602798"/>
    <w:rsid w:val="00602DD4"/>
    <w:rsid w:val="00603027"/>
    <w:rsid w:val="0060316A"/>
    <w:rsid w:val="006033CB"/>
    <w:rsid w:val="00603877"/>
    <w:rsid w:val="00603EA7"/>
    <w:rsid w:val="00604C8D"/>
    <w:rsid w:val="006051E5"/>
    <w:rsid w:val="00605AB5"/>
    <w:rsid w:val="006066BF"/>
    <w:rsid w:val="00606905"/>
    <w:rsid w:val="00606DBB"/>
    <w:rsid w:val="006073DE"/>
    <w:rsid w:val="00607CE8"/>
    <w:rsid w:val="00610077"/>
    <w:rsid w:val="006100DB"/>
    <w:rsid w:val="006105CE"/>
    <w:rsid w:val="006106E5"/>
    <w:rsid w:val="00610A1F"/>
    <w:rsid w:val="00611A60"/>
    <w:rsid w:val="00611E1F"/>
    <w:rsid w:val="006120F1"/>
    <w:rsid w:val="006121CD"/>
    <w:rsid w:val="00612468"/>
    <w:rsid w:val="00612B39"/>
    <w:rsid w:val="006132C3"/>
    <w:rsid w:val="006133CD"/>
    <w:rsid w:val="006135C3"/>
    <w:rsid w:val="00613913"/>
    <w:rsid w:val="00613BC6"/>
    <w:rsid w:val="00614322"/>
    <w:rsid w:val="00614DC9"/>
    <w:rsid w:val="00615A74"/>
    <w:rsid w:val="00615BD1"/>
    <w:rsid w:val="006177B7"/>
    <w:rsid w:val="006201B9"/>
    <w:rsid w:val="006202CC"/>
    <w:rsid w:val="006209B3"/>
    <w:rsid w:val="00621B19"/>
    <w:rsid w:val="00622212"/>
    <w:rsid w:val="00622842"/>
    <w:rsid w:val="00623E0B"/>
    <w:rsid w:val="00623F5B"/>
    <w:rsid w:val="0062403C"/>
    <w:rsid w:val="006242A3"/>
    <w:rsid w:val="006245AE"/>
    <w:rsid w:val="0062491C"/>
    <w:rsid w:val="006252A6"/>
    <w:rsid w:val="00626143"/>
    <w:rsid w:val="006262D2"/>
    <w:rsid w:val="00626776"/>
    <w:rsid w:val="00626E56"/>
    <w:rsid w:val="006271A9"/>
    <w:rsid w:val="00630711"/>
    <w:rsid w:val="00630D05"/>
    <w:rsid w:val="0063169D"/>
    <w:rsid w:val="00631733"/>
    <w:rsid w:val="006317A7"/>
    <w:rsid w:val="00631E30"/>
    <w:rsid w:val="00632C17"/>
    <w:rsid w:val="00632F36"/>
    <w:rsid w:val="00633343"/>
    <w:rsid w:val="00633394"/>
    <w:rsid w:val="00633E3F"/>
    <w:rsid w:val="00633FC1"/>
    <w:rsid w:val="00634901"/>
    <w:rsid w:val="0063602E"/>
    <w:rsid w:val="00636176"/>
    <w:rsid w:val="00636355"/>
    <w:rsid w:val="00637C5D"/>
    <w:rsid w:val="00637CA9"/>
    <w:rsid w:val="006409CE"/>
    <w:rsid w:val="00640EF4"/>
    <w:rsid w:val="00641456"/>
    <w:rsid w:val="00642086"/>
    <w:rsid w:val="006430BF"/>
    <w:rsid w:val="00643D85"/>
    <w:rsid w:val="00643F94"/>
    <w:rsid w:val="0064469C"/>
    <w:rsid w:val="00644749"/>
    <w:rsid w:val="006454BF"/>
    <w:rsid w:val="00646C61"/>
    <w:rsid w:val="00646E27"/>
    <w:rsid w:val="00647597"/>
    <w:rsid w:val="0064761E"/>
    <w:rsid w:val="00647A54"/>
    <w:rsid w:val="006502EC"/>
    <w:rsid w:val="0065051A"/>
    <w:rsid w:val="006506C4"/>
    <w:rsid w:val="00650803"/>
    <w:rsid w:val="00651024"/>
    <w:rsid w:val="006511C6"/>
    <w:rsid w:val="00651227"/>
    <w:rsid w:val="0065130C"/>
    <w:rsid w:val="00651957"/>
    <w:rsid w:val="00651EDA"/>
    <w:rsid w:val="00652539"/>
    <w:rsid w:val="00652598"/>
    <w:rsid w:val="00653332"/>
    <w:rsid w:val="00653A6C"/>
    <w:rsid w:val="00653F45"/>
    <w:rsid w:val="006542A4"/>
    <w:rsid w:val="0065540D"/>
    <w:rsid w:val="006554C8"/>
    <w:rsid w:val="00655A48"/>
    <w:rsid w:val="00655E3B"/>
    <w:rsid w:val="006564CF"/>
    <w:rsid w:val="0065722A"/>
    <w:rsid w:val="00657249"/>
    <w:rsid w:val="0065726E"/>
    <w:rsid w:val="00657C61"/>
    <w:rsid w:val="00657D1F"/>
    <w:rsid w:val="0066015C"/>
    <w:rsid w:val="006603FD"/>
    <w:rsid w:val="00661943"/>
    <w:rsid w:val="00661ADE"/>
    <w:rsid w:val="00661EC5"/>
    <w:rsid w:val="00662008"/>
    <w:rsid w:val="00662182"/>
    <w:rsid w:val="00662275"/>
    <w:rsid w:val="00662594"/>
    <w:rsid w:val="006625D1"/>
    <w:rsid w:val="006625E1"/>
    <w:rsid w:val="00662AB9"/>
    <w:rsid w:val="00663593"/>
    <w:rsid w:val="006638B3"/>
    <w:rsid w:val="00663ED3"/>
    <w:rsid w:val="006645D1"/>
    <w:rsid w:val="00664BBD"/>
    <w:rsid w:val="0066570C"/>
    <w:rsid w:val="00665944"/>
    <w:rsid w:val="00665EDC"/>
    <w:rsid w:val="006662C3"/>
    <w:rsid w:val="006665D7"/>
    <w:rsid w:val="00666D64"/>
    <w:rsid w:val="00667E9F"/>
    <w:rsid w:val="006706A9"/>
    <w:rsid w:val="006707DD"/>
    <w:rsid w:val="00670C29"/>
    <w:rsid w:val="00670D61"/>
    <w:rsid w:val="00671B0D"/>
    <w:rsid w:val="00671C5C"/>
    <w:rsid w:val="00671ECF"/>
    <w:rsid w:val="006734BC"/>
    <w:rsid w:val="00673A43"/>
    <w:rsid w:val="00674205"/>
    <w:rsid w:val="006744EB"/>
    <w:rsid w:val="00674B90"/>
    <w:rsid w:val="00674C41"/>
    <w:rsid w:val="00674CE4"/>
    <w:rsid w:val="00674DC5"/>
    <w:rsid w:val="00674F98"/>
    <w:rsid w:val="00675B29"/>
    <w:rsid w:val="00675BCE"/>
    <w:rsid w:val="00675EAC"/>
    <w:rsid w:val="0067661C"/>
    <w:rsid w:val="00676E17"/>
    <w:rsid w:val="006778D0"/>
    <w:rsid w:val="00680312"/>
    <w:rsid w:val="00680CF4"/>
    <w:rsid w:val="00680D5A"/>
    <w:rsid w:val="00680F16"/>
    <w:rsid w:val="006811EB"/>
    <w:rsid w:val="00682444"/>
    <w:rsid w:val="006825C6"/>
    <w:rsid w:val="00682A96"/>
    <w:rsid w:val="00682FD1"/>
    <w:rsid w:val="006831A0"/>
    <w:rsid w:val="00683F93"/>
    <w:rsid w:val="006840C8"/>
    <w:rsid w:val="0068428A"/>
    <w:rsid w:val="006844B6"/>
    <w:rsid w:val="00684594"/>
    <w:rsid w:val="006845C5"/>
    <w:rsid w:val="00684DCE"/>
    <w:rsid w:val="00684F80"/>
    <w:rsid w:val="006852E3"/>
    <w:rsid w:val="0068555B"/>
    <w:rsid w:val="00685E02"/>
    <w:rsid w:val="006860F8"/>
    <w:rsid w:val="0068668F"/>
    <w:rsid w:val="00686BEA"/>
    <w:rsid w:val="00686EE6"/>
    <w:rsid w:val="00686EF2"/>
    <w:rsid w:val="00690493"/>
    <w:rsid w:val="0069052D"/>
    <w:rsid w:val="00691046"/>
    <w:rsid w:val="006919A3"/>
    <w:rsid w:val="00691A88"/>
    <w:rsid w:val="006927C3"/>
    <w:rsid w:val="00693280"/>
    <w:rsid w:val="0069371B"/>
    <w:rsid w:val="00693911"/>
    <w:rsid w:val="0069437F"/>
    <w:rsid w:val="00694A9B"/>
    <w:rsid w:val="00694B00"/>
    <w:rsid w:val="00694B0F"/>
    <w:rsid w:val="006958F5"/>
    <w:rsid w:val="006960BC"/>
    <w:rsid w:val="00696118"/>
    <w:rsid w:val="006962E5"/>
    <w:rsid w:val="00696A1B"/>
    <w:rsid w:val="00696C1B"/>
    <w:rsid w:val="00697DB3"/>
    <w:rsid w:val="00697F06"/>
    <w:rsid w:val="006A01CD"/>
    <w:rsid w:val="006A081D"/>
    <w:rsid w:val="006A0ED7"/>
    <w:rsid w:val="006A16DA"/>
    <w:rsid w:val="006A1811"/>
    <w:rsid w:val="006A1AE0"/>
    <w:rsid w:val="006A2D24"/>
    <w:rsid w:val="006A329A"/>
    <w:rsid w:val="006A4183"/>
    <w:rsid w:val="006A5279"/>
    <w:rsid w:val="006A551D"/>
    <w:rsid w:val="006A5612"/>
    <w:rsid w:val="006A5A1B"/>
    <w:rsid w:val="006A5B37"/>
    <w:rsid w:val="006A5B43"/>
    <w:rsid w:val="006A61E1"/>
    <w:rsid w:val="006A622D"/>
    <w:rsid w:val="006A6D58"/>
    <w:rsid w:val="006A70CC"/>
    <w:rsid w:val="006A7727"/>
    <w:rsid w:val="006B050D"/>
    <w:rsid w:val="006B0739"/>
    <w:rsid w:val="006B1042"/>
    <w:rsid w:val="006B187E"/>
    <w:rsid w:val="006B195F"/>
    <w:rsid w:val="006B1DA8"/>
    <w:rsid w:val="006B2241"/>
    <w:rsid w:val="006B25A3"/>
    <w:rsid w:val="006B2671"/>
    <w:rsid w:val="006B2962"/>
    <w:rsid w:val="006B2B7C"/>
    <w:rsid w:val="006B30B8"/>
    <w:rsid w:val="006B38BD"/>
    <w:rsid w:val="006B45E3"/>
    <w:rsid w:val="006B45EB"/>
    <w:rsid w:val="006B4BB4"/>
    <w:rsid w:val="006B5DFA"/>
    <w:rsid w:val="006B5F32"/>
    <w:rsid w:val="006B5F64"/>
    <w:rsid w:val="006B6D95"/>
    <w:rsid w:val="006B7936"/>
    <w:rsid w:val="006C0C03"/>
    <w:rsid w:val="006C0C3C"/>
    <w:rsid w:val="006C0C8A"/>
    <w:rsid w:val="006C0D55"/>
    <w:rsid w:val="006C1B39"/>
    <w:rsid w:val="006C1BDA"/>
    <w:rsid w:val="006C20B0"/>
    <w:rsid w:val="006C2B13"/>
    <w:rsid w:val="006C34B2"/>
    <w:rsid w:val="006C35C8"/>
    <w:rsid w:val="006C35E3"/>
    <w:rsid w:val="006C3EE4"/>
    <w:rsid w:val="006C3F85"/>
    <w:rsid w:val="006C4004"/>
    <w:rsid w:val="006C4784"/>
    <w:rsid w:val="006C4BA3"/>
    <w:rsid w:val="006C4C23"/>
    <w:rsid w:val="006C4ED4"/>
    <w:rsid w:val="006C4F87"/>
    <w:rsid w:val="006C5204"/>
    <w:rsid w:val="006C5556"/>
    <w:rsid w:val="006C5838"/>
    <w:rsid w:val="006C5D07"/>
    <w:rsid w:val="006C618A"/>
    <w:rsid w:val="006C63C6"/>
    <w:rsid w:val="006C6866"/>
    <w:rsid w:val="006C7954"/>
    <w:rsid w:val="006C79E8"/>
    <w:rsid w:val="006D0356"/>
    <w:rsid w:val="006D0B40"/>
    <w:rsid w:val="006D1292"/>
    <w:rsid w:val="006D259C"/>
    <w:rsid w:val="006D2A6A"/>
    <w:rsid w:val="006D2BC2"/>
    <w:rsid w:val="006D2F90"/>
    <w:rsid w:val="006D3D00"/>
    <w:rsid w:val="006D4329"/>
    <w:rsid w:val="006D43F9"/>
    <w:rsid w:val="006D4ACF"/>
    <w:rsid w:val="006D4BA6"/>
    <w:rsid w:val="006D4BE3"/>
    <w:rsid w:val="006D4C18"/>
    <w:rsid w:val="006D56E2"/>
    <w:rsid w:val="006D5753"/>
    <w:rsid w:val="006D5B6F"/>
    <w:rsid w:val="006D5E52"/>
    <w:rsid w:val="006D5F8A"/>
    <w:rsid w:val="006D68FB"/>
    <w:rsid w:val="006D6968"/>
    <w:rsid w:val="006D7051"/>
    <w:rsid w:val="006D721A"/>
    <w:rsid w:val="006E0150"/>
    <w:rsid w:val="006E023E"/>
    <w:rsid w:val="006E09E1"/>
    <w:rsid w:val="006E0C67"/>
    <w:rsid w:val="006E1565"/>
    <w:rsid w:val="006E1C15"/>
    <w:rsid w:val="006E1F35"/>
    <w:rsid w:val="006E2099"/>
    <w:rsid w:val="006E2411"/>
    <w:rsid w:val="006E26C0"/>
    <w:rsid w:val="006E2DDF"/>
    <w:rsid w:val="006E2FE5"/>
    <w:rsid w:val="006E316D"/>
    <w:rsid w:val="006E3DBB"/>
    <w:rsid w:val="006E40EB"/>
    <w:rsid w:val="006E4183"/>
    <w:rsid w:val="006E41D0"/>
    <w:rsid w:val="006E472E"/>
    <w:rsid w:val="006E4B14"/>
    <w:rsid w:val="006E4E0A"/>
    <w:rsid w:val="006E5F60"/>
    <w:rsid w:val="006E6C84"/>
    <w:rsid w:val="006E70D5"/>
    <w:rsid w:val="006F04B2"/>
    <w:rsid w:val="006F0DF6"/>
    <w:rsid w:val="006F0EBA"/>
    <w:rsid w:val="006F1623"/>
    <w:rsid w:val="006F22F8"/>
    <w:rsid w:val="006F333E"/>
    <w:rsid w:val="006F339A"/>
    <w:rsid w:val="006F3F5B"/>
    <w:rsid w:val="006F416B"/>
    <w:rsid w:val="006F46B2"/>
    <w:rsid w:val="006F4ACF"/>
    <w:rsid w:val="006F5305"/>
    <w:rsid w:val="006F5497"/>
    <w:rsid w:val="006F5634"/>
    <w:rsid w:val="006F5FF3"/>
    <w:rsid w:val="006F66D3"/>
    <w:rsid w:val="007004A1"/>
    <w:rsid w:val="00700829"/>
    <w:rsid w:val="007008FE"/>
    <w:rsid w:val="00701409"/>
    <w:rsid w:val="00701B5E"/>
    <w:rsid w:val="00701EC8"/>
    <w:rsid w:val="00702094"/>
    <w:rsid w:val="007022F1"/>
    <w:rsid w:val="0070232E"/>
    <w:rsid w:val="00702BBC"/>
    <w:rsid w:val="00702DEE"/>
    <w:rsid w:val="0070306B"/>
    <w:rsid w:val="00703180"/>
    <w:rsid w:val="00703902"/>
    <w:rsid w:val="00704401"/>
    <w:rsid w:val="00704BCE"/>
    <w:rsid w:val="00704C71"/>
    <w:rsid w:val="007052B9"/>
    <w:rsid w:val="00705673"/>
    <w:rsid w:val="00706420"/>
    <w:rsid w:val="00706A98"/>
    <w:rsid w:val="00706BF4"/>
    <w:rsid w:val="00707C83"/>
    <w:rsid w:val="00707D2D"/>
    <w:rsid w:val="00710361"/>
    <w:rsid w:val="00710549"/>
    <w:rsid w:val="00710675"/>
    <w:rsid w:val="00711BA2"/>
    <w:rsid w:val="00711E74"/>
    <w:rsid w:val="007126DD"/>
    <w:rsid w:val="00712E59"/>
    <w:rsid w:val="0071344C"/>
    <w:rsid w:val="0071387C"/>
    <w:rsid w:val="00713FD8"/>
    <w:rsid w:val="007140E8"/>
    <w:rsid w:val="0071439F"/>
    <w:rsid w:val="007145B2"/>
    <w:rsid w:val="00716069"/>
    <w:rsid w:val="00716C6E"/>
    <w:rsid w:val="00716CAA"/>
    <w:rsid w:val="00717511"/>
    <w:rsid w:val="0071775B"/>
    <w:rsid w:val="00717C02"/>
    <w:rsid w:val="00717F0E"/>
    <w:rsid w:val="00720793"/>
    <w:rsid w:val="007208DB"/>
    <w:rsid w:val="0072110B"/>
    <w:rsid w:val="00721CF4"/>
    <w:rsid w:val="0072272F"/>
    <w:rsid w:val="00722B40"/>
    <w:rsid w:val="00723497"/>
    <w:rsid w:val="0072358C"/>
    <w:rsid w:val="00723BE1"/>
    <w:rsid w:val="00724225"/>
    <w:rsid w:val="00724251"/>
    <w:rsid w:val="00725A2E"/>
    <w:rsid w:val="0072662E"/>
    <w:rsid w:val="00726900"/>
    <w:rsid w:val="00727520"/>
    <w:rsid w:val="007276D4"/>
    <w:rsid w:val="00727734"/>
    <w:rsid w:val="00727B26"/>
    <w:rsid w:val="00730388"/>
    <w:rsid w:val="00730DDB"/>
    <w:rsid w:val="007310A1"/>
    <w:rsid w:val="00732083"/>
    <w:rsid w:val="0073266C"/>
    <w:rsid w:val="00732B15"/>
    <w:rsid w:val="00732CDD"/>
    <w:rsid w:val="00732D95"/>
    <w:rsid w:val="007337EA"/>
    <w:rsid w:val="0073400F"/>
    <w:rsid w:val="00734528"/>
    <w:rsid w:val="00734EA6"/>
    <w:rsid w:val="00735064"/>
    <w:rsid w:val="0073556C"/>
    <w:rsid w:val="00735ACE"/>
    <w:rsid w:val="00735D9F"/>
    <w:rsid w:val="007379C0"/>
    <w:rsid w:val="007402E0"/>
    <w:rsid w:val="007403E4"/>
    <w:rsid w:val="0074073D"/>
    <w:rsid w:val="00740A60"/>
    <w:rsid w:val="00740CFE"/>
    <w:rsid w:val="00740EA9"/>
    <w:rsid w:val="00741B2A"/>
    <w:rsid w:val="00741EA8"/>
    <w:rsid w:val="00743434"/>
    <w:rsid w:val="00743B08"/>
    <w:rsid w:val="00743EE4"/>
    <w:rsid w:val="00743FDA"/>
    <w:rsid w:val="007441F1"/>
    <w:rsid w:val="007443AB"/>
    <w:rsid w:val="0074469C"/>
    <w:rsid w:val="007448B3"/>
    <w:rsid w:val="007453EA"/>
    <w:rsid w:val="00745E24"/>
    <w:rsid w:val="007467ED"/>
    <w:rsid w:val="007469C7"/>
    <w:rsid w:val="00746B6C"/>
    <w:rsid w:val="00746D6D"/>
    <w:rsid w:val="00750944"/>
    <w:rsid w:val="007523E8"/>
    <w:rsid w:val="00752754"/>
    <w:rsid w:val="00753265"/>
    <w:rsid w:val="007533D6"/>
    <w:rsid w:val="00753D1C"/>
    <w:rsid w:val="00753ED0"/>
    <w:rsid w:val="007540C2"/>
    <w:rsid w:val="007544CC"/>
    <w:rsid w:val="00754B2B"/>
    <w:rsid w:val="00754B7C"/>
    <w:rsid w:val="00754C03"/>
    <w:rsid w:val="00754E5A"/>
    <w:rsid w:val="007550A0"/>
    <w:rsid w:val="0075519B"/>
    <w:rsid w:val="007552EC"/>
    <w:rsid w:val="00755622"/>
    <w:rsid w:val="007557E6"/>
    <w:rsid w:val="00756735"/>
    <w:rsid w:val="00756FFA"/>
    <w:rsid w:val="00757544"/>
    <w:rsid w:val="00757B74"/>
    <w:rsid w:val="0076016C"/>
    <w:rsid w:val="00760289"/>
    <w:rsid w:val="0076035A"/>
    <w:rsid w:val="0076047C"/>
    <w:rsid w:val="00761A29"/>
    <w:rsid w:val="0076209A"/>
    <w:rsid w:val="0076219B"/>
    <w:rsid w:val="007621AA"/>
    <w:rsid w:val="0076269B"/>
    <w:rsid w:val="00762B92"/>
    <w:rsid w:val="00763CDF"/>
    <w:rsid w:val="00763D0E"/>
    <w:rsid w:val="00763FA0"/>
    <w:rsid w:val="00764497"/>
    <w:rsid w:val="00764F79"/>
    <w:rsid w:val="00765008"/>
    <w:rsid w:val="00765B53"/>
    <w:rsid w:val="0076630D"/>
    <w:rsid w:val="00766400"/>
    <w:rsid w:val="00766E0C"/>
    <w:rsid w:val="007670C4"/>
    <w:rsid w:val="00767463"/>
    <w:rsid w:val="00767F34"/>
    <w:rsid w:val="007700BB"/>
    <w:rsid w:val="00770A91"/>
    <w:rsid w:val="00770D7F"/>
    <w:rsid w:val="007711EE"/>
    <w:rsid w:val="00771711"/>
    <w:rsid w:val="00772C81"/>
    <w:rsid w:val="00773534"/>
    <w:rsid w:val="007738CF"/>
    <w:rsid w:val="007742CA"/>
    <w:rsid w:val="007742D2"/>
    <w:rsid w:val="00774304"/>
    <w:rsid w:val="00774BC6"/>
    <w:rsid w:val="00774F60"/>
    <w:rsid w:val="00776A8E"/>
    <w:rsid w:val="00780204"/>
    <w:rsid w:val="00780D7E"/>
    <w:rsid w:val="00780FF6"/>
    <w:rsid w:val="00781377"/>
    <w:rsid w:val="00781414"/>
    <w:rsid w:val="00781444"/>
    <w:rsid w:val="00781A65"/>
    <w:rsid w:val="00781E27"/>
    <w:rsid w:val="00782172"/>
    <w:rsid w:val="00782283"/>
    <w:rsid w:val="00782376"/>
    <w:rsid w:val="007823E8"/>
    <w:rsid w:val="007837AB"/>
    <w:rsid w:val="00783BA4"/>
    <w:rsid w:val="00783C5B"/>
    <w:rsid w:val="00783D6F"/>
    <w:rsid w:val="00783F4F"/>
    <w:rsid w:val="0078471A"/>
    <w:rsid w:val="00784E3E"/>
    <w:rsid w:val="00785619"/>
    <w:rsid w:val="007856A9"/>
    <w:rsid w:val="007856D9"/>
    <w:rsid w:val="0078589C"/>
    <w:rsid w:val="00785C7F"/>
    <w:rsid w:val="00786A59"/>
    <w:rsid w:val="00787BB2"/>
    <w:rsid w:val="00790213"/>
    <w:rsid w:val="007902A3"/>
    <w:rsid w:val="00790434"/>
    <w:rsid w:val="0079095B"/>
    <w:rsid w:val="00790C88"/>
    <w:rsid w:val="00791CCE"/>
    <w:rsid w:val="00791F49"/>
    <w:rsid w:val="007921F4"/>
    <w:rsid w:val="00792B6E"/>
    <w:rsid w:val="00792ED9"/>
    <w:rsid w:val="0079337A"/>
    <w:rsid w:val="007936DD"/>
    <w:rsid w:val="00793835"/>
    <w:rsid w:val="00793F91"/>
    <w:rsid w:val="00794721"/>
    <w:rsid w:val="00794AA0"/>
    <w:rsid w:val="00794B45"/>
    <w:rsid w:val="00794C6C"/>
    <w:rsid w:val="00794D20"/>
    <w:rsid w:val="00794EC8"/>
    <w:rsid w:val="00795355"/>
    <w:rsid w:val="00795A69"/>
    <w:rsid w:val="0079699E"/>
    <w:rsid w:val="00797652"/>
    <w:rsid w:val="007A0D77"/>
    <w:rsid w:val="007A12EA"/>
    <w:rsid w:val="007A15B4"/>
    <w:rsid w:val="007A1B2C"/>
    <w:rsid w:val="007A1C98"/>
    <w:rsid w:val="007A2303"/>
    <w:rsid w:val="007A256A"/>
    <w:rsid w:val="007A394B"/>
    <w:rsid w:val="007A3A38"/>
    <w:rsid w:val="007A3DFC"/>
    <w:rsid w:val="007A405A"/>
    <w:rsid w:val="007A41F5"/>
    <w:rsid w:val="007A4AA9"/>
    <w:rsid w:val="007A4C55"/>
    <w:rsid w:val="007A4CDF"/>
    <w:rsid w:val="007A4D55"/>
    <w:rsid w:val="007A5292"/>
    <w:rsid w:val="007A56C4"/>
    <w:rsid w:val="007A578A"/>
    <w:rsid w:val="007A5B0A"/>
    <w:rsid w:val="007A6783"/>
    <w:rsid w:val="007A6E7E"/>
    <w:rsid w:val="007A701D"/>
    <w:rsid w:val="007A7401"/>
    <w:rsid w:val="007A784C"/>
    <w:rsid w:val="007B0DC8"/>
    <w:rsid w:val="007B1CB6"/>
    <w:rsid w:val="007B22EC"/>
    <w:rsid w:val="007B23A3"/>
    <w:rsid w:val="007B23C8"/>
    <w:rsid w:val="007B26FE"/>
    <w:rsid w:val="007B2B89"/>
    <w:rsid w:val="007B2C06"/>
    <w:rsid w:val="007B2D8D"/>
    <w:rsid w:val="007B2DB2"/>
    <w:rsid w:val="007B2F13"/>
    <w:rsid w:val="007B3974"/>
    <w:rsid w:val="007B3BA2"/>
    <w:rsid w:val="007B416C"/>
    <w:rsid w:val="007B42DA"/>
    <w:rsid w:val="007B49AE"/>
    <w:rsid w:val="007B4B72"/>
    <w:rsid w:val="007B4BC0"/>
    <w:rsid w:val="007B4C9B"/>
    <w:rsid w:val="007B6288"/>
    <w:rsid w:val="007B6AE7"/>
    <w:rsid w:val="007B6B9C"/>
    <w:rsid w:val="007B6DB3"/>
    <w:rsid w:val="007B6FAC"/>
    <w:rsid w:val="007B7D79"/>
    <w:rsid w:val="007B7F6E"/>
    <w:rsid w:val="007B7F8E"/>
    <w:rsid w:val="007C020B"/>
    <w:rsid w:val="007C0D34"/>
    <w:rsid w:val="007C10C5"/>
    <w:rsid w:val="007C1650"/>
    <w:rsid w:val="007C222D"/>
    <w:rsid w:val="007C2AF2"/>
    <w:rsid w:val="007C2D5D"/>
    <w:rsid w:val="007C35C0"/>
    <w:rsid w:val="007C3717"/>
    <w:rsid w:val="007C3AB0"/>
    <w:rsid w:val="007C3E8E"/>
    <w:rsid w:val="007C400E"/>
    <w:rsid w:val="007C4E67"/>
    <w:rsid w:val="007C5A03"/>
    <w:rsid w:val="007C5A96"/>
    <w:rsid w:val="007C5BE9"/>
    <w:rsid w:val="007C61B4"/>
    <w:rsid w:val="007C6EA0"/>
    <w:rsid w:val="007D273F"/>
    <w:rsid w:val="007D2824"/>
    <w:rsid w:val="007D2D4F"/>
    <w:rsid w:val="007D2FE9"/>
    <w:rsid w:val="007D4686"/>
    <w:rsid w:val="007D4CC5"/>
    <w:rsid w:val="007D632A"/>
    <w:rsid w:val="007D7DCE"/>
    <w:rsid w:val="007D7E67"/>
    <w:rsid w:val="007D7F12"/>
    <w:rsid w:val="007E0312"/>
    <w:rsid w:val="007E06EB"/>
    <w:rsid w:val="007E08D9"/>
    <w:rsid w:val="007E09C3"/>
    <w:rsid w:val="007E0F30"/>
    <w:rsid w:val="007E100A"/>
    <w:rsid w:val="007E108C"/>
    <w:rsid w:val="007E1929"/>
    <w:rsid w:val="007E21B6"/>
    <w:rsid w:val="007E229B"/>
    <w:rsid w:val="007E2BEA"/>
    <w:rsid w:val="007E49AC"/>
    <w:rsid w:val="007E4C9A"/>
    <w:rsid w:val="007E563B"/>
    <w:rsid w:val="007E5B67"/>
    <w:rsid w:val="007E5FC5"/>
    <w:rsid w:val="007E6251"/>
    <w:rsid w:val="007E69F8"/>
    <w:rsid w:val="007E6CC2"/>
    <w:rsid w:val="007E742C"/>
    <w:rsid w:val="007E76B0"/>
    <w:rsid w:val="007F0012"/>
    <w:rsid w:val="007F047A"/>
    <w:rsid w:val="007F0815"/>
    <w:rsid w:val="007F11F6"/>
    <w:rsid w:val="007F190C"/>
    <w:rsid w:val="007F1B7C"/>
    <w:rsid w:val="007F1BFF"/>
    <w:rsid w:val="007F2DB0"/>
    <w:rsid w:val="007F2E3D"/>
    <w:rsid w:val="007F35E1"/>
    <w:rsid w:val="007F42BB"/>
    <w:rsid w:val="007F4498"/>
    <w:rsid w:val="007F4C43"/>
    <w:rsid w:val="007F5179"/>
    <w:rsid w:val="007F52BC"/>
    <w:rsid w:val="007F537E"/>
    <w:rsid w:val="007F5497"/>
    <w:rsid w:val="007F5956"/>
    <w:rsid w:val="007F5A45"/>
    <w:rsid w:val="007F6113"/>
    <w:rsid w:val="007F695A"/>
    <w:rsid w:val="007F716F"/>
    <w:rsid w:val="007F7712"/>
    <w:rsid w:val="007F78A0"/>
    <w:rsid w:val="007F79C2"/>
    <w:rsid w:val="007F7C08"/>
    <w:rsid w:val="008001A7"/>
    <w:rsid w:val="008002A0"/>
    <w:rsid w:val="00800B83"/>
    <w:rsid w:val="00800BA2"/>
    <w:rsid w:val="0080166B"/>
    <w:rsid w:val="00801A93"/>
    <w:rsid w:val="00801B62"/>
    <w:rsid w:val="00802244"/>
    <w:rsid w:val="00802B5E"/>
    <w:rsid w:val="008030F3"/>
    <w:rsid w:val="008034F1"/>
    <w:rsid w:val="00803823"/>
    <w:rsid w:val="00803BDD"/>
    <w:rsid w:val="00803F99"/>
    <w:rsid w:val="00804036"/>
    <w:rsid w:val="00804933"/>
    <w:rsid w:val="008061DF"/>
    <w:rsid w:val="0080661E"/>
    <w:rsid w:val="008067E9"/>
    <w:rsid w:val="00806A50"/>
    <w:rsid w:val="00807067"/>
    <w:rsid w:val="0080745E"/>
    <w:rsid w:val="00807846"/>
    <w:rsid w:val="00807AA5"/>
    <w:rsid w:val="00810D1C"/>
    <w:rsid w:val="00810D83"/>
    <w:rsid w:val="00810D84"/>
    <w:rsid w:val="00811A43"/>
    <w:rsid w:val="0081213D"/>
    <w:rsid w:val="008121A4"/>
    <w:rsid w:val="00812210"/>
    <w:rsid w:val="0081254E"/>
    <w:rsid w:val="00813B50"/>
    <w:rsid w:val="00813E0E"/>
    <w:rsid w:val="0081434F"/>
    <w:rsid w:val="00814A2D"/>
    <w:rsid w:val="00814D68"/>
    <w:rsid w:val="00814E18"/>
    <w:rsid w:val="008150AC"/>
    <w:rsid w:val="008150ED"/>
    <w:rsid w:val="0081565D"/>
    <w:rsid w:val="008159DE"/>
    <w:rsid w:val="00816311"/>
    <w:rsid w:val="008167F8"/>
    <w:rsid w:val="0081736A"/>
    <w:rsid w:val="0081788D"/>
    <w:rsid w:val="00817CF1"/>
    <w:rsid w:val="008206D8"/>
    <w:rsid w:val="00820AD8"/>
    <w:rsid w:val="008216BE"/>
    <w:rsid w:val="008216F8"/>
    <w:rsid w:val="0082205A"/>
    <w:rsid w:val="008223DA"/>
    <w:rsid w:val="0082293D"/>
    <w:rsid w:val="00822B35"/>
    <w:rsid w:val="00822B6B"/>
    <w:rsid w:val="00822B79"/>
    <w:rsid w:val="00822BCD"/>
    <w:rsid w:val="00822CFC"/>
    <w:rsid w:val="00822D0B"/>
    <w:rsid w:val="00822FFB"/>
    <w:rsid w:val="008241A7"/>
    <w:rsid w:val="008247D8"/>
    <w:rsid w:val="00824A44"/>
    <w:rsid w:val="008250C2"/>
    <w:rsid w:val="008255BC"/>
    <w:rsid w:val="00826539"/>
    <w:rsid w:val="00826FBC"/>
    <w:rsid w:val="00827420"/>
    <w:rsid w:val="008308B8"/>
    <w:rsid w:val="00831140"/>
    <w:rsid w:val="00831338"/>
    <w:rsid w:val="00832813"/>
    <w:rsid w:val="00833884"/>
    <w:rsid w:val="00833AED"/>
    <w:rsid w:val="00833CD2"/>
    <w:rsid w:val="00833E84"/>
    <w:rsid w:val="008348C1"/>
    <w:rsid w:val="00834D62"/>
    <w:rsid w:val="00834EEF"/>
    <w:rsid w:val="008352C8"/>
    <w:rsid w:val="00835380"/>
    <w:rsid w:val="0083655D"/>
    <w:rsid w:val="00836FF0"/>
    <w:rsid w:val="008377C8"/>
    <w:rsid w:val="00840522"/>
    <w:rsid w:val="00840792"/>
    <w:rsid w:val="00840FB8"/>
    <w:rsid w:val="00841BDA"/>
    <w:rsid w:val="008428A1"/>
    <w:rsid w:val="00842D03"/>
    <w:rsid w:val="008433A6"/>
    <w:rsid w:val="00843620"/>
    <w:rsid w:val="00843674"/>
    <w:rsid w:val="0084379A"/>
    <w:rsid w:val="008437D1"/>
    <w:rsid w:val="00843830"/>
    <w:rsid w:val="00843950"/>
    <w:rsid w:val="00843D2E"/>
    <w:rsid w:val="00843D3C"/>
    <w:rsid w:val="00844327"/>
    <w:rsid w:val="00844F74"/>
    <w:rsid w:val="008450A4"/>
    <w:rsid w:val="00845A4B"/>
    <w:rsid w:val="008468A4"/>
    <w:rsid w:val="008470DA"/>
    <w:rsid w:val="00847C93"/>
    <w:rsid w:val="00851086"/>
    <w:rsid w:val="00851402"/>
    <w:rsid w:val="008519F6"/>
    <w:rsid w:val="00852632"/>
    <w:rsid w:val="0085463C"/>
    <w:rsid w:val="008553C7"/>
    <w:rsid w:val="00855570"/>
    <w:rsid w:val="008556F6"/>
    <w:rsid w:val="0085620D"/>
    <w:rsid w:val="0085623C"/>
    <w:rsid w:val="0085628F"/>
    <w:rsid w:val="00856530"/>
    <w:rsid w:val="00856D4F"/>
    <w:rsid w:val="008577B7"/>
    <w:rsid w:val="0085798F"/>
    <w:rsid w:val="00860875"/>
    <w:rsid w:val="00860B39"/>
    <w:rsid w:val="00860CBF"/>
    <w:rsid w:val="00860D1C"/>
    <w:rsid w:val="00860EBF"/>
    <w:rsid w:val="008612D6"/>
    <w:rsid w:val="00861D30"/>
    <w:rsid w:val="00861EB6"/>
    <w:rsid w:val="00862473"/>
    <w:rsid w:val="00862EB4"/>
    <w:rsid w:val="00862EF7"/>
    <w:rsid w:val="008633A0"/>
    <w:rsid w:val="008634A9"/>
    <w:rsid w:val="0086467A"/>
    <w:rsid w:val="00864F45"/>
    <w:rsid w:val="00865F59"/>
    <w:rsid w:val="008666FB"/>
    <w:rsid w:val="00866BAA"/>
    <w:rsid w:val="008672B1"/>
    <w:rsid w:val="008675AC"/>
    <w:rsid w:val="0086788E"/>
    <w:rsid w:val="00867DB0"/>
    <w:rsid w:val="0087016F"/>
    <w:rsid w:val="0087037B"/>
    <w:rsid w:val="00871B64"/>
    <w:rsid w:val="00871FCC"/>
    <w:rsid w:val="00873058"/>
    <w:rsid w:val="008732BD"/>
    <w:rsid w:val="00873845"/>
    <w:rsid w:val="00873E98"/>
    <w:rsid w:val="00873FF4"/>
    <w:rsid w:val="00874483"/>
    <w:rsid w:val="008749AE"/>
    <w:rsid w:val="00874B5C"/>
    <w:rsid w:val="00875127"/>
    <w:rsid w:val="00875290"/>
    <w:rsid w:val="0087558D"/>
    <w:rsid w:val="00875594"/>
    <w:rsid w:val="008759D7"/>
    <w:rsid w:val="00875C2A"/>
    <w:rsid w:val="008761CC"/>
    <w:rsid w:val="008768E8"/>
    <w:rsid w:val="00876EA0"/>
    <w:rsid w:val="00877681"/>
    <w:rsid w:val="00877BD7"/>
    <w:rsid w:val="00877CC3"/>
    <w:rsid w:val="00877E4C"/>
    <w:rsid w:val="00880346"/>
    <w:rsid w:val="00880491"/>
    <w:rsid w:val="00880A2D"/>
    <w:rsid w:val="00880E0E"/>
    <w:rsid w:val="00881CE1"/>
    <w:rsid w:val="008822B8"/>
    <w:rsid w:val="008823DB"/>
    <w:rsid w:val="00882750"/>
    <w:rsid w:val="00884BAD"/>
    <w:rsid w:val="00884E24"/>
    <w:rsid w:val="008858F3"/>
    <w:rsid w:val="008860E6"/>
    <w:rsid w:val="008861A4"/>
    <w:rsid w:val="00886213"/>
    <w:rsid w:val="008869AD"/>
    <w:rsid w:val="00886B8F"/>
    <w:rsid w:val="00890562"/>
    <w:rsid w:val="00891509"/>
    <w:rsid w:val="00891D05"/>
    <w:rsid w:val="00892334"/>
    <w:rsid w:val="008927B3"/>
    <w:rsid w:val="00892ACA"/>
    <w:rsid w:val="008931B9"/>
    <w:rsid w:val="00893341"/>
    <w:rsid w:val="00893516"/>
    <w:rsid w:val="0089352E"/>
    <w:rsid w:val="008935AB"/>
    <w:rsid w:val="00893D46"/>
    <w:rsid w:val="00894AF0"/>
    <w:rsid w:val="00895141"/>
    <w:rsid w:val="0089590B"/>
    <w:rsid w:val="00895C58"/>
    <w:rsid w:val="00895EB3"/>
    <w:rsid w:val="0089646D"/>
    <w:rsid w:val="0089660E"/>
    <w:rsid w:val="00896762"/>
    <w:rsid w:val="00897095"/>
    <w:rsid w:val="00897473"/>
    <w:rsid w:val="0089796E"/>
    <w:rsid w:val="00897C0C"/>
    <w:rsid w:val="00897EDA"/>
    <w:rsid w:val="008A063E"/>
    <w:rsid w:val="008A0FCE"/>
    <w:rsid w:val="008A2614"/>
    <w:rsid w:val="008A2710"/>
    <w:rsid w:val="008A326C"/>
    <w:rsid w:val="008A364C"/>
    <w:rsid w:val="008A41C4"/>
    <w:rsid w:val="008A4BB2"/>
    <w:rsid w:val="008A4CB1"/>
    <w:rsid w:val="008A4FDC"/>
    <w:rsid w:val="008A53F7"/>
    <w:rsid w:val="008A54DF"/>
    <w:rsid w:val="008A5B8E"/>
    <w:rsid w:val="008A5FAB"/>
    <w:rsid w:val="008A640F"/>
    <w:rsid w:val="008A65D6"/>
    <w:rsid w:val="008A66E0"/>
    <w:rsid w:val="008A6DC3"/>
    <w:rsid w:val="008A7749"/>
    <w:rsid w:val="008A7863"/>
    <w:rsid w:val="008A7A49"/>
    <w:rsid w:val="008B0109"/>
    <w:rsid w:val="008B0111"/>
    <w:rsid w:val="008B028E"/>
    <w:rsid w:val="008B056B"/>
    <w:rsid w:val="008B0754"/>
    <w:rsid w:val="008B0C6A"/>
    <w:rsid w:val="008B0D54"/>
    <w:rsid w:val="008B1636"/>
    <w:rsid w:val="008B16BF"/>
    <w:rsid w:val="008B1E2A"/>
    <w:rsid w:val="008B2E02"/>
    <w:rsid w:val="008B32E4"/>
    <w:rsid w:val="008B36A3"/>
    <w:rsid w:val="008B382E"/>
    <w:rsid w:val="008B3982"/>
    <w:rsid w:val="008B3A3E"/>
    <w:rsid w:val="008B4244"/>
    <w:rsid w:val="008B43C5"/>
    <w:rsid w:val="008B4413"/>
    <w:rsid w:val="008B4B97"/>
    <w:rsid w:val="008B4E10"/>
    <w:rsid w:val="008B4E6D"/>
    <w:rsid w:val="008B5034"/>
    <w:rsid w:val="008B51AD"/>
    <w:rsid w:val="008B5A30"/>
    <w:rsid w:val="008B6CB2"/>
    <w:rsid w:val="008B6EDC"/>
    <w:rsid w:val="008B7C11"/>
    <w:rsid w:val="008C0115"/>
    <w:rsid w:val="008C0255"/>
    <w:rsid w:val="008C0FA7"/>
    <w:rsid w:val="008C1325"/>
    <w:rsid w:val="008C13B3"/>
    <w:rsid w:val="008C1513"/>
    <w:rsid w:val="008C1892"/>
    <w:rsid w:val="008C1BBC"/>
    <w:rsid w:val="008C3213"/>
    <w:rsid w:val="008C393F"/>
    <w:rsid w:val="008C39AA"/>
    <w:rsid w:val="008C400A"/>
    <w:rsid w:val="008C4BF5"/>
    <w:rsid w:val="008C5218"/>
    <w:rsid w:val="008C6836"/>
    <w:rsid w:val="008C6A62"/>
    <w:rsid w:val="008C6EFC"/>
    <w:rsid w:val="008C779C"/>
    <w:rsid w:val="008D019D"/>
    <w:rsid w:val="008D0CBF"/>
    <w:rsid w:val="008D0D14"/>
    <w:rsid w:val="008D1EBC"/>
    <w:rsid w:val="008D2002"/>
    <w:rsid w:val="008D20A5"/>
    <w:rsid w:val="008D21D7"/>
    <w:rsid w:val="008D2B6E"/>
    <w:rsid w:val="008D393F"/>
    <w:rsid w:val="008D4213"/>
    <w:rsid w:val="008D57D4"/>
    <w:rsid w:val="008D5AA9"/>
    <w:rsid w:val="008D601D"/>
    <w:rsid w:val="008D6324"/>
    <w:rsid w:val="008D6380"/>
    <w:rsid w:val="008D67FD"/>
    <w:rsid w:val="008D712B"/>
    <w:rsid w:val="008D7A11"/>
    <w:rsid w:val="008D7D3E"/>
    <w:rsid w:val="008E00AA"/>
    <w:rsid w:val="008E0843"/>
    <w:rsid w:val="008E0922"/>
    <w:rsid w:val="008E0A58"/>
    <w:rsid w:val="008E0AA3"/>
    <w:rsid w:val="008E0F1B"/>
    <w:rsid w:val="008E1A20"/>
    <w:rsid w:val="008E22EF"/>
    <w:rsid w:val="008E299B"/>
    <w:rsid w:val="008E30C6"/>
    <w:rsid w:val="008E34AC"/>
    <w:rsid w:val="008E379D"/>
    <w:rsid w:val="008E39D1"/>
    <w:rsid w:val="008E3C26"/>
    <w:rsid w:val="008E418F"/>
    <w:rsid w:val="008E41CF"/>
    <w:rsid w:val="008E4639"/>
    <w:rsid w:val="008E4880"/>
    <w:rsid w:val="008E5703"/>
    <w:rsid w:val="008E5F05"/>
    <w:rsid w:val="008E627F"/>
    <w:rsid w:val="008E65F6"/>
    <w:rsid w:val="008E75A5"/>
    <w:rsid w:val="008E79B3"/>
    <w:rsid w:val="008E7AF7"/>
    <w:rsid w:val="008E7D91"/>
    <w:rsid w:val="008F061C"/>
    <w:rsid w:val="008F08C2"/>
    <w:rsid w:val="008F0FE2"/>
    <w:rsid w:val="008F1232"/>
    <w:rsid w:val="008F12F1"/>
    <w:rsid w:val="008F1D9A"/>
    <w:rsid w:val="008F22FE"/>
    <w:rsid w:val="008F2B9D"/>
    <w:rsid w:val="008F34A6"/>
    <w:rsid w:val="008F456D"/>
    <w:rsid w:val="008F4975"/>
    <w:rsid w:val="008F58E5"/>
    <w:rsid w:val="008F684D"/>
    <w:rsid w:val="008F6C63"/>
    <w:rsid w:val="009005C5"/>
    <w:rsid w:val="00900F0F"/>
    <w:rsid w:val="00900F50"/>
    <w:rsid w:val="0090169E"/>
    <w:rsid w:val="00902030"/>
    <w:rsid w:val="00902E5E"/>
    <w:rsid w:val="00902F69"/>
    <w:rsid w:val="00903567"/>
    <w:rsid w:val="00903639"/>
    <w:rsid w:val="00903A78"/>
    <w:rsid w:val="0090480F"/>
    <w:rsid w:val="00904C78"/>
    <w:rsid w:val="00904DC9"/>
    <w:rsid w:val="00904E8F"/>
    <w:rsid w:val="00905480"/>
    <w:rsid w:val="00905558"/>
    <w:rsid w:val="00905C87"/>
    <w:rsid w:val="00906135"/>
    <w:rsid w:val="00906C29"/>
    <w:rsid w:val="00907D36"/>
    <w:rsid w:val="009118F8"/>
    <w:rsid w:val="00911B9B"/>
    <w:rsid w:val="00911FE9"/>
    <w:rsid w:val="009122E2"/>
    <w:rsid w:val="00913E31"/>
    <w:rsid w:val="00913F35"/>
    <w:rsid w:val="0091406E"/>
    <w:rsid w:val="00914464"/>
    <w:rsid w:val="00914566"/>
    <w:rsid w:val="00914BC1"/>
    <w:rsid w:val="009157F0"/>
    <w:rsid w:val="0092024C"/>
    <w:rsid w:val="00920308"/>
    <w:rsid w:val="00920B05"/>
    <w:rsid w:val="0092125B"/>
    <w:rsid w:val="009212F6"/>
    <w:rsid w:val="009215F7"/>
    <w:rsid w:val="00921B0D"/>
    <w:rsid w:val="00922FA3"/>
    <w:rsid w:val="00922FEF"/>
    <w:rsid w:val="00924A47"/>
    <w:rsid w:val="009255DE"/>
    <w:rsid w:val="00925D03"/>
    <w:rsid w:val="009263A3"/>
    <w:rsid w:val="00926445"/>
    <w:rsid w:val="00926DA1"/>
    <w:rsid w:val="0092720E"/>
    <w:rsid w:val="009272CF"/>
    <w:rsid w:val="00927982"/>
    <w:rsid w:val="00927FE9"/>
    <w:rsid w:val="00930659"/>
    <w:rsid w:val="00931009"/>
    <w:rsid w:val="00931AD4"/>
    <w:rsid w:val="00932407"/>
    <w:rsid w:val="009331B2"/>
    <w:rsid w:val="009332BA"/>
    <w:rsid w:val="00933A26"/>
    <w:rsid w:val="00934A19"/>
    <w:rsid w:val="00935AA1"/>
    <w:rsid w:val="00935AE5"/>
    <w:rsid w:val="00935CD5"/>
    <w:rsid w:val="0093613D"/>
    <w:rsid w:val="00936675"/>
    <w:rsid w:val="00936959"/>
    <w:rsid w:val="00936AA9"/>
    <w:rsid w:val="00936AF2"/>
    <w:rsid w:val="00936F66"/>
    <w:rsid w:val="00937579"/>
    <w:rsid w:val="00937B5A"/>
    <w:rsid w:val="00940096"/>
    <w:rsid w:val="0094074D"/>
    <w:rsid w:val="0094083F"/>
    <w:rsid w:val="00941795"/>
    <w:rsid w:val="00941F22"/>
    <w:rsid w:val="00942449"/>
    <w:rsid w:val="009424B6"/>
    <w:rsid w:val="00942A00"/>
    <w:rsid w:val="00943001"/>
    <w:rsid w:val="00943B43"/>
    <w:rsid w:val="0094438B"/>
    <w:rsid w:val="009443D8"/>
    <w:rsid w:val="009449B0"/>
    <w:rsid w:val="00944DA9"/>
    <w:rsid w:val="009457C5"/>
    <w:rsid w:val="00946255"/>
    <w:rsid w:val="00946540"/>
    <w:rsid w:val="00946CAF"/>
    <w:rsid w:val="00946FCB"/>
    <w:rsid w:val="00947F57"/>
    <w:rsid w:val="00950186"/>
    <w:rsid w:val="009504AD"/>
    <w:rsid w:val="00950F07"/>
    <w:rsid w:val="00950FD4"/>
    <w:rsid w:val="00950FF3"/>
    <w:rsid w:val="0095126B"/>
    <w:rsid w:val="009512AC"/>
    <w:rsid w:val="009518A2"/>
    <w:rsid w:val="00951A0A"/>
    <w:rsid w:val="00951FF4"/>
    <w:rsid w:val="00952454"/>
    <w:rsid w:val="00952566"/>
    <w:rsid w:val="00952702"/>
    <w:rsid w:val="00953656"/>
    <w:rsid w:val="00953940"/>
    <w:rsid w:val="009543DF"/>
    <w:rsid w:val="009544A4"/>
    <w:rsid w:val="00954676"/>
    <w:rsid w:val="00954F6C"/>
    <w:rsid w:val="00954FD9"/>
    <w:rsid w:val="00955C75"/>
    <w:rsid w:val="00956053"/>
    <w:rsid w:val="00956344"/>
    <w:rsid w:val="009564B9"/>
    <w:rsid w:val="009572DB"/>
    <w:rsid w:val="0095737E"/>
    <w:rsid w:val="0095789B"/>
    <w:rsid w:val="0096025E"/>
    <w:rsid w:val="00960BBD"/>
    <w:rsid w:val="00960C25"/>
    <w:rsid w:val="00961329"/>
    <w:rsid w:val="00961D3A"/>
    <w:rsid w:val="009620C8"/>
    <w:rsid w:val="0096273E"/>
    <w:rsid w:val="00962A3F"/>
    <w:rsid w:val="00962A77"/>
    <w:rsid w:val="00962A95"/>
    <w:rsid w:val="00963AB0"/>
    <w:rsid w:val="0096421F"/>
    <w:rsid w:val="0096520B"/>
    <w:rsid w:val="0096587C"/>
    <w:rsid w:val="00965F1E"/>
    <w:rsid w:val="009662EB"/>
    <w:rsid w:val="009665B9"/>
    <w:rsid w:val="009665DC"/>
    <w:rsid w:val="0096788A"/>
    <w:rsid w:val="00970000"/>
    <w:rsid w:val="009706BD"/>
    <w:rsid w:val="00970AF5"/>
    <w:rsid w:val="00970B37"/>
    <w:rsid w:val="00970D45"/>
    <w:rsid w:val="00971197"/>
    <w:rsid w:val="00971A88"/>
    <w:rsid w:val="00971C6B"/>
    <w:rsid w:val="009720C7"/>
    <w:rsid w:val="00973526"/>
    <w:rsid w:val="00973663"/>
    <w:rsid w:val="00973731"/>
    <w:rsid w:val="00973754"/>
    <w:rsid w:val="00974B82"/>
    <w:rsid w:val="00974D29"/>
    <w:rsid w:val="00975031"/>
    <w:rsid w:val="009756D8"/>
    <w:rsid w:val="0097571B"/>
    <w:rsid w:val="00975FFA"/>
    <w:rsid w:val="0097640E"/>
    <w:rsid w:val="0097652E"/>
    <w:rsid w:val="00976671"/>
    <w:rsid w:val="009778E7"/>
    <w:rsid w:val="00980C91"/>
    <w:rsid w:val="00981A82"/>
    <w:rsid w:val="00981B39"/>
    <w:rsid w:val="009829BE"/>
    <w:rsid w:val="00984133"/>
    <w:rsid w:val="00984440"/>
    <w:rsid w:val="0098490E"/>
    <w:rsid w:val="00984D95"/>
    <w:rsid w:val="00984DA2"/>
    <w:rsid w:val="00985AD9"/>
    <w:rsid w:val="009867D8"/>
    <w:rsid w:val="00986EC9"/>
    <w:rsid w:val="00986EFC"/>
    <w:rsid w:val="00987345"/>
    <w:rsid w:val="009874DB"/>
    <w:rsid w:val="00990322"/>
    <w:rsid w:val="00990413"/>
    <w:rsid w:val="00990C01"/>
    <w:rsid w:val="00991646"/>
    <w:rsid w:val="00991A80"/>
    <w:rsid w:val="00991ADD"/>
    <w:rsid w:val="00991FB9"/>
    <w:rsid w:val="009921D6"/>
    <w:rsid w:val="0099233A"/>
    <w:rsid w:val="00992EA7"/>
    <w:rsid w:val="00993052"/>
    <w:rsid w:val="00993159"/>
    <w:rsid w:val="00993614"/>
    <w:rsid w:val="00993902"/>
    <w:rsid w:val="00993B92"/>
    <w:rsid w:val="0099411D"/>
    <w:rsid w:val="0099432F"/>
    <w:rsid w:val="0099549E"/>
    <w:rsid w:val="009957E2"/>
    <w:rsid w:val="0099639B"/>
    <w:rsid w:val="00996FB2"/>
    <w:rsid w:val="00997012"/>
    <w:rsid w:val="0099732E"/>
    <w:rsid w:val="0099773B"/>
    <w:rsid w:val="00997880"/>
    <w:rsid w:val="009A0103"/>
    <w:rsid w:val="009A092A"/>
    <w:rsid w:val="009A0966"/>
    <w:rsid w:val="009A0EA2"/>
    <w:rsid w:val="009A1EF6"/>
    <w:rsid w:val="009A258C"/>
    <w:rsid w:val="009A2644"/>
    <w:rsid w:val="009A2E60"/>
    <w:rsid w:val="009A3A92"/>
    <w:rsid w:val="009A3DEE"/>
    <w:rsid w:val="009A3E57"/>
    <w:rsid w:val="009A4786"/>
    <w:rsid w:val="009A57E9"/>
    <w:rsid w:val="009A5832"/>
    <w:rsid w:val="009A5D19"/>
    <w:rsid w:val="009A5DFC"/>
    <w:rsid w:val="009A61EC"/>
    <w:rsid w:val="009A6D3D"/>
    <w:rsid w:val="009B034D"/>
    <w:rsid w:val="009B0612"/>
    <w:rsid w:val="009B0F27"/>
    <w:rsid w:val="009B18C5"/>
    <w:rsid w:val="009B2C37"/>
    <w:rsid w:val="009B2DE3"/>
    <w:rsid w:val="009B4423"/>
    <w:rsid w:val="009B4460"/>
    <w:rsid w:val="009B4CB1"/>
    <w:rsid w:val="009B529A"/>
    <w:rsid w:val="009B5591"/>
    <w:rsid w:val="009B5685"/>
    <w:rsid w:val="009B5CFD"/>
    <w:rsid w:val="009B6041"/>
    <w:rsid w:val="009B6585"/>
    <w:rsid w:val="009B6B92"/>
    <w:rsid w:val="009B6E4B"/>
    <w:rsid w:val="009B6EC0"/>
    <w:rsid w:val="009B7A1E"/>
    <w:rsid w:val="009B7D9A"/>
    <w:rsid w:val="009C0597"/>
    <w:rsid w:val="009C1297"/>
    <w:rsid w:val="009C1322"/>
    <w:rsid w:val="009C1B2A"/>
    <w:rsid w:val="009C1CFE"/>
    <w:rsid w:val="009C1EEB"/>
    <w:rsid w:val="009C2160"/>
    <w:rsid w:val="009C22EC"/>
    <w:rsid w:val="009C26A2"/>
    <w:rsid w:val="009C2D3C"/>
    <w:rsid w:val="009C2E94"/>
    <w:rsid w:val="009C3518"/>
    <w:rsid w:val="009C36D1"/>
    <w:rsid w:val="009C3782"/>
    <w:rsid w:val="009C383D"/>
    <w:rsid w:val="009C3920"/>
    <w:rsid w:val="009C433A"/>
    <w:rsid w:val="009C4512"/>
    <w:rsid w:val="009C466C"/>
    <w:rsid w:val="009C4FF2"/>
    <w:rsid w:val="009C5EAC"/>
    <w:rsid w:val="009C6436"/>
    <w:rsid w:val="009C65E7"/>
    <w:rsid w:val="009C69DC"/>
    <w:rsid w:val="009C6ECE"/>
    <w:rsid w:val="009C7280"/>
    <w:rsid w:val="009D102B"/>
    <w:rsid w:val="009D1822"/>
    <w:rsid w:val="009D18B9"/>
    <w:rsid w:val="009D2F9E"/>
    <w:rsid w:val="009D3100"/>
    <w:rsid w:val="009D3434"/>
    <w:rsid w:val="009D402B"/>
    <w:rsid w:val="009D4770"/>
    <w:rsid w:val="009D491B"/>
    <w:rsid w:val="009D56C6"/>
    <w:rsid w:val="009D6A4C"/>
    <w:rsid w:val="009D6D71"/>
    <w:rsid w:val="009D799F"/>
    <w:rsid w:val="009D7A77"/>
    <w:rsid w:val="009D7BE0"/>
    <w:rsid w:val="009D7E64"/>
    <w:rsid w:val="009E02E9"/>
    <w:rsid w:val="009E083B"/>
    <w:rsid w:val="009E09AE"/>
    <w:rsid w:val="009E0A68"/>
    <w:rsid w:val="009E0C3C"/>
    <w:rsid w:val="009E10C2"/>
    <w:rsid w:val="009E1467"/>
    <w:rsid w:val="009E1A6A"/>
    <w:rsid w:val="009E1ABA"/>
    <w:rsid w:val="009E2BB5"/>
    <w:rsid w:val="009E3B91"/>
    <w:rsid w:val="009E51FE"/>
    <w:rsid w:val="009E5506"/>
    <w:rsid w:val="009E5C59"/>
    <w:rsid w:val="009E5D85"/>
    <w:rsid w:val="009E60FA"/>
    <w:rsid w:val="009E63ED"/>
    <w:rsid w:val="009E64D9"/>
    <w:rsid w:val="009E68DB"/>
    <w:rsid w:val="009E6EB9"/>
    <w:rsid w:val="009E7097"/>
    <w:rsid w:val="009E716A"/>
    <w:rsid w:val="009F02B9"/>
    <w:rsid w:val="009F0544"/>
    <w:rsid w:val="009F0916"/>
    <w:rsid w:val="009F0983"/>
    <w:rsid w:val="009F1396"/>
    <w:rsid w:val="009F154D"/>
    <w:rsid w:val="009F2281"/>
    <w:rsid w:val="009F2410"/>
    <w:rsid w:val="009F2DA9"/>
    <w:rsid w:val="009F47E3"/>
    <w:rsid w:val="009F4CCB"/>
    <w:rsid w:val="009F5035"/>
    <w:rsid w:val="009F634E"/>
    <w:rsid w:val="00A00188"/>
    <w:rsid w:val="00A00193"/>
    <w:rsid w:val="00A00506"/>
    <w:rsid w:val="00A00658"/>
    <w:rsid w:val="00A009DF"/>
    <w:rsid w:val="00A00A26"/>
    <w:rsid w:val="00A0149C"/>
    <w:rsid w:val="00A01D2F"/>
    <w:rsid w:val="00A01EE7"/>
    <w:rsid w:val="00A02145"/>
    <w:rsid w:val="00A03403"/>
    <w:rsid w:val="00A03C9E"/>
    <w:rsid w:val="00A04155"/>
    <w:rsid w:val="00A0523B"/>
    <w:rsid w:val="00A05FCD"/>
    <w:rsid w:val="00A06448"/>
    <w:rsid w:val="00A06816"/>
    <w:rsid w:val="00A06AC0"/>
    <w:rsid w:val="00A07101"/>
    <w:rsid w:val="00A0765A"/>
    <w:rsid w:val="00A07837"/>
    <w:rsid w:val="00A07EF6"/>
    <w:rsid w:val="00A103B8"/>
    <w:rsid w:val="00A103F4"/>
    <w:rsid w:val="00A11313"/>
    <w:rsid w:val="00A11390"/>
    <w:rsid w:val="00A11861"/>
    <w:rsid w:val="00A1198A"/>
    <w:rsid w:val="00A11DDC"/>
    <w:rsid w:val="00A123D9"/>
    <w:rsid w:val="00A12CCA"/>
    <w:rsid w:val="00A13184"/>
    <w:rsid w:val="00A1341B"/>
    <w:rsid w:val="00A13599"/>
    <w:rsid w:val="00A138B0"/>
    <w:rsid w:val="00A138DA"/>
    <w:rsid w:val="00A13A85"/>
    <w:rsid w:val="00A13D60"/>
    <w:rsid w:val="00A14158"/>
    <w:rsid w:val="00A14718"/>
    <w:rsid w:val="00A14887"/>
    <w:rsid w:val="00A14D37"/>
    <w:rsid w:val="00A14EBA"/>
    <w:rsid w:val="00A1628C"/>
    <w:rsid w:val="00A177E7"/>
    <w:rsid w:val="00A20338"/>
    <w:rsid w:val="00A211CB"/>
    <w:rsid w:val="00A215F9"/>
    <w:rsid w:val="00A21B54"/>
    <w:rsid w:val="00A221F1"/>
    <w:rsid w:val="00A23BF3"/>
    <w:rsid w:val="00A23FB7"/>
    <w:rsid w:val="00A25E88"/>
    <w:rsid w:val="00A26282"/>
    <w:rsid w:val="00A26663"/>
    <w:rsid w:val="00A2686F"/>
    <w:rsid w:val="00A2751E"/>
    <w:rsid w:val="00A27AA9"/>
    <w:rsid w:val="00A27EA8"/>
    <w:rsid w:val="00A30440"/>
    <w:rsid w:val="00A30763"/>
    <w:rsid w:val="00A30979"/>
    <w:rsid w:val="00A310E6"/>
    <w:rsid w:val="00A31150"/>
    <w:rsid w:val="00A31BE5"/>
    <w:rsid w:val="00A3212A"/>
    <w:rsid w:val="00A32433"/>
    <w:rsid w:val="00A325FE"/>
    <w:rsid w:val="00A3289D"/>
    <w:rsid w:val="00A32D75"/>
    <w:rsid w:val="00A33AAB"/>
    <w:rsid w:val="00A35625"/>
    <w:rsid w:val="00A35B31"/>
    <w:rsid w:val="00A35D49"/>
    <w:rsid w:val="00A36150"/>
    <w:rsid w:val="00A362E6"/>
    <w:rsid w:val="00A368B1"/>
    <w:rsid w:val="00A370DD"/>
    <w:rsid w:val="00A370E0"/>
    <w:rsid w:val="00A370EE"/>
    <w:rsid w:val="00A37163"/>
    <w:rsid w:val="00A37A1F"/>
    <w:rsid w:val="00A37D99"/>
    <w:rsid w:val="00A40285"/>
    <w:rsid w:val="00A40690"/>
    <w:rsid w:val="00A40699"/>
    <w:rsid w:val="00A4077E"/>
    <w:rsid w:val="00A40D9C"/>
    <w:rsid w:val="00A416A6"/>
    <w:rsid w:val="00A419D7"/>
    <w:rsid w:val="00A41BD7"/>
    <w:rsid w:val="00A42343"/>
    <w:rsid w:val="00A43008"/>
    <w:rsid w:val="00A43A0D"/>
    <w:rsid w:val="00A4471C"/>
    <w:rsid w:val="00A4487D"/>
    <w:rsid w:val="00A44B3A"/>
    <w:rsid w:val="00A44B54"/>
    <w:rsid w:val="00A4502A"/>
    <w:rsid w:val="00A4527A"/>
    <w:rsid w:val="00A45F77"/>
    <w:rsid w:val="00A46086"/>
    <w:rsid w:val="00A46661"/>
    <w:rsid w:val="00A46978"/>
    <w:rsid w:val="00A46F27"/>
    <w:rsid w:val="00A474C1"/>
    <w:rsid w:val="00A47995"/>
    <w:rsid w:val="00A47AB7"/>
    <w:rsid w:val="00A50516"/>
    <w:rsid w:val="00A50EC6"/>
    <w:rsid w:val="00A50F84"/>
    <w:rsid w:val="00A51378"/>
    <w:rsid w:val="00A516C2"/>
    <w:rsid w:val="00A51BD9"/>
    <w:rsid w:val="00A52931"/>
    <w:rsid w:val="00A52E61"/>
    <w:rsid w:val="00A53AF9"/>
    <w:rsid w:val="00A53B59"/>
    <w:rsid w:val="00A53B88"/>
    <w:rsid w:val="00A541AD"/>
    <w:rsid w:val="00A54272"/>
    <w:rsid w:val="00A54512"/>
    <w:rsid w:val="00A546C7"/>
    <w:rsid w:val="00A546CA"/>
    <w:rsid w:val="00A54799"/>
    <w:rsid w:val="00A54910"/>
    <w:rsid w:val="00A554B4"/>
    <w:rsid w:val="00A555F1"/>
    <w:rsid w:val="00A55D55"/>
    <w:rsid w:val="00A56088"/>
    <w:rsid w:val="00A56601"/>
    <w:rsid w:val="00A56833"/>
    <w:rsid w:val="00A568C0"/>
    <w:rsid w:val="00A56B41"/>
    <w:rsid w:val="00A57137"/>
    <w:rsid w:val="00A60EC2"/>
    <w:rsid w:val="00A613B6"/>
    <w:rsid w:val="00A61ABD"/>
    <w:rsid w:val="00A62ECB"/>
    <w:rsid w:val="00A631ED"/>
    <w:rsid w:val="00A63BC7"/>
    <w:rsid w:val="00A63DAD"/>
    <w:rsid w:val="00A64A7E"/>
    <w:rsid w:val="00A659AA"/>
    <w:rsid w:val="00A65C19"/>
    <w:rsid w:val="00A663A4"/>
    <w:rsid w:val="00A66812"/>
    <w:rsid w:val="00A668C3"/>
    <w:rsid w:val="00A6693B"/>
    <w:rsid w:val="00A66CE4"/>
    <w:rsid w:val="00A67A64"/>
    <w:rsid w:val="00A70220"/>
    <w:rsid w:val="00A70767"/>
    <w:rsid w:val="00A70CDF"/>
    <w:rsid w:val="00A70D22"/>
    <w:rsid w:val="00A717EA"/>
    <w:rsid w:val="00A71F83"/>
    <w:rsid w:val="00A72FCC"/>
    <w:rsid w:val="00A731B9"/>
    <w:rsid w:val="00A73207"/>
    <w:rsid w:val="00A73419"/>
    <w:rsid w:val="00A73526"/>
    <w:rsid w:val="00A7380B"/>
    <w:rsid w:val="00A738A7"/>
    <w:rsid w:val="00A73919"/>
    <w:rsid w:val="00A742EE"/>
    <w:rsid w:val="00A7477F"/>
    <w:rsid w:val="00A74781"/>
    <w:rsid w:val="00A74A6A"/>
    <w:rsid w:val="00A74C4E"/>
    <w:rsid w:val="00A74C92"/>
    <w:rsid w:val="00A74D28"/>
    <w:rsid w:val="00A750EA"/>
    <w:rsid w:val="00A75F78"/>
    <w:rsid w:val="00A7648F"/>
    <w:rsid w:val="00A7665E"/>
    <w:rsid w:val="00A76873"/>
    <w:rsid w:val="00A76FB3"/>
    <w:rsid w:val="00A77462"/>
    <w:rsid w:val="00A804D4"/>
    <w:rsid w:val="00A807AB"/>
    <w:rsid w:val="00A8128F"/>
    <w:rsid w:val="00A81CDF"/>
    <w:rsid w:val="00A822E7"/>
    <w:rsid w:val="00A82DC3"/>
    <w:rsid w:val="00A82F4E"/>
    <w:rsid w:val="00A8346D"/>
    <w:rsid w:val="00A83EF1"/>
    <w:rsid w:val="00A848D3"/>
    <w:rsid w:val="00A8497E"/>
    <w:rsid w:val="00A84A27"/>
    <w:rsid w:val="00A84C74"/>
    <w:rsid w:val="00A8599C"/>
    <w:rsid w:val="00A8618D"/>
    <w:rsid w:val="00A8628D"/>
    <w:rsid w:val="00A862F3"/>
    <w:rsid w:val="00A867B4"/>
    <w:rsid w:val="00A87199"/>
    <w:rsid w:val="00A87E43"/>
    <w:rsid w:val="00A908B7"/>
    <w:rsid w:val="00A90B79"/>
    <w:rsid w:val="00A90E2B"/>
    <w:rsid w:val="00A9390F"/>
    <w:rsid w:val="00A94146"/>
    <w:rsid w:val="00A9446D"/>
    <w:rsid w:val="00A94FC9"/>
    <w:rsid w:val="00A95630"/>
    <w:rsid w:val="00A95806"/>
    <w:rsid w:val="00A95F39"/>
    <w:rsid w:val="00A96538"/>
    <w:rsid w:val="00A9661D"/>
    <w:rsid w:val="00A9691B"/>
    <w:rsid w:val="00A971AD"/>
    <w:rsid w:val="00A9729B"/>
    <w:rsid w:val="00A97AD9"/>
    <w:rsid w:val="00AA0CED"/>
    <w:rsid w:val="00AA1B9E"/>
    <w:rsid w:val="00AA1E50"/>
    <w:rsid w:val="00AA21CA"/>
    <w:rsid w:val="00AA3095"/>
    <w:rsid w:val="00AA41BA"/>
    <w:rsid w:val="00AA442C"/>
    <w:rsid w:val="00AA49E1"/>
    <w:rsid w:val="00AA4D32"/>
    <w:rsid w:val="00AA4FC8"/>
    <w:rsid w:val="00AA55B0"/>
    <w:rsid w:val="00AA57ED"/>
    <w:rsid w:val="00AA5DA8"/>
    <w:rsid w:val="00AA65B6"/>
    <w:rsid w:val="00AA6765"/>
    <w:rsid w:val="00AA6C7B"/>
    <w:rsid w:val="00AA76AD"/>
    <w:rsid w:val="00AA7CBB"/>
    <w:rsid w:val="00AB0833"/>
    <w:rsid w:val="00AB0864"/>
    <w:rsid w:val="00AB093F"/>
    <w:rsid w:val="00AB1133"/>
    <w:rsid w:val="00AB1558"/>
    <w:rsid w:val="00AB17D9"/>
    <w:rsid w:val="00AB2354"/>
    <w:rsid w:val="00AB26D3"/>
    <w:rsid w:val="00AB2ECD"/>
    <w:rsid w:val="00AB3C37"/>
    <w:rsid w:val="00AB4451"/>
    <w:rsid w:val="00AB4597"/>
    <w:rsid w:val="00AB45D1"/>
    <w:rsid w:val="00AB4A09"/>
    <w:rsid w:val="00AB4AE0"/>
    <w:rsid w:val="00AB4D36"/>
    <w:rsid w:val="00AB5031"/>
    <w:rsid w:val="00AB511F"/>
    <w:rsid w:val="00AB56B6"/>
    <w:rsid w:val="00AB59EE"/>
    <w:rsid w:val="00AB5DA2"/>
    <w:rsid w:val="00AB6471"/>
    <w:rsid w:val="00AC0C4C"/>
    <w:rsid w:val="00AC29FB"/>
    <w:rsid w:val="00AC3025"/>
    <w:rsid w:val="00AC39F4"/>
    <w:rsid w:val="00AC3A4C"/>
    <w:rsid w:val="00AC3DA6"/>
    <w:rsid w:val="00AC4054"/>
    <w:rsid w:val="00AC43DD"/>
    <w:rsid w:val="00AC49F8"/>
    <w:rsid w:val="00AC4ADA"/>
    <w:rsid w:val="00AC6E57"/>
    <w:rsid w:val="00AC6F56"/>
    <w:rsid w:val="00AC74B5"/>
    <w:rsid w:val="00AC7C56"/>
    <w:rsid w:val="00AC7FFC"/>
    <w:rsid w:val="00AD052B"/>
    <w:rsid w:val="00AD0AA3"/>
    <w:rsid w:val="00AD1300"/>
    <w:rsid w:val="00AD19A1"/>
    <w:rsid w:val="00AD1BD6"/>
    <w:rsid w:val="00AD2561"/>
    <w:rsid w:val="00AD2D61"/>
    <w:rsid w:val="00AD2F9D"/>
    <w:rsid w:val="00AD315B"/>
    <w:rsid w:val="00AD3517"/>
    <w:rsid w:val="00AD357C"/>
    <w:rsid w:val="00AD3EEE"/>
    <w:rsid w:val="00AD452D"/>
    <w:rsid w:val="00AD45E4"/>
    <w:rsid w:val="00AD4871"/>
    <w:rsid w:val="00AD4ED7"/>
    <w:rsid w:val="00AD5250"/>
    <w:rsid w:val="00AD57E0"/>
    <w:rsid w:val="00AD5CF0"/>
    <w:rsid w:val="00AD6282"/>
    <w:rsid w:val="00AD6554"/>
    <w:rsid w:val="00AD6BD2"/>
    <w:rsid w:val="00AD716D"/>
    <w:rsid w:val="00AD7443"/>
    <w:rsid w:val="00AD765C"/>
    <w:rsid w:val="00AD78D3"/>
    <w:rsid w:val="00AD7D21"/>
    <w:rsid w:val="00AD7E63"/>
    <w:rsid w:val="00AD7F94"/>
    <w:rsid w:val="00AE02DB"/>
    <w:rsid w:val="00AE1086"/>
    <w:rsid w:val="00AE11BA"/>
    <w:rsid w:val="00AE2242"/>
    <w:rsid w:val="00AE26A4"/>
    <w:rsid w:val="00AE345F"/>
    <w:rsid w:val="00AE4DDC"/>
    <w:rsid w:val="00AE4E45"/>
    <w:rsid w:val="00AE5E74"/>
    <w:rsid w:val="00AE6882"/>
    <w:rsid w:val="00AE6DD3"/>
    <w:rsid w:val="00AE6E3E"/>
    <w:rsid w:val="00AE7048"/>
    <w:rsid w:val="00AF0669"/>
    <w:rsid w:val="00AF0D42"/>
    <w:rsid w:val="00AF0D73"/>
    <w:rsid w:val="00AF14C7"/>
    <w:rsid w:val="00AF16B1"/>
    <w:rsid w:val="00AF1837"/>
    <w:rsid w:val="00AF4779"/>
    <w:rsid w:val="00AF47BE"/>
    <w:rsid w:val="00AF4A3D"/>
    <w:rsid w:val="00AF4D67"/>
    <w:rsid w:val="00AF4FDE"/>
    <w:rsid w:val="00AF5B0B"/>
    <w:rsid w:val="00AF5F70"/>
    <w:rsid w:val="00AF6948"/>
    <w:rsid w:val="00B0057E"/>
    <w:rsid w:val="00B006FE"/>
    <w:rsid w:val="00B00B75"/>
    <w:rsid w:val="00B023BE"/>
    <w:rsid w:val="00B03363"/>
    <w:rsid w:val="00B03567"/>
    <w:rsid w:val="00B0375D"/>
    <w:rsid w:val="00B03C87"/>
    <w:rsid w:val="00B04222"/>
    <w:rsid w:val="00B04361"/>
    <w:rsid w:val="00B04D6F"/>
    <w:rsid w:val="00B04DE9"/>
    <w:rsid w:val="00B05204"/>
    <w:rsid w:val="00B0561D"/>
    <w:rsid w:val="00B0614F"/>
    <w:rsid w:val="00B0639F"/>
    <w:rsid w:val="00B0785B"/>
    <w:rsid w:val="00B07C91"/>
    <w:rsid w:val="00B07F21"/>
    <w:rsid w:val="00B10373"/>
    <w:rsid w:val="00B11D58"/>
    <w:rsid w:val="00B11F7E"/>
    <w:rsid w:val="00B121DA"/>
    <w:rsid w:val="00B12437"/>
    <w:rsid w:val="00B12A31"/>
    <w:rsid w:val="00B148A0"/>
    <w:rsid w:val="00B1526A"/>
    <w:rsid w:val="00B1542D"/>
    <w:rsid w:val="00B1586C"/>
    <w:rsid w:val="00B15A48"/>
    <w:rsid w:val="00B15DEC"/>
    <w:rsid w:val="00B16368"/>
    <w:rsid w:val="00B16635"/>
    <w:rsid w:val="00B168B6"/>
    <w:rsid w:val="00B16A89"/>
    <w:rsid w:val="00B16D15"/>
    <w:rsid w:val="00B16E5B"/>
    <w:rsid w:val="00B16F7D"/>
    <w:rsid w:val="00B1715F"/>
    <w:rsid w:val="00B17585"/>
    <w:rsid w:val="00B178D6"/>
    <w:rsid w:val="00B179BE"/>
    <w:rsid w:val="00B2006A"/>
    <w:rsid w:val="00B210CC"/>
    <w:rsid w:val="00B2128D"/>
    <w:rsid w:val="00B22ACA"/>
    <w:rsid w:val="00B22FEA"/>
    <w:rsid w:val="00B24DFA"/>
    <w:rsid w:val="00B2615E"/>
    <w:rsid w:val="00B27FEF"/>
    <w:rsid w:val="00B30010"/>
    <w:rsid w:val="00B30908"/>
    <w:rsid w:val="00B30C9C"/>
    <w:rsid w:val="00B30D41"/>
    <w:rsid w:val="00B315A7"/>
    <w:rsid w:val="00B31637"/>
    <w:rsid w:val="00B317A4"/>
    <w:rsid w:val="00B317CC"/>
    <w:rsid w:val="00B31995"/>
    <w:rsid w:val="00B31B98"/>
    <w:rsid w:val="00B31D8E"/>
    <w:rsid w:val="00B31DAA"/>
    <w:rsid w:val="00B31DB7"/>
    <w:rsid w:val="00B32843"/>
    <w:rsid w:val="00B328FD"/>
    <w:rsid w:val="00B32EB7"/>
    <w:rsid w:val="00B33A42"/>
    <w:rsid w:val="00B3405F"/>
    <w:rsid w:val="00B34375"/>
    <w:rsid w:val="00B346D4"/>
    <w:rsid w:val="00B34C1A"/>
    <w:rsid w:val="00B34C74"/>
    <w:rsid w:val="00B34DBB"/>
    <w:rsid w:val="00B34F9E"/>
    <w:rsid w:val="00B356E2"/>
    <w:rsid w:val="00B36309"/>
    <w:rsid w:val="00B36F44"/>
    <w:rsid w:val="00B37365"/>
    <w:rsid w:val="00B37473"/>
    <w:rsid w:val="00B377F1"/>
    <w:rsid w:val="00B37E1B"/>
    <w:rsid w:val="00B40185"/>
    <w:rsid w:val="00B4032C"/>
    <w:rsid w:val="00B40C96"/>
    <w:rsid w:val="00B411DE"/>
    <w:rsid w:val="00B41EBE"/>
    <w:rsid w:val="00B421C7"/>
    <w:rsid w:val="00B431CD"/>
    <w:rsid w:val="00B43F26"/>
    <w:rsid w:val="00B45B00"/>
    <w:rsid w:val="00B45C68"/>
    <w:rsid w:val="00B46D61"/>
    <w:rsid w:val="00B4703F"/>
    <w:rsid w:val="00B47D8C"/>
    <w:rsid w:val="00B50123"/>
    <w:rsid w:val="00B50D76"/>
    <w:rsid w:val="00B510D3"/>
    <w:rsid w:val="00B519FB"/>
    <w:rsid w:val="00B51B88"/>
    <w:rsid w:val="00B53715"/>
    <w:rsid w:val="00B53A59"/>
    <w:rsid w:val="00B53BFF"/>
    <w:rsid w:val="00B53F41"/>
    <w:rsid w:val="00B5403D"/>
    <w:rsid w:val="00B540FF"/>
    <w:rsid w:val="00B542E6"/>
    <w:rsid w:val="00B546D4"/>
    <w:rsid w:val="00B54807"/>
    <w:rsid w:val="00B54B6E"/>
    <w:rsid w:val="00B54F05"/>
    <w:rsid w:val="00B55143"/>
    <w:rsid w:val="00B5560C"/>
    <w:rsid w:val="00B55AEB"/>
    <w:rsid w:val="00B56555"/>
    <w:rsid w:val="00B56636"/>
    <w:rsid w:val="00B57890"/>
    <w:rsid w:val="00B60975"/>
    <w:rsid w:val="00B60A30"/>
    <w:rsid w:val="00B60B9B"/>
    <w:rsid w:val="00B60DA2"/>
    <w:rsid w:val="00B60FEA"/>
    <w:rsid w:val="00B613E7"/>
    <w:rsid w:val="00B61AC7"/>
    <w:rsid w:val="00B62DB8"/>
    <w:rsid w:val="00B631E2"/>
    <w:rsid w:val="00B63363"/>
    <w:rsid w:val="00B63724"/>
    <w:rsid w:val="00B63901"/>
    <w:rsid w:val="00B63CA1"/>
    <w:rsid w:val="00B63CF2"/>
    <w:rsid w:val="00B641D6"/>
    <w:rsid w:val="00B647DF"/>
    <w:rsid w:val="00B647F2"/>
    <w:rsid w:val="00B64BAE"/>
    <w:rsid w:val="00B65877"/>
    <w:rsid w:val="00B65B95"/>
    <w:rsid w:val="00B666AC"/>
    <w:rsid w:val="00B6754B"/>
    <w:rsid w:val="00B7011D"/>
    <w:rsid w:val="00B702CE"/>
    <w:rsid w:val="00B703E9"/>
    <w:rsid w:val="00B708B7"/>
    <w:rsid w:val="00B70F6F"/>
    <w:rsid w:val="00B713FB"/>
    <w:rsid w:val="00B71A42"/>
    <w:rsid w:val="00B71BC1"/>
    <w:rsid w:val="00B72437"/>
    <w:rsid w:val="00B72981"/>
    <w:rsid w:val="00B72E3D"/>
    <w:rsid w:val="00B73141"/>
    <w:rsid w:val="00B736A5"/>
    <w:rsid w:val="00B7393F"/>
    <w:rsid w:val="00B73F1F"/>
    <w:rsid w:val="00B7405C"/>
    <w:rsid w:val="00B7414B"/>
    <w:rsid w:val="00B742FA"/>
    <w:rsid w:val="00B748AA"/>
    <w:rsid w:val="00B74BD8"/>
    <w:rsid w:val="00B74D14"/>
    <w:rsid w:val="00B75048"/>
    <w:rsid w:val="00B7573B"/>
    <w:rsid w:val="00B75B36"/>
    <w:rsid w:val="00B75BA0"/>
    <w:rsid w:val="00B75C8C"/>
    <w:rsid w:val="00B75EF9"/>
    <w:rsid w:val="00B7602E"/>
    <w:rsid w:val="00B763D4"/>
    <w:rsid w:val="00B770A9"/>
    <w:rsid w:val="00B77F0B"/>
    <w:rsid w:val="00B80426"/>
    <w:rsid w:val="00B8085C"/>
    <w:rsid w:val="00B80FFC"/>
    <w:rsid w:val="00B81474"/>
    <w:rsid w:val="00B8211F"/>
    <w:rsid w:val="00B82986"/>
    <w:rsid w:val="00B834EA"/>
    <w:rsid w:val="00B83773"/>
    <w:rsid w:val="00B83AB5"/>
    <w:rsid w:val="00B83E1F"/>
    <w:rsid w:val="00B845E9"/>
    <w:rsid w:val="00B84AD8"/>
    <w:rsid w:val="00B84AF2"/>
    <w:rsid w:val="00B855F2"/>
    <w:rsid w:val="00B858CA"/>
    <w:rsid w:val="00B859B1"/>
    <w:rsid w:val="00B85AE1"/>
    <w:rsid w:val="00B861F4"/>
    <w:rsid w:val="00B8620B"/>
    <w:rsid w:val="00B86440"/>
    <w:rsid w:val="00B87093"/>
    <w:rsid w:val="00B874D8"/>
    <w:rsid w:val="00B8780F"/>
    <w:rsid w:val="00B87A61"/>
    <w:rsid w:val="00B87CC8"/>
    <w:rsid w:val="00B9026F"/>
    <w:rsid w:val="00B90611"/>
    <w:rsid w:val="00B9076B"/>
    <w:rsid w:val="00B90EB6"/>
    <w:rsid w:val="00B90F79"/>
    <w:rsid w:val="00B919DD"/>
    <w:rsid w:val="00B91FF3"/>
    <w:rsid w:val="00B9208D"/>
    <w:rsid w:val="00B92A26"/>
    <w:rsid w:val="00B92A34"/>
    <w:rsid w:val="00B92B0D"/>
    <w:rsid w:val="00B92C6B"/>
    <w:rsid w:val="00B92E8D"/>
    <w:rsid w:val="00B93D67"/>
    <w:rsid w:val="00B95381"/>
    <w:rsid w:val="00B95859"/>
    <w:rsid w:val="00B95A87"/>
    <w:rsid w:val="00B95C9E"/>
    <w:rsid w:val="00B95E97"/>
    <w:rsid w:val="00B97EDF"/>
    <w:rsid w:val="00B97FE0"/>
    <w:rsid w:val="00BA038C"/>
    <w:rsid w:val="00BA0458"/>
    <w:rsid w:val="00BA144D"/>
    <w:rsid w:val="00BA1895"/>
    <w:rsid w:val="00BA1F2F"/>
    <w:rsid w:val="00BA2506"/>
    <w:rsid w:val="00BA300E"/>
    <w:rsid w:val="00BA32F8"/>
    <w:rsid w:val="00BA37F0"/>
    <w:rsid w:val="00BA38E3"/>
    <w:rsid w:val="00BA43B4"/>
    <w:rsid w:val="00BA486E"/>
    <w:rsid w:val="00BA4A93"/>
    <w:rsid w:val="00BA4B5F"/>
    <w:rsid w:val="00BA4F3E"/>
    <w:rsid w:val="00BA5A13"/>
    <w:rsid w:val="00BA5B93"/>
    <w:rsid w:val="00BA603C"/>
    <w:rsid w:val="00BA66C1"/>
    <w:rsid w:val="00BA6BB8"/>
    <w:rsid w:val="00BA7A37"/>
    <w:rsid w:val="00BA7FD5"/>
    <w:rsid w:val="00BB034C"/>
    <w:rsid w:val="00BB03CA"/>
    <w:rsid w:val="00BB0802"/>
    <w:rsid w:val="00BB0CDF"/>
    <w:rsid w:val="00BB0EFF"/>
    <w:rsid w:val="00BB1D0C"/>
    <w:rsid w:val="00BB234C"/>
    <w:rsid w:val="00BB2C20"/>
    <w:rsid w:val="00BB2D70"/>
    <w:rsid w:val="00BB314C"/>
    <w:rsid w:val="00BB367F"/>
    <w:rsid w:val="00BB3CD0"/>
    <w:rsid w:val="00BB47A2"/>
    <w:rsid w:val="00BB4891"/>
    <w:rsid w:val="00BB4FC5"/>
    <w:rsid w:val="00BB5230"/>
    <w:rsid w:val="00BB55A8"/>
    <w:rsid w:val="00BB5C24"/>
    <w:rsid w:val="00BB749A"/>
    <w:rsid w:val="00BB77A2"/>
    <w:rsid w:val="00BB7944"/>
    <w:rsid w:val="00BB7FBB"/>
    <w:rsid w:val="00BC0480"/>
    <w:rsid w:val="00BC0B18"/>
    <w:rsid w:val="00BC12D6"/>
    <w:rsid w:val="00BC186F"/>
    <w:rsid w:val="00BC2374"/>
    <w:rsid w:val="00BC28FA"/>
    <w:rsid w:val="00BC2B70"/>
    <w:rsid w:val="00BC31E1"/>
    <w:rsid w:val="00BC4493"/>
    <w:rsid w:val="00BC4C10"/>
    <w:rsid w:val="00BC52FF"/>
    <w:rsid w:val="00BC6164"/>
    <w:rsid w:val="00BC6300"/>
    <w:rsid w:val="00BC6605"/>
    <w:rsid w:val="00BC6641"/>
    <w:rsid w:val="00BC679F"/>
    <w:rsid w:val="00BC6DE1"/>
    <w:rsid w:val="00BC73A4"/>
    <w:rsid w:val="00BC75F0"/>
    <w:rsid w:val="00BC7ED2"/>
    <w:rsid w:val="00BD0762"/>
    <w:rsid w:val="00BD0972"/>
    <w:rsid w:val="00BD0D7B"/>
    <w:rsid w:val="00BD10F9"/>
    <w:rsid w:val="00BD1297"/>
    <w:rsid w:val="00BD1386"/>
    <w:rsid w:val="00BD18A3"/>
    <w:rsid w:val="00BD2080"/>
    <w:rsid w:val="00BD22BF"/>
    <w:rsid w:val="00BD24CC"/>
    <w:rsid w:val="00BD26B2"/>
    <w:rsid w:val="00BD272D"/>
    <w:rsid w:val="00BD2767"/>
    <w:rsid w:val="00BD2769"/>
    <w:rsid w:val="00BD3997"/>
    <w:rsid w:val="00BD39BD"/>
    <w:rsid w:val="00BD3D3C"/>
    <w:rsid w:val="00BD432C"/>
    <w:rsid w:val="00BD474D"/>
    <w:rsid w:val="00BD481F"/>
    <w:rsid w:val="00BD4877"/>
    <w:rsid w:val="00BD4DC1"/>
    <w:rsid w:val="00BD50A4"/>
    <w:rsid w:val="00BD554F"/>
    <w:rsid w:val="00BD5B0A"/>
    <w:rsid w:val="00BD6C88"/>
    <w:rsid w:val="00BD6EC1"/>
    <w:rsid w:val="00BD725E"/>
    <w:rsid w:val="00BD7294"/>
    <w:rsid w:val="00BD7A1D"/>
    <w:rsid w:val="00BD7C63"/>
    <w:rsid w:val="00BD7CDB"/>
    <w:rsid w:val="00BD7F5C"/>
    <w:rsid w:val="00BE01C3"/>
    <w:rsid w:val="00BE0813"/>
    <w:rsid w:val="00BE1027"/>
    <w:rsid w:val="00BE23DA"/>
    <w:rsid w:val="00BE2616"/>
    <w:rsid w:val="00BE2B63"/>
    <w:rsid w:val="00BE2DAD"/>
    <w:rsid w:val="00BE362D"/>
    <w:rsid w:val="00BE3769"/>
    <w:rsid w:val="00BE3B32"/>
    <w:rsid w:val="00BE3F4B"/>
    <w:rsid w:val="00BE435B"/>
    <w:rsid w:val="00BE4444"/>
    <w:rsid w:val="00BE4853"/>
    <w:rsid w:val="00BE5CCF"/>
    <w:rsid w:val="00BE60A4"/>
    <w:rsid w:val="00BE6779"/>
    <w:rsid w:val="00BE697A"/>
    <w:rsid w:val="00BE6A72"/>
    <w:rsid w:val="00BE6DCA"/>
    <w:rsid w:val="00BE77E8"/>
    <w:rsid w:val="00BE7E78"/>
    <w:rsid w:val="00BF0235"/>
    <w:rsid w:val="00BF10FE"/>
    <w:rsid w:val="00BF12F6"/>
    <w:rsid w:val="00BF15D8"/>
    <w:rsid w:val="00BF188B"/>
    <w:rsid w:val="00BF19DF"/>
    <w:rsid w:val="00BF1A6B"/>
    <w:rsid w:val="00BF1AB7"/>
    <w:rsid w:val="00BF1FD6"/>
    <w:rsid w:val="00BF2668"/>
    <w:rsid w:val="00BF2BE9"/>
    <w:rsid w:val="00BF37E8"/>
    <w:rsid w:val="00BF3DCF"/>
    <w:rsid w:val="00BF4079"/>
    <w:rsid w:val="00BF426F"/>
    <w:rsid w:val="00BF47E9"/>
    <w:rsid w:val="00BF4DA5"/>
    <w:rsid w:val="00BF4EB7"/>
    <w:rsid w:val="00BF5917"/>
    <w:rsid w:val="00BF633D"/>
    <w:rsid w:val="00BF642D"/>
    <w:rsid w:val="00BF64A2"/>
    <w:rsid w:val="00BF7522"/>
    <w:rsid w:val="00BF7562"/>
    <w:rsid w:val="00C0096E"/>
    <w:rsid w:val="00C01970"/>
    <w:rsid w:val="00C01CE7"/>
    <w:rsid w:val="00C02CDB"/>
    <w:rsid w:val="00C03066"/>
    <w:rsid w:val="00C032E7"/>
    <w:rsid w:val="00C034BB"/>
    <w:rsid w:val="00C0430E"/>
    <w:rsid w:val="00C04713"/>
    <w:rsid w:val="00C04BC6"/>
    <w:rsid w:val="00C04F42"/>
    <w:rsid w:val="00C055D4"/>
    <w:rsid w:val="00C0590B"/>
    <w:rsid w:val="00C05BD6"/>
    <w:rsid w:val="00C05C06"/>
    <w:rsid w:val="00C05E93"/>
    <w:rsid w:val="00C06519"/>
    <w:rsid w:val="00C0737B"/>
    <w:rsid w:val="00C07513"/>
    <w:rsid w:val="00C07750"/>
    <w:rsid w:val="00C07C12"/>
    <w:rsid w:val="00C10009"/>
    <w:rsid w:val="00C1072B"/>
    <w:rsid w:val="00C1083A"/>
    <w:rsid w:val="00C10E15"/>
    <w:rsid w:val="00C111B4"/>
    <w:rsid w:val="00C11800"/>
    <w:rsid w:val="00C11E69"/>
    <w:rsid w:val="00C12AAD"/>
    <w:rsid w:val="00C132AC"/>
    <w:rsid w:val="00C137F7"/>
    <w:rsid w:val="00C13B72"/>
    <w:rsid w:val="00C14075"/>
    <w:rsid w:val="00C148FF"/>
    <w:rsid w:val="00C14C03"/>
    <w:rsid w:val="00C154AC"/>
    <w:rsid w:val="00C15785"/>
    <w:rsid w:val="00C171A7"/>
    <w:rsid w:val="00C177B5"/>
    <w:rsid w:val="00C17E42"/>
    <w:rsid w:val="00C20D3F"/>
    <w:rsid w:val="00C2103E"/>
    <w:rsid w:val="00C210EB"/>
    <w:rsid w:val="00C214A4"/>
    <w:rsid w:val="00C214C9"/>
    <w:rsid w:val="00C21835"/>
    <w:rsid w:val="00C21C71"/>
    <w:rsid w:val="00C22EA4"/>
    <w:rsid w:val="00C2312F"/>
    <w:rsid w:val="00C23582"/>
    <w:rsid w:val="00C237C4"/>
    <w:rsid w:val="00C23D84"/>
    <w:rsid w:val="00C2459A"/>
    <w:rsid w:val="00C245EB"/>
    <w:rsid w:val="00C24BC3"/>
    <w:rsid w:val="00C26356"/>
    <w:rsid w:val="00C274F3"/>
    <w:rsid w:val="00C27749"/>
    <w:rsid w:val="00C300CD"/>
    <w:rsid w:val="00C31567"/>
    <w:rsid w:val="00C31E5C"/>
    <w:rsid w:val="00C320EA"/>
    <w:rsid w:val="00C326F8"/>
    <w:rsid w:val="00C32BEE"/>
    <w:rsid w:val="00C32CC4"/>
    <w:rsid w:val="00C32D9F"/>
    <w:rsid w:val="00C33008"/>
    <w:rsid w:val="00C332CF"/>
    <w:rsid w:val="00C33684"/>
    <w:rsid w:val="00C33AC2"/>
    <w:rsid w:val="00C33B2F"/>
    <w:rsid w:val="00C3444B"/>
    <w:rsid w:val="00C34F34"/>
    <w:rsid w:val="00C35191"/>
    <w:rsid w:val="00C369E6"/>
    <w:rsid w:val="00C371D8"/>
    <w:rsid w:val="00C375E8"/>
    <w:rsid w:val="00C376B0"/>
    <w:rsid w:val="00C37DD8"/>
    <w:rsid w:val="00C4024F"/>
    <w:rsid w:val="00C40C98"/>
    <w:rsid w:val="00C413E9"/>
    <w:rsid w:val="00C42247"/>
    <w:rsid w:val="00C422B0"/>
    <w:rsid w:val="00C42518"/>
    <w:rsid w:val="00C42E35"/>
    <w:rsid w:val="00C43D53"/>
    <w:rsid w:val="00C44216"/>
    <w:rsid w:val="00C44355"/>
    <w:rsid w:val="00C44C0C"/>
    <w:rsid w:val="00C455FC"/>
    <w:rsid w:val="00C4626E"/>
    <w:rsid w:val="00C467A8"/>
    <w:rsid w:val="00C46B88"/>
    <w:rsid w:val="00C47808"/>
    <w:rsid w:val="00C47C8E"/>
    <w:rsid w:val="00C47CF7"/>
    <w:rsid w:val="00C47DAD"/>
    <w:rsid w:val="00C503BC"/>
    <w:rsid w:val="00C50B1D"/>
    <w:rsid w:val="00C50FFC"/>
    <w:rsid w:val="00C5129F"/>
    <w:rsid w:val="00C51312"/>
    <w:rsid w:val="00C515F3"/>
    <w:rsid w:val="00C5245F"/>
    <w:rsid w:val="00C52A98"/>
    <w:rsid w:val="00C53524"/>
    <w:rsid w:val="00C537AC"/>
    <w:rsid w:val="00C54232"/>
    <w:rsid w:val="00C545AB"/>
    <w:rsid w:val="00C54953"/>
    <w:rsid w:val="00C55004"/>
    <w:rsid w:val="00C55359"/>
    <w:rsid w:val="00C55903"/>
    <w:rsid w:val="00C55E59"/>
    <w:rsid w:val="00C55EE0"/>
    <w:rsid w:val="00C565F2"/>
    <w:rsid w:val="00C56630"/>
    <w:rsid w:val="00C5782E"/>
    <w:rsid w:val="00C6018E"/>
    <w:rsid w:val="00C603C1"/>
    <w:rsid w:val="00C60649"/>
    <w:rsid w:val="00C615E1"/>
    <w:rsid w:val="00C616E4"/>
    <w:rsid w:val="00C62623"/>
    <w:rsid w:val="00C62946"/>
    <w:rsid w:val="00C62CF7"/>
    <w:rsid w:val="00C62E31"/>
    <w:rsid w:val="00C63575"/>
    <w:rsid w:val="00C637FC"/>
    <w:rsid w:val="00C638C7"/>
    <w:rsid w:val="00C63B24"/>
    <w:rsid w:val="00C63D94"/>
    <w:rsid w:val="00C63DD4"/>
    <w:rsid w:val="00C63E85"/>
    <w:rsid w:val="00C641D9"/>
    <w:rsid w:val="00C64489"/>
    <w:rsid w:val="00C64C56"/>
    <w:rsid w:val="00C64F11"/>
    <w:rsid w:val="00C64F99"/>
    <w:rsid w:val="00C65197"/>
    <w:rsid w:val="00C65DCE"/>
    <w:rsid w:val="00C6617E"/>
    <w:rsid w:val="00C6635E"/>
    <w:rsid w:val="00C668E6"/>
    <w:rsid w:val="00C66965"/>
    <w:rsid w:val="00C670F8"/>
    <w:rsid w:val="00C672EA"/>
    <w:rsid w:val="00C67352"/>
    <w:rsid w:val="00C67562"/>
    <w:rsid w:val="00C67C45"/>
    <w:rsid w:val="00C67F4A"/>
    <w:rsid w:val="00C67F53"/>
    <w:rsid w:val="00C70B15"/>
    <w:rsid w:val="00C71876"/>
    <w:rsid w:val="00C71892"/>
    <w:rsid w:val="00C71C92"/>
    <w:rsid w:val="00C72010"/>
    <w:rsid w:val="00C722FC"/>
    <w:rsid w:val="00C7285B"/>
    <w:rsid w:val="00C72C53"/>
    <w:rsid w:val="00C73493"/>
    <w:rsid w:val="00C737D7"/>
    <w:rsid w:val="00C73B1A"/>
    <w:rsid w:val="00C743D3"/>
    <w:rsid w:val="00C7460D"/>
    <w:rsid w:val="00C74D1D"/>
    <w:rsid w:val="00C74D88"/>
    <w:rsid w:val="00C7568B"/>
    <w:rsid w:val="00C76137"/>
    <w:rsid w:val="00C7619A"/>
    <w:rsid w:val="00C766CD"/>
    <w:rsid w:val="00C76F2C"/>
    <w:rsid w:val="00C7735D"/>
    <w:rsid w:val="00C80673"/>
    <w:rsid w:val="00C819C4"/>
    <w:rsid w:val="00C81E45"/>
    <w:rsid w:val="00C824DB"/>
    <w:rsid w:val="00C8288B"/>
    <w:rsid w:val="00C8361E"/>
    <w:rsid w:val="00C83CE7"/>
    <w:rsid w:val="00C84036"/>
    <w:rsid w:val="00C841D4"/>
    <w:rsid w:val="00C847E0"/>
    <w:rsid w:val="00C85420"/>
    <w:rsid w:val="00C85D36"/>
    <w:rsid w:val="00C861DF"/>
    <w:rsid w:val="00C8660A"/>
    <w:rsid w:val="00C86C1F"/>
    <w:rsid w:val="00C87049"/>
    <w:rsid w:val="00C8775C"/>
    <w:rsid w:val="00C87B73"/>
    <w:rsid w:val="00C9079A"/>
    <w:rsid w:val="00C908BB"/>
    <w:rsid w:val="00C909E9"/>
    <w:rsid w:val="00C90CF7"/>
    <w:rsid w:val="00C912C2"/>
    <w:rsid w:val="00C9157E"/>
    <w:rsid w:val="00C91868"/>
    <w:rsid w:val="00C91E0D"/>
    <w:rsid w:val="00C92594"/>
    <w:rsid w:val="00C92AEB"/>
    <w:rsid w:val="00C92E74"/>
    <w:rsid w:val="00C92F64"/>
    <w:rsid w:val="00C9344F"/>
    <w:rsid w:val="00C934DC"/>
    <w:rsid w:val="00C94012"/>
    <w:rsid w:val="00C94137"/>
    <w:rsid w:val="00C9607B"/>
    <w:rsid w:val="00C961E2"/>
    <w:rsid w:val="00C9655D"/>
    <w:rsid w:val="00CA01A3"/>
    <w:rsid w:val="00CA06F7"/>
    <w:rsid w:val="00CA08F8"/>
    <w:rsid w:val="00CA0BCF"/>
    <w:rsid w:val="00CA0C86"/>
    <w:rsid w:val="00CA0EB2"/>
    <w:rsid w:val="00CA2D4B"/>
    <w:rsid w:val="00CA3675"/>
    <w:rsid w:val="00CA3BFB"/>
    <w:rsid w:val="00CA4085"/>
    <w:rsid w:val="00CA5666"/>
    <w:rsid w:val="00CA6540"/>
    <w:rsid w:val="00CA69F1"/>
    <w:rsid w:val="00CA6DDA"/>
    <w:rsid w:val="00CA6EB3"/>
    <w:rsid w:val="00CA78A0"/>
    <w:rsid w:val="00CA7F7D"/>
    <w:rsid w:val="00CB02F8"/>
    <w:rsid w:val="00CB0506"/>
    <w:rsid w:val="00CB051E"/>
    <w:rsid w:val="00CB0527"/>
    <w:rsid w:val="00CB07D4"/>
    <w:rsid w:val="00CB1127"/>
    <w:rsid w:val="00CB1444"/>
    <w:rsid w:val="00CB146C"/>
    <w:rsid w:val="00CB16E1"/>
    <w:rsid w:val="00CB1E12"/>
    <w:rsid w:val="00CB22C7"/>
    <w:rsid w:val="00CB27F3"/>
    <w:rsid w:val="00CB28CD"/>
    <w:rsid w:val="00CB299E"/>
    <w:rsid w:val="00CB2D1A"/>
    <w:rsid w:val="00CB33FE"/>
    <w:rsid w:val="00CB3ED9"/>
    <w:rsid w:val="00CB4978"/>
    <w:rsid w:val="00CB498B"/>
    <w:rsid w:val="00CB50EC"/>
    <w:rsid w:val="00CB5315"/>
    <w:rsid w:val="00CB56EB"/>
    <w:rsid w:val="00CB5A85"/>
    <w:rsid w:val="00CB5AA9"/>
    <w:rsid w:val="00CB5B08"/>
    <w:rsid w:val="00CB5B0C"/>
    <w:rsid w:val="00CB5D36"/>
    <w:rsid w:val="00CB61F5"/>
    <w:rsid w:val="00CB701E"/>
    <w:rsid w:val="00CC04D9"/>
    <w:rsid w:val="00CC0FCE"/>
    <w:rsid w:val="00CC17D1"/>
    <w:rsid w:val="00CC1EF4"/>
    <w:rsid w:val="00CC2120"/>
    <w:rsid w:val="00CC2C5B"/>
    <w:rsid w:val="00CC3D04"/>
    <w:rsid w:val="00CC4180"/>
    <w:rsid w:val="00CC41A4"/>
    <w:rsid w:val="00CC49D0"/>
    <w:rsid w:val="00CC4C01"/>
    <w:rsid w:val="00CC4C02"/>
    <w:rsid w:val="00CC5600"/>
    <w:rsid w:val="00CC5A4D"/>
    <w:rsid w:val="00CC5A6E"/>
    <w:rsid w:val="00CC5B75"/>
    <w:rsid w:val="00CC7414"/>
    <w:rsid w:val="00CC7983"/>
    <w:rsid w:val="00CC7D87"/>
    <w:rsid w:val="00CC7E3C"/>
    <w:rsid w:val="00CC7E46"/>
    <w:rsid w:val="00CC7F7E"/>
    <w:rsid w:val="00CD0625"/>
    <w:rsid w:val="00CD0FFA"/>
    <w:rsid w:val="00CD1424"/>
    <w:rsid w:val="00CD14A2"/>
    <w:rsid w:val="00CD2228"/>
    <w:rsid w:val="00CD227E"/>
    <w:rsid w:val="00CD2547"/>
    <w:rsid w:val="00CD27F0"/>
    <w:rsid w:val="00CD2905"/>
    <w:rsid w:val="00CD2DF7"/>
    <w:rsid w:val="00CD3178"/>
    <w:rsid w:val="00CD41BD"/>
    <w:rsid w:val="00CD4669"/>
    <w:rsid w:val="00CD4733"/>
    <w:rsid w:val="00CD4A47"/>
    <w:rsid w:val="00CD52AF"/>
    <w:rsid w:val="00CD56E3"/>
    <w:rsid w:val="00CD60D2"/>
    <w:rsid w:val="00CD739A"/>
    <w:rsid w:val="00CE003C"/>
    <w:rsid w:val="00CE0566"/>
    <w:rsid w:val="00CE096F"/>
    <w:rsid w:val="00CE1210"/>
    <w:rsid w:val="00CE132A"/>
    <w:rsid w:val="00CE1BC1"/>
    <w:rsid w:val="00CE1DF4"/>
    <w:rsid w:val="00CE22F6"/>
    <w:rsid w:val="00CE240E"/>
    <w:rsid w:val="00CE2511"/>
    <w:rsid w:val="00CE31E7"/>
    <w:rsid w:val="00CE3C38"/>
    <w:rsid w:val="00CE400E"/>
    <w:rsid w:val="00CE479D"/>
    <w:rsid w:val="00CE4F4F"/>
    <w:rsid w:val="00CE5143"/>
    <w:rsid w:val="00CE56F2"/>
    <w:rsid w:val="00CE58F2"/>
    <w:rsid w:val="00CE5EAD"/>
    <w:rsid w:val="00CE6E9E"/>
    <w:rsid w:val="00CE7B14"/>
    <w:rsid w:val="00CF01C0"/>
    <w:rsid w:val="00CF1280"/>
    <w:rsid w:val="00CF1281"/>
    <w:rsid w:val="00CF1442"/>
    <w:rsid w:val="00CF1507"/>
    <w:rsid w:val="00CF2490"/>
    <w:rsid w:val="00CF2840"/>
    <w:rsid w:val="00CF28F3"/>
    <w:rsid w:val="00CF2B73"/>
    <w:rsid w:val="00CF3782"/>
    <w:rsid w:val="00CF3D9A"/>
    <w:rsid w:val="00CF433E"/>
    <w:rsid w:val="00CF481B"/>
    <w:rsid w:val="00CF5038"/>
    <w:rsid w:val="00CF563E"/>
    <w:rsid w:val="00CF564C"/>
    <w:rsid w:val="00CF5805"/>
    <w:rsid w:val="00CF592C"/>
    <w:rsid w:val="00CF5C75"/>
    <w:rsid w:val="00CF5FA8"/>
    <w:rsid w:val="00CF62BF"/>
    <w:rsid w:val="00CF6DEF"/>
    <w:rsid w:val="00CF6F4E"/>
    <w:rsid w:val="00CF7275"/>
    <w:rsid w:val="00CF7ECC"/>
    <w:rsid w:val="00D00010"/>
    <w:rsid w:val="00D00108"/>
    <w:rsid w:val="00D00EEF"/>
    <w:rsid w:val="00D016E6"/>
    <w:rsid w:val="00D017B6"/>
    <w:rsid w:val="00D01F5C"/>
    <w:rsid w:val="00D022A0"/>
    <w:rsid w:val="00D02BD7"/>
    <w:rsid w:val="00D02D64"/>
    <w:rsid w:val="00D03B81"/>
    <w:rsid w:val="00D04780"/>
    <w:rsid w:val="00D047EE"/>
    <w:rsid w:val="00D04FE2"/>
    <w:rsid w:val="00D055EE"/>
    <w:rsid w:val="00D05806"/>
    <w:rsid w:val="00D05AF2"/>
    <w:rsid w:val="00D05B9D"/>
    <w:rsid w:val="00D05DC8"/>
    <w:rsid w:val="00D05EDD"/>
    <w:rsid w:val="00D0661B"/>
    <w:rsid w:val="00D06BE6"/>
    <w:rsid w:val="00D073AE"/>
    <w:rsid w:val="00D07E34"/>
    <w:rsid w:val="00D101DD"/>
    <w:rsid w:val="00D10266"/>
    <w:rsid w:val="00D1050F"/>
    <w:rsid w:val="00D1060F"/>
    <w:rsid w:val="00D10854"/>
    <w:rsid w:val="00D116FD"/>
    <w:rsid w:val="00D118AD"/>
    <w:rsid w:val="00D11A03"/>
    <w:rsid w:val="00D11A5F"/>
    <w:rsid w:val="00D11FC4"/>
    <w:rsid w:val="00D12619"/>
    <w:rsid w:val="00D1269F"/>
    <w:rsid w:val="00D12735"/>
    <w:rsid w:val="00D12C25"/>
    <w:rsid w:val="00D13562"/>
    <w:rsid w:val="00D1367A"/>
    <w:rsid w:val="00D13E6F"/>
    <w:rsid w:val="00D140A7"/>
    <w:rsid w:val="00D145A8"/>
    <w:rsid w:val="00D14A58"/>
    <w:rsid w:val="00D14AB1"/>
    <w:rsid w:val="00D15083"/>
    <w:rsid w:val="00D151B1"/>
    <w:rsid w:val="00D156ED"/>
    <w:rsid w:val="00D159EF"/>
    <w:rsid w:val="00D15B1C"/>
    <w:rsid w:val="00D15FA9"/>
    <w:rsid w:val="00D16017"/>
    <w:rsid w:val="00D163EA"/>
    <w:rsid w:val="00D16588"/>
    <w:rsid w:val="00D16CF4"/>
    <w:rsid w:val="00D16E52"/>
    <w:rsid w:val="00D17275"/>
    <w:rsid w:val="00D17915"/>
    <w:rsid w:val="00D2001C"/>
    <w:rsid w:val="00D20611"/>
    <w:rsid w:val="00D20CF6"/>
    <w:rsid w:val="00D21206"/>
    <w:rsid w:val="00D214C0"/>
    <w:rsid w:val="00D218BE"/>
    <w:rsid w:val="00D229E4"/>
    <w:rsid w:val="00D22D29"/>
    <w:rsid w:val="00D23424"/>
    <w:rsid w:val="00D23499"/>
    <w:rsid w:val="00D23F75"/>
    <w:rsid w:val="00D23F92"/>
    <w:rsid w:val="00D24132"/>
    <w:rsid w:val="00D24574"/>
    <w:rsid w:val="00D2489C"/>
    <w:rsid w:val="00D2522F"/>
    <w:rsid w:val="00D254D1"/>
    <w:rsid w:val="00D25AA6"/>
    <w:rsid w:val="00D25E50"/>
    <w:rsid w:val="00D266B5"/>
    <w:rsid w:val="00D26810"/>
    <w:rsid w:val="00D26942"/>
    <w:rsid w:val="00D273AF"/>
    <w:rsid w:val="00D27580"/>
    <w:rsid w:val="00D300EA"/>
    <w:rsid w:val="00D30239"/>
    <w:rsid w:val="00D30292"/>
    <w:rsid w:val="00D304DE"/>
    <w:rsid w:val="00D3052C"/>
    <w:rsid w:val="00D30E21"/>
    <w:rsid w:val="00D312CD"/>
    <w:rsid w:val="00D31865"/>
    <w:rsid w:val="00D31DCB"/>
    <w:rsid w:val="00D3207F"/>
    <w:rsid w:val="00D328A6"/>
    <w:rsid w:val="00D3352A"/>
    <w:rsid w:val="00D33A5E"/>
    <w:rsid w:val="00D33C77"/>
    <w:rsid w:val="00D33DC8"/>
    <w:rsid w:val="00D34198"/>
    <w:rsid w:val="00D34410"/>
    <w:rsid w:val="00D354B4"/>
    <w:rsid w:val="00D361BA"/>
    <w:rsid w:val="00D3623B"/>
    <w:rsid w:val="00D36283"/>
    <w:rsid w:val="00D36426"/>
    <w:rsid w:val="00D36F44"/>
    <w:rsid w:val="00D371CF"/>
    <w:rsid w:val="00D375E9"/>
    <w:rsid w:val="00D40351"/>
    <w:rsid w:val="00D40997"/>
    <w:rsid w:val="00D40DF0"/>
    <w:rsid w:val="00D412C8"/>
    <w:rsid w:val="00D41E88"/>
    <w:rsid w:val="00D43E69"/>
    <w:rsid w:val="00D440D2"/>
    <w:rsid w:val="00D4414F"/>
    <w:rsid w:val="00D449B5"/>
    <w:rsid w:val="00D44C19"/>
    <w:rsid w:val="00D44D10"/>
    <w:rsid w:val="00D4574A"/>
    <w:rsid w:val="00D45F9B"/>
    <w:rsid w:val="00D4606F"/>
    <w:rsid w:val="00D46379"/>
    <w:rsid w:val="00D4639F"/>
    <w:rsid w:val="00D46B81"/>
    <w:rsid w:val="00D47BBC"/>
    <w:rsid w:val="00D5007C"/>
    <w:rsid w:val="00D51C1F"/>
    <w:rsid w:val="00D5274E"/>
    <w:rsid w:val="00D53A35"/>
    <w:rsid w:val="00D5435F"/>
    <w:rsid w:val="00D547F0"/>
    <w:rsid w:val="00D54989"/>
    <w:rsid w:val="00D54AAB"/>
    <w:rsid w:val="00D54E02"/>
    <w:rsid w:val="00D551C8"/>
    <w:rsid w:val="00D55584"/>
    <w:rsid w:val="00D57050"/>
    <w:rsid w:val="00D5799C"/>
    <w:rsid w:val="00D6048D"/>
    <w:rsid w:val="00D60647"/>
    <w:rsid w:val="00D60CB4"/>
    <w:rsid w:val="00D60F7E"/>
    <w:rsid w:val="00D61000"/>
    <w:rsid w:val="00D6102B"/>
    <w:rsid w:val="00D633A9"/>
    <w:rsid w:val="00D637E0"/>
    <w:rsid w:val="00D63F73"/>
    <w:rsid w:val="00D647FA"/>
    <w:rsid w:val="00D64841"/>
    <w:rsid w:val="00D65135"/>
    <w:rsid w:val="00D652A4"/>
    <w:rsid w:val="00D657C8"/>
    <w:rsid w:val="00D65CF0"/>
    <w:rsid w:val="00D6623E"/>
    <w:rsid w:val="00D66449"/>
    <w:rsid w:val="00D66841"/>
    <w:rsid w:val="00D66B8F"/>
    <w:rsid w:val="00D66CBA"/>
    <w:rsid w:val="00D67752"/>
    <w:rsid w:val="00D67973"/>
    <w:rsid w:val="00D67B15"/>
    <w:rsid w:val="00D67CE1"/>
    <w:rsid w:val="00D703C9"/>
    <w:rsid w:val="00D71130"/>
    <w:rsid w:val="00D7126B"/>
    <w:rsid w:val="00D71298"/>
    <w:rsid w:val="00D7139C"/>
    <w:rsid w:val="00D71684"/>
    <w:rsid w:val="00D71819"/>
    <w:rsid w:val="00D71D52"/>
    <w:rsid w:val="00D71ED1"/>
    <w:rsid w:val="00D72AD2"/>
    <w:rsid w:val="00D72B03"/>
    <w:rsid w:val="00D72D93"/>
    <w:rsid w:val="00D73207"/>
    <w:rsid w:val="00D73D79"/>
    <w:rsid w:val="00D74184"/>
    <w:rsid w:val="00D743BD"/>
    <w:rsid w:val="00D74B38"/>
    <w:rsid w:val="00D74B7F"/>
    <w:rsid w:val="00D74E8A"/>
    <w:rsid w:val="00D751D2"/>
    <w:rsid w:val="00D759A6"/>
    <w:rsid w:val="00D76493"/>
    <w:rsid w:val="00D77926"/>
    <w:rsid w:val="00D77976"/>
    <w:rsid w:val="00D77B53"/>
    <w:rsid w:val="00D807E9"/>
    <w:rsid w:val="00D8120E"/>
    <w:rsid w:val="00D8130C"/>
    <w:rsid w:val="00D821D4"/>
    <w:rsid w:val="00D82598"/>
    <w:rsid w:val="00D82BD4"/>
    <w:rsid w:val="00D82DDE"/>
    <w:rsid w:val="00D832A2"/>
    <w:rsid w:val="00D839B0"/>
    <w:rsid w:val="00D83A33"/>
    <w:rsid w:val="00D8461F"/>
    <w:rsid w:val="00D84C7F"/>
    <w:rsid w:val="00D84F33"/>
    <w:rsid w:val="00D85304"/>
    <w:rsid w:val="00D85413"/>
    <w:rsid w:val="00D85697"/>
    <w:rsid w:val="00D85ECD"/>
    <w:rsid w:val="00D873B5"/>
    <w:rsid w:val="00D87689"/>
    <w:rsid w:val="00D87B11"/>
    <w:rsid w:val="00D903C8"/>
    <w:rsid w:val="00D909CD"/>
    <w:rsid w:val="00D90F57"/>
    <w:rsid w:val="00D913B2"/>
    <w:rsid w:val="00D918F5"/>
    <w:rsid w:val="00D9196A"/>
    <w:rsid w:val="00D92DF7"/>
    <w:rsid w:val="00D93105"/>
    <w:rsid w:val="00D941F7"/>
    <w:rsid w:val="00D9426A"/>
    <w:rsid w:val="00D943B8"/>
    <w:rsid w:val="00D9444C"/>
    <w:rsid w:val="00D94717"/>
    <w:rsid w:val="00D9478E"/>
    <w:rsid w:val="00D94F28"/>
    <w:rsid w:val="00D94FE8"/>
    <w:rsid w:val="00D952C4"/>
    <w:rsid w:val="00D9551A"/>
    <w:rsid w:val="00D95564"/>
    <w:rsid w:val="00D95A20"/>
    <w:rsid w:val="00D95B3E"/>
    <w:rsid w:val="00D961F3"/>
    <w:rsid w:val="00D962D6"/>
    <w:rsid w:val="00D962DD"/>
    <w:rsid w:val="00D96477"/>
    <w:rsid w:val="00D96796"/>
    <w:rsid w:val="00D96E0A"/>
    <w:rsid w:val="00D96F97"/>
    <w:rsid w:val="00D97CCC"/>
    <w:rsid w:val="00D97D9F"/>
    <w:rsid w:val="00DA03F1"/>
    <w:rsid w:val="00DA0791"/>
    <w:rsid w:val="00DA096C"/>
    <w:rsid w:val="00DA1382"/>
    <w:rsid w:val="00DA2444"/>
    <w:rsid w:val="00DA3689"/>
    <w:rsid w:val="00DA3DC2"/>
    <w:rsid w:val="00DA4BDE"/>
    <w:rsid w:val="00DA5AB9"/>
    <w:rsid w:val="00DA5D93"/>
    <w:rsid w:val="00DA5FE8"/>
    <w:rsid w:val="00DA6141"/>
    <w:rsid w:val="00DA643B"/>
    <w:rsid w:val="00DA7F08"/>
    <w:rsid w:val="00DB1777"/>
    <w:rsid w:val="00DB182D"/>
    <w:rsid w:val="00DB2290"/>
    <w:rsid w:val="00DB2506"/>
    <w:rsid w:val="00DB2567"/>
    <w:rsid w:val="00DB27D8"/>
    <w:rsid w:val="00DB2C3D"/>
    <w:rsid w:val="00DB3329"/>
    <w:rsid w:val="00DB3B97"/>
    <w:rsid w:val="00DB3CD5"/>
    <w:rsid w:val="00DB4175"/>
    <w:rsid w:val="00DB527D"/>
    <w:rsid w:val="00DB578D"/>
    <w:rsid w:val="00DB5BBA"/>
    <w:rsid w:val="00DB5CEB"/>
    <w:rsid w:val="00DB61ED"/>
    <w:rsid w:val="00DB6E2B"/>
    <w:rsid w:val="00DB72AF"/>
    <w:rsid w:val="00DB7746"/>
    <w:rsid w:val="00DB783F"/>
    <w:rsid w:val="00DC0030"/>
    <w:rsid w:val="00DC11B3"/>
    <w:rsid w:val="00DC20AA"/>
    <w:rsid w:val="00DC21DA"/>
    <w:rsid w:val="00DC239B"/>
    <w:rsid w:val="00DC276D"/>
    <w:rsid w:val="00DC2AC7"/>
    <w:rsid w:val="00DC2AF9"/>
    <w:rsid w:val="00DC33FC"/>
    <w:rsid w:val="00DC3D84"/>
    <w:rsid w:val="00DC4B76"/>
    <w:rsid w:val="00DC4C97"/>
    <w:rsid w:val="00DC5224"/>
    <w:rsid w:val="00DC5565"/>
    <w:rsid w:val="00DC5843"/>
    <w:rsid w:val="00DC597E"/>
    <w:rsid w:val="00DC5AD3"/>
    <w:rsid w:val="00DC5E0F"/>
    <w:rsid w:val="00DC6201"/>
    <w:rsid w:val="00DC6242"/>
    <w:rsid w:val="00DC6246"/>
    <w:rsid w:val="00DC625A"/>
    <w:rsid w:val="00DC6302"/>
    <w:rsid w:val="00DC6988"/>
    <w:rsid w:val="00DC6B5A"/>
    <w:rsid w:val="00DC711F"/>
    <w:rsid w:val="00DC74FE"/>
    <w:rsid w:val="00DC7B8C"/>
    <w:rsid w:val="00DD0B92"/>
    <w:rsid w:val="00DD1684"/>
    <w:rsid w:val="00DD180F"/>
    <w:rsid w:val="00DD1C22"/>
    <w:rsid w:val="00DD1CCC"/>
    <w:rsid w:val="00DD204A"/>
    <w:rsid w:val="00DD26B0"/>
    <w:rsid w:val="00DD272A"/>
    <w:rsid w:val="00DD27DD"/>
    <w:rsid w:val="00DD2A4B"/>
    <w:rsid w:val="00DD2A6E"/>
    <w:rsid w:val="00DD2C90"/>
    <w:rsid w:val="00DD2D6B"/>
    <w:rsid w:val="00DD2F4A"/>
    <w:rsid w:val="00DD38CA"/>
    <w:rsid w:val="00DD4105"/>
    <w:rsid w:val="00DD4796"/>
    <w:rsid w:val="00DD4B5E"/>
    <w:rsid w:val="00DD4F14"/>
    <w:rsid w:val="00DD51A1"/>
    <w:rsid w:val="00DD53B2"/>
    <w:rsid w:val="00DD5553"/>
    <w:rsid w:val="00DD5757"/>
    <w:rsid w:val="00DD5932"/>
    <w:rsid w:val="00DD6261"/>
    <w:rsid w:val="00DD677E"/>
    <w:rsid w:val="00DD6DF8"/>
    <w:rsid w:val="00DD793D"/>
    <w:rsid w:val="00DD7A96"/>
    <w:rsid w:val="00DE0293"/>
    <w:rsid w:val="00DE072F"/>
    <w:rsid w:val="00DE0E5A"/>
    <w:rsid w:val="00DE0ED9"/>
    <w:rsid w:val="00DE12D1"/>
    <w:rsid w:val="00DE1709"/>
    <w:rsid w:val="00DE1CE8"/>
    <w:rsid w:val="00DE22F0"/>
    <w:rsid w:val="00DE308B"/>
    <w:rsid w:val="00DE3406"/>
    <w:rsid w:val="00DE347F"/>
    <w:rsid w:val="00DE4433"/>
    <w:rsid w:val="00DE4744"/>
    <w:rsid w:val="00DE4F7A"/>
    <w:rsid w:val="00DE50BE"/>
    <w:rsid w:val="00DE5113"/>
    <w:rsid w:val="00DE5161"/>
    <w:rsid w:val="00DE5267"/>
    <w:rsid w:val="00DE5426"/>
    <w:rsid w:val="00DE54FF"/>
    <w:rsid w:val="00DE5999"/>
    <w:rsid w:val="00DE5F18"/>
    <w:rsid w:val="00DE713F"/>
    <w:rsid w:val="00DE762C"/>
    <w:rsid w:val="00DE78C4"/>
    <w:rsid w:val="00DF16C0"/>
    <w:rsid w:val="00DF16FC"/>
    <w:rsid w:val="00DF189D"/>
    <w:rsid w:val="00DF1BD7"/>
    <w:rsid w:val="00DF1C93"/>
    <w:rsid w:val="00DF222D"/>
    <w:rsid w:val="00DF2636"/>
    <w:rsid w:val="00DF2F2D"/>
    <w:rsid w:val="00DF381F"/>
    <w:rsid w:val="00DF4576"/>
    <w:rsid w:val="00DF540B"/>
    <w:rsid w:val="00DF5828"/>
    <w:rsid w:val="00DF5A7E"/>
    <w:rsid w:val="00DF5AA9"/>
    <w:rsid w:val="00DF5D7F"/>
    <w:rsid w:val="00DF638C"/>
    <w:rsid w:val="00DF64C7"/>
    <w:rsid w:val="00DF7766"/>
    <w:rsid w:val="00E008AF"/>
    <w:rsid w:val="00E00A1D"/>
    <w:rsid w:val="00E018B5"/>
    <w:rsid w:val="00E02516"/>
    <w:rsid w:val="00E0258C"/>
    <w:rsid w:val="00E0286B"/>
    <w:rsid w:val="00E0322E"/>
    <w:rsid w:val="00E04C9E"/>
    <w:rsid w:val="00E04CB8"/>
    <w:rsid w:val="00E054EE"/>
    <w:rsid w:val="00E05853"/>
    <w:rsid w:val="00E05EB6"/>
    <w:rsid w:val="00E06817"/>
    <w:rsid w:val="00E06A28"/>
    <w:rsid w:val="00E070E3"/>
    <w:rsid w:val="00E07912"/>
    <w:rsid w:val="00E1071C"/>
    <w:rsid w:val="00E10C58"/>
    <w:rsid w:val="00E10FC8"/>
    <w:rsid w:val="00E11071"/>
    <w:rsid w:val="00E11818"/>
    <w:rsid w:val="00E11B78"/>
    <w:rsid w:val="00E12881"/>
    <w:rsid w:val="00E13765"/>
    <w:rsid w:val="00E140DE"/>
    <w:rsid w:val="00E143F1"/>
    <w:rsid w:val="00E1467D"/>
    <w:rsid w:val="00E148E5"/>
    <w:rsid w:val="00E15503"/>
    <w:rsid w:val="00E15D77"/>
    <w:rsid w:val="00E15F99"/>
    <w:rsid w:val="00E16157"/>
    <w:rsid w:val="00E1632B"/>
    <w:rsid w:val="00E16CE9"/>
    <w:rsid w:val="00E177BE"/>
    <w:rsid w:val="00E17B69"/>
    <w:rsid w:val="00E17F2B"/>
    <w:rsid w:val="00E17F52"/>
    <w:rsid w:val="00E17F73"/>
    <w:rsid w:val="00E17F7E"/>
    <w:rsid w:val="00E20058"/>
    <w:rsid w:val="00E202DB"/>
    <w:rsid w:val="00E204BB"/>
    <w:rsid w:val="00E21006"/>
    <w:rsid w:val="00E21F2E"/>
    <w:rsid w:val="00E22854"/>
    <w:rsid w:val="00E22F47"/>
    <w:rsid w:val="00E233AD"/>
    <w:rsid w:val="00E239A1"/>
    <w:rsid w:val="00E24928"/>
    <w:rsid w:val="00E249B3"/>
    <w:rsid w:val="00E26A6E"/>
    <w:rsid w:val="00E274FC"/>
    <w:rsid w:val="00E27B51"/>
    <w:rsid w:val="00E27BBB"/>
    <w:rsid w:val="00E3068E"/>
    <w:rsid w:val="00E30EA3"/>
    <w:rsid w:val="00E312D8"/>
    <w:rsid w:val="00E3160C"/>
    <w:rsid w:val="00E31861"/>
    <w:rsid w:val="00E31D13"/>
    <w:rsid w:val="00E31FE6"/>
    <w:rsid w:val="00E32737"/>
    <w:rsid w:val="00E32921"/>
    <w:rsid w:val="00E33195"/>
    <w:rsid w:val="00E331FD"/>
    <w:rsid w:val="00E33817"/>
    <w:rsid w:val="00E34AF8"/>
    <w:rsid w:val="00E3514A"/>
    <w:rsid w:val="00E36093"/>
    <w:rsid w:val="00E3616B"/>
    <w:rsid w:val="00E36305"/>
    <w:rsid w:val="00E3678F"/>
    <w:rsid w:val="00E36B4F"/>
    <w:rsid w:val="00E36F8F"/>
    <w:rsid w:val="00E372D0"/>
    <w:rsid w:val="00E375C0"/>
    <w:rsid w:val="00E37821"/>
    <w:rsid w:val="00E37A60"/>
    <w:rsid w:val="00E37D03"/>
    <w:rsid w:val="00E41256"/>
    <w:rsid w:val="00E416BB"/>
    <w:rsid w:val="00E41D1D"/>
    <w:rsid w:val="00E41D47"/>
    <w:rsid w:val="00E423F0"/>
    <w:rsid w:val="00E42DD9"/>
    <w:rsid w:val="00E43167"/>
    <w:rsid w:val="00E431D8"/>
    <w:rsid w:val="00E43243"/>
    <w:rsid w:val="00E43AE3"/>
    <w:rsid w:val="00E43CE1"/>
    <w:rsid w:val="00E44885"/>
    <w:rsid w:val="00E448A5"/>
    <w:rsid w:val="00E44EBC"/>
    <w:rsid w:val="00E4514E"/>
    <w:rsid w:val="00E45E44"/>
    <w:rsid w:val="00E45F24"/>
    <w:rsid w:val="00E46D1E"/>
    <w:rsid w:val="00E46DCB"/>
    <w:rsid w:val="00E470C5"/>
    <w:rsid w:val="00E4727A"/>
    <w:rsid w:val="00E47611"/>
    <w:rsid w:val="00E506F2"/>
    <w:rsid w:val="00E5164E"/>
    <w:rsid w:val="00E523A1"/>
    <w:rsid w:val="00E53D3D"/>
    <w:rsid w:val="00E53FE3"/>
    <w:rsid w:val="00E542B4"/>
    <w:rsid w:val="00E54327"/>
    <w:rsid w:val="00E5561F"/>
    <w:rsid w:val="00E55971"/>
    <w:rsid w:val="00E5646A"/>
    <w:rsid w:val="00E57076"/>
    <w:rsid w:val="00E60505"/>
    <w:rsid w:val="00E60FFE"/>
    <w:rsid w:val="00E61CA9"/>
    <w:rsid w:val="00E62D89"/>
    <w:rsid w:val="00E63E5A"/>
    <w:rsid w:val="00E63EF2"/>
    <w:rsid w:val="00E64B45"/>
    <w:rsid w:val="00E66D0D"/>
    <w:rsid w:val="00E6735B"/>
    <w:rsid w:val="00E67BBD"/>
    <w:rsid w:val="00E70422"/>
    <w:rsid w:val="00E70904"/>
    <w:rsid w:val="00E7095C"/>
    <w:rsid w:val="00E70D3D"/>
    <w:rsid w:val="00E71275"/>
    <w:rsid w:val="00E71651"/>
    <w:rsid w:val="00E7181C"/>
    <w:rsid w:val="00E71D7D"/>
    <w:rsid w:val="00E72472"/>
    <w:rsid w:val="00E72538"/>
    <w:rsid w:val="00E725B6"/>
    <w:rsid w:val="00E72627"/>
    <w:rsid w:val="00E72E72"/>
    <w:rsid w:val="00E742EA"/>
    <w:rsid w:val="00E75364"/>
    <w:rsid w:val="00E7556C"/>
    <w:rsid w:val="00E75734"/>
    <w:rsid w:val="00E7578D"/>
    <w:rsid w:val="00E75A7F"/>
    <w:rsid w:val="00E76C71"/>
    <w:rsid w:val="00E770B0"/>
    <w:rsid w:val="00E77C04"/>
    <w:rsid w:val="00E8015B"/>
    <w:rsid w:val="00E80204"/>
    <w:rsid w:val="00E809A6"/>
    <w:rsid w:val="00E80C1F"/>
    <w:rsid w:val="00E80D64"/>
    <w:rsid w:val="00E8131B"/>
    <w:rsid w:val="00E813AB"/>
    <w:rsid w:val="00E81D18"/>
    <w:rsid w:val="00E81FA0"/>
    <w:rsid w:val="00E8388C"/>
    <w:rsid w:val="00E83AB5"/>
    <w:rsid w:val="00E83EE1"/>
    <w:rsid w:val="00E84150"/>
    <w:rsid w:val="00E84FFE"/>
    <w:rsid w:val="00E853E2"/>
    <w:rsid w:val="00E85932"/>
    <w:rsid w:val="00E85C36"/>
    <w:rsid w:val="00E8648E"/>
    <w:rsid w:val="00E869E7"/>
    <w:rsid w:val="00E87C83"/>
    <w:rsid w:val="00E900D0"/>
    <w:rsid w:val="00E902F3"/>
    <w:rsid w:val="00E90ABE"/>
    <w:rsid w:val="00E90B0B"/>
    <w:rsid w:val="00E90B7C"/>
    <w:rsid w:val="00E90E1C"/>
    <w:rsid w:val="00E917D1"/>
    <w:rsid w:val="00E91B27"/>
    <w:rsid w:val="00E9253A"/>
    <w:rsid w:val="00E935BD"/>
    <w:rsid w:val="00E93C01"/>
    <w:rsid w:val="00E93F4D"/>
    <w:rsid w:val="00E94BB3"/>
    <w:rsid w:val="00E9588C"/>
    <w:rsid w:val="00E9597C"/>
    <w:rsid w:val="00E95CD6"/>
    <w:rsid w:val="00E95F54"/>
    <w:rsid w:val="00E95FFE"/>
    <w:rsid w:val="00E9614A"/>
    <w:rsid w:val="00EA09E8"/>
    <w:rsid w:val="00EA0D19"/>
    <w:rsid w:val="00EA12F4"/>
    <w:rsid w:val="00EA1334"/>
    <w:rsid w:val="00EA17B4"/>
    <w:rsid w:val="00EA2528"/>
    <w:rsid w:val="00EA3593"/>
    <w:rsid w:val="00EA36FC"/>
    <w:rsid w:val="00EA42D0"/>
    <w:rsid w:val="00EA4375"/>
    <w:rsid w:val="00EA4603"/>
    <w:rsid w:val="00EA46A5"/>
    <w:rsid w:val="00EA47AE"/>
    <w:rsid w:val="00EA52F5"/>
    <w:rsid w:val="00EA5D7C"/>
    <w:rsid w:val="00EA5DC0"/>
    <w:rsid w:val="00EA74D4"/>
    <w:rsid w:val="00EA76C1"/>
    <w:rsid w:val="00EA7EDE"/>
    <w:rsid w:val="00EB0B54"/>
    <w:rsid w:val="00EB0C72"/>
    <w:rsid w:val="00EB0D31"/>
    <w:rsid w:val="00EB0F84"/>
    <w:rsid w:val="00EB14A3"/>
    <w:rsid w:val="00EB15DE"/>
    <w:rsid w:val="00EB1D7C"/>
    <w:rsid w:val="00EB1EB2"/>
    <w:rsid w:val="00EB2749"/>
    <w:rsid w:val="00EB34FF"/>
    <w:rsid w:val="00EB35E2"/>
    <w:rsid w:val="00EB3FFA"/>
    <w:rsid w:val="00EB4649"/>
    <w:rsid w:val="00EB4A15"/>
    <w:rsid w:val="00EB51AF"/>
    <w:rsid w:val="00EB5658"/>
    <w:rsid w:val="00EB5946"/>
    <w:rsid w:val="00EB6D4A"/>
    <w:rsid w:val="00EB7443"/>
    <w:rsid w:val="00EB7B38"/>
    <w:rsid w:val="00EB7D13"/>
    <w:rsid w:val="00EC0ADD"/>
    <w:rsid w:val="00EC0D9B"/>
    <w:rsid w:val="00EC12EB"/>
    <w:rsid w:val="00EC132B"/>
    <w:rsid w:val="00EC15DF"/>
    <w:rsid w:val="00EC1CF9"/>
    <w:rsid w:val="00EC24D9"/>
    <w:rsid w:val="00EC286E"/>
    <w:rsid w:val="00EC2AC7"/>
    <w:rsid w:val="00EC2B0F"/>
    <w:rsid w:val="00EC35C7"/>
    <w:rsid w:val="00EC40B5"/>
    <w:rsid w:val="00EC433C"/>
    <w:rsid w:val="00EC4424"/>
    <w:rsid w:val="00EC4EAB"/>
    <w:rsid w:val="00EC4EFE"/>
    <w:rsid w:val="00EC4F97"/>
    <w:rsid w:val="00EC4FCE"/>
    <w:rsid w:val="00EC51AC"/>
    <w:rsid w:val="00EC5B71"/>
    <w:rsid w:val="00EC6B75"/>
    <w:rsid w:val="00EC7A23"/>
    <w:rsid w:val="00ED0332"/>
    <w:rsid w:val="00ED0F11"/>
    <w:rsid w:val="00ED1082"/>
    <w:rsid w:val="00ED2172"/>
    <w:rsid w:val="00ED270A"/>
    <w:rsid w:val="00ED2768"/>
    <w:rsid w:val="00ED27B6"/>
    <w:rsid w:val="00ED3EC3"/>
    <w:rsid w:val="00ED477F"/>
    <w:rsid w:val="00ED5032"/>
    <w:rsid w:val="00ED55EC"/>
    <w:rsid w:val="00ED6A13"/>
    <w:rsid w:val="00ED6A4F"/>
    <w:rsid w:val="00ED6EE2"/>
    <w:rsid w:val="00ED782F"/>
    <w:rsid w:val="00ED786B"/>
    <w:rsid w:val="00EE09B6"/>
    <w:rsid w:val="00EE1C4D"/>
    <w:rsid w:val="00EE2263"/>
    <w:rsid w:val="00EE28C9"/>
    <w:rsid w:val="00EE308D"/>
    <w:rsid w:val="00EE31B3"/>
    <w:rsid w:val="00EE37CD"/>
    <w:rsid w:val="00EE3938"/>
    <w:rsid w:val="00EE3F0A"/>
    <w:rsid w:val="00EE4156"/>
    <w:rsid w:val="00EE416F"/>
    <w:rsid w:val="00EE4303"/>
    <w:rsid w:val="00EE433C"/>
    <w:rsid w:val="00EE52C1"/>
    <w:rsid w:val="00EE5487"/>
    <w:rsid w:val="00EE5992"/>
    <w:rsid w:val="00EE5F34"/>
    <w:rsid w:val="00EE62BE"/>
    <w:rsid w:val="00EE6504"/>
    <w:rsid w:val="00EE68E3"/>
    <w:rsid w:val="00EE6F5A"/>
    <w:rsid w:val="00EE76C7"/>
    <w:rsid w:val="00EE7811"/>
    <w:rsid w:val="00EE78E9"/>
    <w:rsid w:val="00EE7B9A"/>
    <w:rsid w:val="00EF0335"/>
    <w:rsid w:val="00EF036D"/>
    <w:rsid w:val="00EF07F6"/>
    <w:rsid w:val="00EF09D2"/>
    <w:rsid w:val="00EF0D84"/>
    <w:rsid w:val="00EF0E5E"/>
    <w:rsid w:val="00EF11B5"/>
    <w:rsid w:val="00EF1624"/>
    <w:rsid w:val="00EF2655"/>
    <w:rsid w:val="00EF3B34"/>
    <w:rsid w:val="00EF3E0F"/>
    <w:rsid w:val="00EF4109"/>
    <w:rsid w:val="00EF4AD2"/>
    <w:rsid w:val="00EF5AB9"/>
    <w:rsid w:val="00EF66D9"/>
    <w:rsid w:val="00EF7199"/>
    <w:rsid w:val="00EF7E8F"/>
    <w:rsid w:val="00F002F3"/>
    <w:rsid w:val="00F0055A"/>
    <w:rsid w:val="00F00BDA"/>
    <w:rsid w:val="00F0127A"/>
    <w:rsid w:val="00F0143C"/>
    <w:rsid w:val="00F0161C"/>
    <w:rsid w:val="00F018AF"/>
    <w:rsid w:val="00F01B39"/>
    <w:rsid w:val="00F01FB9"/>
    <w:rsid w:val="00F031BA"/>
    <w:rsid w:val="00F0341B"/>
    <w:rsid w:val="00F03F65"/>
    <w:rsid w:val="00F041AF"/>
    <w:rsid w:val="00F04F5F"/>
    <w:rsid w:val="00F05379"/>
    <w:rsid w:val="00F0576B"/>
    <w:rsid w:val="00F05A2F"/>
    <w:rsid w:val="00F05B34"/>
    <w:rsid w:val="00F05B49"/>
    <w:rsid w:val="00F06519"/>
    <w:rsid w:val="00F06869"/>
    <w:rsid w:val="00F07ECF"/>
    <w:rsid w:val="00F10070"/>
    <w:rsid w:val="00F10191"/>
    <w:rsid w:val="00F101E9"/>
    <w:rsid w:val="00F10393"/>
    <w:rsid w:val="00F10668"/>
    <w:rsid w:val="00F108E8"/>
    <w:rsid w:val="00F10B00"/>
    <w:rsid w:val="00F10B26"/>
    <w:rsid w:val="00F10C8E"/>
    <w:rsid w:val="00F11565"/>
    <w:rsid w:val="00F11662"/>
    <w:rsid w:val="00F11710"/>
    <w:rsid w:val="00F11E3E"/>
    <w:rsid w:val="00F120E5"/>
    <w:rsid w:val="00F12E2E"/>
    <w:rsid w:val="00F12E9A"/>
    <w:rsid w:val="00F134A0"/>
    <w:rsid w:val="00F1350B"/>
    <w:rsid w:val="00F13A15"/>
    <w:rsid w:val="00F13EA1"/>
    <w:rsid w:val="00F14085"/>
    <w:rsid w:val="00F142E8"/>
    <w:rsid w:val="00F14586"/>
    <w:rsid w:val="00F14C9F"/>
    <w:rsid w:val="00F15A08"/>
    <w:rsid w:val="00F15B95"/>
    <w:rsid w:val="00F16782"/>
    <w:rsid w:val="00F17CA0"/>
    <w:rsid w:val="00F2053D"/>
    <w:rsid w:val="00F2065D"/>
    <w:rsid w:val="00F21C2C"/>
    <w:rsid w:val="00F223BB"/>
    <w:rsid w:val="00F23A43"/>
    <w:rsid w:val="00F23B8B"/>
    <w:rsid w:val="00F23D1F"/>
    <w:rsid w:val="00F23DC3"/>
    <w:rsid w:val="00F242BF"/>
    <w:rsid w:val="00F2433E"/>
    <w:rsid w:val="00F24CF4"/>
    <w:rsid w:val="00F24F7B"/>
    <w:rsid w:val="00F25271"/>
    <w:rsid w:val="00F25A4C"/>
    <w:rsid w:val="00F2677D"/>
    <w:rsid w:val="00F273A5"/>
    <w:rsid w:val="00F27472"/>
    <w:rsid w:val="00F3092F"/>
    <w:rsid w:val="00F309AC"/>
    <w:rsid w:val="00F30A4C"/>
    <w:rsid w:val="00F31456"/>
    <w:rsid w:val="00F31472"/>
    <w:rsid w:val="00F3157D"/>
    <w:rsid w:val="00F323E8"/>
    <w:rsid w:val="00F32431"/>
    <w:rsid w:val="00F33180"/>
    <w:rsid w:val="00F3378C"/>
    <w:rsid w:val="00F33B7E"/>
    <w:rsid w:val="00F33D8B"/>
    <w:rsid w:val="00F33F51"/>
    <w:rsid w:val="00F353CF"/>
    <w:rsid w:val="00F36992"/>
    <w:rsid w:val="00F3704F"/>
    <w:rsid w:val="00F37680"/>
    <w:rsid w:val="00F37E0B"/>
    <w:rsid w:val="00F401CE"/>
    <w:rsid w:val="00F40315"/>
    <w:rsid w:val="00F40959"/>
    <w:rsid w:val="00F41A23"/>
    <w:rsid w:val="00F41B6C"/>
    <w:rsid w:val="00F41CBB"/>
    <w:rsid w:val="00F421F8"/>
    <w:rsid w:val="00F42204"/>
    <w:rsid w:val="00F425D1"/>
    <w:rsid w:val="00F429C6"/>
    <w:rsid w:val="00F42C1F"/>
    <w:rsid w:val="00F42C76"/>
    <w:rsid w:val="00F43163"/>
    <w:rsid w:val="00F43329"/>
    <w:rsid w:val="00F4332D"/>
    <w:rsid w:val="00F434D2"/>
    <w:rsid w:val="00F436D1"/>
    <w:rsid w:val="00F43C05"/>
    <w:rsid w:val="00F43D69"/>
    <w:rsid w:val="00F4418A"/>
    <w:rsid w:val="00F4442B"/>
    <w:rsid w:val="00F4513C"/>
    <w:rsid w:val="00F461E6"/>
    <w:rsid w:val="00F467F6"/>
    <w:rsid w:val="00F4688D"/>
    <w:rsid w:val="00F46901"/>
    <w:rsid w:val="00F46AC7"/>
    <w:rsid w:val="00F46DA2"/>
    <w:rsid w:val="00F470DE"/>
    <w:rsid w:val="00F471BA"/>
    <w:rsid w:val="00F472B0"/>
    <w:rsid w:val="00F47BE9"/>
    <w:rsid w:val="00F50270"/>
    <w:rsid w:val="00F509F8"/>
    <w:rsid w:val="00F51175"/>
    <w:rsid w:val="00F518E2"/>
    <w:rsid w:val="00F52AAB"/>
    <w:rsid w:val="00F52C9B"/>
    <w:rsid w:val="00F53022"/>
    <w:rsid w:val="00F5355B"/>
    <w:rsid w:val="00F53AAA"/>
    <w:rsid w:val="00F53B10"/>
    <w:rsid w:val="00F54A7E"/>
    <w:rsid w:val="00F54F8D"/>
    <w:rsid w:val="00F55385"/>
    <w:rsid w:val="00F55BFF"/>
    <w:rsid w:val="00F55C4F"/>
    <w:rsid w:val="00F56246"/>
    <w:rsid w:val="00F564EA"/>
    <w:rsid w:val="00F56D6D"/>
    <w:rsid w:val="00F57EAF"/>
    <w:rsid w:val="00F600A4"/>
    <w:rsid w:val="00F6051A"/>
    <w:rsid w:val="00F62096"/>
    <w:rsid w:val="00F6259E"/>
    <w:rsid w:val="00F62623"/>
    <w:rsid w:val="00F62F5B"/>
    <w:rsid w:val="00F6386E"/>
    <w:rsid w:val="00F63A79"/>
    <w:rsid w:val="00F63EB3"/>
    <w:rsid w:val="00F64375"/>
    <w:rsid w:val="00F64951"/>
    <w:rsid w:val="00F64C6C"/>
    <w:rsid w:val="00F65013"/>
    <w:rsid w:val="00F65062"/>
    <w:rsid w:val="00F65122"/>
    <w:rsid w:val="00F659D5"/>
    <w:rsid w:val="00F674B1"/>
    <w:rsid w:val="00F6798F"/>
    <w:rsid w:val="00F70464"/>
    <w:rsid w:val="00F7113B"/>
    <w:rsid w:val="00F711B7"/>
    <w:rsid w:val="00F71935"/>
    <w:rsid w:val="00F71B71"/>
    <w:rsid w:val="00F71B9E"/>
    <w:rsid w:val="00F71F51"/>
    <w:rsid w:val="00F721C0"/>
    <w:rsid w:val="00F723CB"/>
    <w:rsid w:val="00F72656"/>
    <w:rsid w:val="00F729E2"/>
    <w:rsid w:val="00F73250"/>
    <w:rsid w:val="00F7366D"/>
    <w:rsid w:val="00F73755"/>
    <w:rsid w:val="00F73BB8"/>
    <w:rsid w:val="00F74020"/>
    <w:rsid w:val="00F74073"/>
    <w:rsid w:val="00F742E3"/>
    <w:rsid w:val="00F7437B"/>
    <w:rsid w:val="00F7481B"/>
    <w:rsid w:val="00F7495B"/>
    <w:rsid w:val="00F74AAB"/>
    <w:rsid w:val="00F74E67"/>
    <w:rsid w:val="00F7564D"/>
    <w:rsid w:val="00F75775"/>
    <w:rsid w:val="00F75B61"/>
    <w:rsid w:val="00F76464"/>
    <w:rsid w:val="00F7663E"/>
    <w:rsid w:val="00F76953"/>
    <w:rsid w:val="00F76FFD"/>
    <w:rsid w:val="00F800DA"/>
    <w:rsid w:val="00F81B91"/>
    <w:rsid w:val="00F81CA1"/>
    <w:rsid w:val="00F81FE8"/>
    <w:rsid w:val="00F824A9"/>
    <w:rsid w:val="00F831CF"/>
    <w:rsid w:val="00F834D4"/>
    <w:rsid w:val="00F83569"/>
    <w:rsid w:val="00F83B80"/>
    <w:rsid w:val="00F84345"/>
    <w:rsid w:val="00F85168"/>
    <w:rsid w:val="00F85C65"/>
    <w:rsid w:val="00F862F2"/>
    <w:rsid w:val="00F87951"/>
    <w:rsid w:val="00F87AB9"/>
    <w:rsid w:val="00F87AEB"/>
    <w:rsid w:val="00F9064E"/>
    <w:rsid w:val="00F9140F"/>
    <w:rsid w:val="00F91F2C"/>
    <w:rsid w:val="00F929AF"/>
    <w:rsid w:val="00F92F7D"/>
    <w:rsid w:val="00F947B5"/>
    <w:rsid w:val="00F94826"/>
    <w:rsid w:val="00F9529B"/>
    <w:rsid w:val="00F95604"/>
    <w:rsid w:val="00F9637B"/>
    <w:rsid w:val="00F96559"/>
    <w:rsid w:val="00F965A1"/>
    <w:rsid w:val="00F97417"/>
    <w:rsid w:val="00F97B27"/>
    <w:rsid w:val="00F97BF8"/>
    <w:rsid w:val="00F97D04"/>
    <w:rsid w:val="00F97FF0"/>
    <w:rsid w:val="00FA02C7"/>
    <w:rsid w:val="00FA0C5A"/>
    <w:rsid w:val="00FA18BA"/>
    <w:rsid w:val="00FA1C47"/>
    <w:rsid w:val="00FA246D"/>
    <w:rsid w:val="00FA251A"/>
    <w:rsid w:val="00FA27C3"/>
    <w:rsid w:val="00FA291A"/>
    <w:rsid w:val="00FA3DB3"/>
    <w:rsid w:val="00FA40CF"/>
    <w:rsid w:val="00FA5CE1"/>
    <w:rsid w:val="00FA6B1C"/>
    <w:rsid w:val="00FA6FB9"/>
    <w:rsid w:val="00FA72F8"/>
    <w:rsid w:val="00FA7A9B"/>
    <w:rsid w:val="00FA7B51"/>
    <w:rsid w:val="00FB0453"/>
    <w:rsid w:val="00FB04B7"/>
    <w:rsid w:val="00FB0F7F"/>
    <w:rsid w:val="00FB128E"/>
    <w:rsid w:val="00FB14E7"/>
    <w:rsid w:val="00FB1593"/>
    <w:rsid w:val="00FB2175"/>
    <w:rsid w:val="00FB2B0E"/>
    <w:rsid w:val="00FB2F09"/>
    <w:rsid w:val="00FB3653"/>
    <w:rsid w:val="00FB3D18"/>
    <w:rsid w:val="00FB3DEE"/>
    <w:rsid w:val="00FB40F3"/>
    <w:rsid w:val="00FB4E18"/>
    <w:rsid w:val="00FB53E3"/>
    <w:rsid w:val="00FB5AA1"/>
    <w:rsid w:val="00FB5AB4"/>
    <w:rsid w:val="00FB62B7"/>
    <w:rsid w:val="00FB6634"/>
    <w:rsid w:val="00FB6BD6"/>
    <w:rsid w:val="00FB6FE2"/>
    <w:rsid w:val="00FB6FF0"/>
    <w:rsid w:val="00FB7A95"/>
    <w:rsid w:val="00FC015C"/>
    <w:rsid w:val="00FC03B3"/>
    <w:rsid w:val="00FC0BF6"/>
    <w:rsid w:val="00FC133B"/>
    <w:rsid w:val="00FC1806"/>
    <w:rsid w:val="00FC1C75"/>
    <w:rsid w:val="00FC1DFC"/>
    <w:rsid w:val="00FC1E2D"/>
    <w:rsid w:val="00FC23DE"/>
    <w:rsid w:val="00FC2905"/>
    <w:rsid w:val="00FC35CE"/>
    <w:rsid w:val="00FC4442"/>
    <w:rsid w:val="00FC4780"/>
    <w:rsid w:val="00FC4A70"/>
    <w:rsid w:val="00FC4B87"/>
    <w:rsid w:val="00FC5100"/>
    <w:rsid w:val="00FC55ED"/>
    <w:rsid w:val="00FC63DD"/>
    <w:rsid w:val="00FC6D84"/>
    <w:rsid w:val="00FC6D96"/>
    <w:rsid w:val="00FC7150"/>
    <w:rsid w:val="00FC7327"/>
    <w:rsid w:val="00FC777B"/>
    <w:rsid w:val="00FC79BA"/>
    <w:rsid w:val="00FC7A0A"/>
    <w:rsid w:val="00FC7F39"/>
    <w:rsid w:val="00FD001D"/>
    <w:rsid w:val="00FD037E"/>
    <w:rsid w:val="00FD0436"/>
    <w:rsid w:val="00FD072F"/>
    <w:rsid w:val="00FD2947"/>
    <w:rsid w:val="00FD36B8"/>
    <w:rsid w:val="00FD4BC7"/>
    <w:rsid w:val="00FD5365"/>
    <w:rsid w:val="00FD668D"/>
    <w:rsid w:val="00FD715A"/>
    <w:rsid w:val="00FD7B7F"/>
    <w:rsid w:val="00FD7D5D"/>
    <w:rsid w:val="00FE02EC"/>
    <w:rsid w:val="00FE06E8"/>
    <w:rsid w:val="00FE09AB"/>
    <w:rsid w:val="00FE0B35"/>
    <w:rsid w:val="00FE0BB8"/>
    <w:rsid w:val="00FE0CD4"/>
    <w:rsid w:val="00FE0F58"/>
    <w:rsid w:val="00FE15B9"/>
    <w:rsid w:val="00FE15E3"/>
    <w:rsid w:val="00FE16A5"/>
    <w:rsid w:val="00FE1752"/>
    <w:rsid w:val="00FE1C59"/>
    <w:rsid w:val="00FE1D62"/>
    <w:rsid w:val="00FE2182"/>
    <w:rsid w:val="00FE23B2"/>
    <w:rsid w:val="00FE2C60"/>
    <w:rsid w:val="00FE2D8A"/>
    <w:rsid w:val="00FE3236"/>
    <w:rsid w:val="00FE33BF"/>
    <w:rsid w:val="00FE3FD0"/>
    <w:rsid w:val="00FE4047"/>
    <w:rsid w:val="00FE441F"/>
    <w:rsid w:val="00FE4A64"/>
    <w:rsid w:val="00FE4AB9"/>
    <w:rsid w:val="00FE51B5"/>
    <w:rsid w:val="00FE6609"/>
    <w:rsid w:val="00FF0023"/>
    <w:rsid w:val="00FF0F12"/>
    <w:rsid w:val="00FF1E36"/>
    <w:rsid w:val="00FF1F72"/>
    <w:rsid w:val="00FF21F6"/>
    <w:rsid w:val="00FF35F2"/>
    <w:rsid w:val="00FF3EA9"/>
    <w:rsid w:val="00FF4976"/>
    <w:rsid w:val="00FF591C"/>
    <w:rsid w:val="00FF593A"/>
    <w:rsid w:val="00FF5EA6"/>
    <w:rsid w:val="00FF64AA"/>
    <w:rsid w:val="00FF6EC0"/>
    <w:rsid w:val="00FF713C"/>
    <w:rsid w:val="010161DF"/>
    <w:rsid w:val="012C851E"/>
    <w:rsid w:val="01407DE7"/>
    <w:rsid w:val="014A5E67"/>
    <w:rsid w:val="0194592E"/>
    <w:rsid w:val="01B686AC"/>
    <w:rsid w:val="01C3BFC7"/>
    <w:rsid w:val="01F70C16"/>
    <w:rsid w:val="02A7A898"/>
    <w:rsid w:val="02AE2390"/>
    <w:rsid w:val="02CE3A86"/>
    <w:rsid w:val="02EFCEBE"/>
    <w:rsid w:val="030B221E"/>
    <w:rsid w:val="03A1056B"/>
    <w:rsid w:val="03BC74A8"/>
    <w:rsid w:val="03BD60BE"/>
    <w:rsid w:val="03DA0EC7"/>
    <w:rsid w:val="0411C152"/>
    <w:rsid w:val="043C8351"/>
    <w:rsid w:val="0468F9E0"/>
    <w:rsid w:val="04C5EB6D"/>
    <w:rsid w:val="04CCEF7C"/>
    <w:rsid w:val="04D85791"/>
    <w:rsid w:val="04FDBB47"/>
    <w:rsid w:val="0509F75D"/>
    <w:rsid w:val="0555361B"/>
    <w:rsid w:val="0575E3B9"/>
    <w:rsid w:val="057B7437"/>
    <w:rsid w:val="05A113A0"/>
    <w:rsid w:val="05E05FEF"/>
    <w:rsid w:val="06045BF0"/>
    <w:rsid w:val="061E56AE"/>
    <w:rsid w:val="06735AAD"/>
    <w:rsid w:val="06F8E0CC"/>
    <w:rsid w:val="072FE272"/>
    <w:rsid w:val="073B9AC6"/>
    <w:rsid w:val="07596D20"/>
    <w:rsid w:val="08377BE5"/>
    <w:rsid w:val="08826436"/>
    <w:rsid w:val="0895C0B0"/>
    <w:rsid w:val="08C24492"/>
    <w:rsid w:val="09465729"/>
    <w:rsid w:val="099B0CA0"/>
    <w:rsid w:val="099DE8C1"/>
    <w:rsid w:val="09F9E87D"/>
    <w:rsid w:val="0A46AA6C"/>
    <w:rsid w:val="0A852B8A"/>
    <w:rsid w:val="0AEDE4A9"/>
    <w:rsid w:val="0AF1357C"/>
    <w:rsid w:val="0B030CB2"/>
    <w:rsid w:val="0B420F76"/>
    <w:rsid w:val="0B8465A3"/>
    <w:rsid w:val="0BA53F58"/>
    <w:rsid w:val="0BA84DA8"/>
    <w:rsid w:val="0BFEC361"/>
    <w:rsid w:val="0C4F67E7"/>
    <w:rsid w:val="0C9E323D"/>
    <w:rsid w:val="0CA12716"/>
    <w:rsid w:val="0D53D89E"/>
    <w:rsid w:val="0D90E5D5"/>
    <w:rsid w:val="0E312277"/>
    <w:rsid w:val="0EAC58D3"/>
    <w:rsid w:val="0EE5278C"/>
    <w:rsid w:val="0F074633"/>
    <w:rsid w:val="0F29035E"/>
    <w:rsid w:val="0F32FE49"/>
    <w:rsid w:val="0F6757D2"/>
    <w:rsid w:val="0F800B67"/>
    <w:rsid w:val="0F8BA3F6"/>
    <w:rsid w:val="1011B372"/>
    <w:rsid w:val="105C49C5"/>
    <w:rsid w:val="109F2163"/>
    <w:rsid w:val="10E0A4FC"/>
    <w:rsid w:val="110BEC4A"/>
    <w:rsid w:val="11199F10"/>
    <w:rsid w:val="1132394C"/>
    <w:rsid w:val="11D95729"/>
    <w:rsid w:val="121CE00A"/>
    <w:rsid w:val="12358A58"/>
    <w:rsid w:val="12533351"/>
    <w:rsid w:val="12750E28"/>
    <w:rsid w:val="1311DD15"/>
    <w:rsid w:val="13E69D5B"/>
    <w:rsid w:val="13EB4C8A"/>
    <w:rsid w:val="14B0796D"/>
    <w:rsid w:val="154C7F0B"/>
    <w:rsid w:val="161E49C9"/>
    <w:rsid w:val="16346443"/>
    <w:rsid w:val="164C63F2"/>
    <w:rsid w:val="1650420A"/>
    <w:rsid w:val="16BFA01E"/>
    <w:rsid w:val="16EDE34D"/>
    <w:rsid w:val="1707DACA"/>
    <w:rsid w:val="170EB579"/>
    <w:rsid w:val="17B868CE"/>
    <w:rsid w:val="18120505"/>
    <w:rsid w:val="18300E37"/>
    <w:rsid w:val="186021BA"/>
    <w:rsid w:val="18663BA1"/>
    <w:rsid w:val="186B7592"/>
    <w:rsid w:val="1876F9D1"/>
    <w:rsid w:val="18B66948"/>
    <w:rsid w:val="192DF5B1"/>
    <w:rsid w:val="19797BBC"/>
    <w:rsid w:val="19974295"/>
    <w:rsid w:val="1ACC0B9A"/>
    <w:rsid w:val="1AEFCDD8"/>
    <w:rsid w:val="1B05D827"/>
    <w:rsid w:val="1B39A900"/>
    <w:rsid w:val="1B870774"/>
    <w:rsid w:val="1B97D3E8"/>
    <w:rsid w:val="1C1D6CCD"/>
    <w:rsid w:val="1C2EF7C9"/>
    <w:rsid w:val="1CCB5AEB"/>
    <w:rsid w:val="1D29728F"/>
    <w:rsid w:val="1D78379C"/>
    <w:rsid w:val="1DD7CFF7"/>
    <w:rsid w:val="1E6218D1"/>
    <w:rsid w:val="1E705CF3"/>
    <w:rsid w:val="1F4195E3"/>
    <w:rsid w:val="1F49ADE8"/>
    <w:rsid w:val="1F61D3E4"/>
    <w:rsid w:val="1F64EFD1"/>
    <w:rsid w:val="1F88E64C"/>
    <w:rsid w:val="1F94CDA4"/>
    <w:rsid w:val="1FC1B167"/>
    <w:rsid w:val="2019102C"/>
    <w:rsid w:val="203C6350"/>
    <w:rsid w:val="212599D9"/>
    <w:rsid w:val="21A2A70E"/>
    <w:rsid w:val="21DAC8DA"/>
    <w:rsid w:val="221888E1"/>
    <w:rsid w:val="2220BFD5"/>
    <w:rsid w:val="2227EA35"/>
    <w:rsid w:val="2241E098"/>
    <w:rsid w:val="22989444"/>
    <w:rsid w:val="2298EAD5"/>
    <w:rsid w:val="22BCF376"/>
    <w:rsid w:val="232409A7"/>
    <w:rsid w:val="23391740"/>
    <w:rsid w:val="23B6D8DC"/>
    <w:rsid w:val="23EF715D"/>
    <w:rsid w:val="243569E2"/>
    <w:rsid w:val="247E725A"/>
    <w:rsid w:val="24EB8CB6"/>
    <w:rsid w:val="24FD57F2"/>
    <w:rsid w:val="25770DE0"/>
    <w:rsid w:val="268A4611"/>
    <w:rsid w:val="26A475BC"/>
    <w:rsid w:val="2724EE34"/>
    <w:rsid w:val="27610351"/>
    <w:rsid w:val="27646E58"/>
    <w:rsid w:val="27776FBD"/>
    <w:rsid w:val="277CB491"/>
    <w:rsid w:val="27F2D4DC"/>
    <w:rsid w:val="281C79FA"/>
    <w:rsid w:val="28C0FC08"/>
    <w:rsid w:val="291684ED"/>
    <w:rsid w:val="297A8AFD"/>
    <w:rsid w:val="297BF0FF"/>
    <w:rsid w:val="298688F8"/>
    <w:rsid w:val="29B13728"/>
    <w:rsid w:val="29C0785B"/>
    <w:rsid w:val="29E1AE12"/>
    <w:rsid w:val="2A50962F"/>
    <w:rsid w:val="2A587D70"/>
    <w:rsid w:val="2A6E8DE6"/>
    <w:rsid w:val="2B1E9772"/>
    <w:rsid w:val="2B5F89CE"/>
    <w:rsid w:val="2B849E45"/>
    <w:rsid w:val="2BF2D730"/>
    <w:rsid w:val="2BFA33FD"/>
    <w:rsid w:val="2C4481D2"/>
    <w:rsid w:val="2C44C733"/>
    <w:rsid w:val="2C62C121"/>
    <w:rsid w:val="2C67D194"/>
    <w:rsid w:val="2CCB7FB8"/>
    <w:rsid w:val="2CDB0131"/>
    <w:rsid w:val="2D3AE2CA"/>
    <w:rsid w:val="2D44A9B7"/>
    <w:rsid w:val="2E1D9B4C"/>
    <w:rsid w:val="2EACE7C2"/>
    <w:rsid w:val="2F0135E7"/>
    <w:rsid w:val="2F298CEB"/>
    <w:rsid w:val="2FAB0DD6"/>
    <w:rsid w:val="2FC2E60C"/>
    <w:rsid w:val="2FFA8BEB"/>
    <w:rsid w:val="3003458F"/>
    <w:rsid w:val="30069BB0"/>
    <w:rsid w:val="300E386D"/>
    <w:rsid w:val="3065F929"/>
    <w:rsid w:val="3076F414"/>
    <w:rsid w:val="30B9316F"/>
    <w:rsid w:val="30C296A8"/>
    <w:rsid w:val="30C4E54B"/>
    <w:rsid w:val="30C8A3AA"/>
    <w:rsid w:val="313CBD2F"/>
    <w:rsid w:val="3149AA05"/>
    <w:rsid w:val="3156AF9A"/>
    <w:rsid w:val="3167AF1A"/>
    <w:rsid w:val="31F01656"/>
    <w:rsid w:val="31FF3051"/>
    <w:rsid w:val="322DC9F7"/>
    <w:rsid w:val="3240857E"/>
    <w:rsid w:val="325BB980"/>
    <w:rsid w:val="32BECCE6"/>
    <w:rsid w:val="32F7EABD"/>
    <w:rsid w:val="3317AA1F"/>
    <w:rsid w:val="333DD98F"/>
    <w:rsid w:val="33F67D81"/>
    <w:rsid w:val="33F7D280"/>
    <w:rsid w:val="3465C3CE"/>
    <w:rsid w:val="348F14FE"/>
    <w:rsid w:val="34977E84"/>
    <w:rsid w:val="3526DD80"/>
    <w:rsid w:val="3527F971"/>
    <w:rsid w:val="3530C9E5"/>
    <w:rsid w:val="3542256A"/>
    <w:rsid w:val="357A8906"/>
    <w:rsid w:val="35C2415A"/>
    <w:rsid w:val="35CC3A85"/>
    <w:rsid w:val="35D28CAE"/>
    <w:rsid w:val="36392775"/>
    <w:rsid w:val="366D4164"/>
    <w:rsid w:val="379007F1"/>
    <w:rsid w:val="379820D0"/>
    <w:rsid w:val="37EA72B3"/>
    <w:rsid w:val="3826013B"/>
    <w:rsid w:val="385B467D"/>
    <w:rsid w:val="387B6A59"/>
    <w:rsid w:val="38D4B5F7"/>
    <w:rsid w:val="38ED43A8"/>
    <w:rsid w:val="3920563A"/>
    <w:rsid w:val="3930252B"/>
    <w:rsid w:val="394175C2"/>
    <w:rsid w:val="3A0274F6"/>
    <w:rsid w:val="3A4071F9"/>
    <w:rsid w:val="3A4329F5"/>
    <w:rsid w:val="3A552693"/>
    <w:rsid w:val="3A77DB15"/>
    <w:rsid w:val="3ABD9A21"/>
    <w:rsid w:val="3AD6D050"/>
    <w:rsid w:val="3AEBC5DC"/>
    <w:rsid w:val="3B14A777"/>
    <w:rsid w:val="3B2135E6"/>
    <w:rsid w:val="3B9300AD"/>
    <w:rsid w:val="3BCC0FFB"/>
    <w:rsid w:val="3BDB92D9"/>
    <w:rsid w:val="3C469B13"/>
    <w:rsid w:val="3C730C64"/>
    <w:rsid w:val="3C8BDECA"/>
    <w:rsid w:val="3D727879"/>
    <w:rsid w:val="3DF4B1A8"/>
    <w:rsid w:val="3E291056"/>
    <w:rsid w:val="3E776AAE"/>
    <w:rsid w:val="3E99B041"/>
    <w:rsid w:val="3EB52F39"/>
    <w:rsid w:val="3ED11955"/>
    <w:rsid w:val="3EF7B155"/>
    <w:rsid w:val="401A0D1D"/>
    <w:rsid w:val="4093EA8D"/>
    <w:rsid w:val="40BD3BEE"/>
    <w:rsid w:val="410CC293"/>
    <w:rsid w:val="41310B29"/>
    <w:rsid w:val="4150D00A"/>
    <w:rsid w:val="41760685"/>
    <w:rsid w:val="418BD38B"/>
    <w:rsid w:val="418FD5FE"/>
    <w:rsid w:val="41D64381"/>
    <w:rsid w:val="41F3BF4B"/>
    <w:rsid w:val="42249950"/>
    <w:rsid w:val="424829D5"/>
    <w:rsid w:val="428F9E43"/>
    <w:rsid w:val="42AD164C"/>
    <w:rsid w:val="42E9A886"/>
    <w:rsid w:val="42EAD421"/>
    <w:rsid w:val="42F8A11B"/>
    <w:rsid w:val="42FCF73B"/>
    <w:rsid w:val="43092EE5"/>
    <w:rsid w:val="4322288B"/>
    <w:rsid w:val="434CB5E4"/>
    <w:rsid w:val="43634E6C"/>
    <w:rsid w:val="438E59B0"/>
    <w:rsid w:val="43A83B94"/>
    <w:rsid w:val="44070508"/>
    <w:rsid w:val="44244378"/>
    <w:rsid w:val="44E35C36"/>
    <w:rsid w:val="45144A3D"/>
    <w:rsid w:val="45B0A667"/>
    <w:rsid w:val="4603B977"/>
    <w:rsid w:val="46410B69"/>
    <w:rsid w:val="464EC7F0"/>
    <w:rsid w:val="468F452A"/>
    <w:rsid w:val="46D7C4C5"/>
    <w:rsid w:val="46F72543"/>
    <w:rsid w:val="47486E18"/>
    <w:rsid w:val="47495671"/>
    <w:rsid w:val="47BD07E5"/>
    <w:rsid w:val="48227B0E"/>
    <w:rsid w:val="4846105E"/>
    <w:rsid w:val="485880CB"/>
    <w:rsid w:val="488163B4"/>
    <w:rsid w:val="488A8671"/>
    <w:rsid w:val="48C6C07C"/>
    <w:rsid w:val="48DB31EE"/>
    <w:rsid w:val="490D4202"/>
    <w:rsid w:val="49188E34"/>
    <w:rsid w:val="494D0658"/>
    <w:rsid w:val="4970F201"/>
    <w:rsid w:val="499744F2"/>
    <w:rsid w:val="4A0CD199"/>
    <w:rsid w:val="4A0E02E1"/>
    <w:rsid w:val="4A17D08F"/>
    <w:rsid w:val="4A761B57"/>
    <w:rsid w:val="4A892646"/>
    <w:rsid w:val="4AA843EF"/>
    <w:rsid w:val="4B33F409"/>
    <w:rsid w:val="4B43121F"/>
    <w:rsid w:val="4B5DAE69"/>
    <w:rsid w:val="4B9A6265"/>
    <w:rsid w:val="4C056669"/>
    <w:rsid w:val="4C9152FD"/>
    <w:rsid w:val="4CAA9D04"/>
    <w:rsid w:val="4CB63E9A"/>
    <w:rsid w:val="4CBD90C6"/>
    <w:rsid w:val="4CD7A3A4"/>
    <w:rsid w:val="4D05067F"/>
    <w:rsid w:val="4D1FECEA"/>
    <w:rsid w:val="4D58C187"/>
    <w:rsid w:val="4DC48B74"/>
    <w:rsid w:val="4DFE3351"/>
    <w:rsid w:val="4E291B68"/>
    <w:rsid w:val="4E2BE747"/>
    <w:rsid w:val="4E74A989"/>
    <w:rsid w:val="4E76B9FB"/>
    <w:rsid w:val="4E981477"/>
    <w:rsid w:val="4FD40A27"/>
    <w:rsid w:val="503C8D78"/>
    <w:rsid w:val="50DAE02F"/>
    <w:rsid w:val="50E644D6"/>
    <w:rsid w:val="511E8F51"/>
    <w:rsid w:val="51EF139F"/>
    <w:rsid w:val="51F8F710"/>
    <w:rsid w:val="5274B8B1"/>
    <w:rsid w:val="52FDB66A"/>
    <w:rsid w:val="53116411"/>
    <w:rsid w:val="5318BAC0"/>
    <w:rsid w:val="538EC93E"/>
    <w:rsid w:val="541861A3"/>
    <w:rsid w:val="5463E83E"/>
    <w:rsid w:val="54642054"/>
    <w:rsid w:val="548F0E2A"/>
    <w:rsid w:val="54F2F6CD"/>
    <w:rsid w:val="5532BE89"/>
    <w:rsid w:val="558D8A51"/>
    <w:rsid w:val="559B5EA5"/>
    <w:rsid w:val="55C8970E"/>
    <w:rsid w:val="56445D31"/>
    <w:rsid w:val="567C331E"/>
    <w:rsid w:val="57203A5E"/>
    <w:rsid w:val="5740D8A4"/>
    <w:rsid w:val="5746C20D"/>
    <w:rsid w:val="5783B863"/>
    <w:rsid w:val="57899D02"/>
    <w:rsid w:val="57AFFB81"/>
    <w:rsid w:val="580A4162"/>
    <w:rsid w:val="581B06CF"/>
    <w:rsid w:val="581B813D"/>
    <w:rsid w:val="5845F4B8"/>
    <w:rsid w:val="5890AB76"/>
    <w:rsid w:val="589982BE"/>
    <w:rsid w:val="58C2392C"/>
    <w:rsid w:val="58CD256F"/>
    <w:rsid w:val="58E6E575"/>
    <w:rsid w:val="58E90D7F"/>
    <w:rsid w:val="58EDD0C8"/>
    <w:rsid w:val="590A03B4"/>
    <w:rsid w:val="593ECEE4"/>
    <w:rsid w:val="594A7FD5"/>
    <w:rsid w:val="5AC0863D"/>
    <w:rsid w:val="5ADE6BCE"/>
    <w:rsid w:val="5B154A41"/>
    <w:rsid w:val="5B90F804"/>
    <w:rsid w:val="5B971E01"/>
    <w:rsid w:val="5BE43078"/>
    <w:rsid w:val="5C3736C9"/>
    <w:rsid w:val="5CDA7442"/>
    <w:rsid w:val="5D727225"/>
    <w:rsid w:val="5D828A69"/>
    <w:rsid w:val="5E0C5DE1"/>
    <w:rsid w:val="5E2DA669"/>
    <w:rsid w:val="5E4FF67C"/>
    <w:rsid w:val="5E6BFC46"/>
    <w:rsid w:val="5EBCFECB"/>
    <w:rsid w:val="5EFB35E7"/>
    <w:rsid w:val="5F424F8D"/>
    <w:rsid w:val="5F92940E"/>
    <w:rsid w:val="5FA6CFB2"/>
    <w:rsid w:val="5FBA2D50"/>
    <w:rsid w:val="5FFC3433"/>
    <w:rsid w:val="6087AE7A"/>
    <w:rsid w:val="608B575E"/>
    <w:rsid w:val="60B5242C"/>
    <w:rsid w:val="60E53E3B"/>
    <w:rsid w:val="6217BC7B"/>
    <w:rsid w:val="624D0EF2"/>
    <w:rsid w:val="626A271B"/>
    <w:rsid w:val="6310A7A8"/>
    <w:rsid w:val="633B3855"/>
    <w:rsid w:val="6373E996"/>
    <w:rsid w:val="63B6F766"/>
    <w:rsid w:val="63D9517D"/>
    <w:rsid w:val="63E1AEA9"/>
    <w:rsid w:val="6403ACCF"/>
    <w:rsid w:val="644F243D"/>
    <w:rsid w:val="649C6291"/>
    <w:rsid w:val="64D6499D"/>
    <w:rsid w:val="64D9CE61"/>
    <w:rsid w:val="64EC0664"/>
    <w:rsid w:val="650E10B7"/>
    <w:rsid w:val="658B4B51"/>
    <w:rsid w:val="662EC601"/>
    <w:rsid w:val="66410C53"/>
    <w:rsid w:val="66AB5E66"/>
    <w:rsid w:val="66F1BBCA"/>
    <w:rsid w:val="6703485E"/>
    <w:rsid w:val="67277975"/>
    <w:rsid w:val="673C4982"/>
    <w:rsid w:val="6743A061"/>
    <w:rsid w:val="674506CB"/>
    <w:rsid w:val="67580C55"/>
    <w:rsid w:val="67635033"/>
    <w:rsid w:val="67A41BA1"/>
    <w:rsid w:val="68129449"/>
    <w:rsid w:val="683DA6B4"/>
    <w:rsid w:val="685ADB5D"/>
    <w:rsid w:val="688DDAAE"/>
    <w:rsid w:val="68AA07E8"/>
    <w:rsid w:val="690384D3"/>
    <w:rsid w:val="6987DDF6"/>
    <w:rsid w:val="69A554CF"/>
    <w:rsid w:val="69CE33E2"/>
    <w:rsid w:val="6A511E99"/>
    <w:rsid w:val="6A929FA0"/>
    <w:rsid w:val="6ACB68F9"/>
    <w:rsid w:val="6ADFF5E7"/>
    <w:rsid w:val="6B1E1338"/>
    <w:rsid w:val="6B6C252A"/>
    <w:rsid w:val="6BFD02E2"/>
    <w:rsid w:val="6C0A63A3"/>
    <w:rsid w:val="6C8AFE7E"/>
    <w:rsid w:val="6CE85563"/>
    <w:rsid w:val="6D16CE25"/>
    <w:rsid w:val="6D3D31F4"/>
    <w:rsid w:val="6D8CEA9A"/>
    <w:rsid w:val="6DFE9B8F"/>
    <w:rsid w:val="6E367236"/>
    <w:rsid w:val="6E4E03BC"/>
    <w:rsid w:val="6E4FD105"/>
    <w:rsid w:val="6E95ED6D"/>
    <w:rsid w:val="6EC17059"/>
    <w:rsid w:val="6ECE0788"/>
    <w:rsid w:val="6F656528"/>
    <w:rsid w:val="6F8F0CF6"/>
    <w:rsid w:val="7055BFD5"/>
    <w:rsid w:val="7058ABF2"/>
    <w:rsid w:val="70A26D9E"/>
    <w:rsid w:val="7102433C"/>
    <w:rsid w:val="711DCB08"/>
    <w:rsid w:val="71473F03"/>
    <w:rsid w:val="71FF8DBE"/>
    <w:rsid w:val="7206E066"/>
    <w:rsid w:val="734DCDC6"/>
    <w:rsid w:val="741637D8"/>
    <w:rsid w:val="757B7767"/>
    <w:rsid w:val="75D5BDB3"/>
    <w:rsid w:val="75F17FD2"/>
    <w:rsid w:val="75F1D6C5"/>
    <w:rsid w:val="75F7DFDE"/>
    <w:rsid w:val="760C55F4"/>
    <w:rsid w:val="7626A437"/>
    <w:rsid w:val="76281C64"/>
    <w:rsid w:val="762C8BE5"/>
    <w:rsid w:val="7668CA36"/>
    <w:rsid w:val="76D894E8"/>
    <w:rsid w:val="7700F594"/>
    <w:rsid w:val="7725B454"/>
    <w:rsid w:val="77F1DFA6"/>
    <w:rsid w:val="78690311"/>
    <w:rsid w:val="78806C41"/>
    <w:rsid w:val="78F42729"/>
    <w:rsid w:val="7918DAE9"/>
    <w:rsid w:val="7959EAC1"/>
    <w:rsid w:val="79623845"/>
    <w:rsid w:val="799D9943"/>
    <w:rsid w:val="79C071BB"/>
    <w:rsid w:val="79F32D4D"/>
    <w:rsid w:val="7AB14D81"/>
    <w:rsid w:val="7AB4AA46"/>
    <w:rsid w:val="7AC5E725"/>
    <w:rsid w:val="7AD7AABA"/>
    <w:rsid w:val="7AEEB6F3"/>
    <w:rsid w:val="7AFCD702"/>
    <w:rsid w:val="7AFDA461"/>
    <w:rsid w:val="7B01E8D6"/>
    <w:rsid w:val="7B0D514D"/>
    <w:rsid w:val="7B3BBA36"/>
    <w:rsid w:val="7BB1F066"/>
    <w:rsid w:val="7BC1F4F4"/>
    <w:rsid w:val="7BF585F7"/>
    <w:rsid w:val="7CB14CAB"/>
    <w:rsid w:val="7CF717DE"/>
    <w:rsid w:val="7D45F619"/>
    <w:rsid w:val="7D5486E5"/>
    <w:rsid w:val="7D941CD0"/>
    <w:rsid w:val="7DA9685D"/>
    <w:rsid w:val="7DB39325"/>
    <w:rsid w:val="7DFF15BB"/>
    <w:rsid w:val="7E5D38CB"/>
    <w:rsid w:val="7E9649E9"/>
    <w:rsid w:val="7F5AD66A"/>
    <w:rsid w:val="7F6A6E10"/>
    <w:rsid w:val="7F914751"/>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8867F5"/>
  <w15:docId w15:val="{2C22B1C5-A3C7-4EBC-8B6D-9A4BA24300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1ABA"/>
    <w:pPr>
      <w:spacing w:after="0" w:line="240" w:lineRule="auto"/>
      <w:jc w:val="both"/>
    </w:pPr>
    <w:rPr>
      <w:rFonts w:ascii="Baskerville Old Face" w:eastAsia="Times New Roman" w:hAnsi="Baskerville Old Face" w:cs="Times New Roman"/>
      <w:sz w:val="24"/>
      <w:szCs w:val="24"/>
      <w:lang w:eastAsia="es-MX"/>
    </w:rPr>
  </w:style>
  <w:style w:type="paragraph" w:styleId="Heading1">
    <w:name w:val="heading 1"/>
    <w:basedOn w:val="Normal"/>
    <w:next w:val="Normal"/>
    <w:link w:val="Heading1Char"/>
    <w:uiPriority w:val="9"/>
    <w:qFormat/>
    <w:rsid w:val="004F6B78"/>
    <w:pPr>
      <w:keepNext/>
      <w:keepLines/>
      <w:pBdr>
        <w:bottom w:val="single" w:sz="4" w:space="1" w:color="595959"/>
      </w:pBdr>
      <w:spacing w:before="360" w:after="160" w:line="259" w:lineRule="auto"/>
      <w:outlineLvl w:val="0"/>
    </w:pPr>
    <w:rPr>
      <w:rFonts w:ascii="Century Gothic" w:hAnsi="Century Gothic" w:cs="Calibri"/>
      <w:b/>
      <w:bCs/>
      <w:smallCaps/>
      <w:color w:val="000000"/>
      <w:sz w:val="36"/>
      <w:szCs w:val="36"/>
      <w:lang w:eastAsia="en-US"/>
    </w:rPr>
  </w:style>
  <w:style w:type="paragraph" w:styleId="Heading2">
    <w:name w:val="heading 2"/>
    <w:basedOn w:val="Normal"/>
    <w:next w:val="Normal"/>
    <w:link w:val="Heading2Char"/>
    <w:uiPriority w:val="9"/>
    <w:unhideWhenUsed/>
    <w:qFormat/>
    <w:rsid w:val="004F6B78"/>
    <w:pPr>
      <w:keepNext/>
      <w:keepLines/>
      <w:spacing w:before="360" w:line="259" w:lineRule="auto"/>
      <w:outlineLvl w:val="1"/>
    </w:pPr>
    <w:rPr>
      <w:rFonts w:ascii="Century Gothic" w:hAnsi="Century Gothic" w:cs="Calibri"/>
      <w:b/>
      <w:bCs/>
      <w:smallCaps/>
      <w:color w:val="000000"/>
      <w:sz w:val="28"/>
      <w:szCs w:val="28"/>
      <w:lang w:eastAsia="en-US"/>
    </w:rPr>
  </w:style>
  <w:style w:type="paragraph" w:styleId="Heading3">
    <w:name w:val="heading 3"/>
    <w:basedOn w:val="Normal"/>
    <w:next w:val="Normal"/>
    <w:link w:val="Heading3Char"/>
    <w:uiPriority w:val="9"/>
    <w:unhideWhenUsed/>
    <w:qFormat/>
    <w:rsid w:val="004F6B78"/>
    <w:pPr>
      <w:keepNext/>
      <w:keepLines/>
      <w:spacing w:before="200" w:line="259" w:lineRule="auto"/>
      <w:outlineLvl w:val="2"/>
    </w:pPr>
    <w:rPr>
      <w:rFonts w:ascii="Century Gothic" w:hAnsi="Century Gothic" w:cs="Calibri"/>
      <w:b/>
      <w:bCs/>
      <w:color w:val="000000"/>
      <w:sz w:val="22"/>
      <w:szCs w:val="22"/>
      <w:lang w:eastAsia="en-US"/>
    </w:rPr>
  </w:style>
  <w:style w:type="paragraph" w:styleId="Heading4">
    <w:name w:val="heading 4"/>
    <w:basedOn w:val="Normal"/>
    <w:next w:val="Normal"/>
    <w:link w:val="Heading4Char"/>
    <w:uiPriority w:val="9"/>
    <w:unhideWhenUsed/>
    <w:qFormat/>
    <w:rsid w:val="008B3982"/>
    <w:pPr>
      <w:keepNext/>
      <w:keepLines/>
      <w:spacing w:before="200" w:line="259" w:lineRule="auto"/>
      <w:outlineLvl w:val="3"/>
    </w:pPr>
    <w:rPr>
      <w:rFonts w:ascii="Century Gothic" w:hAnsi="Century Gothic" w:cs="Calibri"/>
      <w:b/>
      <w:bCs/>
      <w:i/>
      <w:iCs/>
      <w:color w:val="000000"/>
      <w:sz w:val="22"/>
      <w:szCs w:val="22"/>
      <w:lang w:eastAsia="en-US"/>
    </w:rPr>
  </w:style>
  <w:style w:type="paragraph" w:styleId="Heading5">
    <w:name w:val="heading 5"/>
    <w:basedOn w:val="Normal"/>
    <w:next w:val="Normal"/>
    <w:link w:val="Heading5Char"/>
    <w:uiPriority w:val="9"/>
    <w:unhideWhenUsed/>
    <w:qFormat/>
    <w:rsid w:val="004F6B78"/>
    <w:pPr>
      <w:keepNext/>
      <w:keepLines/>
      <w:spacing w:before="200" w:line="259" w:lineRule="auto"/>
      <w:outlineLvl w:val="4"/>
    </w:pPr>
    <w:rPr>
      <w:rFonts w:ascii="Century Gothic" w:hAnsi="Century Gothic" w:cs="Calibri"/>
      <w:color w:val="0F486E"/>
      <w:sz w:val="22"/>
      <w:szCs w:val="22"/>
      <w:lang w:eastAsia="en-US"/>
    </w:rPr>
  </w:style>
  <w:style w:type="paragraph" w:styleId="Heading6">
    <w:name w:val="heading 6"/>
    <w:aliases w:val="Títulos tablas y leyendas figuras"/>
    <w:basedOn w:val="Normal"/>
    <w:next w:val="Normal"/>
    <w:link w:val="Heading6Char"/>
    <w:uiPriority w:val="9"/>
    <w:unhideWhenUsed/>
    <w:qFormat/>
    <w:rsid w:val="004F6B78"/>
    <w:pPr>
      <w:keepNext/>
      <w:keepLines/>
      <w:spacing w:before="200" w:line="259" w:lineRule="auto"/>
      <w:outlineLvl w:val="5"/>
    </w:pPr>
    <w:rPr>
      <w:rFonts w:ascii="Century Gothic" w:hAnsi="Century Gothic" w:cs="Calibri"/>
      <w:i/>
      <w:iCs/>
      <w:color w:val="0F486E"/>
      <w:sz w:val="22"/>
      <w:szCs w:val="22"/>
      <w:lang w:eastAsia="en-US"/>
    </w:rPr>
  </w:style>
  <w:style w:type="paragraph" w:styleId="Heading7">
    <w:name w:val="heading 7"/>
    <w:basedOn w:val="Normal"/>
    <w:next w:val="Normal"/>
    <w:link w:val="Heading7Char"/>
    <w:uiPriority w:val="9"/>
    <w:unhideWhenUsed/>
    <w:qFormat/>
    <w:rsid w:val="004F6B78"/>
    <w:pPr>
      <w:keepNext/>
      <w:keepLines/>
      <w:spacing w:before="200" w:line="259" w:lineRule="auto"/>
      <w:outlineLvl w:val="6"/>
    </w:pPr>
    <w:rPr>
      <w:rFonts w:ascii="Century Gothic" w:hAnsi="Century Gothic" w:cs="Calibri"/>
      <w:i/>
      <w:iCs/>
      <w:color w:val="404040"/>
      <w:sz w:val="22"/>
      <w:szCs w:val="22"/>
      <w:lang w:eastAsia="en-US"/>
    </w:rPr>
  </w:style>
  <w:style w:type="paragraph" w:styleId="Heading8">
    <w:name w:val="heading 8"/>
    <w:basedOn w:val="Normal"/>
    <w:next w:val="Normal"/>
    <w:link w:val="Heading8Char"/>
    <w:uiPriority w:val="9"/>
    <w:unhideWhenUsed/>
    <w:qFormat/>
    <w:rsid w:val="004F6B78"/>
    <w:pPr>
      <w:keepNext/>
      <w:keepLines/>
      <w:spacing w:before="200" w:line="259" w:lineRule="auto"/>
      <w:outlineLvl w:val="7"/>
    </w:pPr>
    <w:rPr>
      <w:rFonts w:ascii="Century Gothic" w:hAnsi="Century Gothic" w:cs="Calibri"/>
      <w:color w:val="404040"/>
      <w:sz w:val="20"/>
      <w:szCs w:val="20"/>
      <w:lang w:eastAsia="en-US"/>
    </w:rPr>
  </w:style>
  <w:style w:type="paragraph" w:styleId="Heading9">
    <w:name w:val="heading 9"/>
    <w:basedOn w:val="Normal"/>
    <w:next w:val="Normal"/>
    <w:link w:val="Heading9Char"/>
    <w:uiPriority w:val="9"/>
    <w:semiHidden/>
    <w:unhideWhenUsed/>
    <w:qFormat/>
    <w:rsid w:val="004F6B78"/>
    <w:pPr>
      <w:keepNext/>
      <w:keepLines/>
      <w:spacing w:before="200" w:line="259" w:lineRule="auto"/>
      <w:outlineLvl w:val="8"/>
    </w:pPr>
    <w:rPr>
      <w:rFonts w:ascii="Century Gothic" w:hAnsi="Century Gothic" w:cs="Calibri"/>
      <w:i/>
      <w:iCs/>
      <w:color w:val="404040"/>
      <w:sz w:val="20"/>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itle">
    <w:name w:val="Title"/>
    <w:basedOn w:val="Normal"/>
    <w:next w:val="Normal"/>
    <w:link w:val="TitleChar"/>
    <w:uiPriority w:val="10"/>
    <w:qFormat/>
    <w:pPr>
      <w:keepNext/>
      <w:keepLines/>
      <w:spacing w:before="480" w:after="120" w:line="276" w:lineRule="auto"/>
    </w:pPr>
    <w:rPr>
      <w:rFonts w:ascii="Calibri" w:eastAsia="Calibri" w:hAnsi="Calibri" w:cs="Calibri"/>
      <w:b/>
      <w:sz w:val="72"/>
      <w:szCs w:val="72"/>
      <w:lang w:eastAsia="en-US"/>
    </w:rPr>
  </w:style>
  <w:style w:type="paragraph" w:styleId="Header">
    <w:name w:val="header"/>
    <w:basedOn w:val="Normal"/>
    <w:link w:val="HeaderChar"/>
    <w:uiPriority w:val="99"/>
    <w:unhideWhenUsed/>
    <w:rsid w:val="00CD6908"/>
    <w:pPr>
      <w:tabs>
        <w:tab w:val="center" w:pos="4419"/>
        <w:tab w:val="right" w:pos="8838"/>
      </w:tabs>
    </w:pPr>
    <w:rPr>
      <w:rFonts w:ascii="Calibri" w:eastAsia="Calibri" w:hAnsi="Calibri" w:cs="Calibri"/>
      <w:sz w:val="22"/>
      <w:szCs w:val="22"/>
      <w:lang w:eastAsia="en-US"/>
    </w:rPr>
  </w:style>
  <w:style w:type="character" w:customStyle="1" w:styleId="HeaderChar">
    <w:name w:val="Header Char"/>
    <w:basedOn w:val="DefaultParagraphFont"/>
    <w:link w:val="Header"/>
    <w:uiPriority w:val="99"/>
    <w:rsid w:val="00CD6908"/>
  </w:style>
  <w:style w:type="paragraph" w:styleId="Footer">
    <w:name w:val="footer"/>
    <w:basedOn w:val="Normal"/>
    <w:link w:val="FooterChar"/>
    <w:uiPriority w:val="99"/>
    <w:unhideWhenUsed/>
    <w:rsid w:val="00CD6908"/>
    <w:pPr>
      <w:tabs>
        <w:tab w:val="center" w:pos="4419"/>
        <w:tab w:val="right" w:pos="8838"/>
      </w:tabs>
    </w:pPr>
    <w:rPr>
      <w:rFonts w:ascii="Calibri" w:eastAsia="Calibri" w:hAnsi="Calibri" w:cs="Calibri"/>
      <w:sz w:val="22"/>
      <w:szCs w:val="22"/>
      <w:lang w:eastAsia="en-US"/>
    </w:rPr>
  </w:style>
  <w:style w:type="character" w:customStyle="1" w:styleId="FooterChar">
    <w:name w:val="Footer Char"/>
    <w:basedOn w:val="DefaultParagraphFont"/>
    <w:link w:val="Footer"/>
    <w:uiPriority w:val="99"/>
    <w:rsid w:val="00CD6908"/>
  </w:style>
  <w:style w:type="paragraph" w:styleId="NormalWeb">
    <w:name w:val="Normal (Web)"/>
    <w:basedOn w:val="Normal"/>
    <w:uiPriority w:val="99"/>
    <w:unhideWhenUsed/>
    <w:rsid w:val="00CD6908"/>
    <w:pPr>
      <w:spacing w:before="100" w:beforeAutospacing="1" w:after="100" w:afterAutospacing="1"/>
    </w:pPr>
    <w:rPr>
      <w:rFonts w:cs="Calibri"/>
      <w:lang w:eastAsia="es-CO"/>
    </w:rPr>
  </w:style>
  <w:style w:type="paragraph" w:styleId="BalloonText">
    <w:name w:val="Balloon Text"/>
    <w:basedOn w:val="Normal"/>
    <w:link w:val="BalloonTextChar"/>
    <w:uiPriority w:val="99"/>
    <w:semiHidden/>
    <w:unhideWhenUsed/>
    <w:rsid w:val="008718D3"/>
    <w:rPr>
      <w:rFonts w:ascii="Tahoma" w:eastAsia="Calibri" w:hAnsi="Tahoma" w:cs="Tahoma"/>
      <w:sz w:val="16"/>
      <w:szCs w:val="16"/>
      <w:lang w:eastAsia="en-US"/>
    </w:rPr>
  </w:style>
  <w:style w:type="character" w:customStyle="1" w:styleId="BalloonTextChar">
    <w:name w:val="Balloon Text Char"/>
    <w:link w:val="BalloonText"/>
    <w:uiPriority w:val="99"/>
    <w:semiHidden/>
    <w:rsid w:val="008718D3"/>
    <w:rPr>
      <w:rFonts w:ascii="Tahoma" w:hAnsi="Tahoma" w:cs="Tahoma"/>
      <w:sz w:val="16"/>
      <w:szCs w:val="16"/>
    </w:rPr>
  </w:style>
  <w:style w:type="character" w:styleId="Hyperlink">
    <w:name w:val="Hyperlink"/>
    <w:uiPriority w:val="99"/>
    <w:unhideWhenUsed/>
    <w:rsid w:val="00065CA3"/>
    <w:rPr>
      <w:color w:val="0000FF"/>
      <w:u w:val="single"/>
    </w:rPr>
  </w:style>
  <w:style w:type="character" w:styleId="CommentReference">
    <w:name w:val="annotation reference"/>
    <w:uiPriority w:val="99"/>
    <w:semiHidden/>
    <w:unhideWhenUsed/>
    <w:rsid w:val="003374F0"/>
    <w:rPr>
      <w:sz w:val="16"/>
      <w:szCs w:val="16"/>
    </w:rPr>
  </w:style>
  <w:style w:type="paragraph" w:styleId="CommentText">
    <w:name w:val="annotation text"/>
    <w:basedOn w:val="Normal"/>
    <w:link w:val="CommentTextChar"/>
    <w:uiPriority w:val="99"/>
    <w:unhideWhenUsed/>
    <w:rsid w:val="003374F0"/>
    <w:pPr>
      <w:spacing w:after="200" w:line="276" w:lineRule="auto"/>
    </w:pPr>
    <w:rPr>
      <w:rFonts w:ascii="Calibri" w:eastAsia="Calibri" w:hAnsi="Calibri" w:cs="Calibri"/>
      <w:sz w:val="20"/>
      <w:szCs w:val="20"/>
      <w:lang w:eastAsia="en-US"/>
    </w:rPr>
  </w:style>
  <w:style w:type="character" w:customStyle="1" w:styleId="CommentTextChar">
    <w:name w:val="Comment Text Char"/>
    <w:link w:val="CommentText"/>
    <w:uiPriority w:val="99"/>
    <w:rsid w:val="003374F0"/>
    <w:rPr>
      <w:lang w:eastAsia="en-US"/>
    </w:rPr>
  </w:style>
  <w:style w:type="paragraph" w:styleId="CommentSubject">
    <w:name w:val="annotation subject"/>
    <w:basedOn w:val="CommentText"/>
    <w:next w:val="CommentText"/>
    <w:link w:val="CommentSubjectChar"/>
    <w:uiPriority w:val="99"/>
    <w:semiHidden/>
    <w:unhideWhenUsed/>
    <w:rsid w:val="003374F0"/>
    <w:rPr>
      <w:b/>
      <w:bCs/>
    </w:rPr>
  </w:style>
  <w:style w:type="character" w:customStyle="1" w:styleId="CommentSubjectChar">
    <w:name w:val="Comment Subject Char"/>
    <w:link w:val="CommentSubject"/>
    <w:uiPriority w:val="99"/>
    <w:semiHidden/>
    <w:rsid w:val="003374F0"/>
    <w:rPr>
      <w:b/>
      <w:bCs/>
      <w:lang w:eastAsia="en-US"/>
    </w:rPr>
  </w:style>
  <w:style w:type="paragraph" w:styleId="ListParagraph">
    <w:name w:val="List Paragraph"/>
    <w:aliases w:val="Bolita,Párrafo de lista3,Párrafo de lista4,Párrafo de lista5,Ha,items,titulo 3,HOJA,BOLADEF,Párrafo de lista21,BOLA,Nivel 1 OS,EITI list,Bullets,Cuadrícula media 1 - Énfasis 21,Pбrrafo de lista,Colorful List Accent 1,lp1"/>
    <w:basedOn w:val="Normal"/>
    <w:link w:val="ListParagraphChar"/>
    <w:uiPriority w:val="34"/>
    <w:qFormat/>
    <w:rsid w:val="000D7380"/>
    <w:pPr>
      <w:spacing w:after="200"/>
      <w:ind w:left="720"/>
      <w:contextualSpacing/>
    </w:pPr>
    <w:rPr>
      <w:rFonts w:eastAsia="Calibri" w:cs="Calibri"/>
      <w:sz w:val="22"/>
      <w:szCs w:val="22"/>
      <w:lang w:eastAsia="en-US"/>
    </w:rPr>
  </w:style>
  <w:style w:type="character" w:customStyle="1" w:styleId="ListParagraphChar">
    <w:name w:val="List Paragraph Char"/>
    <w:aliases w:val="Bolita Char,Párrafo de lista3 Char,Párrafo de lista4 Char,Párrafo de lista5 Char,Ha Char,items Char,titulo 3 Char,HOJA Char,BOLADEF Char,Párrafo de lista21 Char,BOLA Char,Nivel 1 OS Char,EITI list Char,Bullets Char,lp1 Char"/>
    <w:link w:val="ListParagraph"/>
    <w:uiPriority w:val="34"/>
    <w:qFormat/>
    <w:locked/>
    <w:rsid w:val="000D7380"/>
    <w:rPr>
      <w:rFonts w:ascii="Baskerville Old Face" w:hAnsi="Baskerville Old Face"/>
      <w:lang w:eastAsia="en-US"/>
    </w:rPr>
  </w:style>
  <w:style w:type="paragraph" w:styleId="FootnoteText">
    <w:name w:val="footnote text"/>
    <w:aliases w:val="Texto nota pie_Instituto,texto de nota al pie,Texto nota pie Car Car Car Car Car Car Car Car,Texto nota pie Car Car Car,fn,Footnote Text Char Char Char Char Char Char,Texto nota pie Car Car Car Car Car,ft,ft1,ft2,ft3,ft4,ft5, Car Car Car"/>
    <w:basedOn w:val="Normal"/>
    <w:link w:val="FootnoteTextChar"/>
    <w:uiPriority w:val="99"/>
    <w:unhideWhenUsed/>
    <w:qFormat/>
    <w:rsid w:val="00267BC1"/>
    <w:pPr>
      <w:spacing w:after="200" w:line="276" w:lineRule="auto"/>
    </w:pPr>
    <w:rPr>
      <w:rFonts w:ascii="Calibri" w:eastAsia="Calibri" w:hAnsi="Calibri" w:cs="Calibri"/>
      <w:sz w:val="20"/>
      <w:szCs w:val="20"/>
      <w:lang w:eastAsia="en-US"/>
    </w:rPr>
  </w:style>
  <w:style w:type="character" w:customStyle="1" w:styleId="FootnoteTextChar">
    <w:name w:val="Footnote Text Char"/>
    <w:aliases w:val="Texto nota pie_Instituto Char,texto de nota al pie Char,Texto nota pie Car Car Car Car Car Car Car Car Char,Texto nota pie Car Car Car Char,fn Char,Footnote Text Char Char Char Char Char Char Char,ft Char,ft1 Char,ft2 Char,ft3 Char"/>
    <w:link w:val="FootnoteText"/>
    <w:uiPriority w:val="99"/>
    <w:rsid w:val="00267BC1"/>
    <w:rPr>
      <w:lang w:eastAsia="en-US"/>
    </w:rPr>
  </w:style>
  <w:style w:type="character" w:styleId="FootnoteReference">
    <w:name w:val="footnote reference"/>
    <w:aliases w:val="referencia nota al pie,ftref,16 Point,Superscript 6 Point,Footnotes refss,Texto de nota al pie,Appel note de bas de page,4_G,Ref. de nota al pie2,BVI fnr,Footnote symbol,Footnote,Footnote number,f,Ref. de nota al pie.,Texto nota al p"/>
    <w:uiPriority w:val="99"/>
    <w:unhideWhenUsed/>
    <w:qFormat/>
    <w:rsid w:val="00267BC1"/>
    <w:rPr>
      <w:vertAlign w:val="superscript"/>
    </w:rPr>
  </w:style>
  <w:style w:type="character" w:customStyle="1" w:styleId="Heading1Char">
    <w:name w:val="Heading 1 Char"/>
    <w:link w:val="Heading1"/>
    <w:uiPriority w:val="9"/>
    <w:rsid w:val="004F6B78"/>
    <w:rPr>
      <w:rFonts w:ascii="Century Gothic" w:eastAsia="Times New Roman" w:hAnsi="Century Gothic"/>
      <w:b/>
      <w:bCs/>
      <w:smallCaps/>
      <w:color w:val="000000"/>
      <w:sz w:val="36"/>
      <w:szCs w:val="36"/>
      <w:lang w:eastAsia="en-US"/>
    </w:rPr>
  </w:style>
  <w:style w:type="character" w:customStyle="1" w:styleId="Heading2Char">
    <w:name w:val="Heading 2 Char"/>
    <w:link w:val="Heading2"/>
    <w:uiPriority w:val="9"/>
    <w:rsid w:val="004F6B78"/>
    <w:rPr>
      <w:rFonts w:ascii="Century Gothic" w:eastAsia="Times New Roman" w:hAnsi="Century Gothic"/>
      <w:b/>
      <w:bCs/>
      <w:smallCaps/>
      <w:color w:val="000000"/>
      <w:sz w:val="28"/>
      <w:szCs w:val="28"/>
      <w:lang w:eastAsia="en-US"/>
    </w:rPr>
  </w:style>
  <w:style w:type="character" w:customStyle="1" w:styleId="Heading3Char">
    <w:name w:val="Heading 3 Char"/>
    <w:link w:val="Heading3"/>
    <w:uiPriority w:val="9"/>
    <w:rsid w:val="004F6B78"/>
    <w:rPr>
      <w:rFonts w:ascii="Century Gothic" w:eastAsia="Times New Roman" w:hAnsi="Century Gothic"/>
      <w:b/>
      <w:bCs/>
      <w:color w:val="000000"/>
      <w:lang w:eastAsia="en-US"/>
    </w:rPr>
  </w:style>
  <w:style w:type="character" w:customStyle="1" w:styleId="Heading4Char">
    <w:name w:val="Heading 4 Char"/>
    <w:link w:val="Heading4"/>
    <w:uiPriority w:val="9"/>
    <w:rsid w:val="008B3982"/>
    <w:rPr>
      <w:rFonts w:ascii="Century Gothic" w:eastAsia="Times New Roman" w:hAnsi="Century Gothic"/>
      <w:b/>
      <w:bCs/>
      <w:i/>
      <w:iCs/>
      <w:color w:val="000000"/>
      <w:lang w:eastAsia="en-US"/>
    </w:rPr>
  </w:style>
  <w:style w:type="character" w:customStyle="1" w:styleId="Heading5Char">
    <w:name w:val="Heading 5 Char"/>
    <w:link w:val="Heading5"/>
    <w:uiPriority w:val="9"/>
    <w:rsid w:val="004F6B78"/>
    <w:rPr>
      <w:rFonts w:ascii="Century Gothic" w:eastAsia="Times New Roman" w:hAnsi="Century Gothic"/>
      <w:color w:val="0F486E"/>
      <w:lang w:eastAsia="en-US"/>
    </w:rPr>
  </w:style>
  <w:style w:type="character" w:customStyle="1" w:styleId="Heading6Char">
    <w:name w:val="Heading 6 Char"/>
    <w:aliases w:val="Títulos tablas y leyendas figuras Char"/>
    <w:link w:val="Heading6"/>
    <w:uiPriority w:val="9"/>
    <w:rsid w:val="004F6B78"/>
    <w:rPr>
      <w:rFonts w:ascii="Century Gothic" w:eastAsia="Times New Roman" w:hAnsi="Century Gothic"/>
      <w:i/>
      <w:iCs/>
      <w:color w:val="0F486E"/>
      <w:lang w:eastAsia="en-US"/>
    </w:rPr>
  </w:style>
  <w:style w:type="character" w:customStyle="1" w:styleId="Heading7Char">
    <w:name w:val="Heading 7 Char"/>
    <w:link w:val="Heading7"/>
    <w:uiPriority w:val="9"/>
    <w:rsid w:val="004F6B78"/>
    <w:rPr>
      <w:rFonts w:ascii="Century Gothic" w:eastAsia="Times New Roman" w:hAnsi="Century Gothic"/>
      <w:i/>
      <w:iCs/>
      <w:color w:val="404040"/>
      <w:lang w:eastAsia="en-US"/>
    </w:rPr>
  </w:style>
  <w:style w:type="character" w:customStyle="1" w:styleId="Heading8Char">
    <w:name w:val="Heading 8 Char"/>
    <w:link w:val="Heading8"/>
    <w:uiPriority w:val="9"/>
    <w:rsid w:val="004F6B78"/>
    <w:rPr>
      <w:rFonts w:ascii="Century Gothic" w:eastAsia="Times New Roman" w:hAnsi="Century Gothic"/>
      <w:color w:val="404040"/>
      <w:sz w:val="20"/>
      <w:szCs w:val="20"/>
      <w:lang w:eastAsia="en-US"/>
    </w:rPr>
  </w:style>
  <w:style w:type="character" w:customStyle="1" w:styleId="Heading9Char">
    <w:name w:val="Heading 9 Char"/>
    <w:link w:val="Heading9"/>
    <w:uiPriority w:val="9"/>
    <w:semiHidden/>
    <w:rsid w:val="004F6B78"/>
    <w:rPr>
      <w:rFonts w:ascii="Century Gothic" w:eastAsia="Times New Roman" w:hAnsi="Century Gothic"/>
      <w:i/>
      <w:iCs/>
      <w:color w:val="404040"/>
      <w:sz w:val="20"/>
      <w:szCs w:val="20"/>
      <w:lang w:eastAsia="en-US"/>
    </w:rPr>
  </w:style>
  <w:style w:type="numbering" w:customStyle="1" w:styleId="Listaactual1">
    <w:name w:val="Lista actual1"/>
    <w:uiPriority w:val="99"/>
    <w:rsid w:val="00A75094"/>
  </w:style>
  <w:style w:type="numbering" w:customStyle="1" w:styleId="Listaactual2">
    <w:name w:val="Lista actual2"/>
    <w:uiPriority w:val="99"/>
    <w:rsid w:val="00A75094"/>
  </w:style>
  <w:style w:type="paragraph" w:styleId="Revision">
    <w:name w:val="Revision"/>
    <w:hidden/>
    <w:uiPriority w:val="99"/>
    <w:semiHidden/>
    <w:rsid w:val="00EA647B"/>
    <w:rPr>
      <w:lang w:eastAsia="en-US"/>
    </w:rPr>
  </w:style>
  <w:style w:type="character" w:customStyle="1" w:styleId="Mencinsinresolver1">
    <w:name w:val="Mención sin resolver1"/>
    <w:uiPriority w:val="99"/>
    <w:semiHidden/>
    <w:unhideWhenUsed/>
    <w:rsid w:val="009C5C87"/>
    <w:rPr>
      <w:color w:val="605E5C"/>
      <w:shd w:val="clear" w:color="auto" w:fill="E1DFDD"/>
    </w:rPr>
  </w:style>
  <w:style w:type="character" w:customStyle="1" w:styleId="Mencinsinresolver2">
    <w:name w:val="Mención sin resolver2"/>
    <w:uiPriority w:val="99"/>
    <w:semiHidden/>
    <w:unhideWhenUsed/>
    <w:rsid w:val="009C5C87"/>
    <w:rPr>
      <w:color w:val="605E5C"/>
      <w:shd w:val="clear" w:color="auto" w:fill="E1DFDD"/>
    </w:rPr>
  </w:style>
  <w:style w:type="character" w:styleId="FollowedHyperlink">
    <w:name w:val="FollowedHyperlink"/>
    <w:uiPriority w:val="99"/>
    <w:semiHidden/>
    <w:unhideWhenUsed/>
    <w:rsid w:val="009C5C87"/>
    <w:rPr>
      <w:color w:val="954F72"/>
      <w:u w:val="single"/>
    </w:rPr>
  </w:style>
  <w:style w:type="paragraph" w:customStyle="1" w:styleId="Default">
    <w:name w:val="Default"/>
    <w:rsid w:val="009C5C87"/>
    <w:pPr>
      <w:autoSpaceDE w:val="0"/>
      <w:autoSpaceDN w:val="0"/>
      <w:adjustRightInd w:val="0"/>
    </w:pPr>
    <w:rPr>
      <w:rFonts w:ascii="Arial" w:hAnsi="Arial" w:cs="Arial"/>
      <w:color w:val="000000"/>
      <w:sz w:val="24"/>
      <w:szCs w:val="24"/>
      <w:lang w:val="en-US" w:eastAsia="en-US"/>
    </w:rPr>
  </w:style>
  <w:style w:type="paragraph" w:customStyle="1" w:styleId="paragraph">
    <w:name w:val="paragraph"/>
    <w:basedOn w:val="Normal"/>
    <w:rsid w:val="009C5C87"/>
    <w:pPr>
      <w:spacing w:before="100" w:beforeAutospacing="1" w:after="100" w:afterAutospacing="1"/>
    </w:pPr>
    <w:rPr>
      <w:rFonts w:cs="Calibri"/>
      <w:lang w:val="en-US" w:eastAsia="en-US"/>
    </w:rPr>
  </w:style>
  <w:style w:type="character" w:customStyle="1" w:styleId="normaltextrun">
    <w:name w:val="normaltextrun"/>
    <w:basedOn w:val="DefaultParagraphFont"/>
    <w:rsid w:val="009C5C87"/>
  </w:style>
  <w:style w:type="character" w:customStyle="1" w:styleId="eop">
    <w:name w:val="eop"/>
    <w:basedOn w:val="DefaultParagraphFont"/>
    <w:rsid w:val="009C5C87"/>
  </w:style>
  <w:style w:type="paragraph" w:styleId="BodyTextIndent">
    <w:name w:val="Body Text Indent"/>
    <w:basedOn w:val="Normal"/>
    <w:link w:val="BodyTextIndentChar"/>
    <w:uiPriority w:val="99"/>
    <w:semiHidden/>
    <w:unhideWhenUsed/>
    <w:rsid w:val="009C5C87"/>
    <w:pPr>
      <w:spacing w:after="120"/>
      <w:ind w:left="283"/>
    </w:pPr>
    <w:rPr>
      <w:rFonts w:ascii="Arial" w:eastAsia="Calibri" w:hAnsi="Arial" w:cs="Arial"/>
      <w:sz w:val="22"/>
      <w:szCs w:val="22"/>
      <w:lang w:eastAsia="en-US"/>
    </w:rPr>
  </w:style>
  <w:style w:type="character" w:customStyle="1" w:styleId="BodyTextIndentChar">
    <w:name w:val="Body Text Indent Char"/>
    <w:link w:val="BodyTextIndent"/>
    <w:uiPriority w:val="99"/>
    <w:semiHidden/>
    <w:rsid w:val="009C5C87"/>
    <w:rPr>
      <w:rFonts w:ascii="Arial" w:hAnsi="Arial" w:cs="Arial"/>
      <w:sz w:val="22"/>
      <w:szCs w:val="22"/>
      <w:lang w:eastAsia="en-US"/>
    </w:rPr>
  </w:style>
  <w:style w:type="paragraph" w:styleId="TOCHeading">
    <w:name w:val="TOC Heading"/>
    <w:basedOn w:val="Heading1"/>
    <w:next w:val="Normal"/>
    <w:uiPriority w:val="39"/>
    <w:unhideWhenUsed/>
    <w:qFormat/>
    <w:rsid w:val="009C5C87"/>
    <w:pPr>
      <w:pBdr>
        <w:bottom w:val="none" w:sz="0" w:space="0" w:color="auto"/>
      </w:pBdr>
      <w:spacing w:before="240" w:after="0"/>
      <w:jc w:val="left"/>
      <w:outlineLvl w:val="9"/>
    </w:pPr>
    <w:rPr>
      <w:rFonts w:ascii="Calibri Light" w:hAnsi="Calibri Light"/>
      <w:b w:val="0"/>
      <w:bCs w:val="0"/>
      <w:smallCaps w:val="0"/>
      <w:color w:val="2F5496"/>
      <w:sz w:val="32"/>
      <w:szCs w:val="32"/>
      <w:lang w:val="en-US"/>
    </w:rPr>
  </w:style>
  <w:style w:type="paragraph" w:styleId="TOC1">
    <w:name w:val="toc 1"/>
    <w:basedOn w:val="Normal"/>
    <w:next w:val="Normal"/>
    <w:autoRedefine/>
    <w:uiPriority w:val="39"/>
    <w:unhideWhenUsed/>
    <w:rsid w:val="008A6DC3"/>
    <w:pPr>
      <w:tabs>
        <w:tab w:val="left" w:pos="440"/>
        <w:tab w:val="right" w:leader="dot" w:pos="8828"/>
      </w:tabs>
      <w:spacing w:before="120" w:after="120" w:line="276" w:lineRule="auto"/>
    </w:pPr>
    <w:rPr>
      <w:rFonts w:asciiTheme="minorHAnsi" w:eastAsia="Calibri" w:hAnsiTheme="minorHAnsi" w:cstheme="minorHAnsi"/>
      <w:b/>
      <w:bCs/>
      <w:caps/>
      <w:sz w:val="20"/>
      <w:szCs w:val="20"/>
      <w:lang w:eastAsia="en-US"/>
    </w:rPr>
  </w:style>
  <w:style w:type="paragraph" w:styleId="Bibliography">
    <w:name w:val="Bibliography"/>
    <w:basedOn w:val="Normal"/>
    <w:next w:val="Normal"/>
    <w:uiPriority w:val="37"/>
    <w:unhideWhenUsed/>
    <w:rsid w:val="009C5C87"/>
    <w:pPr>
      <w:spacing w:after="160"/>
    </w:pPr>
    <w:rPr>
      <w:rFonts w:ascii="Arial" w:eastAsia="Calibri" w:hAnsi="Arial" w:cs="Arial"/>
      <w:sz w:val="22"/>
      <w:szCs w:val="22"/>
      <w:lang w:eastAsia="en-US"/>
    </w:rPr>
  </w:style>
  <w:style w:type="character" w:customStyle="1" w:styleId="Mencinsinresolver3">
    <w:name w:val="Mención sin resolver3"/>
    <w:uiPriority w:val="99"/>
    <w:semiHidden/>
    <w:unhideWhenUsed/>
    <w:rsid w:val="009C5C87"/>
    <w:rPr>
      <w:color w:val="605E5C"/>
      <w:shd w:val="clear" w:color="auto" w:fill="E1DFDD"/>
    </w:rPr>
  </w:style>
  <w:style w:type="paragraph" w:styleId="BodyText">
    <w:name w:val="Body Text"/>
    <w:basedOn w:val="Normal"/>
    <w:link w:val="BodyTextChar"/>
    <w:uiPriority w:val="99"/>
    <w:unhideWhenUsed/>
    <w:rsid w:val="009C5C87"/>
    <w:pPr>
      <w:spacing w:after="120"/>
    </w:pPr>
    <w:rPr>
      <w:rFonts w:ascii="Arial" w:eastAsia="Calibri" w:hAnsi="Arial" w:cs="Arial"/>
      <w:sz w:val="22"/>
      <w:szCs w:val="22"/>
      <w:lang w:eastAsia="en-US"/>
    </w:rPr>
  </w:style>
  <w:style w:type="character" w:customStyle="1" w:styleId="BodyTextChar">
    <w:name w:val="Body Text Char"/>
    <w:link w:val="BodyText"/>
    <w:uiPriority w:val="99"/>
    <w:rsid w:val="009C5C87"/>
    <w:rPr>
      <w:rFonts w:ascii="Arial" w:hAnsi="Arial" w:cs="Arial"/>
      <w:sz w:val="22"/>
      <w:szCs w:val="22"/>
      <w:lang w:eastAsia="en-US"/>
    </w:rPr>
  </w:style>
  <w:style w:type="paragraph" w:styleId="TOC2">
    <w:name w:val="toc 2"/>
    <w:basedOn w:val="Normal"/>
    <w:next w:val="Normal"/>
    <w:autoRedefine/>
    <w:uiPriority w:val="39"/>
    <w:unhideWhenUsed/>
    <w:rsid w:val="009C5C87"/>
    <w:pPr>
      <w:spacing w:line="276" w:lineRule="auto"/>
      <w:ind w:left="220"/>
    </w:pPr>
    <w:rPr>
      <w:rFonts w:asciiTheme="minorHAnsi" w:eastAsia="Calibri" w:hAnsiTheme="minorHAnsi" w:cstheme="minorHAnsi"/>
      <w:smallCaps/>
      <w:sz w:val="20"/>
      <w:szCs w:val="20"/>
      <w:lang w:eastAsia="en-US"/>
    </w:rPr>
  </w:style>
  <w:style w:type="character" w:customStyle="1" w:styleId="Mencinsinresolver4">
    <w:name w:val="Mención sin resolver4"/>
    <w:uiPriority w:val="99"/>
    <w:semiHidden/>
    <w:unhideWhenUsed/>
    <w:rsid w:val="009C5C87"/>
    <w:rPr>
      <w:color w:val="605E5C"/>
      <w:shd w:val="clear" w:color="auto" w:fill="E1DFDD"/>
    </w:rPr>
  </w:style>
  <w:style w:type="numbering" w:customStyle="1" w:styleId="Estilo1">
    <w:name w:val="Estilo1"/>
    <w:uiPriority w:val="99"/>
    <w:rsid w:val="009C5C87"/>
  </w:style>
  <w:style w:type="paragraph" w:styleId="TOC3">
    <w:name w:val="toc 3"/>
    <w:basedOn w:val="Normal"/>
    <w:next w:val="Normal"/>
    <w:autoRedefine/>
    <w:uiPriority w:val="39"/>
    <w:unhideWhenUsed/>
    <w:rsid w:val="009C5C87"/>
    <w:pPr>
      <w:spacing w:line="276" w:lineRule="auto"/>
      <w:ind w:left="440"/>
    </w:pPr>
    <w:rPr>
      <w:rFonts w:asciiTheme="minorHAnsi" w:eastAsia="Calibri" w:hAnsiTheme="minorHAnsi" w:cstheme="minorHAnsi"/>
      <w:i/>
      <w:iCs/>
      <w:sz w:val="20"/>
      <w:szCs w:val="20"/>
      <w:lang w:eastAsia="en-US"/>
    </w:rPr>
  </w:style>
  <w:style w:type="table" w:styleId="TableGrid">
    <w:name w:val="Table Grid"/>
    <w:basedOn w:val="TableNormal"/>
    <w:uiPriority w:val="39"/>
    <w:rsid w:val="009C5C87"/>
    <w:rPr>
      <w:rFonts w:cs="Arial"/>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9C5C87"/>
    <w:rPr>
      <w:b/>
      <w:bCs/>
    </w:rPr>
  </w:style>
  <w:style w:type="paragraph" w:styleId="Caption">
    <w:name w:val="caption"/>
    <w:aliases w:val="Epígrafe tablas,Epíg Tablas,Epígrafe Car1,Epígrafe Car2,Epígrafe Car3,Epígrafe Car4,Epígrafe Car5,Epígrafe Car6,Epígrafe Car7,Epígrafe Car8,Epígrafe Car9,Epígrafe Car11,Epígrafe Tablas,Epígrafe Car21,Epígrafe Car31,Epígrafe Car41,T,Car,A"/>
    <w:basedOn w:val="Normal"/>
    <w:next w:val="Normal"/>
    <w:link w:val="CaptionChar"/>
    <w:uiPriority w:val="35"/>
    <w:unhideWhenUsed/>
    <w:qFormat/>
    <w:rsid w:val="009C5C87"/>
    <w:pPr>
      <w:spacing w:after="200"/>
    </w:pPr>
    <w:rPr>
      <w:rFonts w:ascii="Arial" w:eastAsia="Calibri" w:hAnsi="Arial" w:cs="Arial"/>
      <w:i/>
      <w:iCs/>
      <w:color w:val="44546A"/>
      <w:sz w:val="18"/>
      <w:szCs w:val="18"/>
      <w:lang w:eastAsia="en-US"/>
    </w:rPr>
  </w:style>
  <w:style w:type="paragraph" w:styleId="TableofFigures">
    <w:name w:val="table of figures"/>
    <w:basedOn w:val="Normal"/>
    <w:next w:val="Normal"/>
    <w:uiPriority w:val="99"/>
    <w:unhideWhenUsed/>
    <w:rsid w:val="009C5C87"/>
    <w:rPr>
      <w:rFonts w:ascii="Arial" w:eastAsia="Calibri" w:hAnsi="Arial" w:cs="Arial"/>
      <w:sz w:val="22"/>
      <w:szCs w:val="22"/>
      <w:lang w:eastAsia="en-US"/>
    </w:rPr>
  </w:style>
  <w:style w:type="character" w:customStyle="1" w:styleId="Mencinsinresolver5">
    <w:name w:val="Mención sin resolver5"/>
    <w:uiPriority w:val="99"/>
    <w:semiHidden/>
    <w:unhideWhenUsed/>
    <w:rsid w:val="009C5C87"/>
    <w:rPr>
      <w:color w:val="605E5C"/>
      <w:shd w:val="clear" w:color="auto" w:fill="E1DFDD"/>
    </w:rPr>
  </w:style>
  <w:style w:type="character" w:customStyle="1" w:styleId="Mencinsinresolver6">
    <w:name w:val="Mención sin resolver6"/>
    <w:uiPriority w:val="99"/>
    <w:semiHidden/>
    <w:unhideWhenUsed/>
    <w:rsid w:val="009C5C87"/>
    <w:rPr>
      <w:color w:val="605E5C"/>
      <w:shd w:val="clear" w:color="auto" w:fill="E1DFDD"/>
    </w:rPr>
  </w:style>
  <w:style w:type="paragraph" w:styleId="Subtitle">
    <w:name w:val="Subtitle"/>
    <w:basedOn w:val="Normal"/>
    <w:next w:val="Normal"/>
    <w:link w:val="SubtitleChar"/>
    <w:uiPriority w:val="11"/>
    <w:qFormat/>
    <w:pPr>
      <w:keepNext/>
      <w:keepLines/>
      <w:spacing w:before="360" w:after="80" w:line="276" w:lineRule="auto"/>
    </w:pPr>
    <w:rPr>
      <w:rFonts w:ascii="Georgia" w:eastAsia="Georgia" w:hAnsi="Georgia" w:cs="Georgia"/>
      <w:i/>
      <w:color w:val="666666"/>
      <w:sz w:val="48"/>
      <w:szCs w:val="48"/>
      <w:lang w:eastAsia="en-US"/>
    </w:rPr>
  </w:style>
  <w:style w:type="table" w:customStyle="1" w:styleId="a">
    <w:basedOn w:val="NormalTable0"/>
    <w:tblPr>
      <w:tblStyleRowBandSize w:val="1"/>
      <w:tblStyleColBandSize w:val="1"/>
      <w:tblCellMar>
        <w:left w:w="70" w:type="dxa"/>
        <w:right w:w="70" w:type="dxa"/>
      </w:tblCellMar>
    </w:tblPr>
  </w:style>
  <w:style w:type="table" w:customStyle="1" w:styleId="a0">
    <w:basedOn w:val="NormalTable0"/>
    <w:tblPr>
      <w:tblStyleRowBandSize w:val="1"/>
      <w:tblStyleColBandSize w:val="1"/>
      <w:tblCellMar>
        <w:left w:w="108" w:type="dxa"/>
        <w:right w:w="108" w:type="dxa"/>
      </w:tblCellMar>
    </w:tblPr>
  </w:style>
  <w:style w:type="table" w:customStyle="1" w:styleId="a1">
    <w:basedOn w:val="NormalTable0"/>
    <w:tblPr>
      <w:tblStyleRowBandSize w:val="1"/>
      <w:tblStyleColBandSize w:val="1"/>
      <w:tblCellMar>
        <w:left w:w="108" w:type="dxa"/>
        <w:right w:w="108" w:type="dxa"/>
      </w:tblCellMar>
    </w:tblPr>
  </w:style>
  <w:style w:type="table" w:customStyle="1" w:styleId="a2">
    <w:basedOn w:val="NormalTable0"/>
    <w:tblPr>
      <w:tblStyleRowBandSize w:val="1"/>
      <w:tblStyleColBandSize w:val="1"/>
      <w:tblCellMar>
        <w:left w:w="108" w:type="dxa"/>
        <w:right w:w="108" w:type="dxa"/>
      </w:tblCellMar>
    </w:tblPr>
  </w:style>
  <w:style w:type="table" w:customStyle="1" w:styleId="a3">
    <w:basedOn w:val="NormalTable0"/>
    <w:tblPr>
      <w:tblStyleRowBandSize w:val="1"/>
      <w:tblStyleColBandSize w:val="1"/>
      <w:tblCellMar>
        <w:left w:w="108" w:type="dxa"/>
        <w:right w:w="108" w:type="dxa"/>
      </w:tblCellMar>
    </w:tblPr>
  </w:style>
  <w:style w:type="table" w:customStyle="1" w:styleId="a4">
    <w:basedOn w:val="NormalTable0"/>
    <w:tblPr>
      <w:tblStyleRowBandSize w:val="1"/>
      <w:tblStyleColBandSize w:val="1"/>
      <w:tblCellMar>
        <w:left w:w="108" w:type="dxa"/>
        <w:right w:w="108" w:type="dxa"/>
      </w:tblCellMar>
    </w:tblPr>
  </w:style>
  <w:style w:type="table" w:customStyle="1" w:styleId="a5">
    <w:basedOn w:val="NormalTable0"/>
    <w:tblPr>
      <w:tblStyleRowBandSize w:val="1"/>
      <w:tblStyleColBandSize w:val="1"/>
      <w:tblCellMar>
        <w:left w:w="108" w:type="dxa"/>
        <w:right w:w="108" w:type="dxa"/>
      </w:tblCellMar>
    </w:tblPr>
  </w:style>
  <w:style w:type="table" w:customStyle="1" w:styleId="a6">
    <w:basedOn w:val="NormalTable0"/>
    <w:tblPr>
      <w:tblStyleRowBandSize w:val="1"/>
      <w:tblStyleColBandSize w:val="1"/>
      <w:tblCellMar>
        <w:left w:w="108" w:type="dxa"/>
        <w:right w:w="108" w:type="dxa"/>
      </w:tblCellMar>
    </w:tblPr>
  </w:style>
  <w:style w:type="table" w:customStyle="1" w:styleId="a7">
    <w:basedOn w:val="NormalTable0"/>
    <w:tblPr>
      <w:tblStyleRowBandSize w:val="1"/>
      <w:tblStyleColBandSize w:val="1"/>
      <w:tblCellMar>
        <w:left w:w="108" w:type="dxa"/>
        <w:right w:w="108" w:type="dxa"/>
      </w:tblCellMar>
    </w:tblPr>
  </w:style>
  <w:style w:type="character" w:customStyle="1" w:styleId="TitleChar">
    <w:name w:val="Title Char"/>
    <w:basedOn w:val="DefaultParagraphFont"/>
    <w:link w:val="Title"/>
    <w:uiPriority w:val="10"/>
    <w:rsid w:val="00390664"/>
    <w:rPr>
      <w:b/>
      <w:sz w:val="72"/>
      <w:szCs w:val="72"/>
      <w:lang w:eastAsia="en-US"/>
    </w:rPr>
  </w:style>
  <w:style w:type="character" w:customStyle="1" w:styleId="SubtitleChar">
    <w:name w:val="Subtitle Char"/>
    <w:basedOn w:val="DefaultParagraphFont"/>
    <w:link w:val="Subtitle"/>
    <w:uiPriority w:val="11"/>
    <w:rsid w:val="00390664"/>
    <w:rPr>
      <w:rFonts w:ascii="Georgia" w:eastAsia="Georgia" w:hAnsi="Georgia" w:cs="Georgia"/>
      <w:i/>
      <w:color w:val="666666"/>
      <w:sz w:val="48"/>
      <w:szCs w:val="48"/>
      <w:lang w:eastAsia="en-US"/>
    </w:rPr>
  </w:style>
  <w:style w:type="character" w:styleId="BookTitle">
    <w:name w:val="Book Title"/>
    <w:basedOn w:val="DefaultParagraphFont"/>
    <w:uiPriority w:val="33"/>
    <w:qFormat/>
    <w:rsid w:val="00E523A1"/>
    <w:rPr>
      <w:b/>
      <w:bCs/>
      <w:i/>
      <w:iCs/>
      <w:spacing w:val="5"/>
    </w:rPr>
  </w:style>
  <w:style w:type="paragraph" w:customStyle="1" w:styleId="Normal1">
    <w:name w:val="Normal1"/>
    <w:rsid w:val="00E523A1"/>
    <w:rPr>
      <w:rFonts w:ascii="Times New Roman" w:eastAsia="Times New Roman" w:hAnsi="Times New Roman" w:cs="Times New Roman"/>
      <w:sz w:val="20"/>
      <w:szCs w:val="20"/>
      <w:lang w:val="es-ES"/>
    </w:rPr>
  </w:style>
  <w:style w:type="paragraph" w:customStyle="1" w:styleId="Textoindependiente21">
    <w:name w:val="Texto independiente 21"/>
    <w:basedOn w:val="Normal"/>
    <w:rsid w:val="00E523A1"/>
    <w:pPr>
      <w:widowControl w:val="0"/>
      <w:tabs>
        <w:tab w:val="left" w:pos="-720"/>
      </w:tabs>
      <w:suppressAutoHyphens/>
    </w:pPr>
    <w:rPr>
      <w:rFonts w:ascii="Arial" w:hAnsi="Arial"/>
      <w:spacing w:val="-3"/>
      <w:sz w:val="22"/>
      <w:szCs w:val="20"/>
      <w:lang w:val="es-ES_tradnl" w:eastAsia="es-ES"/>
    </w:rPr>
  </w:style>
  <w:style w:type="table" w:customStyle="1" w:styleId="TableNormal1">
    <w:name w:val="Table Normal1"/>
    <w:rsid w:val="00B83E1F"/>
    <w:rPr>
      <w:lang w:eastAsia="en-US"/>
    </w:rPr>
    <w:tblPr>
      <w:tblCellMar>
        <w:top w:w="0" w:type="dxa"/>
        <w:left w:w="0" w:type="dxa"/>
        <w:bottom w:w="0" w:type="dxa"/>
        <w:right w:w="0" w:type="dxa"/>
      </w:tblCellMar>
    </w:tblPr>
  </w:style>
  <w:style w:type="paragraph" w:styleId="EndnoteText">
    <w:name w:val="endnote text"/>
    <w:basedOn w:val="Normal"/>
    <w:link w:val="EndnoteTextChar"/>
    <w:uiPriority w:val="99"/>
    <w:semiHidden/>
    <w:unhideWhenUsed/>
    <w:rsid w:val="00B83E1F"/>
    <w:rPr>
      <w:rFonts w:ascii="Century Gothic" w:eastAsia="Calibri" w:hAnsi="Century Gothic" w:cs="Calibri"/>
      <w:sz w:val="20"/>
      <w:szCs w:val="20"/>
      <w:lang w:eastAsia="en-US"/>
    </w:rPr>
  </w:style>
  <w:style w:type="character" w:customStyle="1" w:styleId="EndnoteTextChar">
    <w:name w:val="Endnote Text Char"/>
    <w:basedOn w:val="DefaultParagraphFont"/>
    <w:link w:val="EndnoteText"/>
    <w:uiPriority w:val="99"/>
    <w:semiHidden/>
    <w:rsid w:val="00B83E1F"/>
    <w:rPr>
      <w:rFonts w:ascii="Century Gothic" w:hAnsi="Century Gothic"/>
      <w:sz w:val="20"/>
      <w:szCs w:val="20"/>
      <w:lang w:eastAsia="en-US"/>
    </w:rPr>
  </w:style>
  <w:style w:type="character" w:styleId="EndnoteReference">
    <w:name w:val="endnote reference"/>
    <w:basedOn w:val="DefaultParagraphFont"/>
    <w:uiPriority w:val="99"/>
    <w:semiHidden/>
    <w:unhideWhenUsed/>
    <w:rsid w:val="00B83E1F"/>
    <w:rPr>
      <w:vertAlign w:val="superscript"/>
    </w:rPr>
  </w:style>
  <w:style w:type="table" w:styleId="PlainTable2">
    <w:name w:val="Plain Table 2"/>
    <w:basedOn w:val="TableNormal"/>
    <w:uiPriority w:val="42"/>
    <w:rsid w:val="00B83E1F"/>
    <w:pPr>
      <w:spacing w:after="0" w:line="240" w:lineRule="auto"/>
    </w:pPr>
    <w:rPr>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ListTable2">
    <w:name w:val="List Table 2"/>
    <w:basedOn w:val="TableNormal"/>
    <w:uiPriority w:val="47"/>
    <w:rsid w:val="00B83E1F"/>
    <w:pPr>
      <w:spacing w:after="0" w:line="240" w:lineRule="auto"/>
    </w:pPr>
    <w:rPr>
      <w:lang w:eastAsia="en-US"/>
    </w:r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B83E1F"/>
    <w:pPr>
      <w:spacing w:before="100" w:beforeAutospacing="1" w:after="100" w:afterAutospacing="1"/>
    </w:pPr>
    <w:rPr>
      <w:lang w:eastAsia="es-CO"/>
    </w:rPr>
  </w:style>
  <w:style w:type="table" w:styleId="GridTable1Light">
    <w:name w:val="Grid Table 1 Light"/>
    <w:basedOn w:val="TableNormal"/>
    <w:uiPriority w:val="46"/>
    <w:rsid w:val="005814C3"/>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CaptionChar">
    <w:name w:val="Caption Char"/>
    <w:aliases w:val="Epígrafe tablas Char,Epíg Tablas Char,Epígrafe Car1 Char,Epígrafe Car2 Char,Epígrafe Car3 Char,Epígrafe Car4 Char,Epígrafe Car5 Char,Epígrafe Car6 Char,Epígrafe Car7 Char,Epígrafe Car8 Char,Epígrafe Car9 Char,Epígrafe Car11 Char,T Char"/>
    <w:basedOn w:val="DefaultParagraphFont"/>
    <w:link w:val="Caption"/>
    <w:uiPriority w:val="35"/>
    <w:qFormat/>
    <w:rsid w:val="005814C3"/>
    <w:rPr>
      <w:rFonts w:ascii="Arial" w:hAnsi="Arial" w:cs="Arial"/>
      <w:i/>
      <w:iCs/>
      <w:color w:val="44546A"/>
      <w:sz w:val="18"/>
      <w:szCs w:val="18"/>
      <w:lang w:eastAsia="en-US"/>
    </w:rPr>
  </w:style>
  <w:style w:type="paragraph" w:customStyle="1" w:styleId="FigurasyTablas">
    <w:name w:val="Figuras y Tablas"/>
    <w:basedOn w:val="Normal"/>
    <w:link w:val="FigurasyTablasCar"/>
    <w:qFormat/>
    <w:rsid w:val="005814C3"/>
    <w:pPr>
      <w:spacing w:after="200" w:line="276" w:lineRule="auto"/>
      <w:jc w:val="center"/>
    </w:pPr>
    <w:rPr>
      <w:rFonts w:ascii="Calibri" w:eastAsia="DejaVu LGC Sans" w:hAnsi="Calibri"/>
      <w:kern w:val="1"/>
      <w:sz w:val="20"/>
      <w:szCs w:val="20"/>
      <w:lang w:val="es-ES_tradnl" w:eastAsia="ar-SA"/>
    </w:rPr>
  </w:style>
  <w:style w:type="character" w:customStyle="1" w:styleId="FigurasyTablasCar">
    <w:name w:val="Figuras y Tablas Car"/>
    <w:basedOn w:val="DefaultParagraphFont"/>
    <w:link w:val="FigurasyTablas"/>
    <w:rsid w:val="005814C3"/>
    <w:rPr>
      <w:rFonts w:eastAsia="DejaVu LGC Sans" w:cs="Times New Roman"/>
      <w:kern w:val="1"/>
      <w:sz w:val="20"/>
      <w:szCs w:val="20"/>
      <w:lang w:val="es-ES_tradnl" w:eastAsia="ar-SA"/>
    </w:rPr>
  </w:style>
  <w:style w:type="character" w:styleId="SubtleReference">
    <w:name w:val="Subtle Reference"/>
    <w:basedOn w:val="DefaultParagraphFont"/>
    <w:uiPriority w:val="31"/>
    <w:qFormat/>
    <w:rsid w:val="00DD204A"/>
    <w:rPr>
      <w:smallCaps/>
      <w:color w:val="5A5A5A" w:themeColor="text1" w:themeTint="A5"/>
    </w:rPr>
  </w:style>
  <w:style w:type="paragraph" w:customStyle="1" w:styleId="Ttulo11">
    <w:name w:val="Título 11"/>
    <w:basedOn w:val="Normal"/>
    <w:rsid w:val="009D4770"/>
    <w:pPr>
      <w:spacing w:after="200" w:line="276" w:lineRule="auto"/>
    </w:pPr>
    <w:rPr>
      <w:rFonts w:ascii="Calibri" w:eastAsia="Calibri" w:hAnsi="Calibri" w:cs="Calibri"/>
      <w:sz w:val="22"/>
      <w:szCs w:val="22"/>
      <w:lang w:eastAsia="en-US"/>
    </w:rPr>
  </w:style>
  <w:style w:type="paragraph" w:customStyle="1" w:styleId="Ttulo21">
    <w:name w:val="Título 21"/>
    <w:basedOn w:val="Normal"/>
    <w:rsid w:val="009D4770"/>
    <w:pPr>
      <w:spacing w:after="200" w:line="276" w:lineRule="auto"/>
    </w:pPr>
    <w:rPr>
      <w:rFonts w:ascii="Calibri" w:eastAsia="Calibri" w:hAnsi="Calibri" w:cs="Calibri"/>
      <w:sz w:val="22"/>
      <w:szCs w:val="22"/>
      <w:lang w:eastAsia="en-US"/>
    </w:rPr>
  </w:style>
  <w:style w:type="paragraph" w:customStyle="1" w:styleId="Ttulo31">
    <w:name w:val="Título 31"/>
    <w:basedOn w:val="Normal"/>
    <w:rsid w:val="009D4770"/>
    <w:pPr>
      <w:spacing w:after="200" w:line="276" w:lineRule="auto"/>
    </w:pPr>
    <w:rPr>
      <w:rFonts w:ascii="Calibri" w:eastAsia="Calibri" w:hAnsi="Calibri" w:cs="Calibri"/>
      <w:sz w:val="22"/>
      <w:szCs w:val="22"/>
      <w:lang w:eastAsia="en-US"/>
    </w:rPr>
  </w:style>
  <w:style w:type="paragraph" w:customStyle="1" w:styleId="Ttulo41">
    <w:name w:val="Título 41"/>
    <w:basedOn w:val="Normal"/>
    <w:rsid w:val="009D4770"/>
    <w:pPr>
      <w:spacing w:after="200" w:line="276" w:lineRule="auto"/>
    </w:pPr>
    <w:rPr>
      <w:rFonts w:ascii="Calibri" w:eastAsia="Calibri" w:hAnsi="Calibri" w:cs="Calibri"/>
      <w:sz w:val="22"/>
      <w:szCs w:val="22"/>
      <w:lang w:eastAsia="en-US"/>
    </w:rPr>
  </w:style>
  <w:style w:type="paragraph" w:customStyle="1" w:styleId="Ttulo51">
    <w:name w:val="Título 51"/>
    <w:basedOn w:val="Normal"/>
    <w:rsid w:val="009D4770"/>
    <w:pPr>
      <w:spacing w:after="200" w:line="276" w:lineRule="auto"/>
    </w:pPr>
    <w:rPr>
      <w:rFonts w:ascii="Calibri" w:eastAsia="Calibri" w:hAnsi="Calibri" w:cs="Calibri"/>
      <w:sz w:val="22"/>
      <w:szCs w:val="22"/>
      <w:lang w:eastAsia="en-US"/>
    </w:rPr>
  </w:style>
  <w:style w:type="paragraph" w:customStyle="1" w:styleId="Ttulo61">
    <w:name w:val="Título 61"/>
    <w:basedOn w:val="Normal"/>
    <w:rsid w:val="009D4770"/>
    <w:pPr>
      <w:spacing w:after="200" w:line="276" w:lineRule="auto"/>
    </w:pPr>
    <w:rPr>
      <w:rFonts w:ascii="Calibri" w:eastAsia="Calibri" w:hAnsi="Calibri" w:cs="Calibri"/>
      <w:sz w:val="22"/>
      <w:szCs w:val="22"/>
      <w:lang w:eastAsia="en-US"/>
    </w:rPr>
  </w:style>
  <w:style w:type="paragraph" w:customStyle="1" w:styleId="Ttulo71">
    <w:name w:val="Título 71"/>
    <w:basedOn w:val="Normal"/>
    <w:rsid w:val="009D4770"/>
    <w:pPr>
      <w:spacing w:after="200" w:line="276" w:lineRule="auto"/>
    </w:pPr>
    <w:rPr>
      <w:rFonts w:ascii="Calibri" w:eastAsia="Calibri" w:hAnsi="Calibri" w:cs="Calibri"/>
      <w:sz w:val="22"/>
      <w:szCs w:val="22"/>
      <w:lang w:eastAsia="en-US"/>
    </w:rPr>
  </w:style>
  <w:style w:type="paragraph" w:customStyle="1" w:styleId="Ttulo81">
    <w:name w:val="Título 81"/>
    <w:basedOn w:val="Normal"/>
    <w:rsid w:val="009D4770"/>
    <w:pPr>
      <w:spacing w:after="200" w:line="276" w:lineRule="auto"/>
    </w:pPr>
    <w:rPr>
      <w:rFonts w:ascii="Calibri" w:eastAsia="Calibri" w:hAnsi="Calibri" w:cs="Calibri"/>
      <w:sz w:val="22"/>
      <w:szCs w:val="22"/>
      <w:lang w:eastAsia="en-US"/>
    </w:rPr>
  </w:style>
  <w:style w:type="paragraph" w:customStyle="1" w:styleId="Ttulo91">
    <w:name w:val="Título 91"/>
    <w:basedOn w:val="Normal"/>
    <w:rsid w:val="009D4770"/>
    <w:pPr>
      <w:spacing w:after="200" w:line="276" w:lineRule="auto"/>
    </w:pPr>
    <w:rPr>
      <w:rFonts w:ascii="Calibri" w:eastAsia="Calibri" w:hAnsi="Calibri" w:cs="Calibri"/>
      <w:sz w:val="22"/>
      <w:szCs w:val="22"/>
      <w:lang w:eastAsia="en-US"/>
    </w:rPr>
  </w:style>
  <w:style w:type="numbering" w:customStyle="1" w:styleId="Estilo2">
    <w:name w:val="Estilo2"/>
    <w:uiPriority w:val="99"/>
    <w:rsid w:val="009D4770"/>
    <w:pPr>
      <w:numPr>
        <w:numId w:val="1"/>
      </w:numPr>
    </w:pPr>
  </w:style>
  <w:style w:type="paragraph" w:styleId="TOC4">
    <w:name w:val="toc 4"/>
    <w:basedOn w:val="Normal"/>
    <w:next w:val="Normal"/>
    <w:autoRedefine/>
    <w:uiPriority w:val="39"/>
    <w:unhideWhenUsed/>
    <w:rsid w:val="00EF0E5E"/>
    <w:pPr>
      <w:spacing w:line="276" w:lineRule="auto"/>
      <w:ind w:left="660"/>
    </w:pPr>
    <w:rPr>
      <w:rFonts w:asciiTheme="minorHAnsi" w:eastAsia="Calibri" w:hAnsiTheme="minorHAnsi" w:cstheme="minorHAnsi"/>
      <w:sz w:val="18"/>
      <w:szCs w:val="18"/>
      <w:lang w:eastAsia="en-US"/>
    </w:rPr>
  </w:style>
  <w:style w:type="paragraph" w:styleId="TOC5">
    <w:name w:val="toc 5"/>
    <w:basedOn w:val="Normal"/>
    <w:next w:val="Normal"/>
    <w:autoRedefine/>
    <w:uiPriority w:val="39"/>
    <w:unhideWhenUsed/>
    <w:rsid w:val="00EF0E5E"/>
    <w:pPr>
      <w:spacing w:line="276" w:lineRule="auto"/>
      <w:ind w:left="880"/>
    </w:pPr>
    <w:rPr>
      <w:rFonts w:asciiTheme="minorHAnsi" w:eastAsia="Calibri" w:hAnsiTheme="minorHAnsi" w:cstheme="minorHAnsi"/>
      <w:sz w:val="18"/>
      <w:szCs w:val="18"/>
      <w:lang w:eastAsia="en-US"/>
    </w:rPr>
  </w:style>
  <w:style w:type="paragraph" w:styleId="TOC6">
    <w:name w:val="toc 6"/>
    <w:basedOn w:val="Normal"/>
    <w:next w:val="Normal"/>
    <w:autoRedefine/>
    <w:uiPriority w:val="39"/>
    <w:unhideWhenUsed/>
    <w:rsid w:val="00EF0E5E"/>
    <w:pPr>
      <w:spacing w:line="276" w:lineRule="auto"/>
      <w:ind w:left="1100"/>
    </w:pPr>
    <w:rPr>
      <w:rFonts w:asciiTheme="minorHAnsi" w:eastAsia="Calibri" w:hAnsiTheme="minorHAnsi" w:cstheme="minorHAnsi"/>
      <w:sz w:val="18"/>
      <w:szCs w:val="18"/>
      <w:lang w:eastAsia="en-US"/>
    </w:rPr>
  </w:style>
  <w:style w:type="paragraph" w:styleId="TOC7">
    <w:name w:val="toc 7"/>
    <w:basedOn w:val="Normal"/>
    <w:next w:val="Normal"/>
    <w:autoRedefine/>
    <w:uiPriority w:val="39"/>
    <w:unhideWhenUsed/>
    <w:rsid w:val="00EF0E5E"/>
    <w:pPr>
      <w:spacing w:line="276" w:lineRule="auto"/>
      <w:ind w:left="1320"/>
    </w:pPr>
    <w:rPr>
      <w:rFonts w:asciiTheme="minorHAnsi" w:eastAsia="Calibri" w:hAnsiTheme="minorHAnsi" w:cstheme="minorHAnsi"/>
      <w:sz w:val="18"/>
      <w:szCs w:val="18"/>
      <w:lang w:eastAsia="en-US"/>
    </w:rPr>
  </w:style>
  <w:style w:type="paragraph" w:styleId="TOC8">
    <w:name w:val="toc 8"/>
    <w:basedOn w:val="Normal"/>
    <w:next w:val="Normal"/>
    <w:autoRedefine/>
    <w:uiPriority w:val="39"/>
    <w:unhideWhenUsed/>
    <w:rsid w:val="00EF0E5E"/>
    <w:pPr>
      <w:spacing w:line="276" w:lineRule="auto"/>
      <w:ind w:left="1540"/>
    </w:pPr>
    <w:rPr>
      <w:rFonts w:asciiTheme="minorHAnsi" w:eastAsia="Calibri" w:hAnsiTheme="minorHAnsi" w:cstheme="minorHAnsi"/>
      <w:sz w:val="18"/>
      <w:szCs w:val="18"/>
      <w:lang w:eastAsia="en-US"/>
    </w:rPr>
  </w:style>
  <w:style w:type="paragraph" w:styleId="TOC9">
    <w:name w:val="toc 9"/>
    <w:basedOn w:val="Normal"/>
    <w:next w:val="Normal"/>
    <w:autoRedefine/>
    <w:uiPriority w:val="39"/>
    <w:unhideWhenUsed/>
    <w:rsid w:val="00EF0E5E"/>
    <w:pPr>
      <w:spacing w:line="276" w:lineRule="auto"/>
      <w:ind w:left="1760"/>
    </w:pPr>
    <w:rPr>
      <w:rFonts w:asciiTheme="minorHAnsi" w:eastAsia="Calibri" w:hAnsiTheme="minorHAnsi" w:cstheme="minorHAnsi"/>
      <w:sz w:val="18"/>
      <w:szCs w:val="18"/>
      <w:lang w:eastAsia="en-US"/>
    </w:rPr>
  </w:style>
  <w:style w:type="paragraph" w:styleId="Index1">
    <w:name w:val="index 1"/>
    <w:basedOn w:val="Normal"/>
    <w:next w:val="Normal"/>
    <w:autoRedefine/>
    <w:uiPriority w:val="99"/>
    <w:unhideWhenUsed/>
    <w:rsid w:val="00E41D47"/>
    <w:pPr>
      <w:spacing w:line="276" w:lineRule="auto"/>
      <w:ind w:left="220" w:hanging="220"/>
    </w:pPr>
    <w:rPr>
      <w:rFonts w:asciiTheme="minorHAnsi" w:eastAsia="Calibri" w:hAnsiTheme="minorHAnsi" w:cstheme="minorHAnsi"/>
      <w:sz w:val="20"/>
      <w:szCs w:val="20"/>
      <w:lang w:eastAsia="en-US"/>
    </w:rPr>
  </w:style>
  <w:style w:type="paragraph" w:styleId="Index2">
    <w:name w:val="index 2"/>
    <w:basedOn w:val="Normal"/>
    <w:next w:val="Normal"/>
    <w:autoRedefine/>
    <w:uiPriority w:val="99"/>
    <w:unhideWhenUsed/>
    <w:rsid w:val="00E41D47"/>
    <w:pPr>
      <w:spacing w:line="276" w:lineRule="auto"/>
      <w:ind w:left="440" w:hanging="220"/>
    </w:pPr>
    <w:rPr>
      <w:rFonts w:asciiTheme="minorHAnsi" w:eastAsia="Calibri" w:hAnsiTheme="minorHAnsi" w:cstheme="minorHAnsi"/>
      <w:sz w:val="20"/>
      <w:szCs w:val="20"/>
      <w:lang w:eastAsia="en-US"/>
    </w:rPr>
  </w:style>
  <w:style w:type="paragraph" w:styleId="Index3">
    <w:name w:val="index 3"/>
    <w:basedOn w:val="Normal"/>
    <w:next w:val="Normal"/>
    <w:autoRedefine/>
    <w:uiPriority w:val="99"/>
    <w:unhideWhenUsed/>
    <w:rsid w:val="00E41D47"/>
    <w:pPr>
      <w:spacing w:line="276" w:lineRule="auto"/>
      <w:ind w:left="660" w:hanging="220"/>
    </w:pPr>
    <w:rPr>
      <w:rFonts w:asciiTheme="minorHAnsi" w:eastAsia="Calibri" w:hAnsiTheme="minorHAnsi" w:cstheme="minorHAnsi"/>
      <w:sz w:val="20"/>
      <w:szCs w:val="20"/>
      <w:lang w:eastAsia="en-US"/>
    </w:rPr>
  </w:style>
  <w:style w:type="paragraph" w:styleId="Index4">
    <w:name w:val="index 4"/>
    <w:basedOn w:val="Normal"/>
    <w:next w:val="Normal"/>
    <w:autoRedefine/>
    <w:uiPriority w:val="99"/>
    <w:unhideWhenUsed/>
    <w:rsid w:val="00E41D47"/>
    <w:pPr>
      <w:spacing w:line="276" w:lineRule="auto"/>
      <w:ind w:left="880" w:hanging="220"/>
    </w:pPr>
    <w:rPr>
      <w:rFonts w:asciiTheme="minorHAnsi" w:eastAsia="Calibri" w:hAnsiTheme="minorHAnsi" w:cstheme="minorHAnsi"/>
      <w:sz w:val="20"/>
      <w:szCs w:val="20"/>
      <w:lang w:eastAsia="en-US"/>
    </w:rPr>
  </w:style>
  <w:style w:type="paragraph" w:styleId="Index5">
    <w:name w:val="index 5"/>
    <w:basedOn w:val="Normal"/>
    <w:next w:val="Normal"/>
    <w:autoRedefine/>
    <w:uiPriority w:val="99"/>
    <w:unhideWhenUsed/>
    <w:rsid w:val="00E41D47"/>
    <w:pPr>
      <w:spacing w:line="276" w:lineRule="auto"/>
      <w:ind w:left="1100" w:hanging="220"/>
    </w:pPr>
    <w:rPr>
      <w:rFonts w:asciiTheme="minorHAnsi" w:eastAsia="Calibri" w:hAnsiTheme="minorHAnsi" w:cstheme="minorHAnsi"/>
      <w:sz w:val="20"/>
      <w:szCs w:val="20"/>
      <w:lang w:eastAsia="en-US"/>
    </w:rPr>
  </w:style>
  <w:style w:type="paragraph" w:styleId="Index6">
    <w:name w:val="index 6"/>
    <w:basedOn w:val="Normal"/>
    <w:next w:val="Normal"/>
    <w:autoRedefine/>
    <w:uiPriority w:val="99"/>
    <w:unhideWhenUsed/>
    <w:rsid w:val="00E41D47"/>
    <w:pPr>
      <w:spacing w:line="276" w:lineRule="auto"/>
      <w:ind w:left="1320" w:hanging="220"/>
    </w:pPr>
    <w:rPr>
      <w:rFonts w:asciiTheme="minorHAnsi" w:eastAsia="Calibri" w:hAnsiTheme="minorHAnsi" w:cstheme="minorHAnsi"/>
      <w:sz w:val="20"/>
      <w:szCs w:val="20"/>
      <w:lang w:eastAsia="en-US"/>
    </w:rPr>
  </w:style>
  <w:style w:type="paragraph" w:styleId="Index7">
    <w:name w:val="index 7"/>
    <w:basedOn w:val="Normal"/>
    <w:next w:val="Normal"/>
    <w:autoRedefine/>
    <w:uiPriority w:val="99"/>
    <w:unhideWhenUsed/>
    <w:rsid w:val="00E41D47"/>
    <w:pPr>
      <w:spacing w:line="276" w:lineRule="auto"/>
      <w:ind w:left="1540" w:hanging="220"/>
    </w:pPr>
    <w:rPr>
      <w:rFonts w:asciiTheme="minorHAnsi" w:eastAsia="Calibri" w:hAnsiTheme="minorHAnsi" w:cstheme="minorHAnsi"/>
      <w:sz w:val="20"/>
      <w:szCs w:val="20"/>
      <w:lang w:eastAsia="en-US"/>
    </w:rPr>
  </w:style>
  <w:style w:type="paragraph" w:styleId="Index8">
    <w:name w:val="index 8"/>
    <w:basedOn w:val="Normal"/>
    <w:next w:val="Normal"/>
    <w:autoRedefine/>
    <w:uiPriority w:val="99"/>
    <w:unhideWhenUsed/>
    <w:rsid w:val="00E41D47"/>
    <w:pPr>
      <w:spacing w:line="276" w:lineRule="auto"/>
      <w:ind w:left="1760" w:hanging="220"/>
    </w:pPr>
    <w:rPr>
      <w:rFonts w:asciiTheme="minorHAnsi" w:eastAsia="Calibri" w:hAnsiTheme="minorHAnsi" w:cstheme="minorHAnsi"/>
      <w:sz w:val="20"/>
      <w:szCs w:val="20"/>
      <w:lang w:eastAsia="en-US"/>
    </w:rPr>
  </w:style>
  <w:style w:type="paragraph" w:styleId="Index9">
    <w:name w:val="index 9"/>
    <w:basedOn w:val="Normal"/>
    <w:next w:val="Normal"/>
    <w:autoRedefine/>
    <w:uiPriority w:val="99"/>
    <w:unhideWhenUsed/>
    <w:rsid w:val="00E41D47"/>
    <w:pPr>
      <w:spacing w:line="276" w:lineRule="auto"/>
      <w:ind w:left="1980" w:hanging="220"/>
    </w:pPr>
    <w:rPr>
      <w:rFonts w:asciiTheme="minorHAnsi" w:eastAsia="Calibri" w:hAnsiTheme="minorHAnsi" w:cstheme="minorHAnsi"/>
      <w:sz w:val="20"/>
      <w:szCs w:val="20"/>
      <w:lang w:eastAsia="en-US"/>
    </w:rPr>
  </w:style>
  <w:style w:type="paragraph" w:styleId="IndexHeading">
    <w:name w:val="index heading"/>
    <w:basedOn w:val="Normal"/>
    <w:next w:val="Index1"/>
    <w:uiPriority w:val="99"/>
    <w:unhideWhenUsed/>
    <w:rsid w:val="00E41D47"/>
    <w:pPr>
      <w:spacing w:before="120" w:after="120" w:line="276" w:lineRule="auto"/>
    </w:pPr>
    <w:rPr>
      <w:rFonts w:asciiTheme="minorHAnsi" w:eastAsia="Calibri" w:hAnsiTheme="minorHAnsi" w:cstheme="minorHAnsi"/>
      <w:b/>
      <w:bCs/>
      <w:i/>
      <w:iCs/>
      <w:sz w:val="20"/>
      <w:szCs w:val="20"/>
      <w:lang w:eastAsia="en-US"/>
    </w:rPr>
  </w:style>
  <w:style w:type="character" w:styleId="PageNumber">
    <w:name w:val="page number"/>
    <w:basedOn w:val="DefaultParagraphFont"/>
    <w:uiPriority w:val="99"/>
    <w:semiHidden/>
    <w:unhideWhenUsed/>
    <w:rsid w:val="00871FCC"/>
  </w:style>
  <w:style w:type="character" w:customStyle="1" w:styleId="apple-converted-space">
    <w:name w:val="apple-converted-space"/>
    <w:basedOn w:val="DefaultParagraphFont"/>
    <w:rsid w:val="004D4D91"/>
  </w:style>
  <w:style w:type="character" w:customStyle="1" w:styleId="anchor-text">
    <w:name w:val="anchor-text"/>
    <w:basedOn w:val="DefaultParagraphFont"/>
    <w:rsid w:val="00E33195"/>
  </w:style>
  <w:style w:type="table" w:styleId="GridTable4-Accent4">
    <w:name w:val="Grid Table 4 Accent 4"/>
    <w:basedOn w:val="TableNormal"/>
    <w:uiPriority w:val="49"/>
    <w:rsid w:val="004177BB"/>
    <w:pPr>
      <w:spacing w:after="0" w:line="240" w:lineRule="auto"/>
    </w:pPr>
    <w:rPr>
      <w:rFonts w:ascii="Arial" w:eastAsiaTheme="minorHAnsi" w:hAnsi="Arial" w:cstheme="minorBidi"/>
      <w:kern w:val="2"/>
      <w:sz w:val="20"/>
      <w:szCs w:val="24"/>
      <w:lang w:eastAsia="en-US"/>
      <w14:ligatures w14:val="standardContextual"/>
    </w:rPr>
    <w:tblPr>
      <w:tblStyleRowBandSize w:val="1"/>
      <w:tblStyleColBandSize w:val="1"/>
      <w:tblBorders>
        <w:top w:val="single" w:sz="4" w:space="0" w:color="98A7BD" w:themeColor="text2" w:themeTint="80"/>
        <w:left w:val="single" w:sz="4" w:space="0" w:color="98A7BD" w:themeColor="text2" w:themeTint="80"/>
        <w:bottom w:val="single" w:sz="4" w:space="0" w:color="98A7BD" w:themeColor="text2" w:themeTint="80"/>
        <w:right w:val="single" w:sz="4" w:space="0" w:color="98A7BD" w:themeColor="text2" w:themeTint="80"/>
        <w:insideH w:val="single" w:sz="4" w:space="0" w:color="98A7BD" w:themeColor="text2" w:themeTint="80"/>
        <w:insideV w:val="single" w:sz="4" w:space="0" w:color="98A7BD" w:themeColor="text2" w:themeTint="80"/>
      </w:tblBorders>
    </w:tblPr>
    <w:tcPr>
      <w:shd w:val="clear" w:color="auto" w:fill="FFFFFF" w:themeFill="background1"/>
    </w:tcPr>
    <w:tblStylePr w:type="firstRow">
      <w:rPr>
        <w:b/>
        <w:bCs/>
        <w:color w:val="FFFFFF" w:themeColor="background1"/>
      </w:rPr>
      <w:tblPr/>
      <w:tcPr>
        <w:shd w:val="clear" w:color="auto" w:fill="5B9BD5"/>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7Colorful">
    <w:name w:val="List Table 7 Colorful"/>
    <w:basedOn w:val="TableNormal"/>
    <w:uiPriority w:val="52"/>
    <w:rsid w:val="00666D64"/>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1">
    <w:name w:val="Plain Table 1"/>
    <w:basedOn w:val="TableNormal"/>
    <w:uiPriority w:val="41"/>
    <w:rsid w:val="00666D6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xl63">
    <w:name w:val="xl63"/>
    <w:basedOn w:val="Normal"/>
    <w:rsid w:val="00666D64"/>
    <w:pPr>
      <w:pBdr>
        <w:top w:val="single" w:sz="4" w:space="0" w:color="auto"/>
        <w:left w:val="single" w:sz="4" w:space="0" w:color="auto"/>
        <w:bottom w:val="single" w:sz="4" w:space="0" w:color="auto"/>
        <w:right w:val="single" w:sz="4" w:space="0" w:color="auto"/>
      </w:pBdr>
      <w:spacing w:before="100" w:beforeAutospacing="1" w:after="100" w:afterAutospacing="1"/>
    </w:pPr>
    <w:rPr>
      <w:lang w:eastAsia="es-CO"/>
    </w:rPr>
  </w:style>
  <w:style w:type="paragraph" w:customStyle="1" w:styleId="xl64">
    <w:name w:val="xl64"/>
    <w:basedOn w:val="Normal"/>
    <w:rsid w:val="00666D6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eastAsia="es-CO"/>
    </w:rPr>
  </w:style>
  <w:style w:type="paragraph" w:customStyle="1" w:styleId="xl65">
    <w:name w:val="xl65"/>
    <w:basedOn w:val="Normal"/>
    <w:rsid w:val="00666D64"/>
    <w:pPr>
      <w:pBdr>
        <w:top w:val="single" w:sz="4" w:space="0" w:color="auto"/>
        <w:left w:val="single" w:sz="4" w:space="0" w:color="auto"/>
        <w:bottom w:val="single" w:sz="4" w:space="0" w:color="auto"/>
        <w:right w:val="single" w:sz="4" w:space="0" w:color="auto"/>
      </w:pBdr>
      <w:spacing w:before="100" w:beforeAutospacing="1" w:after="100" w:afterAutospacing="1"/>
    </w:pPr>
    <w:rPr>
      <w:lang w:eastAsia="es-CO"/>
    </w:rPr>
  </w:style>
  <w:style w:type="paragraph" w:customStyle="1" w:styleId="xl66">
    <w:name w:val="xl66"/>
    <w:basedOn w:val="Normal"/>
    <w:rsid w:val="00666D64"/>
    <w:pPr>
      <w:pBdr>
        <w:top w:val="single" w:sz="4" w:space="0" w:color="auto"/>
        <w:left w:val="single" w:sz="4" w:space="0" w:color="auto"/>
        <w:bottom w:val="single" w:sz="4" w:space="0" w:color="auto"/>
        <w:right w:val="single" w:sz="4" w:space="0" w:color="auto"/>
      </w:pBdr>
      <w:spacing w:before="100" w:beforeAutospacing="1" w:after="100" w:afterAutospacing="1"/>
    </w:pPr>
    <w:rPr>
      <w:lang w:eastAsia="es-CO"/>
    </w:rPr>
  </w:style>
  <w:style w:type="paragraph" w:customStyle="1" w:styleId="xl67">
    <w:name w:val="xl67"/>
    <w:basedOn w:val="Normal"/>
    <w:rsid w:val="00666D64"/>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lang w:eastAsia="es-CO"/>
    </w:rPr>
  </w:style>
  <w:style w:type="character" w:customStyle="1" w:styleId="NoSpacingChar">
    <w:name w:val="No Spacing Char"/>
    <w:basedOn w:val="DefaultParagraphFont"/>
    <w:link w:val="NoSpacing"/>
    <w:uiPriority w:val="1"/>
    <w:locked/>
    <w:rsid w:val="0066570C"/>
    <w:rPr>
      <w:i/>
      <w:iCs/>
      <w:sz w:val="20"/>
      <w:szCs w:val="20"/>
    </w:rPr>
  </w:style>
  <w:style w:type="paragraph" w:styleId="NoSpacing">
    <w:name w:val="No Spacing"/>
    <w:basedOn w:val="Normal"/>
    <w:link w:val="NoSpacingChar"/>
    <w:uiPriority w:val="1"/>
    <w:qFormat/>
    <w:rsid w:val="0066570C"/>
    <w:rPr>
      <w:rFonts w:ascii="Calibri" w:eastAsia="Calibri" w:hAnsi="Calibri" w:cs="Calibri"/>
      <w:i/>
      <w:iCs/>
      <w:sz w:val="20"/>
      <w:szCs w:val="20"/>
      <w:lang w:eastAsia="es-CO"/>
    </w:rPr>
  </w:style>
  <w:style w:type="character" w:styleId="Emphasis">
    <w:name w:val="Emphasis"/>
    <w:basedOn w:val="DefaultParagraphFont"/>
    <w:uiPriority w:val="20"/>
    <w:qFormat/>
    <w:rsid w:val="004860B4"/>
    <w:rPr>
      <w:i/>
      <w:iCs/>
    </w:rPr>
  </w:style>
  <w:style w:type="character" w:customStyle="1" w:styleId="Mencionar1">
    <w:name w:val="Mencionar1"/>
    <w:basedOn w:val="DefaultParagraphFont"/>
    <w:uiPriority w:val="99"/>
    <w:unhideWhenUsed/>
    <w:rsid w:val="007C0D34"/>
    <w:rPr>
      <w:color w:val="2B579A"/>
      <w:shd w:val="clear" w:color="auto" w:fill="E6E6E6"/>
    </w:rPr>
  </w:style>
  <w:style w:type="character" w:customStyle="1" w:styleId="UnresolvedMention1">
    <w:name w:val="Unresolved Mention1"/>
    <w:basedOn w:val="DefaultParagraphFont"/>
    <w:uiPriority w:val="99"/>
    <w:semiHidden/>
    <w:unhideWhenUsed/>
    <w:rsid w:val="00ED0F11"/>
    <w:rPr>
      <w:color w:val="605E5C"/>
      <w:shd w:val="clear" w:color="auto" w:fill="E1DFDD"/>
    </w:rPr>
  </w:style>
  <w:style w:type="character" w:customStyle="1" w:styleId="UnresolvedMention10">
    <w:name w:val="Unresolved Mention10"/>
    <w:basedOn w:val="DefaultParagraphFont"/>
    <w:uiPriority w:val="99"/>
    <w:semiHidden/>
    <w:unhideWhenUsed/>
    <w:rsid w:val="00291433"/>
    <w:rPr>
      <w:color w:val="605E5C"/>
      <w:shd w:val="clear" w:color="auto" w:fill="E1DFDD"/>
    </w:rPr>
  </w:style>
  <w:style w:type="paragraph" w:customStyle="1" w:styleId="Titulo6">
    <w:name w:val="Titulo 6"/>
    <w:basedOn w:val="Heading7"/>
    <w:link w:val="Titulo6Car"/>
    <w:qFormat/>
    <w:rsid w:val="003C7192"/>
    <w:rPr>
      <w:rFonts w:eastAsiaTheme="majorEastAsia"/>
      <w:b/>
    </w:rPr>
  </w:style>
  <w:style w:type="character" w:customStyle="1" w:styleId="Titulo6Car">
    <w:name w:val="Titulo 6 Car"/>
    <w:basedOn w:val="Heading7Char"/>
    <w:link w:val="Titulo6"/>
    <w:rsid w:val="00242925"/>
    <w:rPr>
      <w:rFonts w:ascii="Century Gothic" w:eastAsiaTheme="majorEastAsia" w:hAnsi="Century Gothic"/>
      <w:b/>
      <w:i/>
      <w:iCs/>
      <w:color w:val="404040"/>
      <w:lang w:eastAsia="en-US"/>
    </w:rPr>
  </w:style>
  <w:style w:type="table" w:styleId="GridTable4-Accent1">
    <w:name w:val="Grid Table 4 Accent 1"/>
    <w:basedOn w:val="TableNormal"/>
    <w:uiPriority w:val="49"/>
    <w:rsid w:val="00CA7F7D"/>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UnresolvedMention2">
    <w:name w:val="Unresolved Mention2"/>
    <w:basedOn w:val="DefaultParagraphFont"/>
    <w:uiPriority w:val="99"/>
    <w:semiHidden/>
    <w:unhideWhenUsed/>
    <w:rsid w:val="006B2241"/>
    <w:rPr>
      <w:color w:val="605E5C"/>
      <w:shd w:val="clear" w:color="auto" w:fill="E1DFDD"/>
    </w:rPr>
  </w:style>
  <w:style w:type="character" w:customStyle="1" w:styleId="UnresolvedMention3">
    <w:name w:val="Unresolved Mention3"/>
    <w:basedOn w:val="DefaultParagraphFont"/>
    <w:uiPriority w:val="99"/>
    <w:semiHidden/>
    <w:unhideWhenUsed/>
    <w:rsid w:val="00272C8F"/>
    <w:rPr>
      <w:color w:val="605E5C"/>
      <w:shd w:val="clear" w:color="auto" w:fill="E1DFDD"/>
    </w:rPr>
  </w:style>
  <w:style w:type="character" w:customStyle="1" w:styleId="Mention1">
    <w:name w:val="Mention1"/>
    <w:basedOn w:val="DefaultParagraphFont"/>
    <w:uiPriority w:val="99"/>
    <w:unhideWhenUsed/>
    <w:rsid w:val="00272C8F"/>
    <w:rPr>
      <w:color w:val="2B579A"/>
      <w:shd w:val="clear" w:color="auto" w:fill="E1DFDD"/>
    </w:rPr>
  </w:style>
  <w:style w:type="character" w:customStyle="1" w:styleId="ui-provider">
    <w:name w:val="ui-provider"/>
    <w:basedOn w:val="DefaultParagraphFont"/>
    <w:rsid w:val="00054C9F"/>
  </w:style>
  <w:style w:type="character" w:customStyle="1" w:styleId="UnresolvedMention4">
    <w:name w:val="Unresolved Mention4"/>
    <w:basedOn w:val="DefaultParagraphFont"/>
    <w:uiPriority w:val="99"/>
    <w:semiHidden/>
    <w:unhideWhenUsed/>
    <w:rsid w:val="002C0CC0"/>
    <w:rPr>
      <w:color w:val="605E5C"/>
      <w:shd w:val="clear" w:color="auto" w:fill="E1DFDD"/>
    </w:rPr>
  </w:style>
  <w:style w:type="character" w:styleId="UnresolvedMention">
    <w:name w:val="Unresolved Mention"/>
    <w:basedOn w:val="DefaultParagraphFont"/>
    <w:uiPriority w:val="99"/>
    <w:semiHidden/>
    <w:unhideWhenUsed/>
    <w:rsid w:val="0038489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82529">
      <w:bodyDiv w:val="1"/>
      <w:marLeft w:val="0"/>
      <w:marRight w:val="0"/>
      <w:marTop w:val="0"/>
      <w:marBottom w:val="0"/>
      <w:divBdr>
        <w:top w:val="none" w:sz="0" w:space="0" w:color="auto"/>
        <w:left w:val="none" w:sz="0" w:space="0" w:color="auto"/>
        <w:bottom w:val="none" w:sz="0" w:space="0" w:color="auto"/>
        <w:right w:val="none" w:sz="0" w:space="0" w:color="auto"/>
      </w:divBdr>
    </w:div>
    <w:div w:id="3670804">
      <w:bodyDiv w:val="1"/>
      <w:marLeft w:val="0"/>
      <w:marRight w:val="0"/>
      <w:marTop w:val="0"/>
      <w:marBottom w:val="0"/>
      <w:divBdr>
        <w:top w:val="none" w:sz="0" w:space="0" w:color="auto"/>
        <w:left w:val="none" w:sz="0" w:space="0" w:color="auto"/>
        <w:bottom w:val="none" w:sz="0" w:space="0" w:color="auto"/>
        <w:right w:val="none" w:sz="0" w:space="0" w:color="auto"/>
      </w:divBdr>
    </w:div>
    <w:div w:id="3869184">
      <w:bodyDiv w:val="1"/>
      <w:marLeft w:val="0"/>
      <w:marRight w:val="0"/>
      <w:marTop w:val="0"/>
      <w:marBottom w:val="0"/>
      <w:divBdr>
        <w:top w:val="none" w:sz="0" w:space="0" w:color="auto"/>
        <w:left w:val="none" w:sz="0" w:space="0" w:color="auto"/>
        <w:bottom w:val="none" w:sz="0" w:space="0" w:color="auto"/>
        <w:right w:val="none" w:sz="0" w:space="0" w:color="auto"/>
      </w:divBdr>
    </w:div>
    <w:div w:id="7611053">
      <w:bodyDiv w:val="1"/>
      <w:marLeft w:val="0"/>
      <w:marRight w:val="0"/>
      <w:marTop w:val="0"/>
      <w:marBottom w:val="0"/>
      <w:divBdr>
        <w:top w:val="none" w:sz="0" w:space="0" w:color="auto"/>
        <w:left w:val="none" w:sz="0" w:space="0" w:color="auto"/>
        <w:bottom w:val="none" w:sz="0" w:space="0" w:color="auto"/>
        <w:right w:val="none" w:sz="0" w:space="0" w:color="auto"/>
      </w:divBdr>
    </w:div>
    <w:div w:id="8533500">
      <w:bodyDiv w:val="1"/>
      <w:marLeft w:val="0"/>
      <w:marRight w:val="0"/>
      <w:marTop w:val="0"/>
      <w:marBottom w:val="0"/>
      <w:divBdr>
        <w:top w:val="none" w:sz="0" w:space="0" w:color="auto"/>
        <w:left w:val="none" w:sz="0" w:space="0" w:color="auto"/>
        <w:bottom w:val="none" w:sz="0" w:space="0" w:color="auto"/>
        <w:right w:val="none" w:sz="0" w:space="0" w:color="auto"/>
      </w:divBdr>
    </w:div>
    <w:div w:id="10226500">
      <w:bodyDiv w:val="1"/>
      <w:marLeft w:val="0"/>
      <w:marRight w:val="0"/>
      <w:marTop w:val="0"/>
      <w:marBottom w:val="0"/>
      <w:divBdr>
        <w:top w:val="none" w:sz="0" w:space="0" w:color="auto"/>
        <w:left w:val="none" w:sz="0" w:space="0" w:color="auto"/>
        <w:bottom w:val="none" w:sz="0" w:space="0" w:color="auto"/>
        <w:right w:val="none" w:sz="0" w:space="0" w:color="auto"/>
      </w:divBdr>
    </w:div>
    <w:div w:id="10884508">
      <w:bodyDiv w:val="1"/>
      <w:marLeft w:val="0"/>
      <w:marRight w:val="0"/>
      <w:marTop w:val="0"/>
      <w:marBottom w:val="0"/>
      <w:divBdr>
        <w:top w:val="none" w:sz="0" w:space="0" w:color="auto"/>
        <w:left w:val="none" w:sz="0" w:space="0" w:color="auto"/>
        <w:bottom w:val="none" w:sz="0" w:space="0" w:color="auto"/>
        <w:right w:val="none" w:sz="0" w:space="0" w:color="auto"/>
      </w:divBdr>
    </w:div>
    <w:div w:id="17892881">
      <w:bodyDiv w:val="1"/>
      <w:marLeft w:val="0"/>
      <w:marRight w:val="0"/>
      <w:marTop w:val="0"/>
      <w:marBottom w:val="0"/>
      <w:divBdr>
        <w:top w:val="none" w:sz="0" w:space="0" w:color="auto"/>
        <w:left w:val="none" w:sz="0" w:space="0" w:color="auto"/>
        <w:bottom w:val="none" w:sz="0" w:space="0" w:color="auto"/>
        <w:right w:val="none" w:sz="0" w:space="0" w:color="auto"/>
      </w:divBdr>
    </w:div>
    <w:div w:id="18632710">
      <w:bodyDiv w:val="1"/>
      <w:marLeft w:val="0"/>
      <w:marRight w:val="0"/>
      <w:marTop w:val="0"/>
      <w:marBottom w:val="0"/>
      <w:divBdr>
        <w:top w:val="none" w:sz="0" w:space="0" w:color="auto"/>
        <w:left w:val="none" w:sz="0" w:space="0" w:color="auto"/>
        <w:bottom w:val="none" w:sz="0" w:space="0" w:color="auto"/>
        <w:right w:val="none" w:sz="0" w:space="0" w:color="auto"/>
      </w:divBdr>
    </w:div>
    <w:div w:id="19163949">
      <w:bodyDiv w:val="1"/>
      <w:marLeft w:val="0"/>
      <w:marRight w:val="0"/>
      <w:marTop w:val="0"/>
      <w:marBottom w:val="0"/>
      <w:divBdr>
        <w:top w:val="none" w:sz="0" w:space="0" w:color="auto"/>
        <w:left w:val="none" w:sz="0" w:space="0" w:color="auto"/>
        <w:bottom w:val="none" w:sz="0" w:space="0" w:color="auto"/>
        <w:right w:val="none" w:sz="0" w:space="0" w:color="auto"/>
      </w:divBdr>
    </w:div>
    <w:div w:id="19862373">
      <w:bodyDiv w:val="1"/>
      <w:marLeft w:val="0"/>
      <w:marRight w:val="0"/>
      <w:marTop w:val="0"/>
      <w:marBottom w:val="0"/>
      <w:divBdr>
        <w:top w:val="none" w:sz="0" w:space="0" w:color="auto"/>
        <w:left w:val="none" w:sz="0" w:space="0" w:color="auto"/>
        <w:bottom w:val="none" w:sz="0" w:space="0" w:color="auto"/>
        <w:right w:val="none" w:sz="0" w:space="0" w:color="auto"/>
      </w:divBdr>
    </w:div>
    <w:div w:id="23673873">
      <w:bodyDiv w:val="1"/>
      <w:marLeft w:val="0"/>
      <w:marRight w:val="0"/>
      <w:marTop w:val="0"/>
      <w:marBottom w:val="0"/>
      <w:divBdr>
        <w:top w:val="none" w:sz="0" w:space="0" w:color="auto"/>
        <w:left w:val="none" w:sz="0" w:space="0" w:color="auto"/>
        <w:bottom w:val="none" w:sz="0" w:space="0" w:color="auto"/>
        <w:right w:val="none" w:sz="0" w:space="0" w:color="auto"/>
      </w:divBdr>
    </w:div>
    <w:div w:id="27611566">
      <w:bodyDiv w:val="1"/>
      <w:marLeft w:val="0"/>
      <w:marRight w:val="0"/>
      <w:marTop w:val="0"/>
      <w:marBottom w:val="0"/>
      <w:divBdr>
        <w:top w:val="none" w:sz="0" w:space="0" w:color="auto"/>
        <w:left w:val="none" w:sz="0" w:space="0" w:color="auto"/>
        <w:bottom w:val="none" w:sz="0" w:space="0" w:color="auto"/>
        <w:right w:val="none" w:sz="0" w:space="0" w:color="auto"/>
      </w:divBdr>
    </w:div>
    <w:div w:id="31537542">
      <w:bodyDiv w:val="1"/>
      <w:marLeft w:val="0"/>
      <w:marRight w:val="0"/>
      <w:marTop w:val="0"/>
      <w:marBottom w:val="0"/>
      <w:divBdr>
        <w:top w:val="none" w:sz="0" w:space="0" w:color="auto"/>
        <w:left w:val="none" w:sz="0" w:space="0" w:color="auto"/>
        <w:bottom w:val="none" w:sz="0" w:space="0" w:color="auto"/>
        <w:right w:val="none" w:sz="0" w:space="0" w:color="auto"/>
      </w:divBdr>
    </w:div>
    <w:div w:id="33425804">
      <w:bodyDiv w:val="1"/>
      <w:marLeft w:val="0"/>
      <w:marRight w:val="0"/>
      <w:marTop w:val="0"/>
      <w:marBottom w:val="0"/>
      <w:divBdr>
        <w:top w:val="none" w:sz="0" w:space="0" w:color="auto"/>
        <w:left w:val="none" w:sz="0" w:space="0" w:color="auto"/>
        <w:bottom w:val="none" w:sz="0" w:space="0" w:color="auto"/>
        <w:right w:val="none" w:sz="0" w:space="0" w:color="auto"/>
      </w:divBdr>
    </w:div>
    <w:div w:id="36509850">
      <w:bodyDiv w:val="1"/>
      <w:marLeft w:val="0"/>
      <w:marRight w:val="0"/>
      <w:marTop w:val="0"/>
      <w:marBottom w:val="0"/>
      <w:divBdr>
        <w:top w:val="none" w:sz="0" w:space="0" w:color="auto"/>
        <w:left w:val="none" w:sz="0" w:space="0" w:color="auto"/>
        <w:bottom w:val="none" w:sz="0" w:space="0" w:color="auto"/>
        <w:right w:val="none" w:sz="0" w:space="0" w:color="auto"/>
      </w:divBdr>
    </w:div>
    <w:div w:id="37828986">
      <w:bodyDiv w:val="1"/>
      <w:marLeft w:val="0"/>
      <w:marRight w:val="0"/>
      <w:marTop w:val="0"/>
      <w:marBottom w:val="0"/>
      <w:divBdr>
        <w:top w:val="none" w:sz="0" w:space="0" w:color="auto"/>
        <w:left w:val="none" w:sz="0" w:space="0" w:color="auto"/>
        <w:bottom w:val="none" w:sz="0" w:space="0" w:color="auto"/>
        <w:right w:val="none" w:sz="0" w:space="0" w:color="auto"/>
      </w:divBdr>
    </w:div>
    <w:div w:id="38480933">
      <w:bodyDiv w:val="1"/>
      <w:marLeft w:val="0"/>
      <w:marRight w:val="0"/>
      <w:marTop w:val="0"/>
      <w:marBottom w:val="0"/>
      <w:divBdr>
        <w:top w:val="none" w:sz="0" w:space="0" w:color="auto"/>
        <w:left w:val="none" w:sz="0" w:space="0" w:color="auto"/>
        <w:bottom w:val="none" w:sz="0" w:space="0" w:color="auto"/>
        <w:right w:val="none" w:sz="0" w:space="0" w:color="auto"/>
      </w:divBdr>
    </w:div>
    <w:div w:id="38936793">
      <w:bodyDiv w:val="1"/>
      <w:marLeft w:val="0"/>
      <w:marRight w:val="0"/>
      <w:marTop w:val="0"/>
      <w:marBottom w:val="0"/>
      <w:divBdr>
        <w:top w:val="none" w:sz="0" w:space="0" w:color="auto"/>
        <w:left w:val="none" w:sz="0" w:space="0" w:color="auto"/>
        <w:bottom w:val="none" w:sz="0" w:space="0" w:color="auto"/>
        <w:right w:val="none" w:sz="0" w:space="0" w:color="auto"/>
      </w:divBdr>
    </w:div>
    <w:div w:id="39786332">
      <w:bodyDiv w:val="1"/>
      <w:marLeft w:val="0"/>
      <w:marRight w:val="0"/>
      <w:marTop w:val="0"/>
      <w:marBottom w:val="0"/>
      <w:divBdr>
        <w:top w:val="none" w:sz="0" w:space="0" w:color="auto"/>
        <w:left w:val="none" w:sz="0" w:space="0" w:color="auto"/>
        <w:bottom w:val="none" w:sz="0" w:space="0" w:color="auto"/>
        <w:right w:val="none" w:sz="0" w:space="0" w:color="auto"/>
      </w:divBdr>
    </w:div>
    <w:div w:id="41906098">
      <w:bodyDiv w:val="1"/>
      <w:marLeft w:val="0"/>
      <w:marRight w:val="0"/>
      <w:marTop w:val="0"/>
      <w:marBottom w:val="0"/>
      <w:divBdr>
        <w:top w:val="none" w:sz="0" w:space="0" w:color="auto"/>
        <w:left w:val="none" w:sz="0" w:space="0" w:color="auto"/>
        <w:bottom w:val="none" w:sz="0" w:space="0" w:color="auto"/>
        <w:right w:val="none" w:sz="0" w:space="0" w:color="auto"/>
      </w:divBdr>
    </w:div>
    <w:div w:id="52193870">
      <w:bodyDiv w:val="1"/>
      <w:marLeft w:val="0"/>
      <w:marRight w:val="0"/>
      <w:marTop w:val="0"/>
      <w:marBottom w:val="0"/>
      <w:divBdr>
        <w:top w:val="none" w:sz="0" w:space="0" w:color="auto"/>
        <w:left w:val="none" w:sz="0" w:space="0" w:color="auto"/>
        <w:bottom w:val="none" w:sz="0" w:space="0" w:color="auto"/>
        <w:right w:val="none" w:sz="0" w:space="0" w:color="auto"/>
      </w:divBdr>
    </w:div>
    <w:div w:id="54358588">
      <w:bodyDiv w:val="1"/>
      <w:marLeft w:val="0"/>
      <w:marRight w:val="0"/>
      <w:marTop w:val="0"/>
      <w:marBottom w:val="0"/>
      <w:divBdr>
        <w:top w:val="none" w:sz="0" w:space="0" w:color="auto"/>
        <w:left w:val="none" w:sz="0" w:space="0" w:color="auto"/>
        <w:bottom w:val="none" w:sz="0" w:space="0" w:color="auto"/>
        <w:right w:val="none" w:sz="0" w:space="0" w:color="auto"/>
      </w:divBdr>
    </w:div>
    <w:div w:id="56173539">
      <w:bodyDiv w:val="1"/>
      <w:marLeft w:val="0"/>
      <w:marRight w:val="0"/>
      <w:marTop w:val="0"/>
      <w:marBottom w:val="0"/>
      <w:divBdr>
        <w:top w:val="none" w:sz="0" w:space="0" w:color="auto"/>
        <w:left w:val="none" w:sz="0" w:space="0" w:color="auto"/>
        <w:bottom w:val="none" w:sz="0" w:space="0" w:color="auto"/>
        <w:right w:val="none" w:sz="0" w:space="0" w:color="auto"/>
      </w:divBdr>
    </w:div>
    <w:div w:id="56975039">
      <w:bodyDiv w:val="1"/>
      <w:marLeft w:val="0"/>
      <w:marRight w:val="0"/>
      <w:marTop w:val="0"/>
      <w:marBottom w:val="0"/>
      <w:divBdr>
        <w:top w:val="none" w:sz="0" w:space="0" w:color="auto"/>
        <w:left w:val="none" w:sz="0" w:space="0" w:color="auto"/>
        <w:bottom w:val="none" w:sz="0" w:space="0" w:color="auto"/>
        <w:right w:val="none" w:sz="0" w:space="0" w:color="auto"/>
      </w:divBdr>
    </w:div>
    <w:div w:id="57435665">
      <w:bodyDiv w:val="1"/>
      <w:marLeft w:val="0"/>
      <w:marRight w:val="0"/>
      <w:marTop w:val="0"/>
      <w:marBottom w:val="0"/>
      <w:divBdr>
        <w:top w:val="none" w:sz="0" w:space="0" w:color="auto"/>
        <w:left w:val="none" w:sz="0" w:space="0" w:color="auto"/>
        <w:bottom w:val="none" w:sz="0" w:space="0" w:color="auto"/>
        <w:right w:val="none" w:sz="0" w:space="0" w:color="auto"/>
      </w:divBdr>
    </w:div>
    <w:div w:id="59402871">
      <w:bodyDiv w:val="1"/>
      <w:marLeft w:val="0"/>
      <w:marRight w:val="0"/>
      <w:marTop w:val="0"/>
      <w:marBottom w:val="0"/>
      <w:divBdr>
        <w:top w:val="none" w:sz="0" w:space="0" w:color="auto"/>
        <w:left w:val="none" w:sz="0" w:space="0" w:color="auto"/>
        <w:bottom w:val="none" w:sz="0" w:space="0" w:color="auto"/>
        <w:right w:val="none" w:sz="0" w:space="0" w:color="auto"/>
      </w:divBdr>
    </w:div>
    <w:div w:id="61299227">
      <w:bodyDiv w:val="1"/>
      <w:marLeft w:val="0"/>
      <w:marRight w:val="0"/>
      <w:marTop w:val="0"/>
      <w:marBottom w:val="0"/>
      <w:divBdr>
        <w:top w:val="none" w:sz="0" w:space="0" w:color="auto"/>
        <w:left w:val="none" w:sz="0" w:space="0" w:color="auto"/>
        <w:bottom w:val="none" w:sz="0" w:space="0" w:color="auto"/>
        <w:right w:val="none" w:sz="0" w:space="0" w:color="auto"/>
      </w:divBdr>
    </w:div>
    <w:div w:id="63916394">
      <w:bodyDiv w:val="1"/>
      <w:marLeft w:val="0"/>
      <w:marRight w:val="0"/>
      <w:marTop w:val="0"/>
      <w:marBottom w:val="0"/>
      <w:divBdr>
        <w:top w:val="none" w:sz="0" w:space="0" w:color="auto"/>
        <w:left w:val="none" w:sz="0" w:space="0" w:color="auto"/>
        <w:bottom w:val="none" w:sz="0" w:space="0" w:color="auto"/>
        <w:right w:val="none" w:sz="0" w:space="0" w:color="auto"/>
      </w:divBdr>
    </w:div>
    <w:div w:id="65305312">
      <w:bodyDiv w:val="1"/>
      <w:marLeft w:val="0"/>
      <w:marRight w:val="0"/>
      <w:marTop w:val="0"/>
      <w:marBottom w:val="0"/>
      <w:divBdr>
        <w:top w:val="none" w:sz="0" w:space="0" w:color="auto"/>
        <w:left w:val="none" w:sz="0" w:space="0" w:color="auto"/>
        <w:bottom w:val="none" w:sz="0" w:space="0" w:color="auto"/>
        <w:right w:val="none" w:sz="0" w:space="0" w:color="auto"/>
      </w:divBdr>
    </w:div>
    <w:div w:id="65613875">
      <w:bodyDiv w:val="1"/>
      <w:marLeft w:val="0"/>
      <w:marRight w:val="0"/>
      <w:marTop w:val="0"/>
      <w:marBottom w:val="0"/>
      <w:divBdr>
        <w:top w:val="none" w:sz="0" w:space="0" w:color="auto"/>
        <w:left w:val="none" w:sz="0" w:space="0" w:color="auto"/>
        <w:bottom w:val="none" w:sz="0" w:space="0" w:color="auto"/>
        <w:right w:val="none" w:sz="0" w:space="0" w:color="auto"/>
      </w:divBdr>
    </w:div>
    <w:div w:id="67461376">
      <w:bodyDiv w:val="1"/>
      <w:marLeft w:val="0"/>
      <w:marRight w:val="0"/>
      <w:marTop w:val="0"/>
      <w:marBottom w:val="0"/>
      <w:divBdr>
        <w:top w:val="none" w:sz="0" w:space="0" w:color="auto"/>
        <w:left w:val="none" w:sz="0" w:space="0" w:color="auto"/>
        <w:bottom w:val="none" w:sz="0" w:space="0" w:color="auto"/>
        <w:right w:val="none" w:sz="0" w:space="0" w:color="auto"/>
      </w:divBdr>
    </w:div>
    <w:div w:id="67581523">
      <w:bodyDiv w:val="1"/>
      <w:marLeft w:val="0"/>
      <w:marRight w:val="0"/>
      <w:marTop w:val="0"/>
      <w:marBottom w:val="0"/>
      <w:divBdr>
        <w:top w:val="none" w:sz="0" w:space="0" w:color="auto"/>
        <w:left w:val="none" w:sz="0" w:space="0" w:color="auto"/>
        <w:bottom w:val="none" w:sz="0" w:space="0" w:color="auto"/>
        <w:right w:val="none" w:sz="0" w:space="0" w:color="auto"/>
      </w:divBdr>
    </w:div>
    <w:div w:id="68042139">
      <w:bodyDiv w:val="1"/>
      <w:marLeft w:val="0"/>
      <w:marRight w:val="0"/>
      <w:marTop w:val="0"/>
      <w:marBottom w:val="0"/>
      <w:divBdr>
        <w:top w:val="none" w:sz="0" w:space="0" w:color="auto"/>
        <w:left w:val="none" w:sz="0" w:space="0" w:color="auto"/>
        <w:bottom w:val="none" w:sz="0" w:space="0" w:color="auto"/>
        <w:right w:val="none" w:sz="0" w:space="0" w:color="auto"/>
      </w:divBdr>
    </w:div>
    <w:div w:id="70739919">
      <w:bodyDiv w:val="1"/>
      <w:marLeft w:val="0"/>
      <w:marRight w:val="0"/>
      <w:marTop w:val="0"/>
      <w:marBottom w:val="0"/>
      <w:divBdr>
        <w:top w:val="none" w:sz="0" w:space="0" w:color="auto"/>
        <w:left w:val="none" w:sz="0" w:space="0" w:color="auto"/>
        <w:bottom w:val="none" w:sz="0" w:space="0" w:color="auto"/>
        <w:right w:val="none" w:sz="0" w:space="0" w:color="auto"/>
      </w:divBdr>
    </w:div>
    <w:div w:id="71658662">
      <w:bodyDiv w:val="1"/>
      <w:marLeft w:val="0"/>
      <w:marRight w:val="0"/>
      <w:marTop w:val="0"/>
      <w:marBottom w:val="0"/>
      <w:divBdr>
        <w:top w:val="none" w:sz="0" w:space="0" w:color="auto"/>
        <w:left w:val="none" w:sz="0" w:space="0" w:color="auto"/>
        <w:bottom w:val="none" w:sz="0" w:space="0" w:color="auto"/>
        <w:right w:val="none" w:sz="0" w:space="0" w:color="auto"/>
      </w:divBdr>
    </w:div>
    <w:div w:id="73625456">
      <w:bodyDiv w:val="1"/>
      <w:marLeft w:val="0"/>
      <w:marRight w:val="0"/>
      <w:marTop w:val="0"/>
      <w:marBottom w:val="0"/>
      <w:divBdr>
        <w:top w:val="none" w:sz="0" w:space="0" w:color="auto"/>
        <w:left w:val="none" w:sz="0" w:space="0" w:color="auto"/>
        <w:bottom w:val="none" w:sz="0" w:space="0" w:color="auto"/>
        <w:right w:val="none" w:sz="0" w:space="0" w:color="auto"/>
      </w:divBdr>
    </w:div>
    <w:div w:id="75439687">
      <w:bodyDiv w:val="1"/>
      <w:marLeft w:val="0"/>
      <w:marRight w:val="0"/>
      <w:marTop w:val="0"/>
      <w:marBottom w:val="0"/>
      <w:divBdr>
        <w:top w:val="none" w:sz="0" w:space="0" w:color="auto"/>
        <w:left w:val="none" w:sz="0" w:space="0" w:color="auto"/>
        <w:bottom w:val="none" w:sz="0" w:space="0" w:color="auto"/>
        <w:right w:val="none" w:sz="0" w:space="0" w:color="auto"/>
      </w:divBdr>
    </w:div>
    <w:div w:id="77748190">
      <w:bodyDiv w:val="1"/>
      <w:marLeft w:val="0"/>
      <w:marRight w:val="0"/>
      <w:marTop w:val="0"/>
      <w:marBottom w:val="0"/>
      <w:divBdr>
        <w:top w:val="none" w:sz="0" w:space="0" w:color="auto"/>
        <w:left w:val="none" w:sz="0" w:space="0" w:color="auto"/>
        <w:bottom w:val="none" w:sz="0" w:space="0" w:color="auto"/>
        <w:right w:val="none" w:sz="0" w:space="0" w:color="auto"/>
      </w:divBdr>
    </w:div>
    <w:div w:id="78411948">
      <w:bodyDiv w:val="1"/>
      <w:marLeft w:val="0"/>
      <w:marRight w:val="0"/>
      <w:marTop w:val="0"/>
      <w:marBottom w:val="0"/>
      <w:divBdr>
        <w:top w:val="none" w:sz="0" w:space="0" w:color="auto"/>
        <w:left w:val="none" w:sz="0" w:space="0" w:color="auto"/>
        <w:bottom w:val="none" w:sz="0" w:space="0" w:color="auto"/>
        <w:right w:val="none" w:sz="0" w:space="0" w:color="auto"/>
      </w:divBdr>
    </w:div>
    <w:div w:id="79103140">
      <w:bodyDiv w:val="1"/>
      <w:marLeft w:val="0"/>
      <w:marRight w:val="0"/>
      <w:marTop w:val="0"/>
      <w:marBottom w:val="0"/>
      <w:divBdr>
        <w:top w:val="none" w:sz="0" w:space="0" w:color="auto"/>
        <w:left w:val="none" w:sz="0" w:space="0" w:color="auto"/>
        <w:bottom w:val="none" w:sz="0" w:space="0" w:color="auto"/>
        <w:right w:val="none" w:sz="0" w:space="0" w:color="auto"/>
      </w:divBdr>
    </w:div>
    <w:div w:id="83962819">
      <w:bodyDiv w:val="1"/>
      <w:marLeft w:val="0"/>
      <w:marRight w:val="0"/>
      <w:marTop w:val="0"/>
      <w:marBottom w:val="0"/>
      <w:divBdr>
        <w:top w:val="none" w:sz="0" w:space="0" w:color="auto"/>
        <w:left w:val="none" w:sz="0" w:space="0" w:color="auto"/>
        <w:bottom w:val="none" w:sz="0" w:space="0" w:color="auto"/>
        <w:right w:val="none" w:sz="0" w:space="0" w:color="auto"/>
      </w:divBdr>
    </w:div>
    <w:div w:id="89352732">
      <w:bodyDiv w:val="1"/>
      <w:marLeft w:val="0"/>
      <w:marRight w:val="0"/>
      <w:marTop w:val="0"/>
      <w:marBottom w:val="0"/>
      <w:divBdr>
        <w:top w:val="none" w:sz="0" w:space="0" w:color="auto"/>
        <w:left w:val="none" w:sz="0" w:space="0" w:color="auto"/>
        <w:bottom w:val="none" w:sz="0" w:space="0" w:color="auto"/>
        <w:right w:val="none" w:sz="0" w:space="0" w:color="auto"/>
      </w:divBdr>
    </w:div>
    <w:div w:id="98062093">
      <w:bodyDiv w:val="1"/>
      <w:marLeft w:val="0"/>
      <w:marRight w:val="0"/>
      <w:marTop w:val="0"/>
      <w:marBottom w:val="0"/>
      <w:divBdr>
        <w:top w:val="none" w:sz="0" w:space="0" w:color="auto"/>
        <w:left w:val="none" w:sz="0" w:space="0" w:color="auto"/>
        <w:bottom w:val="none" w:sz="0" w:space="0" w:color="auto"/>
        <w:right w:val="none" w:sz="0" w:space="0" w:color="auto"/>
      </w:divBdr>
    </w:div>
    <w:div w:id="99685571">
      <w:bodyDiv w:val="1"/>
      <w:marLeft w:val="0"/>
      <w:marRight w:val="0"/>
      <w:marTop w:val="0"/>
      <w:marBottom w:val="0"/>
      <w:divBdr>
        <w:top w:val="none" w:sz="0" w:space="0" w:color="auto"/>
        <w:left w:val="none" w:sz="0" w:space="0" w:color="auto"/>
        <w:bottom w:val="none" w:sz="0" w:space="0" w:color="auto"/>
        <w:right w:val="none" w:sz="0" w:space="0" w:color="auto"/>
      </w:divBdr>
    </w:div>
    <w:div w:id="104934198">
      <w:bodyDiv w:val="1"/>
      <w:marLeft w:val="0"/>
      <w:marRight w:val="0"/>
      <w:marTop w:val="0"/>
      <w:marBottom w:val="0"/>
      <w:divBdr>
        <w:top w:val="none" w:sz="0" w:space="0" w:color="auto"/>
        <w:left w:val="none" w:sz="0" w:space="0" w:color="auto"/>
        <w:bottom w:val="none" w:sz="0" w:space="0" w:color="auto"/>
        <w:right w:val="none" w:sz="0" w:space="0" w:color="auto"/>
      </w:divBdr>
    </w:div>
    <w:div w:id="105662842">
      <w:bodyDiv w:val="1"/>
      <w:marLeft w:val="0"/>
      <w:marRight w:val="0"/>
      <w:marTop w:val="0"/>
      <w:marBottom w:val="0"/>
      <w:divBdr>
        <w:top w:val="none" w:sz="0" w:space="0" w:color="auto"/>
        <w:left w:val="none" w:sz="0" w:space="0" w:color="auto"/>
        <w:bottom w:val="none" w:sz="0" w:space="0" w:color="auto"/>
        <w:right w:val="none" w:sz="0" w:space="0" w:color="auto"/>
      </w:divBdr>
    </w:div>
    <w:div w:id="107284988">
      <w:bodyDiv w:val="1"/>
      <w:marLeft w:val="0"/>
      <w:marRight w:val="0"/>
      <w:marTop w:val="0"/>
      <w:marBottom w:val="0"/>
      <w:divBdr>
        <w:top w:val="none" w:sz="0" w:space="0" w:color="auto"/>
        <w:left w:val="none" w:sz="0" w:space="0" w:color="auto"/>
        <w:bottom w:val="none" w:sz="0" w:space="0" w:color="auto"/>
        <w:right w:val="none" w:sz="0" w:space="0" w:color="auto"/>
      </w:divBdr>
    </w:div>
    <w:div w:id="110169532">
      <w:bodyDiv w:val="1"/>
      <w:marLeft w:val="0"/>
      <w:marRight w:val="0"/>
      <w:marTop w:val="0"/>
      <w:marBottom w:val="0"/>
      <w:divBdr>
        <w:top w:val="none" w:sz="0" w:space="0" w:color="auto"/>
        <w:left w:val="none" w:sz="0" w:space="0" w:color="auto"/>
        <w:bottom w:val="none" w:sz="0" w:space="0" w:color="auto"/>
        <w:right w:val="none" w:sz="0" w:space="0" w:color="auto"/>
      </w:divBdr>
    </w:div>
    <w:div w:id="110445409">
      <w:bodyDiv w:val="1"/>
      <w:marLeft w:val="0"/>
      <w:marRight w:val="0"/>
      <w:marTop w:val="0"/>
      <w:marBottom w:val="0"/>
      <w:divBdr>
        <w:top w:val="none" w:sz="0" w:space="0" w:color="auto"/>
        <w:left w:val="none" w:sz="0" w:space="0" w:color="auto"/>
        <w:bottom w:val="none" w:sz="0" w:space="0" w:color="auto"/>
        <w:right w:val="none" w:sz="0" w:space="0" w:color="auto"/>
      </w:divBdr>
    </w:div>
    <w:div w:id="115805067">
      <w:bodyDiv w:val="1"/>
      <w:marLeft w:val="0"/>
      <w:marRight w:val="0"/>
      <w:marTop w:val="0"/>
      <w:marBottom w:val="0"/>
      <w:divBdr>
        <w:top w:val="none" w:sz="0" w:space="0" w:color="auto"/>
        <w:left w:val="none" w:sz="0" w:space="0" w:color="auto"/>
        <w:bottom w:val="none" w:sz="0" w:space="0" w:color="auto"/>
        <w:right w:val="none" w:sz="0" w:space="0" w:color="auto"/>
      </w:divBdr>
    </w:div>
    <w:div w:id="117067699">
      <w:bodyDiv w:val="1"/>
      <w:marLeft w:val="0"/>
      <w:marRight w:val="0"/>
      <w:marTop w:val="0"/>
      <w:marBottom w:val="0"/>
      <w:divBdr>
        <w:top w:val="none" w:sz="0" w:space="0" w:color="auto"/>
        <w:left w:val="none" w:sz="0" w:space="0" w:color="auto"/>
        <w:bottom w:val="none" w:sz="0" w:space="0" w:color="auto"/>
        <w:right w:val="none" w:sz="0" w:space="0" w:color="auto"/>
      </w:divBdr>
    </w:div>
    <w:div w:id="117646109">
      <w:bodyDiv w:val="1"/>
      <w:marLeft w:val="0"/>
      <w:marRight w:val="0"/>
      <w:marTop w:val="0"/>
      <w:marBottom w:val="0"/>
      <w:divBdr>
        <w:top w:val="none" w:sz="0" w:space="0" w:color="auto"/>
        <w:left w:val="none" w:sz="0" w:space="0" w:color="auto"/>
        <w:bottom w:val="none" w:sz="0" w:space="0" w:color="auto"/>
        <w:right w:val="none" w:sz="0" w:space="0" w:color="auto"/>
      </w:divBdr>
    </w:div>
    <w:div w:id="123423844">
      <w:bodyDiv w:val="1"/>
      <w:marLeft w:val="0"/>
      <w:marRight w:val="0"/>
      <w:marTop w:val="0"/>
      <w:marBottom w:val="0"/>
      <w:divBdr>
        <w:top w:val="none" w:sz="0" w:space="0" w:color="auto"/>
        <w:left w:val="none" w:sz="0" w:space="0" w:color="auto"/>
        <w:bottom w:val="none" w:sz="0" w:space="0" w:color="auto"/>
        <w:right w:val="none" w:sz="0" w:space="0" w:color="auto"/>
      </w:divBdr>
    </w:div>
    <w:div w:id="125242055">
      <w:bodyDiv w:val="1"/>
      <w:marLeft w:val="0"/>
      <w:marRight w:val="0"/>
      <w:marTop w:val="0"/>
      <w:marBottom w:val="0"/>
      <w:divBdr>
        <w:top w:val="none" w:sz="0" w:space="0" w:color="auto"/>
        <w:left w:val="none" w:sz="0" w:space="0" w:color="auto"/>
        <w:bottom w:val="none" w:sz="0" w:space="0" w:color="auto"/>
        <w:right w:val="none" w:sz="0" w:space="0" w:color="auto"/>
      </w:divBdr>
    </w:div>
    <w:div w:id="126704690">
      <w:bodyDiv w:val="1"/>
      <w:marLeft w:val="0"/>
      <w:marRight w:val="0"/>
      <w:marTop w:val="0"/>
      <w:marBottom w:val="0"/>
      <w:divBdr>
        <w:top w:val="none" w:sz="0" w:space="0" w:color="auto"/>
        <w:left w:val="none" w:sz="0" w:space="0" w:color="auto"/>
        <w:bottom w:val="none" w:sz="0" w:space="0" w:color="auto"/>
        <w:right w:val="none" w:sz="0" w:space="0" w:color="auto"/>
      </w:divBdr>
    </w:div>
    <w:div w:id="129982693">
      <w:bodyDiv w:val="1"/>
      <w:marLeft w:val="0"/>
      <w:marRight w:val="0"/>
      <w:marTop w:val="0"/>
      <w:marBottom w:val="0"/>
      <w:divBdr>
        <w:top w:val="none" w:sz="0" w:space="0" w:color="auto"/>
        <w:left w:val="none" w:sz="0" w:space="0" w:color="auto"/>
        <w:bottom w:val="none" w:sz="0" w:space="0" w:color="auto"/>
        <w:right w:val="none" w:sz="0" w:space="0" w:color="auto"/>
      </w:divBdr>
    </w:div>
    <w:div w:id="130055281">
      <w:bodyDiv w:val="1"/>
      <w:marLeft w:val="0"/>
      <w:marRight w:val="0"/>
      <w:marTop w:val="0"/>
      <w:marBottom w:val="0"/>
      <w:divBdr>
        <w:top w:val="none" w:sz="0" w:space="0" w:color="auto"/>
        <w:left w:val="none" w:sz="0" w:space="0" w:color="auto"/>
        <w:bottom w:val="none" w:sz="0" w:space="0" w:color="auto"/>
        <w:right w:val="none" w:sz="0" w:space="0" w:color="auto"/>
      </w:divBdr>
    </w:div>
    <w:div w:id="130367663">
      <w:bodyDiv w:val="1"/>
      <w:marLeft w:val="0"/>
      <w:marRight w:val="0"/>
      <w:marTop w:val="0"/>
      <w:marBottom w:val="0"/>
      <w:divBdr>
        <w:top w:val="none" w:sz="0" w:space="0" w:color="auto"/>
        <w:left w:val="none" w:sz="0" w:space="0" w:color="auto"/>
        <w:bottom w:val="none" w:sz="0" w:space="0" w:color="auto"/>
        <w:right w:val="none" w:sz="0" w:space="0" w:color="auto"/>
      </w:divBdr>
    </w:div>
    <w:div w:id="135725752">
      <w:bodyDiv w:val="1"/>
      <w:marLeft w:val="0"/>
      <w:marRight w:val="0"/>
      <w:marTop w:val="0"/>
      <w:marBottom w:val="0"/>
      <w:divBdr>
        <w:top w:val="none" w:sz="0" w:space="0" w:color="auto"/>
        <w:left w:val="none" w:sz="0" w:space="0" w:color="auto"/>
        <w:bottom w:val="none" w:sz="0" w:space="0" w:color="auto"/>
        <w:right w:val="none" w:sz="0" w:space="0" w:color="auto"/>
      </w:divBdr>
    </w:div>
    <w:div w:id="136267975">
      <w:bodyDiv w:val="1"/>
      <w:marLeft w:val="0"/>
      <w:marRight w:val="0"/>
      <w:marTop w:val="0"/>
      <w:marBottom w:val="0"/>
      <w:divBdr>
        <w:top w:val="none" w:sz="0" w:space="0" w:color="auto"/>
        <w:left w:val="none" w:sz="0" w:space="0" w:color="auto"/>
        <w:bottom w:val="none" w:sz="0" w:space="0" w:color="auto"/>
        <w:right w:val="none" w:sz="0" w:space="0" w:color="auto"/>
      </w:divBdr>
    </w:div>
    <w:div w:id="138884221">
      <w:bodyDiv w:val="1"/>
      <w:marLeft w:val="0"/>
      <w:marRight w:val="0"/>
      <w:marTop w:val="0"/>
      <w:marBottom w:val="0"/>
      <w:divBdr>
        <w:top w:val="none" w:sz="0" w:space="0" w:color="auto"/>
        <w:left w:val="none" w:sz="0" w:space="0" w:color="auto"/>
        <w:bottom w:val="none" w:sz="0" w:space="0" w:color="auto"/>
        <w:right w:val="none" w:sz="0" w:space="0" w:color="auto"/>
      </w:divBdr>
    </w:div>
    <w:div w:id="140317860">
      <w:bodyDiv w:val="1"/>
      <w:marLeft w:val="0"/>
      <w:marRight w:val="0"/>
      <w:marTop w:val="0"/>
      <w:marBottom w:val="0"/>
      <w:divBdr>
        <w:top w:val="none" w:sz="0" w:space="0" w:color="auto"/>
        <w:left w:val="none" w:sz="0" w:space="0" w:color="auto"/>
        <w:bottom w:val="none" w:sz="0" w:space="0" w:color="auto"/>
        <w:right w:val="none" w:sz="0" w:space="0" w:color="auto"/>
      </w:divBdr>
    </w:div>
    <w:div w:id="142427659">
      <w:bodyDiv w:val="1"/>
      <w:marLeft w:val="0"/>
      <w:marRight w:val="0"/>
      <w:marTop w:val="0"/>
      <w:marBottom w:val="0"/>
      <w:divBdr>
        <w:top w:val="none" w:sz="0" w:space="0" w:color="auto"/>
        <w:left w:val="none" w:sz="0" w:space="0" w:color="auto"/>
        <w:bottom w:val="none" w:sz="0" w:space="0" w:color="auto"/>
        <w:right w:val="none" w:sz="0" w:space="0" w:color="auto"/>
      </w:divBdr>
    </w:div>
    <w:div w:id="144712890">
      <w:bodyDiv w:val="1"/>
      <w:marLeft w:val="0"/>
      <w:marRight w:val="0"/>
      <w:marTop w:val="0"/>
      <w:marBottom w:val="0"/>
      <w:divBdr>
        <w:top w:val="none" w:sz="0" w:space="0" w:color="auto"/>
        <w:left w:val="none" w:sz="0" w:space="0" w:color="auto"/>
        <w:bottom w:val="none" w:sz="0" w:space="0" w:color="auto"/>
        <w:right w:val="none" w:sz="0" w:space="0" w:color="auto"/>
      </w:divBdr>
    </w:div>
    <w:div w:id="145509732">
      <w:bodyDiv w:val="1"/>
      <w:marLeft w:val="0"/>
      <w:marRight w:val="0"/>
      <w:marTop w:val="0"/>
      <w:marBottom w:val="0"/>
      <w:divBdr>
        <w:top w:val="none" w:sz="0" w:space="0" w:color="auto"/>
        <w:left w:val="none" w:sz="0" w:space="0" w:color="auto"/>
        <w:bottom w:val="none" w:sz="0" w:space="0" w:color="auto"/>
        <w:right w:val="none" w:sz="0" w:space="0" w:color="auto"/>
      </w:divBdr>
    </w:div>
    <w:div w:id="148904132">
      <w:bodyDiv w:val="1"/>
      <w:marLeft w:val="0"/>
      <w:marRight w:val="0"/>
      <w:marTop w:val="0"/>
      <w:marBottom w:val="0"/>
      <w:divBdr>
        <w:top w:val="none" w:sz="0" w:space="0" w:color="auto"/>
        <w:left w:val="none" w:sz="0" w:space="0" w:color="auto"/>
        <w:bottom w:val="none" w:sz="0" w:space="0" w:color="auto"/>
        <w:right w:val="none" w:sz="0" w:space="0" w:color="auto"/>
      </w:divBdr>
    </w:div>
    <w:div w:id="151261415">
      <w:bodyDiv w:val="1"/>
      <w:marLeft w:val="0"/>
      <w:marRight w:val="0"/>
      <w:marTop w:val="0"/>
      <w:marBottom w:val="0"/>
      <w:divBdr>
        <w:top w:val="none" w:sz="0" w:space="0" w:color="auto"/>
        <w:left w:val="none" w:sz="0" w:space="0" w:color="auto"/>
        <w:bottom w:val="none" w:sz="0" w:space="0" w:color="auto"/>
        <w:right w:val="none" w:sz="0" w:space="0" w:color="auto"/>
      </w:divBdr>
    </w:div>
    <w:div w:id="151458648">
      <w:bodyDiv w:val="1"/>
      <w:marLeft w:val="0"/>
      <w:marRight w:val="0"/>
      <w:marTop w:val="0"/>
      <w:marBottom w:val="0"/>
      <w:divBdr>
        <w:top w:val="none" w:sz="0" w:space="0" w:color="auto"/>
        <w:left w:val="none" w:sz="0" w:space="0" w:color="auto"/>
        <w:bottom w:val="none" w:sz="0" w:space="0" w:color="auto"/>
        <w:right w:val="none" w:sz="0" w:space="0" w:color="auto"/>
      </w:divBdr>
    </w:div>
    <w:div w:id="153031969">
      <w:bodyDiv w:val="1"/>
      <w:marLeft w:val="0"/>
      <w:marRight w:val="0"/>
      <w:marTop w:val="0"/>
      <w:marBottom w:val="0"/>
      <w:divBdr>
        <w:top w:val="none" w:sz="0" w:space="0" w:color="auto"/>
        <w:left w:val="none" w:sz="0" w:space="0" w:color="auto"/>
        <w:bottom w:val="none" w:sz="0" w:space="0" w:color="auto"/>
        <w:right w:val="none" w:sz="0" w:space="0" w:color="auto"/>
      </w:divBdr>
    </w:div>
    <w:div w:id="153184949">
      <w:bodyDiv w:val="1"/>
      <w:marLeft w:val="0"/>
      <w:marRight w:val="0"/>
      <w:marTop w:val="0"/>
      <w:marBottom w:val="0"/>
      <w:divBdr>
        <w:top w:val="none" w:sz="0" w:space="0" w:color="auto"/>
        <w:left w:val="none" w:sz="0" w:space="0" w:color="auto"/>
        <w:bottom w:val="none" w:sz="0" w:space="0" w:color="auto"/>
        <w:right w:val="none" w:sz="0" w:space="0" w:color="auto"/>
      </w:divBdr>
    </w:div>
    <w:div w:id="154416919">
      <w:bodyDiv w:val="1"/>
      <w:marLeft w:val="0"/>
      <w:marRight w:val="0"/>
      <w:marTop w:val="0"/>
      <w:marBottom w:val="0"/>
      <w:divBdr>
        <w:top w:val="none" w:sz="0" w:space="0" w:color="auto"/>
        <w:left w:val="none" w:sz="0" w:space="0" w:color="auto"/>
        <w:bottom w:val="none" w:sz="0" w:space="0" w:color="auto"/>
        <w:right w:val="none" w:sz="0" w:space="0" w:color="auto"/>
      </w:divBdr>
    </w:div>
    <w:div w:id="156462377">
      <w:bodyDiv w:val="1"/>
      <w:marLeft w:val="0"/>
      <w:marRight w:val="0"/>
      <w:marTop w:val="0"/>
      <w:marBottom w:val="0"/>
      <w:divBdr>
        <w:top w:val="none" w:sz="0" w:space="0" w:color="auto"/>
        <w:left w:val="none" w:sz="0" w:space="0" w:color="auto"/>
        <w:bottom w:val="none" w:sz="0" w:space="0" w:color="auto"/>
        <w:right w:val="none" w:sz="0" w:space="0" w:color="auto"/>
      </w:divBdr>
    </w:div>
    <w:div w:id="159856617">
      <w:bodyDiv w:val="1"/>
      <w:marLeft w:val="0"/>
      <w:marRight w:val="0"/>
      <w:marTop w:val="0"/>
      <w:marBottom w:val="0"/>
      <w:divBdr>
        <w:top w:val="none" w:sz="0" w:space="0" w:color="auto"/>
        <w:left w:val="none" w:sz="0" w:space="0" w:color="auto"/>
        <w:bottom w:val="none" w:sz="0" w:space="0" w:color="auto"/>
        <w:right w:val="none" w:sz="0" w:space="0" w:color="auto"/>
      </w:divBdr>
    </w:div>
    <w:div w:id="159929110">
      <w:bodyDiv w:val="1"/>
      <w:marLeft w:val="0"/>
      <w:marRight w:val="0"/>
      <w:marTop w:val="0"/>
      <w:marBottom w:val="0"/>
      <w:divBdr>
        <w:top w:val="none" w:sz="0" w:space="0" w:color="auto"/>
        <w:left w:val="none" w:sz="0" w:space="0" w:color="auto"/>
        <w:bottom w:val="none" w:sz="0" w:space="0" w:color="auto"/>
        <w:right w:val="none" w:sz="0" w:space="0" w:color="auto"/>
      </w:divBdr>
    </w:div>
    <w:div w:id="165170048">
      <w:bodyDiv w:val="1"/>
      <w:marLeft w:val="0"/>
      <w:marRight w:val="0"/>
      <w:marTop w:val="0"/>
      <w:marBottom w:val="0"/>
      <w:divBdr>
        <w:top w:val="none" w:sz="0" w:space="0" w:color="auto"/>
        <w:left w:val="none" w:sz="0" w:space="0" w:color="auto"/>
        <w:bottom w:val="none" w:sz="0" w:space="0" w:color="auto"/>
        <w:right w:val="none" w:sz="0" w:space="0" w:color="auto"/>
      </w:divBdr>
    </w:div>
    <w:div w:id="169567459">
      <w:bodyDiv w:val="1"/>
      <w:marLeft w:val="0"/>
      <w:marRight w:val="0"/>
      <w:marTop w:val="0"/>
      <w:marBottom w:val="0"/>
      <w:divBdr>
        <w:top w:val="none" w:sz="0" w:space="0" w:color="auto"/>
        <w:left w:val="none" w:sz="0" w:space="0" w:color="auto"/>
        <w:bottom w:val="none" w:sz="0" w:space="0" w:color="auto"/>
        <w:right w:val="none" w:sz="0" w:space="0" w:color="auto"/>
      </w:divBdr>
    </w:div>
    <w:div w:id="171454942">
      <w:bodyDiv w:val="1"/>
      <w:marLeft w:val="0"/>
      <w:marRight w:val="0"/>
      <w:marTop w:val="0"/>
      <w:marBottom w:val="0"/>
      <w:divBdr>
        <w:top w:val="none" w:sz="0" w:space="0" w:color="auto"/>
        <w:left w:val="none" w:sz="0" w:space="0" w:color="auto"/>
        <w:bottom w:val="none" w:sz="0" w:space="0" w:color="auto"/>
        <w:right w:val="none" w:sz="0" w:space="0" w:color="auto"/>
      </w:divBdr>
    </w:div>
    <w:div w:id="172768747">
      <w:bodyDiv w:val="1"/>
      <w:marLeft w:val="0"/>
      <w:marRight w:val="0"/>
      <w:marTop w:val="0"/>
      <w:marBottom w:val="0"/>
      <w:divBdr>
        <w:top w:val="none" w:sz="0" w:space="0" w:color="auto"/>
        <w:left w:val="none" w:sz="0" w:space="0" w:color="auto"/>
        <w:bottom w:val="none" w:sz="0" w:space="0" w:color="auto"/>
        <w:right w:val="none" w:sz="0" w:space="0" w:color="auto"/>
      </w:divBdr>
      <w:divsChild>
        <w:div w:id="1991594790">
          <w:marLeft w:val="0"/>
          <w:marRight w:val="0"/>
          <w:marTop w:val="0"/>
          <w:marBottom w:val="0"/>
          <w:divBdr>
            <w:top w:val="none" w:sz="0" w:space="0" w:color="auto"/>
            <w:left w:val="none" w:sz="0" w:space="0" w:color="auto"/>
            <w:bottom w:val="none" w:sz="0" w:space="0" w:color="auto"/>
            <w:right w:val="none" w:sz="0" w:space="0" w:color="auto"/>
          </w:divBdr>
          <w:divsChild>
            <w:div w:id="2067027100">
              <w:marLeft w:val="0"/>
              <w:marRight w:val="0"/>
              <w:marTop w:val="0"/>
              <w:marBottom w:val="0"/>
              <w:divBdr>
                <w:top w:val="none" w:sz="0" w:space="0" w:color="auto"/>
                <w:left w:val="none" w:sz="0" w:space="0" w:color="auto"/>
                <w:bottom w:val="none" w:sz="0" w:space="0" w:color="auto"/>
                <w:right w:val="none" w:sz="0" w:space="0" w:color="auto"/>
              </w:divBdr>
              <w:divsChild>
                <w:div w:id="1594044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735683">
      <w:bodyDiv w:val="1"/>
      <w:marLeft w:val="0"/>
      <w:marRight w:val="0"/>
      <w:marTop w:val="0"/>
      <w:marBottom w:val="0"/>
      <w:divBdr>
        <w:top w:val="none" w:sz="0" w:space="0" w:color="auto"/>
        <w:left w:val="none" w:sz="0" w:space="0" w:color="auto"/>
        <w:bottom w:val="none" w:sz="0" w:space="0" w:color="auto"/>
        <w:right w:val="none" w:sz="0" w:space="0" w:color="auto"/>
      </w:divBdr>
    </w:div>
    <w:div w:id="175269001">
      <w:bodyDiv w:val="1"/>
      <w:marLeft w:val="0"/>
      <w:marRight w:val="0"/>
      <w:marTop w:val="0"/>
      <w:marBottom w:val="0"/>
      <w:divBdr>
        <w:top w:val="none" w:sz="0" w:space="0" w:color="auto"/>
        <w:left w:val="none" w:sz="0" w:space="0" w:color="auto"/>
        <w:bottom w:val="none" w:sz="0" w:space="0" w:color="auto"/>
        <w:right w:val="none" w:sz="0" w:space="0" w:color="auto"/>
      </w:divBdr>
    </w:div>
    <w:div w:id="177351537">
      <w:bodyDiv w:val="1"/>
      <w:marLeft w:val="0"/>
      <w:marRight w:val="0"/>
      <w:marTop w:val="0"/>
      <w:marBottom w:val="0"/>
      <w:divBdr>
        <w:top w:val="none" w:sz="0" w:space="0" w:color="auto"/>
        <w:left w:val="none" w:sz="0" w:space="0" w:color="auto"/>
        <w:bottom w:val="none" w:sz="0" w:space="0" w:color="auto"/>
        <w:right w:val="none" w:sz="0" w:space="0" w:color="auto"/>
      </w:divBdr>
    </w:div>
    <w:div w:id="179046511">
      <w:bodyDiv w:val="1"/>
      <w:marLeft w:val="0"/>
      <w:marRight w:val="0"/>
      <w:marTop w:val="0"/>
      <w:marBottom w:val="0"/>
      <w:divBdr>
        <w:top w:val="none" w:sz="0" w:space="0" w:color="auto"/>
        <w:left w:val="none" w:sz="0" w:space="0" w:color="auto"/>
        <w:bottom w:val="none" w:sz="0" w:space="0" w:color="auto"/>
        <w:right w:val="none" w:sz="0" w:space="0" w:color="auto"/>
      </w:divBdr>
    </w:div>
    <w:div w:id="182672647">
      <w:bodyDiv w:val="1"/>
      <w:marLeft w:val="0"/>
      <w:marRight w:val="0"/>
      <w:marTop w:val="0"/>
      <w:marBottom w:val="0"/>
      <w:divBdr>
        <w:top w:val="none" w:sz="0" w:space="0" w:color="auto"/>
        <w:left w:val="none" w:sz="0" w:space="0" w:color="auto"/>
        <w:bottom w:val="none" w:sz="0" w:space="0" w:color="auto"/>
        <w:right w:val="none" w:sz="0" w:space="0" w:color="auto"/>
      </w:divBdr>
    </w:div>
    <w:div w:id="183833687">
      <w:bodyDiv w:val="1"/>
      <w:marLeft w:val="0"/>
      <w:marRight w:val="0"/>
      <w:marTop w:val="0"/>
      <w:marBottom w:val="0"/>
      <w:divBdr>
        <w:top w:val="none" w:sz="0" w:space="0" w:color="auto"/>
        <w:left w:val="none" w:sz="0" w:space="0" w:color="auto"/>
        <w:bottom w:val="none" w:sz="0" w:space="0" w:color="auto"/>
        <w:right w:val="none" w:sz="0" w:space="0" w:color="auto"/>
      </w:divBdr>
    </w:div>
    <w:div w:id="186329776">
      <w:bodyDiv w:val="1"/>
      <w:marLeft w:val="0"/>
      <w:marRight w:val="0"/>
      <w:marTop w:val="0"/>
      <w:marBottom w:val="0"/>
      <w:divBdr>
        <w:top w:val="none" w:sz="0" w:space="0" w:color="auto"/>
        <w:left w:val="none" w:sz="0" w:space="0" w:color="auto"/>
        <w:bottom w:val="none" w:sz="0" w:space="0" w:color="auto"/>
        <w:right w:val="none" w:sz="0" w:space="0" w:color="auto"/>
      </w:divBdr>
    </w:div>
    <w:div w:id="187372658">
      <w:bodyDiv w:val="1"/>
      <w:marLeft w:val="0"/>
      <w:marRight w:val="0"/>
      <w:marTop w:val="0"/>
      <w:marBottom w:val="0"/>
      <w:divBdr>
        <w:top w:val="none" w:sz="0" w:space="0" w:color="auto"/>
        <w:left w:val="none" w:sz="0" w:space="0" w:color="auto"/>
        <w:bottom w:val="none" w:sz="0" w:space="0" w:color="auto"/>
        <w:right w:val="none" w:sz="0" w:space="0" w:color="auto"/>
      </w:divBdr>
    </w:div>
    <w:div w:id="194537623">
      <w:bodyDiv w:val="1"/>
      <w:marLeft w:val="0"/>
      <w:marRight w:val="0"/>
      <w:marTop w:val="0"/>
      <w:marBottom w:val="0"/>
      <w:divBdr>
        <w:top w:val="none" w:sz="0" w:space="0" w:color="auto"/>
        <w:left w:val="none" w:sz="0" w:space="0" w:color="auto"/>
        <w:bottom w:val="none" w:sz="0" w:space="0" w:color="auto"/>
        <w:right w:val="none" w:sz="0" w:space="0" w:color="auto"/>
      </w:divBdr>
    </w:div>
    <w:div w:id="195897090">
      <w:bodyDiv w:val="1"/>
      <w:marLeft w:val="0"/>
      <w:marRight w:val="0"/>
      <w:marTop w:val="0"/>
      <w:marBottom w:val="0"/>
      <w:divBdr>
        <w:top w:val="none" w:sz="0" w:space="0" w:color="auto"/>
        <w:left w:val="none" w:sz="0" w:space="0" w:color="auto"/>
        <w:bottom w:val="none" w:sz="0" w:space="0" w:color="auto"/>
        <w:right w:val="none" w:sz="0" w:space="0" w:color="auto"/>
      </w:divBdr>
    </w:div>
    <w:div w:id="199980269">
      <w:bodyDiv w:val="1"/>
      <w:marLeft w:val="0"/>
      <w:marRight w:val="0"/>
      <w:marTop w:val="0"/>
      <w:marBottom w:val="0"/>
      <w:divBdr>
        <w:top w:val="none" w:sz="0" w:space="0" w:color="auto"/>
        <w:left w:val="none" w:sz="0" w:space="0" w:color="auto"/>
        <w:bottom w:val="none" w:sz="0" w:space="0" w:color="auto"/>
        <w:right w:val="none" w:sz="0" w:space="0" w:color="auto"/>
      </w:divBdr>
    </w:div>
    <w:div w:id="200024349">
      <w:bodyDiv w:val="1"/>
      <w:marLeft w:val="0"/>
      <w:marRight w:val="0"/>
      <w:marTop w:val="0"/>
      <w:marBottom w:val="0"/>
      <w:divBdr>
        <w:top w:val="none" w:sz="0" w:space="0" w:color="auto"/>
        <w:left w:val="none" w:sz="0" w:space="0" w:color="auto"/>
        <w:bottom w:val="none" w:sz="0" w:space="0" w:color="auto"/>
        <w:right w:val="none" w:sz="0" w:space="0" w:color="auto"/>
      </w:divBdr>
    </w:div>
    <w:div w:id="203642626">
      <w:bodyDiv w:val="1"/>
      <w:marLeft w:val="0"/>
      <w:marRight w:val="0"/>
      <w:marTop w:val="0"/>
      <w:marBottom w:val="0"/>
      <w:divBdr>
        <w:top w:val="none" w:sz="0" w:space="0" w:color="auto"/>
        <w:left w:val="none" w:sz="0" w:space="0" w:color="auto"/>
        <w:bottom w:val="none" w:sz="0" w:space="0" w:color="auto"/>
        <w:right w:val="none" w:sz="0" w:space="0" w:color="auto"/>
      </w:divBdr>
    </w:div>
    <w:div w:id="204489336">
      <w:bodyDiv w:val="1"/>
      <w:marLeft w:val="0"/>
      <w:marRight w:val="0"/>
      <w:marTop w:val="0"/>
      <w:marBottom w:val="0"/>
      <w:divBdr>
        <w:top w:val="none" w:sz="0" w:space="0" w:color="auto"/>
        <w:left w:val="none" w:sz="0" w:space="0" w:color="auto"/>
        <w:bottom w:val="none" w:sz="0" w:space="0" w:color="auto"/>
        <w:right w:val="none" w:sz="0" w:space="0" w:color="auto"/>
      </w:divBdr>
    </w:div>
    <w:div w:id="206458571">
      <w:bodyDiv w:val="1"/>
      <w:marLeft w:val="0"/>
      <w:marRight w:val="0"/>
      <w:marTop w:val="0"/>
      <w:marBottom w:val="0"/>
      <w:divBdr>
        <w:top w:val="none" w:sz="0" w:space="0" w:color="auto"/>
        <w:left w:val="none" w:sz="0" w:space="0" w:color="auto"/>
        <w:bottom w:val="none" w:sz="0" w:space="0" w:color="auto"/>
        <w:right w:val="none" w:sz="0" w:space="0" w:color="auto"/>
      </w:divBdr>
    </w:div>
    <w:div w:id="209458760">
      <w:bodyDiv w:val="1"/>
      <w:marLeft w:val="0"/>
      <w:marRight w:val="0"/>
      <w:marTop w:val="0"/>
      <w:marBottom w:val="0"/>
      <w:divBdr>
        <w:top w:val="none" w:sz="0" w:space="0" w:color="auto"/>
        <w:left w:val="none" w:sz="0" w:space="0" w:color="auto"/>
        <w:bottom w:val="none" w:sz="0" w:space="0" w:color="auto"/>
        <w:right w:val="none" w:sz="0" w:space="0" w:color="auto"/>
      </w:divBdr>
    </w:div>
    <w:div w:id="213085226">
      <w:bodyDiv w:val="1"/>
      <w:marLeft w:val="0"/>
      <w:marRight w:val="0"/>
      <w:marTop w:val="0"/>
      <w:marBottom w:val="0"/>
      <w:divBdr>
        <w:top w:val="none" w:sz="0" w:space="0" w:color="auto"/>
        <w:left w:val="none" w:sz="0" w:space="0" w:color="auto"/>
        <w:bottom w:val="none" w:sz="0" w:space="0" w:color="auto"/>
        <w:right w:val="none" w:sz="0" w:space="0" w:color="auto"/>
      </w:divBdr>
    </w:div>
    <w:div w:id="213277894">
      <w:bodyDiv w:val="1"/>
      <w:marLeft w:val="0"/>
      <w:marRight w:val="0"/>
      <w:marTop w:val="0"/>
      <w:marBottom w:val="0"/>
      <w:divBdr>
        <w:top w:val="none" w:sz="0" w:space="0" w:color="auto"/>
        <w:left w:val="none" w:sz="0" w:space="0" w:color="auto"/>
        <w:bottom w:val="none" w:sz="0" w:space="0" w:color="auto"/>
        <w:right w:val="none" w:sz="0" w:space="0" w:color="auto"/>
      </w:divBdr>
    </w:div>
    <w:div w:id="217979337">
      <w:bodyDiv w:val="1"/>
      <w:marLeft w:val="0"/>
      <w:marRight w:val="0"/>
      <w:marTop w:val="0"/>
      <w:marBottom w:val="0"/>
      <w:divBdr>
        <w:top w:val="none" w:sz="0" w:space="0" w:color="auto"/>
        <w:left w:val="none" w:sz="0" w:space="0" w:color="auto"/>
        <w:bottom w:val="none" w:sz="0" w:space="0" w:color="auto"/>
        <w:right w:val="none" w:sz="0" w:space="0" w:color="auto"/>
      </w:divBdr>
    </w:div>
    <w:div w:id="217983543">
      <w:bodyDiv w:val="1"/>
      <w:marLeft w:val="0"/>
      <w:marRight w:val="0"/>
      <w:marTop w:val="0"/>
      <w:marBottom w:val="0"/>
      <w:divBdr>
        <w:top w:val="none" w:sz="0" w:space="0" w:color="auto"/>
        <w:left w:val="none" w:sz="0" w:space="0" w:color="auto"/>
        <w:bottom w:val="none" w:sz="0" w:space="0" w:color="auto"/>
        <w:right w:val="none" w:sz="0" w:space="0" w:color="auto"/>
      </w:divBdr>
    </w:div>
    <w:div w:id="218368461">
      <w:bodyDiv w:val="1"/>
      <w:marLeft w:val="0"/>
      <w:marRight w:val="0"/>
      <w:marTop w:val="0"/>
      <w:marBottom w:val="0"/>
      <w:divBdr>
        <w:top w:val="none" w:sz="0" w:space="0" w:color="auto"/>
        <w:left w:val="none" w:sz="0" w:space="0" w:color="auto"/>
        <w:bottom w:val="none" w:sz="0" w:space="0" w:color="auto"/>
        <w:right w:val="none" w:sz="0" w:space="0" w:color="auto"/>
      </w:divBdr>
    </w:div>
    <w:div w:id="219093527">
      <w:bodyDiv w:val="1"/>
      <w:marLeft w:val="0"/>
      <w:marRight w:val="0"/>
      <w:marTop w:val="0"/>
      <w:marBottom w:val="0"/>
      <w:divBdr>
        <w:top w:val="none" w:sz="0" w:space="0" w:color="auto"/>
        <w:left w:val="none" w:sz="0" w:space="0" w:color="auto"/>
        <w:bottom w:val="none" w:sz="0" w:space="0" w:color="auto"/>
        <w:right w:val="none" w:sz="0" w:space="0" w:color="auto"/>
      </w:divBdr>
    </w:div>
    <w:div w:id="222908964">
      <w:bodyDiv w:val="1"/>
      <w:marLeft w:val="0"/>
      <w:marRight w:val="0"/>
      <w:marTop w:val="0"/>
      <w:marBottom w:val="0"/>
      <w:divBdr>
        <w:top w:val="none" w:sz="0" w:space="0" w:color="auto"/>
        <w:left w:val="none" w:sz="0" w:space="0" w:color="auto"/>
        <w:bottom w:val="none" w:sz="0" w:space="0" w:color="auto"/>
        <w:right w:val="none" w:sz="0" w:space="0" w:color="auto"/>
      </w:divBdr>
      <w:divsChild>
        <w:div w:id="1026714945">
          <w:marLeft w:val="0"/>
          <w:marRight w:val="0"/>
          <w:marTop w:val="0"/>
          <w:marBottom w:val="0"/>
          <w:divBdr>
            <w:top w:val="none" w:sz="0" w:space="0" w:color="auto"/>
            <w:left w:val="none" w:sz="0" w:space="0" w:color="auto"/>
            <w:bottom w:val="none" w:sz="0" w:space="0" w:color="auto"/>
            <w:right w:val="none" w:sz="0" w:space="0" w:color="auto"/>
          </w:divBdr>
          <w:divsChild>
            <w:div w:id="839464758">
              <w:marLeft w:val="0"/>
              <w:marRight w:val="0"/>
              <w:marTop w:val="0"/>
              <w:marBottom w:val="0"/>
              <w:divBdr>
                <w:top w:val="none" w:sz="0" w:space="0" w:color="auto"/>
                <w:left w:val="none" w:sz="0" w:space="0" w:color="auto"/>
                <w:bottom w:val="none" w:sz="0" w:space="0" w:color="auto"/>
                <w:right w:val="none" w:sz="0" w:space="0" w:color="auto"/>
              </w:divBdr>
              <w:divsChild>
                <w:div w:id="1468013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3761794">
      <w:bodyDiv w:val="1"/>
      <w:marLeft w:val="0"/>
      <w:marRight w:val="0"/>
      <w:marTop w:val="0"/>
      <w:marBottom w:val="0"/>
      <w:divBdr>
        <w:top w:val="none" w:sz="0" w:space="0" w:color="auto"/>
        <w:left w:val="none" w:sz="0" w:space="0" w:color="auto"/>
        <w:bottom w:val="none" w:sz="0" w:space="0" w:color="auto"/>
        <w:right w:val="none" w:sz="0" w:space="0" w:color="auto"/>
      </w:divBdr>
    </w:div>
    <w:div w:id="225453483">
      <w:bodyDiv w:val="1"/>
      <w:marLeft w:val="0"/>
      <w:marRight w:val="0"/>
      <w:marTop w:val="0"/>
      <w:marBottom w:val="0"/>
      <w:divBdr>
        <w:top w:val="none" w:sz="0" w:space="0" w:color="auto"/>
        <w:left w:val="none" w:sz="0" w:space="0" w:color="auto"/>
        <w:bottom w:val="none" w:sz="0" w:space="0" w:color="auto"/>
        <w:right w:val="none" w:sz="0" w:space="0" w:color="auto"/>
      </w:divBdr>
    </w:div>
    <w:div w:id="227883319">
      <w:bodyDiv w:val="1"/>
      <w:marLeft w:val="0"/>
      <w:marRight w:val="0"/>
      <w:marTop w:val="0"/>
      <w:marBottom w:val="0"/>
      <w:divBdr>
        <w:top w:val="none" w:sz="0" w:space="0" w:color="auto"/>
        <w:left w:val="none" w:sz="0" w:space="0" w:color="auto"/>
        <w:bottom w:val="none" w:sz="0" w:space="0" w:color="auto"/>
        <w:right w:val="none" w:sz="0" w:space="0" w:color="auto"/>
      </w:divBdr>
    </w:div>
    <w:div w:id="227886670">
      <w:bodyDiv w:val="1"/>
      <w:marLeft w:val="0"/>
      <w:marRight w:val="0"/>
      <w:marTop w:val="0"/>
      <w:marBottom w:val="0"/>
      <w:divBdr>
        <w:top w:val="none" w:sz="0" w:space="0" w:color="auto"/>
        <w:left w:val="none" w:sz="0" w:space="0" w:color="auto"/>
        <w:bottom w:val="none" w:sz="0" w:space="0" w:color="auto"/>
        <w:right w:val="none" w:sz="0" w:space="0" w:color="auto"/>
      </w:divBdr>
    </w:div>
    <w:div w:id="228155628">
      <w:bodyDiv w:val="1"/>
      <w:marLeft w:val="0"/>
      <w:marRight w:val="0"/>
      <w:marTop w:val="0"/>
      <w:marBottom w:val="0"/>
      <w:divBdr>
        <w:top w:val="none" w:sz="0" w:space="0" w:color="auto"/>
        <w:left w:val="none" w:sz="0" w:space="0" w:color="auto"/>
        <w:bottom w:val="none" w:sz="0" w:space="0" w:color="auto"/>
        <w:right w:val="none" w:sz="0" w:space="0" w:color="auto"/>
      </w:divBdr>
    </w:div>
    <w:div w:id="229000908">
      <w:bodyDiv w:val="1"/>
      <w:marLeft w:val="0"/>
      <w:marRight w:val="0"/>
      <w:marTop w:val="0"/>
      <w:marBottom w:val="0"/>
      <w:divBdr>
        <w:top w:val="none" w:sz="0" w:space="0" w:color="auto"/>
        <w:left w:val="none" w:sz="0" w:space="0" w:color="auto"/>
        <w:bottom w:val="none" w:sz="0" w:space="0" w:color="auto"/>
        <w:right w:val="none" w:sz="0" w:space="0" w:color="auto"/>
      </w:divBdr>
    </w:div>
    <w:div w:id="230238305">
      <w:bodyDiv w:val="1"/>
      <w:marLeft w:val="0"/>
      <w:marRight w:val="0"/>
      <w:marTop w:val="0"/>
      <w:marBottom w:val="0"/>
      <w:divBdr>
        <w:top w:val="none" w:sz="0" w:space="0" w:color="auto"/>
        <w:left w:val="none" w:sz="0" w:space="0" w:color="auto"/>
        <w:bottom w:val="none" w:sz="0" w:space="0" w:color="auto"/>
        <w:right w:val="none" w:sz="0" w:space="0" w:color="auto"/>
      </w:divBdr>
    </w:div>
    <w:div w:id="231426297">
      <w:bodyDiv w:val="1"/>
      <w:marLeft w:val="0"/>
      <w:marRight w:val="0"/>
      <w:marTop w:val="0"/>
      <w:marBottom w:val="0"/>
      <w:divBdr>
        <w:top w:val="none" w:sz="0" w:space="0" w:color="auto"/>
        <w:left w:val="none" w:sz="0" w:space="0" w:color="auto"/>
        <w:bottom w:val="none" w:sz="0" w:space="0" w:color="auto"/>
        <w:right w:val="none" w:sz="0" w:space="0" w:color="auto"/>
      </w:divBdr>
    </w:div>
    <w:div w:id="231549458">
      <w:bodyDiv w:val="1"/>
      <w:marLeft w:val="0"/>
      <w:marRight w:val="0"/>
      <w:marTop w:val="0"/>
      <w:marBottom w:val="0"/>
      <w:divBdr>
        <w:top w:val="none" w:sz="0" w:space="0" w:color="auto"/>
        <w:left w:val="none" w:sz="0" w:space="0" w:color="auto"/>
        <w:bottom w:val="none" w:sz="0" w:space="0" w:color="auto"/>
        <w:right w:val="none" w:sz="0" w:space="0" w:color="auto"/>
      </w:divBdr>
    </w:div>
    <w:div w:id="232542680">
      <w:bodyDiv w:val="1"/>
      <w:marLeft w:val="0"/>
      <w:marRight w:val="0"/>
      <w:marTop w:val="0"/>
      <w:marBottom w:val="0"/>
      <w:divBdr>
        <w:top w:val="none" w:sz="0" w:space="0" w:color="auto"/>
        <w:left w:val="none" w:sz="0" w:space="0" w:color="auto"/>
        <w:bottom w:val="none" w:sz="0" w:space="0" w:color="auto"/>
        <w:right w:val="none" w:sz="0" w:space="0" w:color="auto"/>
      </w:divBdr>
    </w:div>
    <w:div w:id="233047205">
      <w:bodyDiv w:val="1"/>
      <w:marLeft w:val="0"/>
      <w:marRight w:val="0"/>
      <w:marTop w:val="0"/>
      <w:marBottom w:val="0"/>
      <w:divBdr>
        <w:top w:val="none" w:sz="0" w:space="0" w:color="auto"/>
        <w:left w:val="none" w:sz="0" w:space="0" w:color="auto"/>
        <w:bottom w:val="none" w:sz="0" w:space="0" w:color="auto"/>
        <w:right w:val="none" w:sz="0" w:space="0" w:color="auto"/>
      </w:divBdr>
    </w:div>
    <w:div w:id="237178325">
      <w:bodyDiv w:val="1"/>
      <w:marLeft w:val="0"/>
      <w:marRight w:val="0"/>
      <w:marTop w:val="0"/>
      <w:marBottom w:val="0"/>
      <w:divBdr>
        <w:top w:val="none" w:sz="0" w:space="0" w:color="auto"/>
        <w:left w:val="none" w:sz="0" w:space="0" w:color="auto"/>
        <w:bottom w:val="none" w:sz="0" w:space="0" w:color="auto"/>
        <w:right w:val="none" w:sz="0" w:space="0" w:color="auto"/>
      </w:divBdr>
    </w:div>
    <w:div w:id="237179679">
      <w:bodyDiv w:val="1"/>
      <w:marLeft w:val="0"/>
      <w:marRight w:val="0"/>
      <w:marTop w:val="0"/>
      <w:marBottom w:val="0"/>
      <w:divBdr>
        <w:top w:val="none" w:sz="0" w:space="0" w:color="auto"/>
        <w:left w:val="none" w:sz="0" w:space="0" w:color="auto"/>
        <w:bottom w:val="none" w:sz="0" w:space="0" w:color="auto"/>
        <w:right w:val="none" w:sz="0" w:space="0" w:color="auto"/>
      </w:divBdr>
    </w:div>
    <w:div w:id="240332009">
      <w:bodyDiv w:val="1"/>
      <w:marLeft w:val="0"/>
      <w:marRight w:val="0"/>
      <w:marTop w:val="0"/>
      <w:marBottom w:val="0"/>
      <w:divBdr>
        <w:top w:val="none" w:sz="0" w:space="0" w:color="auto"/>
        <w:left w:val="none" w:sz="0" w:space="0" w:color="auto"/>
        <w:bottom w:val="none" w:sz="0" w:space="0" w:color="auto"/>
        <w:right w:val="none" w:sz="0" w:space="0" w:color="auto"/>
      </w:divBdr>
    </w:div>
    <w:div w:id="241179910">
      <w:bodyDiv w:val="1"/>
      <w:marLeft w:val="0"/>
      <w:marRight w:val="0"/>
      <w:marTop w:val="0"/>
      <w:marBottom w:val="0"/>
      <w:divBdr>
        <w:top w:val="none" w:sz="0" w:space="0" w:color="auto"/>
        <w:left w:val="none" w:sz="0" w:space="0" w:color="auto"/>
        <w:bottom w:val="none" w:sz="0" w:space="0" w:color="auto"/>
        <w:right w:val="none" w:sz="0" w:space="0" w:color="auto"/>
      </w:divBdr>
    </w:div>
    <w:div w:id="242029634">
      <w:bodyDiv w:val="1"/>
      <w:marLeft w:val="0"/>
      <w:marRight w:val="0"/>
      <w:marTop w:val="0"/>
      <w:marBottom w:val="0"/>
      <w:divBdr>
        <w:top w:val="none" w:sz="0" w:space="0" w:color="auto"/>
        <w:left w:val="none" w:sz="0" w:space="0" w:color="auto"/>
        <w:bottom w:val="none" w:sz="0" w:space="0" w:color="auto"/>
        <w:right w:val="none" w:sz="0" w:space="0" w:color="auto"/>
      </w:divBdr>
    </w:div>
    <w:div w:id="243607682">
      <w:bodyDiv w:val="1"/>
      <w:marLeft w:val="0"/>
      <w:marRight w:val="0"/>
      <w:marTop w:val="0"/>
      <w:marBottom w:val="0"/>
      <w:divBdr>
        <w:top w:val="none" w:sz="0" w:space="0" w:color="auto"/>
        <w:left w:val="none" w:sz="0" w:space="0" w:color="auto"/>
        <w:bottom w:val="none" w:sz="0" w:space="0" w:color="auto"/>
        <w:right w:val="none" w:sz="0" w:space="0" w:color="auto"/>
      </w:divBdr>
    </w:div>
    <w:div w:id="243994971">
      <w:bodyDiv w:val="1"/>
      <w:marLeft w:val="0"/>
      <w:marRight w:val="0"/>
      <w:marTop w:val="0"/>
      <w:marBottom w:val="0"/>
      <w:divBdr>
        <w:top w:val="none" w:sz="0" w:space="0" w:color="auto"/>
        <w:left w:val="none" w:sz="0" w:space="0" w:color="auto"/>
        <w:bottom w:val="none" w:sz="0" w:space="0" w:color="auto"/>
        <w:right w:val="none" w:sz="0" w:space="0" w:color="auto"/>
      </w:divBdr>
    </w:div>
    <w:div w:id="250310447">
      <w:bodyDiv w:val="1"/>
      <w:marLeft w:val="0"/>
      <w:marRight w:val="0"/>
      <w:marTop w:val="0"/>
      <w:marBottom w:val="0"/>
      <w:divBdr>
        <w:top w:val="none" w:sz="0" w:space="0" w:color="auto"/>
        <w:left w:val="none" w:sz="0" w:space="0" w:color="auto"/>
        <w:bottom w:val="none" w:sz="0" w:space="0" w:color="auto"/>
        <w:right w:val="none" w:sz="0" w:space="0" w:color="auto"/>
      </w:divBdr>
    </w:div>
    <w:div w:id="252865233">
      <w:bodyDiv w:val="1"/>
      <w:marLeft w:val="0"/>
      <w:marRight w:val="0"/>
      <w:marTop w:val="0"/>
      <w:marBottom w:val="0"/>
      <w:divBdr>
        <w:top w:val="none" w:sz="0" w:space="0" w:color="auto"/>
        <w:left w:val="none" w:sz="0" w:space="0" w:color="auto"/>
        <w:bottom w:val="none" w:sz="0" w:space="0" w:color="auto"/>
        <w:right w:val="none" w:sz="0" w:space="0" w:color="auto"/>
      </w:divBdr>
    </w:div>
    <w:div w:id="253631593">
      <w:bodyDiv w:val="1"/>
      <w:marLeft w:val="0"/>
      <w:marRight w:val="0"/>
      <w:marTop w:val="0"/>
      <w:marBottom w:val="0"/>
      <w:divBdr>
        <w:top w:val="none" w:sz="0" w:space="0" w:color="auto"/>
        <w:left w:val="none" w:sz="0" w:space="0" w:color="auto"/>
        <w:bottom w:val="none" w:sz="0" w:space="0" w:color="auto"/>
        <w:right w:val="none" w:sz="0" w:space="0" w:color="auto"/>
      </w:divBdr>
    </w:div>
    <w:div w:id="254673106">
      <w:bodyDiv w:val="1"/>
      <w:marLeft w:val="0"/>
      <w:marRight w:val="0"/>
      <w:marTop w:val="0"/>
      <w:marBottom w:val="0"/>
      <w:divBdr>
        <w:top w:val="none" w:sz="0" w:space="0" w:color="auto"/>
        <w:left w:val="none" w:sz="0" w:space="0" w:color="auto"/>
        <w:bottom w:val="none" w:sz="0" w:space="0" w:color="auto"/>
        <w:right w:val="none" w:sz="0" w:space="0" w:color="auto"/>
      </w:divBdr>
    </w:div>
    <w:div w:id="255528507">
      <w:bodyDiv w:val="1"/>
      <w:marLeft w:val="0"/>
      <w:marRight w:val="0"/>
      <w:marTop w:val="0"/>
      <w:marBottom w:val="0"/>
      <w:divBdr>
        <w:top w:val="none" w:sz="0" w:space="0" w:color="auto"/>
        <w:left w:val="none" w:sz="0" w:space="0" w:color="auto"/>
        <w:bottom w:val="none" w:sz="0" w:space="0" w:color="auto"/>
        <w:right w:val="none" w:sz="0" w:space="0" w:color="auto"/>
      </w:divBdr>
    </w:div>
    <w:div w:id="258487817">
      <w:bodyDiv w:val="1"/>
      <w:marLeft w:val="0"/>
      <w:marRight w:val="0"/>
      <w:marTop w:val="0"/>
      <w:marBottom w:val="0"/>
      <w:divBdr>
        <w:top w:val="none" w:sz="0" w:space="0" w:color="auto"/>
        <w:left w:val="none" w:sz="0" w:space="0" w:color="auto"/>
        <w:bottom w:val="none" w:sz="0" w:space="0" w:color="auto"/>
        <w:right w:val="none" w:sz="0" w:space="0" w:color="auto"/>
      </w:divBdr>
    </w:div>
    <w:div w:id="259875412">
      <w:bodyDiv w:val="1"/>
      <w:marLeft w:val="0"/>
      <w:marRight w:val="0"/>
      <w:marTop w:val="0"/>
      <w:marBottom w:val="0"/>
      <w:divBdr>
        <w:top w:val="none" w:sz="0" w:space="0" w:color="auto"/>
        <w:left w:val="none" w:sz="0" w:space="0" w:color="auto"/>
        <w:bottom w:val="none" w:sz="0" w:space="0" w:color="auto"/>
        <w:right w:val="none" w:sz="0" w:space="0" w:color="auto"/>
      </w:divBdr>
    </w:div>
    <w:div w:id="261451602">
      <w:bodyDiv w:val="1"/>
      <w:marLeft w:val="0"/>
      <w:marRight w:val="0"/>
      <w:marTop w:val="0"/>
      <w:marBottom w:val="0"/>
      <w:divBdr>
        <w:top w:val="none" w:sz="0" w:space="0" w:color="auto"/>
        <w:left w:val="none" w:sz="0" w:space="0" w:color="auto"/>
        <w:bottom w:val="none" w:sz="0" w:space="0" w:color="auto"/>
        <w:right w:val="none" w:sz="0" w:space="0" w:color="auto"/>
      </w:divBdr>
    </w:div>
    <w:div w:id="265115196">
      <w:bodyDiv w:val="1"/>
      <w:marLeft w:val="0"/>
      <w:marRight w:val="0"/>
      <w:marTop w:val="0"/>
      <w:marBottom w:val="0"/>
      <w:divBdr>
        <w:top w:val="none" w:sz="0" w:space="0" w:color="auto"/>
        <w:left w:val="none" w:sz="0" w:space="0" w:color="auto"/>
        <w:bottom w:val="none" w:sz="0" w:space="0" w:color="auto"/>
        <w:right w:val="none" w:sz="0" w:space="0" w:color="auto"/>
      </w:divBdr>
    </w:div>
    <w:div w:id="265233556">
      <w:bodyDiv w:val="1"/>
      <w:marLeft w:val="0"/>
      <w:marRight w:val="0"/>
      <w:marTop w:val="0"/>
      <w:marBottom w:val="0"/>
      <w:divBdr>
        <w:top w:val="none" w:sz="0" w:space="0" w:color="auto"/>
        <w:left w:val="none" w:sz="0" w:space="0" w:color="auto"/>
        <w:bottom w:val="none" w:sz="0" w:space="0" w:color="auto"/>
        <w:right w:val="none" w:sz="0" w:space="0" w:color="auto"/>
      </w:divBdr>
    </w:div>
    <w:div w:id="268777742">
      <w:bodyDiv w:val="1"/>
      <w:marLeft w:val="0"/>
      <w:marRight w:val="0"/>
      <w:marTop w:val="0"/>
      <w:marBottom w:val="0"/>
      <w:divBdr>
        <w:top w:val="none" w:sz="0" w:space="0" w:color="auto"/>
        <w:left w:val="none" w:sz="0" w:space="0" w:color="auto"/>
        <w:bottom w:val="none" w:sz="0" w:space="0" w:color="auto"/>
        <w:right w:val="none" w:sz="0" w:space="0" w:color="auto"/>
      </w:divBdr>
    </w:div>
    <w:div w:id="269708876">
      <w:bodyDiv w:val="1"/>
      <w:marLeft w:val="0"/>
      <w:marRight w:val="0"/>
      <w:marTop w:val="0"/>
      <w:marBottom w:val="0"/>
      <w:divBdr>
        <w:top w:val="none" w:sz="0" w:space="0" w:color="auto"/>
        <w:left w:val="none" w:sz="0" w:space="0" w:color="auto"/>
        <w:bottom w:val="none" w:sz="0" w:space="0" w:color="auto"/>
        <w:right w:val="none" w:sz="0" w:space="0" w:color="auto"/>
      </w:divBdr>
    </w:div>
    <w:div w:id="270237663">
      <w:bodyDiv w:val="1"/>
      <w:marLeft w:val="0"/>
      <w:marRight w:val="0"/>
      <w:marTop w:val="0"/>
      <w:marBottom w:val="0"/>
      <w:divBdr>
        <w:top w:val="none" w:sz="0" w:space="0" w:color="auto"/>
        <w:left w:val="none" w:sz="0" w:space="0" w:color="auto"/>
        <w:bottom w:val="none" w:sz="0" w:space="0" w:color="auto"/>
        <w:right w:val="none" w:sz="0" w:space="0" w:color="auto"/>
      </w:divBdr>
    </w:div>
    <w:div w:id="274488638">
      <w:bodyDiv w:val="1"/>
      <w:marLeft w:val="0"/>
      <w:marRight w:val="0"/>
      <w:marTop w:val="0"/>
      <w:marBottom w:val="0"/>
      <w:divBdr>
        <w:top w:val="none" w:sz="0" w:space="0" w:color="auto"/>
        <w:left w:val="none" w:sz="0" w:space="0" w:color="auto"/>
        <w:bottom w:val="none" w:sz="0" w:space="0" w:color="auto"/>
        <w:right w:val="none" w:sz="0" w:space="0" w:color="auto"/>
      </w:divBdr>
    </w:div>
    <w:div w:id="276526268">
      <w:bodyDiv w:val="1"/>
      <w:marLeft w:val="0"/>
      <w:marRight w:val="0"/>
      <w:marTop w:val="0"/>
      <w:marBottom w:val="0"/>
      <w:divBdr>
        <w:top w:val="none" w:sz="0" w:space="0" w:color="auto"/>
        <w:left w:val="none" w:sz="0" w:space="0" w:color="auto"/>
        <w:bottom w:val="none" w:sz="0" w:space="0" w:color="auto"/>
        <w:right w:val="none" w:sz="0" w:space="0" w:color="auto"/>
      </w:divBdr>
    </w:div>
    <w:div w:id="280185114">
      <w:bodyDiv w:val="1"/>
      <w:marLeft w:val="0"/>
      <w:marRight w:val="0"/>
      <w:marTop w:val="0"/>
      <w:marBottom w:val="0"/>
      <w:divBdr>
        <w:top w:val="none" w:sz="0" w:space="0" w:color="auto"/>
        <w:left w:val="none" w:sz="0" w:space="0" w:color="auto"/>
        <w:bottom w:val="none" w:sz="0" w:space="0" w:color="auto"/>
        <w:right w:val="none" w:sz="0" w:space="0" w:color="auto"/>
      </w:divBdr>
    </w:div>
    <w:div w:id="284893879">
      <w:bodyDiv w:val="1"/>
      <w:marLeft w:val="0"/>
      <w:marRight w:val="0"/>
      <w:marTop w:val="0"/>
      <w:marBottom w:val="0"/>
      <w:divBdr>
        <w:top w:val="none" w:sz="0" w:space="0" w:color="auto"/>
        <w:left w:val="none" w:sz="0" w:space="0" w:color="auto"/>
        <w:bottom w:val="none" w:sz="0" w:space="0" w:color="auto"/>
        <w:right w:val="none" w:sz="0" w:space="0" w:color="auto"/>
      </w:divBdr>
    </w:div>
    <w:div w:id="286736878">
      <w:bodyDiv w:val="1"/>
      <w:marLeft w:val="0"/>
      <w:marRight w:val="0"/>
      <w:marTop w:val="0"/>
      <w:marBottom w:val="0"/>
      <w:divBdr>
        <w:top w:val="none" w:sz="0" w:space="0" w:color="auto"/>
        <w:left w:val="none" w:sz="0" w:space="0" w:color="auto"/>
        <w:bottom w:val="none" w:sz="0" w:space="0" w:color="auto"/>
        <w:right w:val="none" w:sz="0" w:space="0" w:color="auto"/>
      </w:divBdr>
    </w:div>
    <w:div w:id="287324165">
      <w:bodyDiv w:val="1"/>
      <w:marLeft w:val="0"/>
      <w:marRight w:val="0"/>
      <w:marTop w:val="0"/>
      <w:marBottom w:val="0"/>
      <w:divBdr>
        <w:top w:val="none" w:sz="0" w:space="0" w:color="auto"/>
        <w:left w:val="none" w:sz="0" w:space="0" w:color="auto"/>
        <w:bottom w:val="none" w:sz="0" w:space="0" w:color="auto"/>
        <w:right w:val="none" w:sz="0" w:space="0" w:color="auto"/>
      </w:divBdr>
    </w:div>
    <w:div w:id="290139180">
      <w:bodyDiv w:val="1"/>
      <w:marLeft w:val="0"/>
      <w:marRight w:val="0"/>
      <w:marTop w:val="0"/>
      <w:marBottom w:val="0"/>
      <w:divBdr>
        <w:top w:val="none" w:sz="0" w:space="0" w:color="auto"/>
        <w:left w:val="none" w:sz="0" w:space="0" w:color="auto"/>
        <w:bottom w:val="none" w:sz="0" w:space="0" w:color="auto"/>
        <w:right w:val="none" w:sz="0" w:space="0" w:color="auto"/>
      </w:divBdr>
    </w:div>
    <w:div w:id="293291678">
      <w:bodyDiv w:val="1"/>
      <w:marLeft w:val="0"/>
      <w:marRight w:val="0"/>
      <w:marTop w:val="0"/>
      <w:marBottom w:val="0"/>
      <w:divBdr>
        <w:top w:val="none" w:sz="0" w:space="0" w:color="auto"/>
        <w:left w:val="none" w:sz="0" w:space="0" w:color="auto"/>
        <w:bottom w:val="none" w:sz="0" w:space="0" w:color="auto"/>
        <w:right w:val="none" w:sz="0" w:space="0" w:color="auto"/>
      </w:divBdr>
    </w:div>
    <w:div w:id="293758150">
      <w:bodyDiv w:val="1"/>
      <w:marLeft w:val="0"/>
      <w:marRight w:val="0"/>
      <w:marTop w:val="0"/>
      <w:marBottom w:val="0"/>
      <w:divBdr>
        <w:top w:val="none" w:sz="0" w:space="0" w:color="auto"/>
        <w:left w:val="none" w:sz="0" w:space="0" w:color="auto"/>
        <w:bottom w:val="none" w:sz="0" w:space="0" w:color="auto"/>
        <w:right w:val="none" w:sz="0" w:space="0" w:color="auto"/>
      </w:divBdr>
    </w:div>
    <w:div w:id="293799382">
      <w:bodyDiv w:val="1"/>
      <w:marLeft w:val="0"/>
      <w:marRight w:val="0"/>
      <w:marTop w:val="0"/>
      <w:marBottom w:val="0"/>
      <w:divBdr>
        <w:top w:val="none" w:sz="0" w:space="0" w:color="auto"/>
        <w:left w:val="none" w:sz="0" w:space="0" w:color="auto"/>
        <w:bottom w:val="none" w:sz="0" w:space="0" w:color="auto"/>
        <w:right w:val="none" w:sz="0" w:space="0" w:color="auto"/>
      </w:divBdr>
    </w:div>
    <w:div w:id="295836294">
      <w:bodyDiv w:val="1"/>
      <w:marLeft w:val="0"/>
      <w:marRight w:val="0"/>
      <w:marTop w:val="0"/>
      <w:marBottom w:val="0"/>
      <w:divBdr>
        <w:top w:val="none" w:sz="0" w:space="0" w:color="auto"/>
        <w:left w:val="none" w:sz="0" w:space="0" w:color="auto"/>
        <w:bottom w:val="none" w:sz="0" w:space="0" w:color="auto"/>
        <w:right w:val="none" w:sz="0" w:space="0" w:color="auto"/>
      </w:divBdr>
    </w:div>
    <w:div w:id="298153966">
      <w:bodyDiv w:val="1"/>
      <w:marLeft w:val="0"/>
      <w:marRight w:val="0"/>
      <w:marTop w:val="0"/>
      <w:marBottom w:val="0"/>
      <w:divBdr>
        <w:top w:val="none" w:sz="0" w:space="0" w:color="auto"/>
        <w:left w:val="none" w:sz="0" w:space="0" w:color="auto"/>
        <w:bottom w:val="none" w:sz="0" w:space="0" w:color="auto"/>
        <w:right w:val="none" w:sz="0" w:space="0" w:color="auto"/>
      </w:divBdr>
    </w:div>
    <w:div w:id="299190357">
      <w:bodyDiv w:val="1"/>
      <w:marLeft w:val="0"/>
      <w:marRight w:val="0"/>
      <w:marTop w:val="0"/>
      <w:marBottom w:val="0"/>
      <w:divBdr>
        <w:top w:val="none" w:sz="0" w:space="0" w:color="auto"/>
        <w:left w:val="none" w:sz="0" w:space="0" w:color="auto"/>
        <w:bottom w:val="none" w:sz="0" w:space="0" w:color="auto"/>
        <w:right w:val="none" w:sz="0" w:space="0" w:color="auto"/>
      </w:divBdr>
    </w:div>
    <w:div w:id="302779536">
      <w:bodyDiv w:val="1"/>
      <w:marLeft w:val="0"/>
      <w:marRight w:val="0"/>
      <w:marTop w:val="0"/>
      <w:marBottom w:val="0"/>
      <w:divBdr>
        <w:top w:val="none" w:sz="0" w:space="0" w:color="auto"/>
        <w:left w:val="none" w:sz="0" w:space="0" w:color="auto"/>
        <w:bottom w:val="none" w:sz="0" w:space="0" w:color="auto"/>
        <w:right w:val="none" w:sz="0" w:space="0" w:color="auto"/>
      </w:divBdr>
    </w:div>
    <w:div w:id="305547715">
      <w:bodyDiv w:val="1"/>
      <w:marLeft w:val="0"/>
      <w:marRight w:val="0"/>
      <w:marTop w:val="0"/>
      <w:marBottom w:val="0"/>
      <w:divBdr>
        <w:top w:val="none" w:sz="0" w:space="0" w:color="auto"/>
        <w:left w:val="none" w:sz="0" w:space="0" w:color="auto"/>
        <w:bottom w:val="none" w:sz="0" w:space="0" w:color="auto"/>
        <w:right w:val="none" w:sz="0" w:space="0" w:color="auto"/>
      </w:divBdr>
    </w:div>
    <w:div w:id="307054660">
      <w:bodyDiv w:val="1"/>
      <w:marLeft w:val="0"/>
      <w:marRight w:val="0"/>
      <w:marTop w:val="0"/>
      <w:marBottom w:val="0"/>
      <w:divBdr>
        <w:top w:val="none" w:sz="0" w:space="0" w:color="auto"/>
        <w:left w:val="none" w:sz="0" w:space="0" w:color="auto"/>
        <w:bottom w:val="none" w:sz="0" w:space="0" w:color="auto"/>
        <w:right w:val="none" w:sz="0" w:space="0" w:color="auto"/>
      </w:divBdr>
    </w:div>
    <w:div w:id="309528429">
      <w:bodyDiv w:val="1"/>
      <w:marLeft w:val="0"/>
      <w:marRight w:val="0"/>
      <w:marTop w:val="0"/>
      <w:marBottom w:val="0"/>
      <w:divBdr>
        <w:top w:val="none" w:sz="0" w:space="0" w:color="auto"/>
        <w:left w:val="none" w:sz="0" w:space="0" w:color="auto"/>
        <w:bottom w:val="none" w:sz="0" w:space="0" w:color="auto"/>
        <w:right w:val="none" w:sz="0" w:space="0" w:color="auto"/>
      </w:divBdr>
    </w:div>
    <w:div w:id="310642739">
      <w:bodyDiv w:val="1"/>
      <w:marLeft w:val="0"/>
      <w:marRight w:val="0"/>
      <w:marTop w:val="0"/>
      <w:marBottom w:val="0"/>
      <w:divBdr>
        <w:top w:val="none" w:sz="0" w:space="0" w:color="auto"/>
        <w:left w:val="none" w:sz="0" w:space="0" w:color="auto"/>
        <w:bottom w:val="none" w:sz="0" w:space="0" w:color="auto"/>
        <w:right w:val="none" w:sz="0" w:space="0" w:color="auto"/>
      </w:divBdr>
    </w:div>
    <w:div w:id="315692213">
      <w:bodyDiv w:val="1"/>
      <w:marLeft w:val="0"/>
      <w:marRight w:val="0"/>
      <w:marTop w:val="0"/>
      <w:marBottom w:val="0"/>
      <w:divBdr>
        <w:top w:val="none" w:sz="0" w:space="0" w:color="auto"/>
        <w:left w:val="none" w:sz="0" w:space="0" w:color="auto"/>
        <w:bottom w:val="none" w:sz="0" w:space="0" w:color="auto"/>
        <w:right w:val="none" w:sz="0" w:space="0" w:color="auto"/>
      </w:divBdr>
    </w:div>
    <w:div w:id="318198405">
      <w:bodyDiv w:val="1"/>
      <w:marLeft w:val="0"/>
      <w:marRight w:val="0"/>
      <w:marTop w:val="0"/>
      <w:marBottom w:val="0"/>
      <w:divBdr>
        <w:top w:val="none" w:sz="0" w:space="0" w:color="auto"/>
        <w:left w:val="none" w:sz="0" w:space="0" w:color="auto"/>
        <w:bottom w:val="none" w:sz="0" w:space="0" w:color="auto"/>
        <w:right w:val="none" w:sz="0" w:space="0" w:color="auto"/>
      </w:divBdr>
    </w:div>
    <w:div w:id="321933047">
      <w:bodyDiv w:val="1"/>
      <w:marLeft w:val="0"/>
      <w:marRight w:val="0"/>
      <w:marTop w:val="0"/>
      <w:marBottom w:val="0"/>
      <w:divBdr>
        <w:top w:val="none" w:sz="0" w:space="0" w:color="auto"/>
        <w:left w:val="none" w:sz="0" w:space="0" w:color="auto"/>
        <w:bottom w:val="none" w:sz="0" w:space="0" w:color="auto"/>
        <w:right w:val="none" w:sz="0" w:space="0" w:color="auto"/>
      </w:divBdr>
    </w:div>
    <w:div w:id="322047284">
      <w:marLeft w:val="0"/>
      <w:marRight w:val="0"/>
      <w:marTop w:val="0"/>
      <w:marBottom w:val="0"/>
      <w:divBdr>
        <w:top w:val="none" w:sz="0" w:space="0" w:color="auto"/>
        <w:left w:val="none" w:sz="0" w:space="0" w:color="auto"/>
        <w:bottom w:val="none" w:sz="0" w:space="0" w:color="auto"/>
        <w:right w:val="none" w:sz="0" w:space="0" w:color="auto"/>
      </w:divBdr>
    </w:div>
    <w:div w:id="331766223">
      <w:bodyDiv w:val="1"/>
      <w:marLeft w:val="0"/>
      <w:marRight w:val="0"/>
      <w:marTop w:val="0"/>
      <w:marBottom w:val="0"/>
      <w:divBdr>
        <w:top w:val="none" w:sz="0" w:space="0" w:color="auto"/>
        <w:left w:val="none" w:sz="0" w:space="0" w:color="auto"/>
        <w:bottom w:val="none" w:sz="0" w:space="0" w:color="auto"/>
        <w:right w:val="none" w:sz="0" w:space="0" w:color="auto"/>
      </w:divBdr>
    </w:div>
    <w:div w:id="331874714">
      <w:bodyDiv w:val="1"/>
      <w:marLeft w:val="0"/>
      <w:marRight w:val="0"/>
      <w:marTop w:val="0"/>
      <w:marBottom w:val="0"/>
      <w:divBdr>
        <w:top w:val="none" w:sz="0" w:space="0" w:color="auto"/>
        <w:left w:val="none" w:sz="0" w:space="0" w:color="auto"/>
        <w:bottom w:val="none" w:sz="0" w:space="0" w:color="auto"/>
        <w:right w:val="none" w:sz="0" w:space="0" w:color="auto"/>
      </w:divBdr>
    </w:div>
    <w:div w:id="334696261">
      <w:bodyDiv w:val="1"/>
      <w:marLeft w:val="0"/>
      <w:marRight w:val="0"/>
      <w:marTop w:val="0"/>
      <w:marBottom w:val="0"/>
      <w:divBdr>
        <w:top w:val="none" w:sz="0" w:space="0" w:color="auto"/>
        <w:left w:val="none" w:sz="0" w:space="0" w:color="auto"/>
        <w:bottom w:val="none" w:sz="0" w:space="0" w:color="auto"/>
        <w:right w:val="none" w:sz="0" w:space="0" w:color="auto"/>
      </w:divBdr>
    </w:div>
    <w:div w:id="335883040">
      <w:bodyDiv w:val="1"/>
      <w:marLeft w:val="0"/>
      <w:marRight w:val="0"/>
      <w:marTop w:val="0"/>
      <w:marBottom w:val="0"/>
      <w:divBdr>
        <w:top w:val="none" w:sz="0" w:space="0" w:color="auto"/>
        <w:left w:val="none" w:sz="0" w:space="0" w:color="auto"/>
        <w:bottom w:val="none" w:sz="0" w:space="0" w:color="auto"/>
        <w:right w:val="none" w:sz="0" w:space="0" w:color="auto"/>
      </w:divBdr>
    </w:div>
    <w:div w:id="338584175">
      <w:bodyDiv w:val="1"/>
      <w:marLeft w:val="0"/>
      <w:marRight w:val="0"/>
      <w:marTop w:val="0"/>
      <w:marBottom w:val="0"/>
      <w:divBdr>
        <w:top w:val="none" w:sz="0" w:space="0" w:color="auto"/>
        <w:left w:val="none" w:sz="0" w:space="0" w:color="auto"/>
        <w:bottom w:val="none" w:sz="0" w:space="0" w:color="auto"/>
        <w:right w:val="none" w:sz="0" w:space="0" w:color="auto"/>
      </w:divBdr>
    </w:div>
    <w:div w:id="339281721">
      <w:bodyDiv w:val="1"/>
      <w:marLeft w:val="0"/>
      <w:marRight w:val="0"/>
      <w:marTop w:val="0"/>
      <w:marBottom w:val="0"/>
      <w:divBdr>
        <w:top w:val="none" w:sz="0" w:space="0" w:color="auto"/>
        <w:left w:val="none" w:sz="0" w:space="0" w:color="auto"/>
        <w:bottom w:val="none" w:sz="0" w:space="0" w:color="auto"/>
        <w:right w:val="none" w:sz="0" w:space="0" w:color="auto"/>
      </w:divBdr>
    </w:div>
    <w:div w:id="340395488">
      <w:bodyDiv w:val="1"/>
      <w:marLeft w:val="0"/>
      <w:marRight w:val="0"/>
      <w:marTop w:val="0"/>
      <w:marBottom w:val="0"/>
      <w:divBdr>
        <w:top w:val="none" w:sz="0" w:space="0" w:color="auto"/>
        <w:left w:val="none" w:sz="0" w:space="0" w:color="auto"/>
        <w:bottom w:val="none" w:sz="0" w:space="0" w:color="auto"/>
        <w:right w:val="none" w:sz="0" w:space="0" w:color="auto"/>
      </w:divBdr>
    </w:div>
    <w:div w:id="341398059">
      <w:bodyDiv w:val="1"/>
      <w:marLeft w:val="0"/>
      <w:marRight w:val="0"/>
      <w:marTop w:val="0"/>
      <w:marBottom w:val="0"/>
      <w:divBdr>
        <w:top w:val="none" w:sz="0" w:space="0" w:color="auto"/>
        <w:left w:val="none" w:sz="0" w:space="0" w:color="auto"/>
        <w:bottom w:val="none" w:sz="0" w:space="0" w:color="auto"/>
        <w:right w:val="none" w:sz="0" w:space="0" w:color="auto"/>
      </w:divBdr>
    </w:div>
    <w:div w:id="348995307">
      <w:bodyDiv w:val="1"/>
      <w:marLeft w:val="0"/>
      <w:marRight w:val="0"/>
      <w:marTop w:val="0"/>
      <w:marBottom w:val="0"/>
      <w:divBdr>
        <w:top w:val="none" w:sz="0" w:space="0" w:color="auto"/>
        <w:left w:val="none" w:sz="0" w:space="0" w:color="auto"/>
        <w:bottom w:val="none" w:sz="0" w:space="0" w:color="auto"/>
        <w:right w:val="none" w:sz="0" w:space="0" w:color="auto"/>
      </w:divBdr>
    </w:div>
    <w:div w:id="351305417">
      <w:bodyDiv w:val="1"/>
      <w:marLeft w:val="0"/>
      <w:marRight w:val="0"/>
      <w:marTop w:val="0"/>
      <w:marBottom w:val="0"/>
      <w:divBdr>
        <w:top w:val="none" w:sz="0" w:space="0" w:color="auto"/>
        <w:left w:val="none" w:sz="0" w:space="0" w:color="auto"/>
        <w:bottom w:val="none" w:sz="0" w:space="0" w:color="auto"/>
        <w:right w:val="none" w:sz="0" w:space="0" w:color="auto"/>
      </w:divBdr>
    </w:div>
    <w:div w:id="352458215">
      <w:bodyDiv w:val="1"/>
      <w:marLeft w:val="0"/>
      <w:marRight w:val="0"/>
      <w:marTop w:val="0"/>
      <w:marBottom w:val="0"/>
      <w:divBdr>
        <w:top w:val="none" w:sz="0" w:space="0" w:color="auto"/>
        <w:left w:val="none" w:sz="0" w:space="0" w:color="auto"/>
        <w:bottom w:val="none" w:sz="0" w:space="0" w:color="auto"/>
        <w:right w:val="none" w:sz="0" w:space="0" w:color="auto"/>
      </w:divBdr>
    </w:div>
    <w:div w:id="352918788">
      <w:bodyDiv w:val="1"/>
      <w:marLeft w:val="0"/>
      <w:marRight w:val="0"/>
      <w:marTop w:val="0"/>
      <w:marBottom w:val="0"/>
      <w:divBdr>
        <w:top w:val="none" w:sz="0" w:space="0" w:color="auto"/>
        <w:left w:val="none" w:sz="0" w:space="0" w:color="auto"/>
        <w:bottom w:val="none" w:sz="0" w:space="0" w:color="auto"/>
        <w:right w:val="none" w:sz="0" w:space="0" w:color="auto"/>
      </w:divBdr>
    </w:div>
    <w:div w:id="356784300">
      <w:bodyDiv w:val="1"/>
      <w:marLeft w:val="0"/>
      <w:marRight w:val="0"/>
      <w:marTop w:val="0"/>
      <w:marBottom w:val="0"/>
      <w:divBdr>
        <w:top w:val="none" w:sz="0" w:space="0" w:color="auto"/>
        <w:left w:val="none" w:sz="0" w:space="0" w:color="auto"/>
        <w:bottom w:val="none" w:sz="0" w:space="0" w:color="auto"/>
        <w:right w:val="none" w:sz="0" w:space="0" w:color="auto"/>
      </w:divBdr>
    </w:div>
    <w:div w:id="357312271">
      <w:bodyDiv w:val="1"/>
      <w:marLeft w:val="0"/>
      <w:marRight w:val="0"/>
      <w:marTop w:val="0"/>
      <w:marBottom w:val="0"/>
      <w:divBdr>
        <w:top w:val="none" w:sz="0" w:space="0" w:color="auto"/>
        <w:left w:val="none" w:sz="0" w:space="0" w:color="auto"/>
        <w:bottom w:val="none" w:sz="0" w:space="0" w:color="auto"/>
        <w:right w:val="none" w:sz="0" w:space="0" w:color="auto"/>
      </w:divBdr>
    </w:div>
    <w:div w:id="357465680">
      <w:bodyDiv w:val="1"/>
      <w:marLeft w:val="0"/>
      <w:marRight w:val="0"/>
      <w:marTop w:val="0"/>
      <w:marBottom w:val="0"/>
      <w:divBdr>
        <w:top w:val="none" w:sz="0" w:space="0" w:color="auto"/>
        <w:left w:val="none" w:sz="0" w:space="0" w:color="auto"/>
        <w:bottom w:val="none" w:sz="0" w:space="0" w:color="auto"/>
        <w:right w:val="none" w:sz="0" w:space="0" w:color="auto"/>
      </w:divBdr>
    </w:div>
    <w:div w:id="357510979">
      <w:bodyDiv w:val="1"/>
      <w:marLeft w:val="0"/>
      <w:marRight w:val="0"/>
      <w:marTop w:val="0"/>
      <w:marBottom w:val="0"/>
      <w:divBdr>
        <w:top w:val="none" w:sz="0" w:space="0" w:color="auto"/>
        <w:left w:val="none" w:sz="0" w:space="0" w:color="auto"/>
        <w:bottom w:val="none" w:sz="0" w:space="0" w:color="auto"/>
        <w:right w:val="none" w:sz="0" w:space="0" w:color="auto"/>
      </w:divBdr>
    </w:div>
    <w:div w:id="361789289">
      <w:bodyDiv w:val="1"/>
      <w:marLeft w:val="0"/>
      <w:marRight w:val="0"/>
      <w:marTop w:val="0"/>
      <w:marBottom w:val="0"/>
      <w:divBdr>
        <w:top w:val="none" w:sz="0" w:space="0" w:color="auto"/>
        <w:left w:val="none" w:sz="0" w:space="0" w:color="auto"/>
        <w:bottom w:val="none" w:sz="0" w:space="0" w:color="auto"/>
        <w:right w:val="none" w:sz="0" w:space="0" w:color="auto"/>
      </w:divBdr>
    </w:div>
    <w:div w:id="362368659">
      <w:bodyDiv w:val="1"/>
      <w:marLeft w:val="0"/>
      <w:marRight w:val="0"/>
      <w:marTop w:val="0"/>
      <w:marBottom w:val="0"/>
      <w:divBdr>
        <w:top w:val="none" w:sz="0" w:space="0" w:color="auto"/>
        <w:left w:val="none" w:sz="0" w:space="0" w:color="auto"/>
        <w:bottom w:val="none" w:sz="0" w:space="0" w:color="auto"/>
        <w:right w:val="none" w:sz="0" w:space="0" w:color="auto"/>
      </w:divBdr>
    </w:div>
    <w:div w:id="365371002">
      <w:bodyDiv w:val="1"/>
      <w:marLeft w:val="0"/>
      <w:marRight w:val="0"/>
      <w:marTop w:val="0"/>
      <w:marBottom w:val="0"/>
      <w:divBdr>
        <w:top w:val="none" w:sz="0" w:space="0" w:color="auto"/>
        <w:left w:val="none" w:sz="0" w:space="0" w:color="auto"/>
        <w:bottom w:val="none" w:sz="0" w:space="0" w:color="auto"/>
        <w:right w:val="none" w:sz="0" w:space="0" w:color="auto"/>
      </w:divBdr>
    </w:div>
    <w:div w:id="365374688">
      <w:bodyDiv w:val="1"/>
      <w:marLeft w:val="0"/>
      <w:marRight w:val="0"/>
      <w:marTop w:val="0"/>
      <w:marBottom w:val="0"/>
      <w:divBdr>
        <w:top w:val="none" w:sz="0" w:space="0" w:color="auto"/>
        <w:left w:val="none" w:sz="0" w:space="0" w:color="auto"/>
        <w:bottom w:val="none" w:sz="0" w:space="0" w:color="auto"/>
        <w:right w:val="none" w:sz="0" w:space="0" w:color="auto"/>
      </w:divBdr>
    </w:div>
    <w:div w:id="368143621">
      <w:bodyDiv w:val="1"/>
      <w:marLeft w:val="0"/>
      <w:marRight w:val="0"/>
      <w:marTop w:val="0"/>
      <w:marBottom w:val="0"/>
      <w:divBdr>
        <w:top w:val="none" w:sz="0" w:space="0" w:color="auto"/>
        <w:left w:val="none" w:sz="0" w:space="0" w:color="auto"/>
        <w:bottom w:val="none" w:sz="0" w:space="0" w:color="auto"/>
        <w:right w:val="none" w:sz="0" w:space="0" w:color="auto"/>
      </w:divBdr>
    </w:div>
    <w:div w:id="370498748">
      <w:bodyDiv w:val="1"/>
      <w:marLeft w:val="0"/>
      <w:marRight w:val="0"/>
      <w:marTop w:val="0"/>
      <w:marBottom w:val="0"/>
      <w:divBdr>
        <w:top w:val="none" w:sz="0" w:space="0" w:color="auto"/>
        <w:left w:val="none" w:sz="0" w:space="0" w:color="auto"/>
        <w:bottom w:val="none" w:sz="0" w:space="0" w:color="auto"/>
        <w:right w:val="none" w:sz="0" w:space="0" w:color="auto"/>
      </w:divBdr>
    </w:div>
    <w:div w:id="370767806">
      <w:bodyDiv w:val="1"/>
      <w:marLeft w:val="0"/>
      <w:marRight w:val="0"/>
      <w:marTop w:val="0"/>
      <w:marBottom w:val="0"/>
      <w:divBdr>
        <w:top w:val="none" w:sz="0" w:space="0" w:color="auto"/>
        <w:left w:val="none" w:sz="0" w:space="0" w:color="auto"/>
        <w:bottom w:val="none" w:sz="0" w:space="0" w:color="auto"/>
        <w:right w:val="none" w:sz="0" w:space="0" w:color="auto"/>
      </w:divBdr>
      <w:divsChild>
        <w:div w:id="420566344">
          <w:marLeft w:val="0"/>
          <w:marRight w:val="0"/>
          <w:marTop w:val="0"/>
          <w:marBottom w:val="0"/>
          <w:divBdr>
            <w:top w:val="none" w:sz="0" w:space="0" w:color="auto"/>
            <w:left w:val="none" w:sz="0" w:space="0" w:color="auto"/>
            <w:bottom w:val="none" w:sz="0" w:space="0" w:color="auto"/>
            <w:right w:val="none" w:sz="0" w:space="0" w:color="auto"/>
          </w:divBdr>
        </w:div>
        <w:div w:id="1438333883">
          <w:marLeft w:val="0"/>
          <w:marRight w:val="0"/>
          <w:marTop w:val="0"/>
          <w:marBottom w:val="0"/>
          <w:divBdr>
            <w:top w:val="none" w:sz="0" w:space="0" w:color="auto"/>
            <w:left w:val="none" w:sz="0" w:space="0" w:color="auto"/>
            <w:bottom w:val="none" w:sz="0" w:space="0" w:color="auto"/>
            <w:right w:val="none" w:sz="0" w:space="0" w:color="auto"/>
          </w:divBdr>
        </w:div>
      </w:divsChild>
    </w:div>
    <w:div w:id="373115609">
      <w:bodyDiv w:val="1"/>
      <w:marLeft w:val="0"/>
      <w:marRight w:val="0"/>
      <w:marTop w:val="0"/>
      <w:marBottom w:val="0"/>
      <w:divBdr>
        <w:top w:val="none" w:sz="0" w:space="0" w:color="auto"/>
        <w:left w:val="none" w:sz="0" w:space="0" w:color="auto"/>
        <w:bottom w:val="none" w:sz="0" w:space="0" w:color="auto"/>
        <w:right w:val="none" w:sz="0" w:space="0" w:color="auto"/>
      </w:divBdr>
    </w:div>
    <w:div w:id="374742484">
      <w:bodyDiv w:val="1"/>
      <w:marLeft w:val="0"/>
      <w:marRight w:val="0"/>
      <w:marTop w:val="0"/>
      <w:marBottom w:val="0"/>
      <w:divBdr>
        <w:top w:val="none" w:sz="0" w:space="0" w:color="auto"/>
        <w:left w:val="none" w:sz="0" w:space="0" w:color="auto"/>
        <w:bottom w:val="none" w:sz="0" w:space="0" w:color="auto"/>
        <w:right w:val="none" w:sz="0" w:space="0" w:color="auto"/>
      </w:divBdr>
      <w:divsChild>
        <w:div w:id="419302164">
          <w:marLeft w:val="360"/>
          <w:marRight w:val="0"/>
          <w:marTop w:val="0"/>
          <w:marBottom w:val="0"/>
          <w:divBdr>
            <w:top w:val="none" w:sz="0" w:space="0" w:color="auto"/>
            <w:left w:val="none" w:sz="0" w:space="0" w:color="auto"/>
            <w:bottom w:val="none" w:sz="0" w:space="0" w:color="auto"/>
            <w:right w:val="none" w:sz="0" w:space="0" w:color="auto"/>
          </w:divBdr>
        </w:div>
        <w:div w:id="946935002">
          <w:marLeft w:val="360"/>
          <w:marRight w:val="0"/>
          <w:marTop w:val="0"/>
          <w:marBottom w:val="0"/>
          <w:divBdr>
            <w:top w:val="none" w:sz="0" w:space="0" w:color="auto"/>
            <w:left w:val="none" w:sz="0" w:space="0" w:color="auto"/>
            <w:bottom w:val="none" w:sz="0" w:space="0" w:color="auto"/>
            <w:right w:val="none" w:sz="0" w:space="0" w:color="auto"/>
          </w:divBdr>
        </w:div>
        <w:div w:id="1392845236">
          <w:marLeft w:val="360"/>
          <w:marRight w:val="0"/>
          <w:marTop w:val="0"/>
          <w:marBottom w:val="0"/>
          <w:divBdr>
            <w:top w:val="none" w:sz="0" w:space="0" w:color="auto"/>
            <w:left w:val="none" w:sz="0" w:space="0" w:color="auto"/>
            <w:bottom w:val="none" w:sz="0" w:space="0" w:color="auto"/>
            <w:right w:val="none" w:sz="0" w:space="0" w:color="auto"/>
          </w:divBdr>
        </w:div>
        <w:div w:id="1821578689">
          <w:marLeft w:val="360"/>
          <w:marRight w:val="0"/>
          <w:marTop w:val="0"/>
          <w:marBottom w:val="0"/>
          <w:divBdr>
            <w:top w:val="none" w:sz="0" w:space="0" w:color="auto"/>
            <w:left w:val="none" w:sz="0" w:space="0" w:color="auto"/>
            <w:bottom w:val="none" w:sz="0" w:space="0" w:color="auto"/>
            <w:right w:val="none" w:sz="0" w:space="0" w:color="auto"/>
          </w:divBdr>
        </w:div>
        <w:div w:id="1899120851">
          <w:marLeft w:val="360"/>
          <w:marRight w:val="0"/>
          <w:marTop w:val="0"/>
          <w:marBottom w:val="0"/>
          <w:divBdr>
            <w:top w:val="none" w:sz="0" w:space="0" w:color="auto"/>
            <w:left w:val="none" w:sz="0" w:space="0" w:color="auto"/>
            <w:bottom w:val="none" w:sz="0" w:space="0" w:color="auto"/>
            <w:right w:val="none" w:sz="0" w:space="0" w:color="auto"/>
          </w:divBdr>
        </w:div>
        <w:div w:id="2005083690">
          <w:marLeft w:val="360"/>
          <w:marRight w:val="0"/>
          <w:marTop w:val="0"/>
          <w:marBottom w:val="0"/>
          <w:divBdr>
            <w:top w:val="none" w:sz="0" w:space="0" w:color="auto"/>
            <w:left w:val="none" w:sz="0" w:space="0" w:color="auto"/>
            <w:bottom w:val="none" w:sz="0" w:space="0" w:color="auto"/>
            <w:right w:val="none" w:sz="0" w:space="0" w:color="auto"/>
          </w:divBdr>
        </w:div>
        <w:div w:id="2073657186">
          <w:marLeft w:val="360"/>
          <w:marRight w:val="0"/>
          <w:marTop w:val="0"/>
          <w:marBottom w:val="0"/>
          <w:divBdr>
            <w:top w:val="none" w:sz="0" w:space="0" w:color="auto"/>
            <w:left w:val="none" w:sz="0" w:space="0" w:color="auto"/>
            <w:bottom w:val="none" w:sz="0" w:space="0" w:color="auto"/>
            <w:right w:val="none" w:sz="0" w:space="0" w:color="auto"/>
          </w:divBdr>
        </w:div>
      </w:divsChild>
    </w:div>
    <w:div w:id="375929257">
      <w:bodyDiv w:val="1"/>
      <w:marLeft w:val="0"/>
      <w:marRight w:val="0"/>
      <w:marTop w:val="0"/>
      <w:marBottom w:val="0"/>
      <w:divBdr>
        <w:top w:val="none" w:sz="0" w:space="0" w:color="auto"/>
        <w:left w:val="none" w:sz="0" w:space="0" w:color="auto"/>
        <w:bottom w:val="none" w:sz="0" w:space="0" w:color="auto"/>
        <w:right w:val="none" w:sz="0" w:space="0" w:color="auto"/>
      </w:divBdr>
    </w:div>
    <w:div w:id="378432281">
      <w:bodyDiv w:val="1"/>
      <w:marLeft w:val="0"/>
      <w:marRight w:val="0"/>
      <w:marTop w:val="0"/>
      <w:marBottom w:val="0"/>
      <w:divBdr>
        <w:top w:val="none" w:sz="0" w:space="0" w:color="auto"/>
        <w:left w:val="none" w:sz="0" w:space="0" w:color="auto"/>
        <w:bottom w:val="none" w:sz="0" w:space="0" w:color="auto"/>
        <w:right w:val="none" w:sz="0" w:space="0" w:color="auto"/>
      </w:divBdr>
    </w:div>
    <w:div w:id="379942561">
      <w:bodyDiv w:val="1"/>
      <w:marLeft w:val="0"/>
      <w:marRight w:val="0"/>
      <w:marTop w:val="0"/>
      <w:marBottom w:val="0"/>
      <w:divBdr>
        <w:top w:val="none" w:sz="0" w:space="0" w:color="auto"/>
        <w:left w:val="none" w:sz="0" w:space="0" w:color="auto"/>
        <w:bottom w:val="none" w:sz="0" w:space="0" w:color="auto"/>
        <w:right w:val="none" w:sz="0" w:space="0" w:color="auto"/>
      </w:divBdr>
    </w:div>
    <w:div w:id="383875413">
      <w:bodyDiv w:val="1"/>
      <w:marLeft w:val="0"/>
      <w:marRight w:val="0"/>
      <w:marTop w:val="0"/>
      <w:marBottom w:val="0"/>
      <w:divBdr>
        <w:top w:val="none" w:sz="0" w:space="0" w:color="auto"/>
        <w:left w:val="none" w:sz="0" w:space="0" w:color="auto"/>
        <w:bottom w:val="none" w:sz="0" w:space="0" w:color="auto"/>
        <w:right w:val="none" w:sz="0" w:space="0" w:color="auto"/>
      </w:divBdr>
    </w:div>
    <w:div w:id="385568617">
      <w:bodyDiv w:val="1"/>
      <w:marLeft w:val="0"/>
      <w:marRight w:val="0"/>
      <w:marTop w:val="0"/>
      <w:marBottom w:val="0"/>
      <w:divBdr>
        <w:top w:val="none" w:sz="0" w:space="0" w:color="auto"/>
        <w:left w:val="none" w:sz="0" w:space="0" w:color="auto"/>
        <w:bottom w:val="none" w:sz="0" w:space="0" w:color="auto"/>
        <w:right w:val="none" w:sz="0" w:space="0" w:color="auto"/>
      </w:divBdr>
    </w:div>
    <w:div w:id="389235597">
      <w:bodyDiv w:val="1"/>
      <w:marLeft w:val="0"/>
      <w:marRight w:val="0"/>
      <w:marTop w:val="0"/>
      <w:marBottom w:val="0"/>
      <w:divBdr>
        <w:top w:val="none" w:sz="0" w:space="0" w:color="auto"/>
        <w:left w:val="none" w:sz="0" w:space="0" w:color="auto"/>
        <w:bottom w:val="none" w:sz="0" w:space="0" w:color="auto"/>
        <w:right w:val="none" w:sz="0" w:space="0" w:color="auto"/>
      </w:divBdr>
    </w:div>
    <w:div w:id="389502922">
      <w:bodyDiv w:val="1"/>
      <w:marLeft w:val="0"/>
      <w:marRight w:val="0"/>
      <w:marTop w:val="0"/>
      <w:marBottom w:val="0"/>
      <w:divBdr>
        <w:top w:val="none" w:sz="0" w:space="0" w:color="auto"/>
        <w:left w:val="none" w:sz="0" w:space="0" w:color="auto"/>
        <w:bottom w:val="none" w:sz="0" w:space="0" w:color="auto"/>
        <w:right w:val="none" w:sz="0" w:space="0" w:color="auto"/>
      </w:divBdr>
    </w:div>
    <w:div w:id="397048069">
      <w:bodyDiv w:val="1"/>
      <w:marLeft w:val="0"/>
      <w:marRight w:val="0"/>
      <w:marTop w:val="0"/>
      <w:marBottom w:val="0"/>
      <w:divBdr>
        <w:top w:val="none" w:sz="0" w:space="0" w:color="auto"/>
        <w:left w:val="none" w:sz="0" w:space="0" w:color="auto"/>
        <w:bottom w:val="none" w:sz="0" w:space="0" w:color="auto"/>
        <w:right w:val="none" w:sz="0" w:space="0" w:color="auto"/>
      </w:divBdr>
    </w:div>
    <w:div w:id="398097454">
      <w:bodyDiv w:val="1"/>
      <w:marLeft w:val="0"/>
      <w:marRight w:val="0"/>
      <w:marTop w:val="0"/>
      <w:marBottom w:val="0"/>
      <w:divBdr>
        <w:top w:val="none" w:sz="0" w:space="0" w:color="auto"/>
        <w:left w:val="none" w:sz="0" w:space="0" w:color="auto"/>
        <w:bottom w:val="none" w:sz="0" w:space="0" w:color="auto"/>
        <w:right w:val="none" w:sz="0" w:space="0" w:color="auto"/>
      </w:divBdr>
    </w:div>
    <w:div w:id="399714688">
      <w:bodyDiv w:val="1"/>
      <w:marLeft w:val="0"/>
      <w:marRight w:val="0"/>
      <w:marTop w:val="0"/>
      <w:marBottom w:val="0"/>
      <w:divBdr>
        <w:top w:val="none" w:sz="0" w:space="0" w:color="auto"/>
        <w:left w:val="none" w:sz="0" w:space="0" w:color="auto"/>
        <w:bottom w:val="none" w:sz="0" w:space="0" w:color="auto"/>
        <w:right w:val="none" w:sz="0" w:space="0" w:color="auto"/>
      </w:divBdr>
    </w:div>
    <w:div w:id="402332270">
      <w:bodyDiv w:val="1"/>
      <w:marLeft w:val="0"/>
      <w:marRight w:val="0"/>
      <w:marTop w:val="0"/>
      <w:marBottom w:val="0"/>
      <w:divBdr>
        <w:top w:val="none" w:sz="0" w:space="0" w:color="auto"/>
        <w:left w:val="none" w:sz="0" w:space="0" w:color="auto"/>
        <w:bottom w:val="none" w:sz="0" w:space="0" w:color="auto"/>
        <w:right w:val="none" w:sz="0" w:space="0" w:color="auto"/>
      </w:divBdr>
    </w:div>
    <w:div w:id="405805722">
      <w:bodyDiv w:val="1"/>
      <w:marLeft w:val="0"/>
      <w:marRight w:val="0"/>
      <w:marTop w:val="0"/>
      <w:marBottom w:val="0"/>
      <w:divBdr>
        <w:top w:val="none" w:sz="0" w:space="0" w:color="auto"/>
        <w:left w:val="none" w:sz="0" w:space="0" w:color="auto"/>
        <w:bottom w:val="none" w:sz="0" w:space="0" w:color="auto"/>
        <w:right w:val="none" w:sz="0" w:space="0" w:color="auto"/>
      </w:divBdr>
    </w:div>
    <w:div w:id="416172719">
      <w:bodyDiv w:val="1"/>
      <w:marLeft w:val="0"/>
      <w:marRight w:val="0"/>
      <w:marTop w:val="0"/>
      <w:marBottom w:val="0"/>
      <w:divBdr>
        <w:top w:val="none" w:sz="0" w:space="0" w:color="auto"/>
        <w:left w:val="none" w:sz="0" w:space="0" w:color="auto"/>
        <w:bottom w:val="none" w:sz="0" w:space="0" w:color="auto"/>
        <w:right w:val="none" w:sz="0" w:space="0" w:color="auto"/>
      </w:divBdr>
    </w:div>
    <w:div w:id="416251174">
      <w:bodyDiv w:val="1"/>
      <w:marLeft w:val="0"/>
      <w:marRight w:val="0"/>
      <w:marTop w:val="0"/>
      <w:marBottom w:val="0"/>
      <w:divBdr>
        <w:top w:val="none" w:sz="0" w:space="0" w:color="auto"/>
        <w:left w:val="none" w:sz="0" w:space="0" w:color="auto"/>
        <w:bottom w:val="none" w:sz="0" w:space="0" w:color="auto"/>
        <w:right w:val="none" w:sz="0" w:space="0" w:color="auto"/>
      </w:divBdr>
    </w:div>
    <w:div w:id="422260378">
      <w:bodyDiv w:val="1"/>
      <w:marLeft w:val="0"/>
      <w:marRight w:val="0"/>
      <w:marTop w:val="0"/>
      <w:marBottom w:val="0"/>
      <w:divBdr>
        <w:top w:val="none" w:sz="0" w:space="0" w:color="auto"/>
        <w:left w:val="none" w:sz="0" w:space="0" w:color="auto"/>
        <w:bottom w:val="none" w:sz="0" w:space="0" w:color="auto"/>
        <w:right w:val="none" w:sz="0" w:space="0" w:color="auto"/>
      </w:divBdr>
    </w:div>
    <w:div w:id="422725417">
      <w:bodyDiv w:val="1"/>
      <w:marLeft w:val="0"/>
      <w:marRight w:val="0"/>
      <w:marTop w:val="0"/>
      <w:marBottom w:val="0"/>
      <w:divBdr>
        <w:top w:val="none" w:sz="0" w:space="0" w:color="auto"/>
        <w:left w:val="none" w:sz="0" w:space="0" w:color="auto"/>
        <w:bottom w:val="none" w:sz="0" w:space="0" w:color="auto"/>
        <w:right w:val="none" w:sz="0" w:space="0" w:color="auto"/>
      </w:divBdr>
    </w:div>
    <w:div w:id="427849408">
      <w:bodyDiv w:val="1"/>
      <w:marLeft w:val="0"/>
      <w:marRight w:val="0"/>
      <w:marTop w:val="0"/>
      <w:marBottom w:val="0"/>
      <w:divBdr>
        <w:top w:val="none" w:sz="0" w:space="0" w:color="auto"/>
        <w:left w:val="none" w:sz="0" w:space="0" w:color="auto"/>
        <w:bottom w:val="none" w:sz="0" w:space="0" w:color="auto"/>
        <w:right w:val="none" w:sz="0" w:space="0" w:color="auto"/>
      </w:divBdr>
    </w:div>
    <w:div w:id="428280299">
      <w:bodyDiv w:val="1"/>
      <w:marLeft w:val="0"/>
      <w:marRight w:val="0"/>
      <w:marTop w:val="0"/>
      <w:marBottom w:val="0"/>
      <w:divBdr>
        <w:top w:val="none" w:sz="0" w:space="0" w:color="auto"/>
        <w:left w:val="none" w:sz="0" w:space="0" w:color="auto"/>
        <w:bottom w:val="none" w:sz="0" w:space="0" w:color="auto"/>
        <w:right w:val="none" w:sz="0" w:space="0" w:color="auto"/>
      </w:divBdr>
    </w:div>
    <w:div w:id="430710818">
      <w:bodyDiv w:val="1"/>
      <w:marLeft w:val="0"/>
      <w:marRight w:val="0"/>
      <w:marTop w:val="0"/>
      <w:marBottom w:val="0"/>
      <w:divBdr>
        <w:top w:val="none" w:sz="0" w:space="0" w:color="auto"/>
        <w:left w:val="none" w:sz="0" w:space="0" w:color="auto"/>
        <w:bottom w:val="none" w:sz="0" w:space="0" w:color="auto"/>
        <w:right w:val="none" w:sz="0" w:space="0" w:color="auto"/>
      </w:divBdr>
    </w:div>
    <w:div w:id="432557684">
      <w:bodyDiv w:val="1"/>
      <w:marLeft w:val="0"/>
      <w:marRight w:val="0"/>
      <w:marTop w:val="0"/>
      <w:marBottom w:val="0"/>
      <w:divBdr>
        <w:top w:val="none" w:sz="0" w:space="0" w:color="auto"/>
        <w:left w:val="none" w:sz="0" w:space="0" w:color="auto"/>
        <w:bottom w:val="none" w:sz="0" w:space="0" w:color="auto"/>
        <w:right w:val="none" w:sz="0" w:space="0" w:color="auto"/>
      </w:divBdr>
    </w:div>
    <w:div w:id="438838889">
      <w:bodyDiv w:val="1"/>
      <w:marLeft w:val="0"/>
      <w:marRight w:val="0"/>
      <w:marTop w:val="0"/>
      <w:marBottom w:val="0"/>
      <w:divBdr>
        <w:top w:val="none" w:sz="0" w:space="0" w:color="auto"/>
        <w:left w:val="none" w:sz="0" w:space="0" w:color="auto"/>
        <w:bottom w:val="none" w:sz="0" w:space="0" w:color="auto"/>
        <w:right w:val="none" w:sz="0" w:space="0" w:color="auto"/>
      </w:divBdr>
    </w:div>
    <w:div w:id="440953694">
      <w:bodyDiv w:val="1"/>
      <w:marLeft w:val="0"/>
      <w:marRight w:val="0"/>
      <w:marTop w:val="0"/>
      <w:marBottom w:val="0"/>
      <w:divBdr>
        <w:top w:val="none" w:sz="0" w:space="0" w:color="auto"/>
        <w:left w:val="none" w:sz="0" w:space="0" w:color="auto"/>
        <w:bottom w:val="none" w:sz="0" w:space="0" w:color="auto"/>
        <w:right w:val="none" w:sz="0" w:space="0" w:color="auto"/>
      </w:divBdr>
    </w:div>
    <w:div w:id="443037027">
      <w:bodyDiv w:val="1"/>
      <w:marLeft w:val="0"/>
      <w:marRight w:val="0"/>
      <w:marTop w:val="0"/>
      <w:marBottom w:val="0"/>
      <w:divBdr>
        <w:top w:val="none" w:sz="0" w:space="0" w:color="auto"/>
        <w:left w:val="none" w:sz="0" w:space="0" w:color="auto"/>
        <w:bottom w:val="none" w:sz="0" w:space="0" w:color="auto"/>
        <w:right w:val="none" w:sz="0" w:space="0" w:color="auto"/>
      </w:divBdr>
    </w:div>
    <w:div w:id="443117509">
      <w:bodyDiv w:val="1"/>
      <w:marLeft w:val="0"/>
      <w:marRight w:val="0"/>
      <w:marTop w:val="0"/>
      <w:marBottom w:val="0"/>
      <w:divBdr>
        <w:top w:val="none" w:sz="0" w:space="0" w:color="auto"/>
        <w:left w:val="none" w:sz="0" w:space="0" w:color="auto"/>
        <w:bottom w:val="none" w:sz="0" w:space="0" w:color="auto"/>
        <w:right w:val="none" w:sz="0" w:space="0" w:color="auto"/>
      </w:divBdr>
    </w:div>
    <w:div w:id="445200926">
      <w:bodyDiv w:val="1"/>
      <w:marLeft w:val="0"/>
      <w:marRight w:val="0"/>
      <w:marTop w:val="0"/>
      <w:marBottom w:val="0"/>
      <w:divBdr>
        <w:top w:val="none" w:sz="0" w:space="0" w:color="auto"/>
        <w:left w:val="none" w:sz="0" w:space="0" w:color="auto"/>
        <w:bottom w:val="none" w:sz="0" w:space="0" w:color="auto"/>
        <w:right w:val="none" w:sz="0" w:space="0" w:color="auto"/>
      </w:divBdr>
    </w:div>
    <w:div w:id="449590092">
      <w:bodyDiv w:val="1"/>
      <w:marLeft w:val="0"/>
      <w:marRight w:val="0"/>
      <w:marTop w:val="0"/>
      <w:marBottom w:val="0"/>
      <w:divBdr>
        <w:top w:val="none" w:sz="0" w:space="0" w:color="auto"/>
        <w:left w:val="none" w:sz="0" w:space="0" w:color="auto"/>
        <w:bottom w:val="none" w:sz="0" w:space="0" w:color="auto"/>
        <w:right w:val="none" w:sz="0" w:space="0" w:color="auto"/>
      </w:divBdr>
    </w:div>
    <w:div w:id="450245736">
      <w:bodyDiv w:val="1"/>
      <w:marLeft w:val="0"/>
      <w:marRight w:val="0"/>
      <w:marTop w:val="0"/>
      <w:marBottom w:val="0"/>
      <w:divBdr>
        <w:top w:val="none" w:sz="0" w:space="0" w:color="auto"/>
        <w:left w:val="none" w:sz="0" w:space="0" w:color="auto"/>
        <w:bottom w:val="none" w:sz="0" w:space="0" w:color="auto"/>
        <w:right w:val="none" w:sz="0" w:space="0" w:color="auto"/>
      </w:divBdr>
    </w:div>
    <w:div w:id="450712063">
      <w:bodyDiv w:val="1"/>
      <w:marLeft w:val="0"/>
      <w:marRight w:val="0"/>
      <w:marTop w:val="0"/>
      <w:marBottom w:val="0"/>
      <w:divBdr>
        <w:top w:val="none" w:sz="0" w:space="0" w:color="auto"/>
        <w:left w:val="none" w:sz="0" w:space="0" w:color="auto"/>
        <w:bottom w:val="none" w:sz="0" w:space="0" w:color="auto"/>
        <w:right w:val="none" w:sz="0" w:space="0" w:color="auto"/>
      </w:divBdr>
    </w:div>
    <w:div w:id="452597939">
      <w:bodyDiv w:val="1"/>
      <w:marLeft w:val="0"/>
      <w:marRight w:val="0"/>
      <w:marTop w:val="0"/>
      <w:marBottom w:val="0"/>
      <w:divBdr>
        <w:top w:val="none" w:sz="0" w:space="0" w:color="auto"/>
        <w:left w:val="none" w:sz="0" w:space="0" w:color="auto"/>
        <w:bottom w:val="none" w:sz="0" w:space="0" w:color="auto"/>
        <w:right w:val="none" w:sz="0" w:space="0" w:color="auto"/>
      </w:divBdr>
    </w:div>
    <w:div w:id="453986873">
      <w:marLeft w:val="0"/>
      <w:marRight w:val="0"/>
      <w:marTop w:val="0"/>
      <w:marBottom w:val="0"/>
      <w:divBdr>
        <w:top w:val="none" w:sz="0" w:space="0" w:color="auto"/>
        <w:left w:val="none" w:sz="0" w:space="0" w:color="auto"/>
        <w:bottom w:val="none" w:sz="0" w:space="0" w:color="auto"/>
        <w:right w:val="none" w:sz="0" w:space="0" w:color="auto"/>
      </w:divBdr>
    </w:div>
    <w:div w:id="459496690">
      <w:bodyDiv w:val="1"/>
      <w:marLeft w:val="0"/>
      <w:marRight w:val="0"/>
      <w:marTop w:val="0"/>
      <w:marBottom w:val="0"/>
      <w:divBdr>
        <w:top w:val="none" w:sz="0" w:space="0" w:color="auto"/>
        <w:left w:val="none" w:sz="0" w:space="0" w:color="auto"/>
        <w:bottom w:val="none" w:sz="0" w:space="0" w:color="auto"/>
        <w:right w:val="none" w:sz="0" w:space="0" w:color="auto"/>
      </w:divBdr>
    </w:div>
    <w:div w:id="461464824">
      <w:bodyDiv w:val="1"/>
      <w:marLeft w:val="0"/>
      <w:marRight w:val="0"/>
      <w:marTop w:val="0"/>
      <w:marBottom w:val="0"/>
      <w:divBdr>
        <w:top w:val="none" w:sz="0" w:space="0" w:color="auto"/>
        <w:left w:val="none" w:sz="0" w:space="0" w:color="auto"/>
        <w:bottom w:val="none" w:sz="0" w:space="0" w:color="auto"/>
        <w:right w:val="none" w:sz="0" w:space="0" w:color="auto"/>
      </w:divBdr>
    </w:div>
    <w:div w:id="461844541">
      <w:bodyDiv w:val="1"/>
      <w:marLeft w:val="0"/>
      <w:marRight w:val="0"/>
      <w:marTop w:val="0"/>
      <w:marBottom w:val="0"/>
      <w:divBdr>
        <w:top w:val="none" w:sz="0" w:space="0" w:color="auto"/>
        <w:left w:val="none" w:sz="0" w:space="0" w:color="auto"/>
        <w:bottom w:val="none" w:sz="0" w:space="0" w:color="auto"/>
        <w:right w:val="none" w:sz="0" w:space="0" w:color="auto"/>
      </w:divBdr>
    </w:div>
    <w:div w:id="462308217">
      <w:bodyDiv w:val="1"/>
      <w:marLeft w:val="0"/>
      <w:marRight w:val="0"/>
      <w:marTop w:val="0"/>
      <w:marBottom w:val="0"/>
      <w:divBdr>
        <w:top w:val="none" w:sz="0" w:space="0" w:color="auto"/>
        <w:left w:val="none" w:sz="0" w:space="0" w:color="auto"/>
        <w:bottom w:val="none" w:sz="0" w:space="0" w:color="auto"/>
        <w:right w:val="none" w:sz="0" w:space="0" w:color="auto"/>
      </w:divBdr>
    </w:div>
    <w:div w:id="467282034">
      <w:bodyDiv w:val="1"/>
      <w:marLeft w:val="0"/>
      <w:marRight w:val="0"/>
      <w:marTop w:val="0"/>
      <w:marBottom w:val="0"/>
      <w:divBdr>
        <w:top w:val="none" w:sz="0" w:space="0" w:color="auto"/>
        <w:left w:val="none" w:sz="0" w:space="0" w:color="auto"/>
        <w:bottom w:val="none" w:sz="0" w:space="0" w:color="auto"/>
        <w:right w:val="none" w:sz="0" w:space="0" w:color="auto"/>
      </w:divBdr>
    </w:div>
    <w:div w:id="468475085">
      <w:bodyDiv w:val="1"/>
      <w:marLeft w:val="0"/>
      <w:marRight w:val="0"/>
      <w:marTop w:val="0"/>
      <w:marBottom w:val="0"/>
      <w:divBdr>
        <w:top w:val="none" w:sz="0" w:space="0" w:color="auto"/>
        <w:left w:val="none" w:sz="0" w:space="0" w:color="auto"/>
        <w:bottom w:val="none" w:sz="0" w:space="0" w:color="auto"/>
        <w:right w:val="none" w:sz="0" w:space="0" w:color="auto"/>
      </w:divBdr>
    </w:div>
    <w:div w:id="468713509">
      <w:bodyDiv w:val="1"/>
      <w:marLeft w:val="0"/>
      <w:marRight w:val="0"/>
      <w:marTop w:val="0"/>
      <w:marBottom w:val="0"/>
      <w:divBdr>
        <w:top w:val="none" w:sz="0" w:space="0" w:color="auto"/>
        <w:left w:val="none" w:sz="0" w:space="0" w:color="auto"/>
        <w:bottom w:val="none" w:sz="0" w:space="0" w:color="auto"/>
        <w:right w:val="none" w:sz="0" w:space="0" w:color="auto"/>
      </w:divBdr>
    </w:div>
    <w:div w:id="469715995">
      <w:bodyDiv w:val="1"/>
      <w:marLeft w:val="0"/>
      <w:marRight w:val="0"/>
      <w:marTop w:val="0"/>
      <w:marBottom w:val="0"/>
      <w:divBdr>
        <w:top w:val="none" w:sz="0" w:space="0" w:color="auto"/>
        <w:left w:val="none" w:sz="0" w:space="0" w:color="auto"/>
        <w:bottom w:val="none" w:sz="0" w:space="0" w:color="auto"/>
        <w:right w:val="none" w:sz="0" w:space="0" w:color="auto"/>
      </w:divBdr>
    </w:div>
    <w:div w:id="471294093">
      <w:bodyDiv w:val="1"/>
      <w:marLeft w:val="0"/>
      <w:marRight w:val="0"/>
      <w:marTop w:val="0"/>
      <w:marBottom w:val="0"/>
      <w:divBdr>
        <w:top w:val="none" w:sz="0" w:space="0" w:color="auto"/>
        <w:left w:val="none" w:sz="0" w:space="0" w:color="auto"/>
        <w:bottom w:val="none" w:sz="0" w:space="0" w:color="auto"/>
        <w:right w:val="none" w:sz="0" w:space="0" w:color="auto"/>
      </w:divBdr>
    </w:div>
    <w:div w:id="474879585">
      <w:bodyDiv w:val="1"/>
      <w:marLeft w:val="0"/>
      <w:marRight w:val="0"/>
      <w:marTop w:val="0"/>
      <w:marBottom w:val="0"/>
      <w:divBdr>
        <w:top w:val="none" w:sz="0" w:space="0" w:color="auto"/>
        <w:left w:val="none" w:sz="0" w:space="0" w:color="auto"/>
        <w:bottom w:val="none" w:sz="0" w:space="0" w:color="auto"/>
        <w:right w:val="none" w:sz="0" w:space="0" w:color="auto"/>
      </w:divBdr>
    </w:div>
    <w:div w:id="476844242">
      <w:bodyDiv w:val="1"/>
      <w:marLeft w:val="0"/>
      <w:marRight w:val="0"/>
      <w:marTop w:val="0"/>
      <w:marBottom w:val="0"/>
      <w:divBdr>
        <w:top w:val="none" w:sz="0" w:space="0" w:color="auto"/>
        <w:left w:val="none" w:sz="0" w:space="0" w:color="auto"/>
        <w:bottom w:val="none" w:sz="0" w:space="0" w:color="auto"/>
        <w:right w:val="none" w:sz="0" w:space="0" w:color="auto"/>
      </w:divBdr>
    </w:div>
    <w:div w:id="478034688">
      <w:bodyDiv w:val="1"/>
      <w:marLeft w:val="0"/>
      <w:marRight w:val="0"/>
      <w:marTop w:val="0"/>
      <w:marBottom w:val="0"/>
      <w:divBdr>
        <w:top w:val="none" w:sz="0" w:space="0" w:color="auto"/>
        <w:left w:val="none" w:sz="0" w:space="0" w:color="auto"/>
        <w:bottom w:val="none" w:sz="0" w:space="0" w:color="auto"/>
        <w:right w:val="none" w:sz="0" w:space="0" w:color="auto"/>
      </w:divBdr>
    </w:div>
    <w:div w:id="484204441">
      <w:bodyDiv w:val="1"/>
      <w:marLeft w:val="0"/>
      <w:marRight w:val="0"/>
      <w:marTop w:val="0"/>
      <w:marBottom w:val="0"/>
      <w:divBdr>
        <w:top w:val="none" w:sz="0" w:space="0" w:color="auto"/>
        <w:left w:val="none" w:sz="0" w:space="0" w:color="auto"/>
        <w:bottom w:val="none" w:sz="0" w:space="0" w:color="auto"/>
        <w:right w:val="none" w:sz="0" w:space="0" w:color="auto"/>
      </w:divBdr>
    </w:div>
    <w:div w:id="486018548">
      <w:bodyDiv w:val="1"/>
      <w:marLeft w:val="0"/>
      <w:marRight w:val="0"/>
      <w:marTop w:val="0"/>
      <w:marBottom w:val="0"/>
      <w:divBdr>
        <w:top w:val="none" w:sz="0" w:space="0" w:color="auto"/>
        <w:left w:val="none" w:sz="0" w:space="0" w:color="auto"/>
        <w:bottom w:val="none" w:sz="0" w:space="0" w:color="auto"/>
        <w:right w:val="none" w:sz="0" w:space="0" w:color="auto"/>
      </w:divBdr>
    </w:div>
    <w:div w:id="490222392">
      <w:bodyDiv w:val="1"/>
      <w:marLeft w:val="0"/>
      <w:marRight w:val="0"/>
      <w:marTop w:val="0"/>
      <w:marBottom w:val="0"/>
      <w:divBdr>
        <w:top w:val="none" w:sz="0" w:space="0" w:color="auto"/>
        <w:left w:val="none" w:sz="0" w:space="0" w:color="auto"/>
        <w:bottom w:val="none" w:sz="0" w:space="0" w:color="auto"/>
        <w:right w:val="none" w:sz="0" w:space="0" w:color="auto"/>
      </w:divBdr>
    </w:div>
    <w:div w:id="492187550">
      <w:bodyDiv w:val="1"/>
      <w:marLeft w:val="0"/>
      <w:marRight w:val="0"/>
      <w:marTop w:val="0"/>
      <w:marBottom w:val="0"/>
      <w:divBdr>
        <w:top w:val="none" w:sz="0" w:space="0" w:color="auto"/>
        <w:left w:val="none" w:sz="0" w:space="0" w:color="auto"/>
        <w:bottom w:val="none" w:sz="0" w:space="0" w:color="auto"/>
        <w:right w:val="none" w:sz="0" w:space="0" w:color="auto"/>
      </w:divBdr>
    </w:div>
    <w:div w:id="494146430">
      <w:bodyDiv w:val="1"/>
      <w:marLeft w:val="0"/>
      <w:marRight w:val="0"/>
      <w:marTop w:val="0"/>
      <w:marBottom w:val="0"/>
      <w:divBdr>
        <w:top w:val="none" w:sz="0" w:space="0" w:color="auto"/>
        <w:left w:val="none" w:sz="0" w:space="0" w:color="auto"/>
        <w:bottom w:val="none" w:sz="0" w:space="0" w:color="auto"/>
        <w:right w:val="none" w:sz="0" w:space="0" w:color="auto"/>
      </w:divBdr>
    </w:div>
    <w:div w:id="496118322">
      <w:bodyDiv w:val="1"/>
      <w:marLeft w:val="0"/>
      <w:marRight w:val="0"/>
      <w:marTop w:val="0"/>
      <w:marBottom w:val="0"/>
      <w:divBdr>
        <w:top w:val="none" w:sz="0" w:space="0" w:color="auto"/>
        <w:left w:val="none" w:sz="0" w:space="0" w:color="auto"/>
        <w:bottom w:val="none" w:sz="0" w:space="0" w:color="auto"/>
        <w:right w:val="none" w:sz="0" w:space="0" w:color="auto"/>
      </w:divBdr>
    </w:div>
    <w:div w:id="505557771">
      <w:bodyDiv w:val="1"/>
      <w:marLeft w:val="0"/>
      <w:marRight w:val="0"/>
      <w:marTop w:val="0"/>
      <w:marBottom w:val="0"/>
      <w:divBdr>
        <w:top w:val="none" w:sz="0" w:space="0" w:color="auto"/>
        <w:left w:val="none" w:sz="0" w:space="0" w:color="auto"/>
        <w:bottom w:val="none" w:sz="0" w:space="0" w:color="auto"/>
        <w:right w:val="none" w:sz="0" w:space="0" w:color="auto"/>
      </w:divBdr>
    </w:div>
    <w:div w:id="508956630">
      <w:bodyDiv w:val="1"/>
      <w:marLeft w:val="0"/>
      <w:marRight w:val="0"/>
      <w:marTop w:val="0"/>
      <w:marBottom w:val="0"/>
      <w:divBdr>
        <w:top w:val="none" w:sz="0" w:space="0" w:color="auto"/>
        <w:left w:val="none" w:sz="0" w:space="0" w:color="auto"/>
        <w:bottom w:val="none" w:sz="0" w:space="0" w:color="auto"/>
        <w:right w:val="none" w:sz="0" w:space="0" w:color="auto"/>
      </w:divBdr>
    </w:div>
    <w:div w:id="514154994">
      <w:bodyDiv w:val="1"/>
      <w:marLeft w:val="0"/>
      <w:marRight w:val="0"/>
      <w:marTop w:val="0"/>
      <w:marBottom w:val="0"/>
      <w:divBdr>
        <w:top w:val="none" w:sz="0" w:space="0" w:color="auto"/>
        <w:left w:val="none" w:sz="0" w:space="0" w:color="auto"/>
        <w:bottom w:val="none" w:sz="0" w:space="0" w:color="auto"/>
        <w:right w:val="none" w:sz="0" w:space="0" w:color="auto"/>
      </w:divBdr>
    </w:div>
    <w:div w:id="516700239">
      <w:bodyDiv w:val="1"/>
      <w:marLeft w:val="0"/>
      <w:marRight w:val="0"/>
      <w:marTop w:val="0"/>
      <w:marBottom w:val="0"/>
      <w:divBdr>
        <w:top w:val="none" w:sz="0" w:space="0" w:color="auto"/>
        <w:left w:val="none" w:sz="0" w:space="0" w:color="auto"/>
        <w:bottom w:val="none" w:sz="0" w:space="0" w:color="auto"/>
        <w:right w:val="none" w:sz="0" w:space="0" w:color="auto"/>
      </w:divBdr>
    </w:div>
    <w:div w:id="518202345">
      <w:bodyDiv w:val="1"/>
      <w:marLeft w:val="0"/>
      <w:marRight w:val="0"/>
      <w:marTop w:val="0"/>
      <w:marBottom w:val="0"/>
      <w:divBdr>
        <w:top w:val="none" w:sz="0" w:space="0" w:color="auto"/>
        <w:left w:val="none" w:sz="0" w:space="0" w:color="auto"/>
        <w:bottom w:val="none" w:sz="0" w:space="0" w:color="auto"/>
        <w:right w:val="none" w:sz="0" w:space="0" w:color="auto"/>
      </w:divBdr>
    </w:div>
    <w:div w:id="521479046">
      <w:bodyDiv w:val="1"/>
      <w:marLeft w:val="0"/>
      <w:marRight w:val="0"/>
      <w:marTop w:val="0"/>
      <w:marBottom w:val="0"/>
      <w:divBdr>
        <w:top w:val="none" w:sz="0" w:space="0" w:color="auto"/>
        <w:left w:val="none" w:sz="0" w:space="0" w:color="auto"/>
        <w:bottom w:val="none" w:sz="0" w:space="0" w:color="auto"/>
        <w:right w:val="none" w:sz="0" w:space="0" w:color="auto"/>
      </w:divBdr>
    </w:div>
    <w:div w:id="522138147">
      <w:bodyDiv w:val="1"/>
      <w:marLeft w:val="0"/>
      <w:marRight w:val="0"/>
      <w:marTop w:val="0"/>
      <w:marBottom w:val="0"/>
      <w:divBdr>
        <w:top w:val="none" w:sz="0" w:space="0" w:color="auto"/>
        <w:left w:val="none" w:sz="0" w:space="0" w:color="auto"/>
        <w:bottom w:val="none" w:sz="0" w:space="0" w:color="auto"/>
        <w:right w:val="none" w:sz="0" w:space="0" w:color="auto"/>
      </w:divBdr>
    </w:div>
    <w:div w:id="529144916">
      <w:bodyDiv w:val="1"/>
      <w:marLeft w:val="0"/>
      <w:marRight w:val="0"/>
      <w:marTop w:val="0"/>
      <w:marBottom w:val="0"/>
      <w:divBdr>
        <w:top w:val="none" w:sz="0" w:space="0" w:color="auto"/>
        <w:left w:val="none" w:sz="0" w:space="0" w:color="auto"/>
        <w:bottom w:val="none" w:sz="0" w:space="0" w:color="auto"/>
        <w:right w:val="none" w:sz="0" w:space="0" w:color="auto"/>
      </w:divBdr>
    </w:div>
    <w:div w:id="535578477">
      <w:bodyDiv w:val="1"/>
      <w:marLeft w:val="0"/>
      <w:marRight w:val="0"/>
      <w:marTop w:val="0"/>
      <w:marBottom w:val="0"/>
      <w:divBdr>
        <w:top w:val="none" w:sz="0" w:space="0" w:color="auto"/>
        <w:left w:val="none" w:sz="0" w:space="0" w:color="auto"/>
        <w:bottom w:val="none" w:sz="0" w:space="0" w:color="auto"/>
        <w:right w:val="none" w:sz="0" w:space="0" w:color="auto"/>
      </w:divBdr>
    </w:div>
    <w:div w:id="538056500">
      <w:bodyDiv w:val="1"/>
      <w:marLeft w:val="0"/>
      <w:marRight w:val="0"/>
      <w:marTop w:val="0"/>
      <w:marBottom w:val="0"/>
      <w:divBdr>
        <w:top w:val="none" w:sz="0" w:space="0" w:color="auto"/>
        <w:left w:val="none" w:sz="0" w:space="0" w:color="auto"/>
        <w:bottom w:val="none" w:sz="0" w:space="0" w:color="auto"/>
        <w:right w:val="none" w:sz="0" w:space="0" w:color="auto"/>
      </w:divBdr>
    </w:div>
    <w:div w:id="538199370">
      <w:bodyDiv w:val="1"/>
      <w:marLeft w:val="0"/>
      <w:marRight w:val="0"/>
      <w:marTop w:val="0"/>
      <w:marBottom w:val="0"/>
      <w:divBdr>
        <w:top w:val="none" w:sz="0" w:space="0" w:color="auto"/>
        <w:left w:val="none" w:sz="0" w:space="0" w:color="auto"/>
        <w:bottom w:val="none" w:sz="0" w:space="0" w:color="auto"/>
        <w:right w:val="none" w:sz="0" w:space="0" w:color="auto"/>
      </w:divBdr>
    </w:div>
    <w:div w:id="539630789">
      <w:bodyDiv w:val="1"/>
      <w:marLeft w:val="0"/>
      <w:marRight w:val="0"/>
      <w:marTop w:val="0"/>
      <w:marBottom w:val="0"/>
      <w:divBdr>
        <w:top w:val="none" w:sz="0" w:space="0" w:color="auto"/>
        <w:left w:val="none" w:sz="0" w:space="0" w:color="auto"/>
        <w:bottom w:val="none" w:sz="0" w:space="0" w:color="auto"/>
        <w:right w:val="none" w:sz="0" w:space="0" w:color="auto"/>
      </w:divBdr>
    </w:div>
    <w:div w:id="541481578">
      <w:bodyDiv w:val="1"/>
      <w:marLeft w:val="0"/>
      <w:marRight w:val="0"/>
      <w:marTop w:val="0"/>
      <w:marBottom w:val="0"/>
      <w:divBdr>
        <w:top w:val="none" w:sz="0" w:space="0" w:color="auto"/>
        <w:left w:val="none" w:sz="0" w:space="0" w:color="auto"/>
        <w:bottom w:val="none" w:sz="0" w:space="0" w:color="auto"/>
        <w:right w:val="none" w:sz="0" w:space="0" w:color="auto"/>
      </w:divBdr>
    </w:div>
    <w:div w:id="541868912">
      <w:bodyDiv w:val="1"/>
      <w:marLeft w:val="0"/>
      <w:marRight w:val="0"/>
      <w:marTop w:val="0"/>
      <w:marBottom w:val="0"/>
      <w:divBdr>
        <w:top w:val="none" w:sz="0" w:space="0" w:color="auto"/>
        <w:left w:val="none" w:sz="0" w:space="0" w:color="auto"/>
        <w:bottom w:val="none" w:sz="0" w:space="0" w:color="auto"/>
        <w:right w:val="none" w:sz="0" w:space="0" w:color="auto"/>
      </w:divBdr>
    </w:div>
    <w:div w:id="543490245">
      <w:bodyDiv w:val="1"/>
      <w:marLeft w:val="0"/>
      <w:marRight w:val="0"/>
      <w:marTop w:val="0"/>
      <w:marBottom w:val="0"/>
      <w:divBdr>
        <w:top w:val="none" w:sz="0" w:space="0" w:color="auto"/>
        <w:left w:val="none" w:sz="0" w:space="0" w:color="auto"/>
        <w:bottom w:val="none" w:sz="0" w:space="0" w:color="auto"/>
        <w:right w:val="none" w:sz="0" w:space="0" w:color="auto"/>
      </w:divBdr>
    </w:div>
    <w:div w:id="544098784">
      <w:bodyDiv w:val="1"/>
      <w:marLeft w:val="0"/>
      <w:marRight w:val="0"/>
      <w:marTop w:val="0"/>
      <w:marBottom w:val="0"/>
      <w:divBdr>
        <w:top w:val="none" w:sz="0" w:space="0" w:color="auto"/>
        <w:left w:val="none" w:sz="0" w:space="0" w:color="auto"/>
        <w:bottom w:val="none" w:sz="0" w:space="0" w:color="auto"/>
        <w:right w:val="none" w:sz="0" w:space="0" w:color="auto"/>
      </w:divBdr>
    </w:div>
    <w:div w:id="544831625">
      <w:bodyDiv w:val="1"/>
      <w:marLeft w:val="0"/>
      <w:marRight w:val="0"/>
      <w:marTop w:val="0"/>
      <w:marBottom w:val="0"/>
      <w:divBdr>
        <w:top w:val="none" w:sz="0" w:space="0" w:color="auto"/>
        <w:left w:val="none" w:sz="0" w:space="0" w:color="auto"/>
        <w:bottom w:val="none" w:sz="0" w:space="0" w:color="auto"/>
        <w:right w:val="none" w:sz="0" w:space="0" w:color="auto"/>
      </w:divBdr>
    </w:div>
    <w:div w:id="545457540">
      <w:bodyDiv w:val="1"/>
      <w:marLeft w:val="0"/>
      <w:marRight w:val="0"/>
      <w:marTop w:val="0"/>
      <w:marBottom w:val="0"/>
      <w:divBdr>
        <w:top w:val="none" w:sz="0" w:space="0" w:color="auto"/>
        <w:left w:val="none" w:sz="0" w:space="0" w:color="auto"/>
        <w:bottom w:val="none" w:sz="0" w:space="0" w:color="auto"/>
        <w:right w:val="none" w:sz="0" w:space="0" w:color="auto"/>
      </w:divBdr>
    </w:div>
    <w:div w:id="547955016">
      <w:bodyDiv w:val="1"/>
      <w:marLeft w:val="0"/>
      <w:marRight w:val="0"/>
      <w:marTop w:val="0"/>
      <w:marBottom w:val="0"/>
      <w:divBdr>
        <w:top w:val="none" w:sz="0" w:space="0" w:color="auto"/>
        <w:left w:val="none" w:sz="0" w:space="0" w:color="auto"/>
        <w:bottom w:val="none" w:sz="0" w:space="0" w:color="auto"/>
        <w:right w:val="none" w:sz="0" w:space="0" w:color="auto"/>
      </w:divBdr>
    </w:div>
    <w:div w:id="548103595">
      <w:bodyDiv w:val="1"/>
      <w:marLeft w:val="0"/>
      <w:marRight w:val="0"/>
      <w:marTop w:val="0"/>
      <w:marBottom w:val="0"/>
      <w:divBdr>
        <w:top w:val="none" w:sz="0" w:space="0" w:color="auto"/>
        <w:left w:val="none" w:sz="0" w:space="0" w:color="auto"/>
        <w:bottom w:val="none" w:sz="0" w:space="0" w:color="auto"/>
        <w:right w:val="none" w:sz="0" w:space="0" w:color="auto"/>
      </w:divBdr>
    </w:div>
    <w:div w:id="549265359">
      <w:bodyDiv w:val="1"/>
      <w:marLeft w:val="0"/>
      <w:marRight w:val="0"/>
      <w:marTop w:val="0"/>
      <w:marBottom w:val="0"/>
      <w:divBdr>
        <w:top w:val="none" w:sz="0" w:space="0" w:color="auto"/>
        <w:left w:val="none" w:sz="0" w:space="0" w:color="auto"/>
        <w:bottom w:val="none" w:sz="0" w:space="0" w:color="auto"/>
        <w:right w:val="none" w:sz="0" w:space="0" w:color="auto"/>
      </w:divBdr>
    </w:div>
    <w:div w:id="553156569">
      <w:bodyDiv w:val="1"/>
      <w:marLeft w:val="0"/>
      <w:marRight w:val="0"/>
      <w:marTop w:val="0"/>
      <w:marBottom w:val="0"/>
      <w:divBdr>
        <w:top w:val="none" w:sz="0" w:space="0" w:color="auto"/>
        <w:left w:val="none" w:sz="0" w:space="0" w:color="auto"/>
        <w:bottom w:val="none" w:sz="0" w:space="0" w:color="auto"/>
        <w:right w:val="none" w:sz="0" w:space="0" w:color="auto"/>
      </w:divBdr>
    </w:div>
    <w:div w:id="555898804">
      <w:bodyDiv w:val="1"/>
      <w:marLeft w:val="0"/>
      <w:marRight w:val="0"/>
      <w:marTop w:val="0"/>
      <w:marBottom w:val="0"/>
      <w:divBdr>
        <w:top w:val="none" w:sz="0" w:space="0" w:color="auto"/>
        <w:left w:val="none" w:sz="0" w:space="0" w:color="auto"/>
        <w:bottom w:val="none" w:sz="0" w:space="0" w:color="auto"/>
        <w:right w:val="none" w:sz="0" w:space="0" w:color="auto"/>
      </w:divBdr>
    </w:div>
    <w:div w:id="561909128">
      <w:bodyDiv w:val="1"/>
      <w:marLeft w:val="0"/>
      <w:marRight w:val="0"/>
      <w:marTop w:val="0"/>
      <w:marBottom w:val="0"/>
      <w:divBdr>
        <w:top w:val="none" w:sz="0" w:space="0" w:color="auto"/>
        <w:left w:val="none" w:sz="0" w:space="0" w:color="auto"/>
        <w:bottom w:val="none" w:sz="0" w:space="0" w:color="auto"/>
        <w:right w:val="none" w:sz="0" w:space="0" w:color="auto"/>
      </w:divBdr>
    </w:div>
    <w:div w:id="562065211">
      <w:bodyDiv w:val="1"/>
      <w:marLeft w:val="0"/>
      <w:marRight w:val="0"/>
      <w:marTop w:val="0"/>
      <w:marBottom w:val="0"/>
      <w:divBdr>
        <w:top w:val="none" w:sz="0" w:space="0" w:color="auto"/>
        <w:left w:val="none" w:sz="0" w:space="0" w:color="auto"/>
        <w:bottom w:val="none" w:sz="0" w:space="0" w:color="auto"/>
        <w:right w:val="none" w:sz="0" w:space="0" w:color="auto"/>
      </w:divBdr>
    </w:div>
    <w:div w:id="564462162">
      <w:bodyDiv w:val="1"/>
      <w:marLeft w:val="0"/>
      <w:marRight w:val="0"/>
      <w:marTop w:val="0"/>
      <w:marBottom w:val="0"/>
      <w:divBdr>
        <w:top w:val="none" w:sz="0" w:space="0" w:color="auto"/>
        <w:left w:val="none" w:sz="0" w:space="0" w:color="auto"/>
        <w:bottom w:val="none" w:sz="0" w:space="0" w:color="auto"/>
        <w:right w:val="none" w:sz="0" w:space="0" w:color="auto"/>
      </w:divBdr>
    </w:div>
    <w:div w:id="570310874">
      <w:bodyDiv w:val="1"/>
      <w:marLeft w:val="0"/>
      <w:marRight w:val="0"/>
      <w:marTop w:val="0"/>
      <w:marBottom w:val="0"/>
      <w:divBdr>
        <w:top w:val="none" w:sz="0" w:space="0" w:color="auto"/>
        <w:left w:val="none" w:sz="0" w:space="0" w:color="auto"/>
        <w:bottom w:val="none" w:sz="0" w:space="0" w:color="auto"/>
        <w:right w:val="none" w:sz="0" w:space="0" w:color="auto"/>
      </w:divBdr>
    </w:div>
    <w:div w:id="570770073">
      <w:bodyDiv w:val="1"/>
      <w:marLeft w:val="0"/>
      <w:marRight w:val="0"/>
      <w:marTop w:val="0"/>
      <w:marBottom w:val="0"/>
      <w:divBdr>
        <w:top w:val="none" w:sz="0" w:space="0" w:color="auto"/>
        <w:left w:val="none" w:sz="0" w:space="0" w:color="auto"/>
        <w:bottom w:val="none" w:sz="0" w:space="0" w:color="auto"/>
        <w:right w:val="none" w:sz="0" w:space="0" w:color="auto"/>
      </w:divBdr>
    </w:div>
    <w:div w:id="570964193">
      <w:bodyDiv w:val="1"/>
      <w:marLeft w:val="0"/>
      <w:marRight w:val="0"/>
      <w:marTop w:val="0"/>
      <w:marBottom w:val="0"/>
      <w:divBdr>
        <w:top w:val="none" w:sz="0" w:space="0" w:color="auto"/>
        <w:left w:val="none" w:sz="0" w:space="0" w:color="auto"/>
        <w:bottom w:val="none" w:sz="0" w:space="0" w:color="auto"/>
        <w:right w:val="none" w:sz="0" w:space="0" w:color="auto"/>
      </w:divBdr>
    </w:div>
    <w:div w:id="572085293">
      <w:bodyDiv w:val="1"/>
      <w:marLeft w:val="0"/>
      <w:marRight w:val="0"/>
      <w:marTop w:val="0"/>
      <w:marBottom w:val="0"/>
      <w:divBdr>
        <w:top w:val="none" w:sz="0" w:space="0" w:color="auto"/>
        <w:left w:val="none" w:sz="0" w:space="0" w:color="auto"/>
        <w:bottom w:val="none" w:sz="0" w:space="0" w:color="auto"/>
        <w:right w:val="none" w:sz="0" w:space="0" w:color="auto"/>
      </w:divBdr>
    </w:div>
    <w:div w:id="572274749">
      <w:bodyDiv w:val="1"/>
      <w:marLeft w:val="0"/>
      <w:marRight w:val="0"/>
      <w:marTop w:val="0"/>
      <w:marBottom w:val="0"/>
      <w:divBdr>
        <w:top w:val="none" w:sz="0" w:space="0" w:color="auto"/>
        <w:left w:val="none" w:sz="0" w:space="0" w:color="auto"/>
        <w:bottom w:val="none" w:sz="0" w:space="0" w:color="auto"/>
        <w:right w:val="none" w:sz="0" w:space="0" w:color="auto"/>
      </w:divBdr>
    </w:div>
    <w:div w:id="573007715">
      <w:bodyDiv w:val="1"/>
      <w:marLeft w:val="0"/>
      <w:marRight w:val="0"/>
      <w:marTop w:val="0"/>
      <w:marBottom w:val="0"/>
      <w:divBdr>
        <w:top w:val="none" w:sz="0" w:space="0" w:color="auto"/>
        <w:left w:val="none" w:sz="0" w:space="0" w:color="auto"/>
        <w:bottom w:val="none" w:sz="0" w:space="0" w:color="auto"/>
        <w:right w:val="none" w:sz="0" w:space="0" w:color="auto"/>
      </w:divBdr>
    </w:div>
    <w:div w:id="573593300">
      <w:bodyDiv w:val="1"/>
      <w:marLeft w:val="0"/>
      <w:marRight w:val="0"/>
      <w:marTop w:val="0"/>
      <w:marBottom w:val="0"/>
      <w:divBdr>
        <w:top w:val="none" w:sz="0" w:space="0" w:color="auto"/>
        <w:left w:val="none" w:sz="0" w:space="0" w:color="auto"/>
        <w:bottom w:val="none" w:sz="0" w:space="0" w:color="auto"/>
        <w:right w:val="none" w:sz="0" w:space="0" w:color="auto"/>
      </w:divBdr>
    </w:div>
    <w:div w:id="574819515">
      <w:bodyDiv w:val="1"/>
      <w:marLeft w:val="0"/>
      <w:marRight w:val="0"/>
      <w:marTop w:val="0"/>
      <w:marBottom w:val="0"/>
      <w:divBdr>
        <w:top w:val="none" w:sz="0" w:space="0" w:color="auto"/>
        <w:left w:val="none" w:sz="0" w:space="0" w:color="auto"/>
        <w:bottom w:val="none" w:sz="0" w:space="0" w:color="auto"/>
        <w:right w:val="none" w:sz="0" w:space="0" w:color="auto"/>
      </w:divBdr>
    </w:div>
    <w:div w:id="576747730">
      <w:bodyDiv w:val="1"/>
      <w:marLeft w:val="0"/>
      <w:marRight w:val="0"/>
      <w:marTop w:val="0"/>
      <w:marBottom w:val="0"/>
      <w:divBdr>
        <w:top w:val="none" w:sz="0" w:space="0" w:color="auto"/>
        <w:left w:val="none" w:sz="0" w:space="0" w:color="auto"/>
        <w:bottom w:val="none" w:sz="0" w:space="0" w:color="auto"/>
        <w:right w:val="none" w:sz="0" w:space="0" w:color="auto"/>
      </w:divBdr>
    </w:div>
    <w:div w:id="578910472">
      <w:bodyDiv w:val="1"/>
      <w:marLeft w:val="0"/>
      <w:marRight w:val="0"/>
      <w:marTop w:val="0"/>
      <w:marBottom w:val="0"/>
      <w:divBdr>
        <w:top w:val="none" w:sz="0" w:space="0" w:color="auto"/>
        <w:left w:val="none" w:sz="0" w:space="0" w:color="auto"/>
        <w:bottom w:val="none" w:sz="0" w:space="0" w:color="auto"/>
        <w:right w:val="none" w:sz="0" w:space="0" w:color="auto"/>
      </w:divBdr>
    </w:div>
    <w:div w:id="580531538">
      <w:bodyDiv w:val="1"/>
      <w:marLeft w:val="0"/>
      <w:marRight w:val="0"/>
      <w:marTop w:val="0"/>
      <w:marBottom w:val="0"/>
      <w:divBdr>
        <w:top w:val="none" w:sz="0" w:space="0" w:color="auto"/>
        <w:left w:val="none" w:sz="0" w:space="0" w:color="auto"/>
        <w:bottom w:val="none" w:sz="0" w:space="0" w:color="auto"/>
        <w:right w:val="none" w:sz="0" w:space="0" w:color="auto"/>
      </w:divBdr>
    </w:div>
    <w:div w:id="583346830">
      <w:bodyDiv w:val="1"/>
      <w:marLeft w:val="0"/>
      <w:marRight w:val="0"/>
      <w:marTop w:val="0"/>
      <w:marBottom w:val="0"/>
      <w:divBdr>
        <w:top w:val="none" w:sz="0" w:space="0" w:color="auto"/>
        <w:left w:val="none" w:sz="0" w:space="0" w:color="auto"/>
        <w:bottom w:val="none" w:sz="0" w:space="0" w:color="auto"/>
        <w:right w:val="none" w:sz="0" w:space="0" w:color="auto"/>
      </w:divBdr>
    </w:div>
    <w:div w:id="583686446">
      <w:bodyDiv w:val="1"/>
      <w:marLeft w:val="0"/>
      <w:marRight w:val="0"/>
      <w:marTop w:val="0"/>
      <w:marBottom w:val="0"/>
      <w:divBdr>
        <w:top w:val="none" w:sz="0" w:space="0" w:color="auto"/>
        <w:left w:val="none" w:sz="0" w:space="0" w:color="auto"/>
        <w:bottom w:val="none" w:sz="0" w:space="0" w:color="auto"/>
        <w:right w:val="none" w:sz="0" w:space="0" w:color="auto"/>
      </w:divBdr>
    </w:div>
    <w:div w:id="584799113">
      <w:bodyDiv w:val="1"/>
      <w:marLeft w:val="0"/>
      <w:marRight w:val="0"/>
      <w:marTop w:val="0"/>
      <w:marBottom w:val="0"/>
      <w:divBdr>
        <w:top w:val="none" w:sz="0" w:space="0" w:color="auto"/>
        <w:left w:val="none" w:sz="0" w:space="0" w:color="auto"/>
        <w:bottom w:val="none" w:sz="0" w:space="0" w:color="auto"/>
        <w:right w:val="none" w:sz="0" w:space="0" w:color="auto"/>
      </w:divBdr>
    </w:div>
    <w:div w:id="585192362">
      <w:bodyDiv w:val="1"/>
      <w:marLeft w:val="0"/>
      <w:marRight w:val="0"/>
      <w:marTop w:val="0"/>
      <w:marBottom w:val="0"/>
      <w:divBdr>
        <w:top w:val="none" w:sz="0" w:space="0" w:color="auto"/>
        <w:left w:val="none" w:sz="0" w:space="0" w:color="auto"/>
        <w:bottom w:val="none" w:sz="0" w:space="0" w:color="auto"/>
        <w:right w:val="none" w:sz="0" w:space="0" w:color="auto"/>
      </w:divBdr>
    </w:div>
    <w:div w:id="587692795">
      <w:bodyDiv w:val="1"/>
      <w:marLeft w:val="0"/>
      <w:marRight w:val="0"/>
      <w:marTop w:val="0"/>
      <w:marBottom w:val="0"/>
      <w:divBdr>
        <w:top w:val="none" w:sz="0" w:space="0" w:color="auto"/>
        <w:left w:val="none" w:sz="0" w:space="0" w:color="auto"/>
        <w:bottom w:val="none" w:sz="0" w:space="0" w:color="auto"/>
        <w:right w:val="none" w:sz="0" w:space="0" w:color="auto"/>
      </w:divBdr>
    </w:div>
    <w:div w:id="591209562">
      <w:bodyDiv w:val="1"/>
      <w:marLeft w:val="0"/>
      <w:marRight w:val="0"/>
      <w:marTop w:val="0"/>
      <w:marBottom w:val="0"/>
      <w:divBdr>
        <w:top w:val="none" w:sz="0" w:space="0" w:color="auto"/>
        <w:left w:val="none" w:sz="0" w:space="0" w:color="auto"/>
        <w:bottom w:val="none" w:sz="0" w:space="0" w:color="auto"/>
        <w:right w:val="none" w:sz="0" w:space="0" w:color="auto"/>
      </w:divBdr>
    </w:div>
    <w:div w:id="591283316">
      <w:bodyDiv w:val="1"/>
      <w:marLeft w:val="0"/>
      <w:marRight w:val="0"/>
      <w:marTop w:val="0"/>
      <w:marBottom w:val="0"/>
      <w:divBdr>
        <w:top w:val="none" w:sz="0" w:space="0" w:color="auto"/>
        <w:left w:val="none" w:sz="0" w:space="0" w:color="auto"/>
        <w:bottom w:val="none" w:sz="0" w:space="0" w:color="auto"/>
        <w:right w:val="none" w:sz="0" w:space="0" w:color="auto"/>
      </w:divBdr>
    </w:div>
    <w:div w:id="592979495">
      <w:bodyDiv w:val="1"/>
      <w:marLeft w:val="0"/>
      <w:marRight w:val="0"/>
      <w:marTop w:val="0"/>
      <w:marBottom w:val="0"/>
      <w:divBdr>
        <w:top w:val="none" w:sz="0" w:space="0" w:color="auto"/>
        <w:left w:val="none" w:sz="0" w:space="0" w:color="auto"/>
        <w:bottom w:val="none" w:sz="0" w:space="0" w:color="auto"/>
        <w:right w:val="none" w:sz="0" w:space="0" w:color="auto"/>
      </w:divBdr>
    </w:div>
    <w:div w:id="599684723">
      <w:bodyDiv w:val="1"/>
      <w:marLeft w:val="0"/>
      <w:marRight w:val="0"/>
      <w:marTop w:val="0"/>
      <w:marBottom w:val="0"/>
      <w:divBdr>
        <w:top w:val="none" w:sz="0" w:space="0" w:color="auto"/>
        <w:left w:val="none" w:sz="0" w:space="0" w:color="auto"/>
        <w:bottom w:val="none" w:sz="0" w:space="0" w:color="auto"/>
        <w:right w:val="none" w:sz="0" w:space="0" w:color="auto"/>
      </w:divBdr>
    </w:div>
    <w:div w:id="603197854">
      <w:bodyDiv w:val="1"/>
      <w:marLeft w:val="0"/>
      <w:marRight w:val="0"/>
      <w:marTop w:val="0"/>
      <w:marBottom w:val="0"/>
      <w:divBdr>
        <w:top w:val="none" w:sz="0" w:space="0" w:color="auto"/>
        <w:left w:val="none" w:sz="0" w:space="0" w:color="auto"/>
        <w:bottom w:val="none" w:sz="0" w:space="0" w:color="auto"/>
        <w:right w:val="none" w:sz="0" w:space="0" w:color="auto"/>
      </w:divBdr>
    </w:div>
    <w:div w:id="603924147">
      <w:bodyDiv w:val="1"/>
      <w:marLeft w:val="0"/>
      <w:marRight w:val="0"/>
      <w:marTop w:val="0"/>
      <w:marBottom w:val="0"/>
      <w:divBdr>
        <w:top w:val="none" w:sz="0" w:space="0" w:color="auto"/>
        <w:left w:val="none" w:sz="0" w:space="0" w:color="auto"/>
        <w:bottom w:val="none" w:sz="0" w:space="0" w:color="auto"/>
        <w:right w:val="none" w:sz="0" w:space="0" w:color="auto"/>
      </w:divBdr>
    </w:div>
    <w:div w:id="606012498">
      <w:bodyDiv w:val="1"/>
      <w:marLeft w:val="0"/>
      <w:marRight w:val="0"/>
      <w:marTop w:val="0"/>
      <w:marBottom w:val="0"/>
      <w:divBdr>
        <w:top w:val="none" w:sz="0" w:space="0" w:color="auto"/>
        <w:left w:val="none" w:sz="0" w:space="0" w:color="auto"/>
        <w:bottom w:val="none" w:sz="0" w:space="0" w:color="auto"/>
        <w:right w:val="none" w:sz="0" w:space="0" w:color="auto"/>
      </w:divBdr>
    </w:div>
    <w:div w:id="610011096">
      <w:bodyDiv w:val="1"/>
      <w:marLeft w:val="0"/>
      <w:marRight w:val="0"/>
      <w:marTop w:val="0"/>
      <w:marBottom w:val="0"/>
      <w:divBdr>
        <w:top w:val="none" w:sz="0" w:space="0" w:color="auto"/>
        <w:left w:val="none" w:sz="0" w:space="0" w:color="auto"/>
        <w:bottom w:val="none" w:sz="0" w:space="0" w:color="auto"/>
        <w:right w:val="none" w:sz="0" w:space="0" w:color="auto"/>
      </w:divBdr>
    </w:div>
    <w:div w:id="610552400">
      <w:bodyDiv w:val="1"/>
      <w:marLeft w:val="0"/>
      <w:marRight w:val="0"/>
      <w:marTop w:val="0"/>
      <w:marBottom w:val="0"/>
      <w:divBdr>
        <w:top w:val="none" w:sz="0" w:space="0" w:color="auto"/>
        <w:left w:val="none" w:sz="0" w:space="0" w:color="auto"/>
        <w:bottom w:val="none" w:sz="0" w:space="0" w:color="auto"/>
        <w:right w:val="none" w:sz="0" w:space="0" w:color="auto"/>
      </w:divBdr>
    </w:div>
    <w:div w:id="613947821">
      <w:bodyDiv w:val="1"/>
      <w:marLeft w:val="0"/>
      <w:marRight w:val="0"/>
      <w:marTop w:val="0"/>
      <w:marBottom w:val="0"/>
      <w:divBdr>
        <w:top w:val="none" w:sz="0" w:space="0" w:color="auto"/>
        <w:left w:val="none" w:sz="0" w:space="0" w:color="auto"/>
        <w:bottom w:val="none" w:sz="0" w:space="0" w:color="auto"/>
        <w:right w:val="none" w:sz="0" w:space="0" w:color="auto"/>
      </w:divBdr>
    </w:div>
    <w:div w:id="617108711">
      <w:bodyDiv w:val="1"/>
      <w:marLeft w:val="0"/>
      <w:marRight w:val="0"/>
      <w:marTop w:val="0"/>
      <w:marBottom w:val="0"/>
      <w:divBdr>
        <w:top w:val="none" w:sz="0" w:space="0" w:color="auto"/>
        <w:left w:val="none" w:sz="0" w:space="0" w:color="auto"/>
        <w:bottom w:val="none" w:sz="0" w:space="0" w:color="auto"/>
        <w:right w:val="none" w:sz="0" w:space="0" w:color="auto"/>
      </w:divBdr>
    </w:div>
    <w:div w:id="618342902">
      <w:bodyDiv w:val="1"/>
      <w:marLeft w:val="0"/>
      <w:marRight w:val="0"/>
      <w:marTop w:val="0"/>
      <w:marBottom w:val="0"/>
      <w:divBdr>
        <w:top w:val="none" w:sz="0" w:space="0" w:color="auto"/>
        <w:left w:val="none" w:sz="0" w:space="0" w:color="auto"/>
        <w:bottom w:val="none" w:sz="0" w:space="0" w:color="auto"/>
        <w:right w:val="none" w:sz="0" w:space="0" w:color="auto"/>
      </w:divBdr>
    </w:div>
    <w:div w:id="620111480">
      <w:bodyDiv w:val="1"/>
      <w:marLeft w:val="0"/>
      <w:marRight w:val="0"/>
      <w:marTop w:val="0"/>
      <w:marBottom w:val="0"/>
      <w:divBdr>
        <w:top w:val="none" w:sz="0" w:space="0" w:color="auto"/>
        <w:left w:val="none" w:sz="0" w:space="0" w:color="auto"/>
        <w:bottom w:val="none" w:sz="0" w:space="0" w:color="auto"/>
        <w:right w:val="none" w:sz="0" w:space="0" w:color="auto"/>
      </w:divBdr>
    </w:div>
    <w:div w:id="621306697">
      <w:bodyDiv w:val="1"/>
      <w:marLeft w:val="0"/>
      <w:marRight w:val="0"/>
      <w:marTop w:val="0"/>
      <w:marBottom w:val="0"/>
      <w:divBdr>
        <w:top w:val="none" w:sz="0" w:space="0" w:color="auto"/>
        <w:left w:val="none" w:sz="0" w:space="0" w:color="auto"/>
        <w:bottom w:val="none" w:sz="0" w:space="0" w:color="auto"/>
        <w:right w:val="none" w:sz="0" w:space="0" w:color="auto"/>
      </w:divBdr>
    </w:div>
    <w:div w:id="622350158">
      <w:bodyDiv w:val="1"/>
      <w:marLeft w:val="0"/>
      <w:marRight w:val="0"/>
      <w:marTop w:val="0"/>
      <w:marBottom w:val="0"/>
      <w:divBdr>
        <w:top w:val="none" w:sz="0" w:space="0" w:color="auto"/>
        <w:left w:val="none" w:sz="0" w:space="0" w:color="auto"/>
        <w:bottom w:val="none" w:sz="0" w:space="0" w:color="auto"/>
        <w:right w:val="none" w:sz="0" w:space="0" w:color="auto"/>
      </w:divBdr>
    </w:div>
    <w:div w:id="627325382">
      <w:bodyDiv w:val="1"/>
      <w:marLeft w:val="0"/>
      <w:marRight w:val="0"/>
      <w:marTop w:val="0"/>
      <w:marBottom w:val="0"/>
      <w:divBdr>
        <w:top w:val="none" w:sz="0" w:space="0" w:color="auto"/>
        <w:left w:val="none" w:sz="0" w:space="0" w:color="auto"/>
        <w:bottom w:val="none" w:sz="0" w:space="0" w:color="auto"/>
        <w:right w:val="none" w:sz="0" w:space="0" w:color="auto"/>
      </w:divBdr>
    </w:div>
    <w:div w:id="627780402">
      <w:bodyDiv w:val="1"/>
      <w:marLeft w:val="0"/>
      <w:marRight w:val="0"/>
      <w:marTop w:val="0"/>
      <w:marBottom w:val="0"/>
      <w:divBdr>
        <w:top w:val="none" w:sz="0" w:space="0" w:color="auto"/>
        <w:left w:val="none" w:sz="0" w:space="0" w:color="auto"/>
        <w:bottom w:val="none" w:sz="0" w:space="0" w:color="auto"/>
        <w:right w:val="none" w:sz="0" w:space="0" w:color="auto"/>
      </w:divBdr>
    </w:div>
    <w:div w:id="629820958">
      <w:bodyDiv w:val="1"/>
      <w:marLeft w:val="0"/>
      <w:marRight w:val="0"/>
      <w:marTop w:val="0"/>
      <w:marBottom w:val="0"/>
      <w:divBdr>
        <w:top w:val="none" w:sz="0" w:space="0" w:color="auto"/>
        <w:left w:val="none" w:sz="0" w:space="0" w:color="auto"/>
        <w:bottom w:val="none" w:sz="0" w:space="0" w:color="auto"/>
        <w:right w:val="none" w:sz="0" w:space="0" w:color="auto"/>
      </w:divBdr>
    </w:div>
    <w:div w:id="630019604">
      <w:bodyDiv w:val="1"/>
      <w:marLeft w:val="0"/>
      <w:marRight w:val="0"/>
      <w:marTop w:val="0"/>
      <w:marBottom w:val="0"/>
      <w:divBdr>
        <w:top w:val="none" w:sz="0" w:space="0" w:color="auto"/>
        <w:left w:val="none" w:sz="0" w:space="0" w:color="auto"/>
        <w:bottom w:val="none" w:sz="0" w:space="0" w:color="auto"/>
        <w:right w:val="none" w:sz="0" w:space="0" w:color="auto"/>
      </w:divBdr>
    </w:div>
    <w:div w:id="634681884">
      <w:bodyDiv w:val="1"/>
      <w:marLeft w:val="0"/>
      <w:marRight w:val="0"/>
      <w:marTop w:val="0"/>
      <w:marBottom w:val="0"/>
      <w:divBdr>
        <w:top w:val="none" w:sz="0" w:space="0" w:color="auto"/>
        <w:left w:val="none" w:sz="0" w:space="0" w:color="auto"/>
        <w:bottom w:val="none" w:sz="0" w:space="0" w:color="auto"/>
        <w:right w:val="none" w:sz="0" w:space="0" w:color="auto"/>
      </w:divBdr>
    </w:div>
    <w:div w:id="634793829">
      <w:bodyDiv w:val="1"/>
      <w:marLeft w:val="0"/>
      <w:marRight w:val="0"/>
      <w:marTop w:val="0"/>
      <w:marBottom w:val="0"/>
      <w:divBdr>
        <w:top w:val="none" w:sz="0" w:space="0" w:color="auto"/>
        <w:left w:val="none" w:sz="0" w:space="0" w:color="auto"/>
        <w:bottom w:val="none" w:sz="0" w:space="0" w:color="auto"/>
        <w:right w:val="none" w:sz="0" w:space="0" w:color="auto"/>
      </w:divBdr>
    </w:div>
    <w:div w:id="635141640">
      <w:bodyDiv w:val="1"/>
      <w:marLeft w:val="0"/>
      <w:marRight w:val="0"/>
      <w:marTop w:val="0"/>
      <w:marBottom w:val="0"/>
      <w:divBdr>
        <w:top w:val="none" w:sz="0" w:space="0" w:color="auto"/>
        <w:left w:val="none" w:sz="0" w:space="0" w:color="auto"/>
        <w:bottom w:val="none" w:sz="0" w:space="0" w:color="auto"/>
        <w:right w:val="none" w:sz="0" w:space="0" w:color="auto"/>
      </w:divBdr>
    </w:div>
    <w:div w:id="637346431">
      <w:bodyDiv w:val="1"/>
      <w:marLeft w:val="0"/>
      <w:marRight w:val="0"/>
      <w:marTop w:val="0"/>
      <w:marBottom w:val="0"/>
      <w:divBdr>
        <w:top w:val="none" w:sz="0" w:space="0" w:color="auto"/>
        <w:left w:val="none" w:sz="0" w:space="0" w:color="auto"/>
        <w:bottom w:val="none" w:sz="0" w:space="0" w:color="auto"/>
        <w:right w:val="none" w:sz="0" w:space="0" w:color="auto"/>
      </w:divBdr>
    </w:div>
    <w:div w:id="639657019">
      <w:bodyDiv w:val="1"/>
      <w:marLeft w:val="0"/>
      <w:marRight w:val="0"/>
      <w:marTop w:val="0"/>
      <w:marBottom w:val="0"/>
      <w:divBdr>
        <w:top w:val="none" w:sz="0" w:space="0" w:color="auto"/>
        <w:left w:val="none" w:sz="0" w:space="0" w:color="auto"/>
        <w:bottom w:val="none" w:sz="0" w:space="0" w:color="auto"/>
        <w:right w:val="none" w:sz="0" w:space="0" w:color="auto"/>
      </w:divBdr>
    </w:div>
    <w:div w:id="640843028">
      <w:bodyDiv w:val="1"/>
      <w:marLeft w:val="0"/>
      <w:marRight w:val="0"/>
      <w:marTop w:val="0"/>
      <w:marBottom w:val="0"/>
      <w:divBdr>
        <w:top w:val="none" w:sz="0" w:space="0" w:color="auto"/>
        <w:left w:val="none" w:sz="0" w:space="0" w:color="auto"/>
        <w:bottom w:val="none" w:sz="0" w:space="0" w:color="auto"/>
        <w:right w:val="none" w:sz="0" w:space="0" w:color="auto"/>
      </w:divBdr>
    </w:div>
    <w:div w:id="641155360">
      <w:bodyDiv w:val="1"/>
      <w:marLeft w:val="0"/>
      <w:marRight w:val="0"/>
      <w:marTop w:val="0"/>
      <w:marBottom w:val="0"/>
      <w:divBdr>
        <w:top w:val="none" w:sz="0" w:space="0" w:color="auto"/>
        <w:left w:val="none" w:sz="0" w:space="0" w:color="auto"/>
        <w:bottom w:val="none" w:sz="0" w:space="0" w:color="auto"/>
        <w:right w:val="none" w:sz="0" w:space="0" w:color="auto"/>
      </w:divBdr>
    </w:div>
    <w:div w:id="644699245">
      <w:bodyDiv w:val="1"/>
      <w:marLeft w:val="0"/>
      <w:marRight w:val="0"/>
      <w:marTop w:val="0"/>
      <w:marBottom w:val="0"/>
      <w:divBdr>
        <w:top w:val="none" w:sz="0" w:space="0" w:color="auto"/>
        <w:left w:val="none" w:sz="0" w:space="0" w:color="auto"/>
        <w:bottom w:val="none" w:sz="0" w:space="0" w:color="auto"/>
        <w:right w:val="none" w:sz="0" w:space="0" w:color="auto"/>
      </w:divBdr>
    </w:div>
    <w:div w:id="647396535">
      <w:bodyDiv w:val="1"/>
      <w:marLeft w:val="0"/>
      <w:marRight w:val="0"/>
      <w:marTop w:val="0"/>
      <w:marBottom w:val="0"/>
      <w:divBdr>
        <w:top w:val="none" w:sz="0" w:space="0" w:color="auto"/>
        <w:left w:val="none" w:sz="0" w:space="0" w:color="auto"/>
        <w:bottom w:val="none" w:sz="0" w:space="0" w:color="auto"/>
        <w:right w:val="none" w:sz="0" w:space="0" w:color="auto"/>
      </w:divBdr>
    </w:div>
    <w:div w:id="647782326">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522824">
      <w:bodyDiv w:val="1"/>
      <w:marLeft w:val="0"/>
      <w:marRight w:val="0"/>
      <w:marTop w:val="0"/>
      <w:marBottom w:val="0"/>
      <w:divBdr>
        <w:top w:val="none" w:sz="0" w:space="0" w:color="auto"/>
        <w:left w:val="none" w:sz="0" w:space="0" w:color="auto"/>
        <w:bottom w:val="none" w:sz="0" w:space="0" w:color="auto"/>
        <w:right w:val="none" w:sz="0" w:space="0" w:color="auto"/>
      </w:divBdr>
    </w:div>
    <w:div w:id="651837465">
      <w:bodyDiv w:val="1"/>
      <w:marLeft w:val="0"/>
      <w:marRight w:val="0"/>
      <w:marTop w:val="0"/>
      <w:marBottom w:val="0"/>
      <w:divBdr>
        <w:top w:val="none" w:sz="0" w:space="0" w:color="auto"/>
        <w:left w:val="none" w:sz="0" w:space="0" w:color="auto"/>
        <w:bottom w:val="none" w:sz="0" w:space="0" w:color="auto"/>
        <w:right w:val="none" w:sz="0" w:space="0" w:color="auto"/>
      </w:divBdr>
    </w:div>
    <w:div w:id="654189335">
      <w:bodyDiv w:val="1"/>
      <w:marLeft w:val="0"/>
      <w:marRight w:val="0"/>
      <w:marTop w:val="0"/>
      <w:marBottom w:val="0"/>
      <w:divBdr>
        <w:top w:val="none" w:sz="0" w:space="0" w:color="auto"/>
        <w:left w:val="none" w:sz="0" w:space="0" w:color="auto"/>
        <w:bottom w:val="none" w:sz="0" w:space="0" w:color="auto"/>
        <w:right w:val="none" w:sz="0" w:space="0" w:color="auto"/>
      </w:divBdr>
    </w:div>
    <w:div w:id="654190225">
      <w:bodyDiv w:val="1"/>
      <w:marLeft w:val="0"/>
      <w:marRight w:val="0"/>
      <w:marTop w:val="0"/>
      <w:marBottom w:val="0"/>
      <w:divBdr>
        <w:top w:val="none" w:sz="0" w:space="0" w:color="auto"/>
        <w:left w:val="none" w:sz="0" w:space="0" w:color="auto"/>
        <w:bottom w:val="none" w:sz="0" w:space="0" w:color="auto"/>
        <w:right w:val="none" w:sz="0" w:space="0" w:color="auto"/>
      </w:divBdr>
    </w:div>
    <w:div w:id="654407902">
      <w:bodyDiv w:val="1"/>
      <w:marLeft w:val="0"/>
      <w:marRight w:val="0"/>
      <w:marTop w:val="0"/>
      <w:marBottom w:val="0"/>
      <w:divBdr>
        <w:top w:val="none" w:sz="0" w:space="0" w:color="auto"/>
        <w:left w:val="none" w:sz="0" w:space="0" w:color="auto"/>
        <w:bottom w:val="none" w:sz="0" w:space="0" w:color="auto"/>
        <w:right w:val="none" w:sz="0" w:space="0" w:color="auto"/>
      </w:divBdr>
    </w:div>
    <w:div w:id="655769489">
      <w:bodyDiv w:val="1"/>
      <w:marLeft w:val="0"/>
      <w:marRight w:val="0"/>
      <w:marTop w:val="0"/>
      <w:marBottom w:val="0"/>
      <w:divBdr>
        <w:top w:val="none" w:sz="0" w:space="0" w:color="auto"/>
        <w:left w:val="none" w:sz="0" w:space="0" w:color="auto"/>
        <w:bottom w:val="none" w:sz="0" w:space="0" w:color="auto"/>
        <w:right w:val="none" w:sz="0" w:space="0" w:color="auto"/>
      </w:divBdr>
    </w:div>
    <w:div w:id="656031724">
      <w:bodyDiv w:val="1"/>
      <w:marLeft w:val="0"/>
      <w:marRight w:val="0"/>
      <w:marTop w:val="0"/>
      <w:marBottom w:val="0"/>
      <w:divBdr>
        <w:top w:val="none" w:sz="0" w:space="0" w:color="auto"/>
        <w:left w:val="none" w:sz="0" w:space="0" w:color="auto"/>
        <w:bottom w:val="none" w:sz="0" w:space="0" w:color="auto"/>
        <w:right w:val="none" w:sz="0" w:space="0" w:color="auto"/>
      </w:divBdr>
    </w:div>
    <w:div w:id="656231072">
      <w:bodyDiv w:val="1"/>
      <w:marLeft w:val="0"/>
      <w:marRight w:val="0"/>
      <w:marTop w:val="0"/>
      <w:marBottom w:val="0"/>
      <w:divBdr>
        <w:top w:val="none" w:sz="0" w:space="0" w:color="auto"/>
        <w:left w:val="none" w:sz="0" w:space="0" w:color="auto"/>
        <w:bottom w:val="none" w:sz="0" w:space="0" w:color="auto"/>
        <w:right w:val="none" w:sz="0" w:space="0" w:color="auto"/>
      </w:divBdr>
    </w:div>
    <w:div w:id="658078658">
      <w:bodyDiv w:val="1"/>
      <w:marLeft w:val="0"/>
      <w:marRight w:val="0"/>
      <w:marTop w:val="0"/>
      <w:marBottom w:val="0"/>
      <w:divBdr>
        <w:top w:val="none" w:sz="0" w:space="0" w:color="auto"/>
        <w:left w:val="none" w:sz="0" w:space="0" w:color="auto"/>
        <w:bottom w:val="none" w:sz="0" w:space="0" w:color="auto"/>
        <w:right w:val="none" w:sz="0" w:space="0" w:color="auto"/>
      </w:divBdr>
    </w:div>
    <w:div w:id="662047401">
      <w:bodyDiv w:val="1"/>
      <w:marLeft w:val="0"/>
      <w:marRight w:val="0"/>
      <w:marTop w:val="0"/>
      <w:marBottom w:val="0"/>
      <w:divBdr>
        <w:top w:val="none" w:sz="0" w:space="0" w:color="auto"/>
        <w:left w:val="none" w:sz="0" w:space="0" w:color="auto"/>
        <w:bottom w:val="none" w:sz="0" w:space="0" w:color="auto"/>
        <w:right w:val="none" w:sz="0" w:space="0" w:color="auto"/>
      </w:divBdr>
    </w:div>
    <w:div w:id="662202254">
      <w:bodyDiv w:val="1"/>
      <w:marLeft w:val="0"/>
      <w:marRight w:val="0"/>
      <w:marTop w:val="0"/>
      <w:marBottom w:val="0"/>
      <w:divBdr>
        <w:top w:val="none" w:sz="0" w:space="0" w:color="auto"/>
        <w:left w:val="none" w:sz="0" w:space="0" w:color="auto"/>
        <w:bottom w:val="none" w:sz="0" w:space="0" w:color="auto"/>
        <w:right w:val="none" w:sz="0" w:space="0" w:color="auto"/>
      </w:divBdr>
    </w:div>
    <w:div w:id="663894600">
      <w:bodyDiv w:val="1"/>
      <w:marLeft w:val="0"/>
      <w:marRight w:val="0"/>
      <w:marTop w:val="0"/>
      <w:marBottom w:val="0"/>
      <w:divBdr>
        <w:top w:val="none" w:sz="0" w:space="0" w:color="auto"/>
        <w:left w:val="none" w:sz="0" w:space="0" w:color="auto"/>
        <w:bottom w:val="none" w:sz="0" w:space="0" w:color="auto"/>
        <w:right w:val="none" w:sz="0" w:space="0" w:color="auto"/>
      </w:divBdr>
    </w:div>
    <w:div w:id="669676731">
      <w:bodyDiv w:val="1"/>
      <w:marLeft w:val="0"/>
      <w:marRight w:val="0"/>
      <w:marTop w:val="0"/>
      <w:marBottom w:val="0"/>
      <w:divBdr>
        <w:top w:val="none" w:sz="0" w:space="0" w:color="auto"/>
        <w:left w:val="none" w:sz="0" w:space="0" w:color="auto"/>
        <w:bottom w:val="none" w:sz="0" w:space="0" w:color="auto"/>
        <w:right w:val="none" w:sz="0" w:space="0" w:color="auto"/>
      </w:divBdr>
    </w:div>
    <w:div w:id="669677002">
      <w:bodyDiv w:val="1"/>
      <w:marLeft w:val="0"/>
      <w:marRight w:val="0"/>
      <w:marTop w:val="0"/>
      <w:marBottom w:val="0"/>
      <w:divBdr>
        <w:top w:val="none" w:sz="0" w:space="0" w:color="auto"/>
        <w:left w:val="none" w:sz="0" w:space="0" w:color="auto"/>
        <w:bottom w:val="none" w:sz="0" w:space="0" w:color="auto"/>
        <w:right w:val="none" w:sz="0" w:space="0" w:color="auto"/>
      </w:divBdr>
    </w:div>
    <w:div w:id="670331746">
      <w:bodyDiv w:val="1"/>
      <w:marLeft w:val="0"/>
      <w:marRight w:val="0"/>
      <w:marTop w:val="0"/>
      <w:marBottom w:val="0"/>
      <w:divBdr>
        <w:top w:val="none" w:sz="0" w:space="0" w:color="auto"/>
        <w:left w:val="none" w:sz="0" w:space="0" w:color="auto"/>
        <w:bottom w:val="none" w:sz="0" w:space="0" w:color="auto"/>
        <w:right w:val="none" w:sz="0" w:space="0" w:color="auto"/>
      </w:divBdr>
    </w:div>
    <w:div w:id="670764796">
      <w:bodyDiv w:val="1"/>
      <w:marLeft w:val="0"/>
      <w:marRight w:val="0"/>
      <w:marTop w:val="0"/>
      <w:marBottom w:val="0"/>
      <w:divBdr>
        <w:top w:val="none" w:sz="0" w:space="0" w:color="auto"/>
        <w:left w:val="none" w:sz="0" w:space="0" w:color="auto"/>
        <w:bottom w:val="none" w:sz="0" w:space="0" w:color="auto"/>
        <w:right w:val="none" w:sz="0" w:space="0" w:color="auto"/>
      </w:divBdr>
    </w:div>
    <w:div w:id="670913629">
      <w:bodyDiv w:val="1"/>
      <w:marLeft w:val="0"/>
      <w:marRight w:val="0"/>
      <w:marTop w:val="0"/>
      <w:marBottom w:val="0"/>
      <w:divBdr>
        <w:top w:val="none" w:sz="0" w:space="0" w:color="auto"/>
        <w:left w:val="none" w:sz="0" w:space="0" w:color="auto"/>
        <w:bottom w:val="none" w:sz="0" w:space="0" w:color="auto"/>
        <w:right w:val="none" w:sz="0" w:space="0" w:color="auto"/>
      </w:divBdr>
    </w:div>
    <w:div w:id="673069161">
      <w:bodyDiv w:val="1"/>
      <w:marLeft w:val="0"/>
      <w:marRight w:val="0"/>
      <w:marTop w:val="0"/>
      <w:marBottom w:val="0"/>
      <w:divBdr>
        <w:top w:val="none" w:sz="0" w:space="0" w:color="auto"/>
        <w:left w:val="none" w:sz="0" w:space="0" w:color="auto"/>
        <w:bottom w:val="none" w:sz="0" w:space="0" w:color="auto"/>
        <w:right w:val="none" w:sz="0" w:space="0" w:color="auto"/>
      </w:divBdr>
    </w:div>
    <w:div w:id="678240775">
      <w:bodyDiv w:val="1"/>
      <w:marLeft w:val="0"/>
      <w:marRight w:val="0"/>
      <w:marTop w:val="0"/>
      <w:marBottom w:val="0"/>
      <w:divBdr>
        <w:top w:val="none" w:sz="0" w:space="0" w:color="auto"/>
        <w:left w:val="none" w:sz="0" w:space="0" w:color="auto"/>
        <w:bottom w:val="none" w:sz="0" w:space="0" w:color="auto"/>
        <w:right w:val="none" w:sz="0" w:space="0" w:color="auto"/>
      </w:divBdr>
    </w:div>
    <w:div w:id="680353851">
      <w:bodyDiv w:val="1"/>
      <w:marLeft w:val="0"/>
      <w:marRight w:val="0"/>
      <w:marTop w:val="0"/>
      <w:marBottom w:val="0"/>
      <w:divBdr>
        <w:top w:val="none" w:sz="0" w:space="0" w:color="auto"/>
        <w:left w:val="none" w:sz="0" w:space="0" w:color="auto"/>
        <w:bottom w:val="none" w:sz="0" w:space="0" w:color="auto"/>
        <w:right w:val="none" w:sz="0" w:space="0" w:color="auto"/>
      </w:divBdr>
    </w:div>
    <w:div w:id="681277330">
      <w:bodyDiv w:val="1"/>
      <w:marLeft w:val="0"/>
      <w:marRight w:val="0"/>
      <w:marTop w:val="0"/>
      <w:marBottom w:val="0"/>
      <w:divBdr>
        <w:top w:val="none" w:sz="0" w:space="0" w:color="auto"/>
        <w:left w:val="none" w:sz="0" w:space="0" w:color="auto"/>
        <w:bottom w:val="none" w:sz="0" w:space="0" w:color="auto"/>
        <w:right w:val="none" w:sz="0" w:space="0" w:color="auto"/>
      </w:divBdr>
    </w:div>
    <w:div w:id="681325666">
      <w:bodyDiv w:val="1"/>
      <w:marLeft w:val="0"/>
      <w:marRight w:val="0"/>
      <w:marTop w:val="0"/>
      <w:marBottom w:val="0"/>
      <w:divBdr>
        <w:top w:val="none" w:sz="0" w:space="0" w:color="auto"/>
        <w:left w:val="none" w:sz="0" w:space="0" w:color="auto"/>
        <w:bottom w:val="none" w:sz="0" w:space="0" w:color="auto"/>
        <w:right w:val="none" w:sz="0" w:space="0" w:color="auto"/>
      </w:divBdr>
    </w:div>
    <w:div w:id="686172131">
      <w:bodyDiv w:val="1"/>
      <w:marLeft w:val="0"/>
      <w:marRight w:val="0"/>
      <w:marTop w:val="0"/>
      <w:marBottom w:val="0"/>
      <w:divBdr>
        <w:top w:val="none" w:sz="0" w:space="0" w:color="auto"/>
        <w:left w:val="none" w:sz="0" w:space="0" w:color="auto"/>
        <w:bottom w:val="none" w:sz="0" w:space="0" w:color="auto"/>
        <w:right w:val="none" w:sz="0" w:space="0" w:color="auto"/>
      </w:divBdr>
    </w:div>
    <w:div w:id="688259937">
      <w:bodyDiv w:val="1"/>
      <w:marLeft w:val="0"/>
      <w:marRight w:val="0"/>
      <w:marTop w:val="0"/>
      <w:marBottom w:val="0"/>
      <w:divBdr>
        <w:top w:val="none" w:sz="0" w:space="0" w:color="auto"/>
        <w:left w:val="none" w:sz="0" w:space="0" w:color="auto"/>
        <w:bottom w:val="none" w:sz="0" w:space="0" w:color="auto"/>
        <w:right w:val="none" w:sz="0" w:space="0" w:color="auto"/>
      </w:divBdr>
    </w:div>
    <w:div w:id="688411326">
      <w:bodyDiv w:val="1"/>
      <w:marLeft w:val="0"/>
      <w:marRight w:val="0"/>
      <w:marTop w:val="0"/>
      <w:marBottom w:val="0"/>
      <w:divBdr>
        <w:top w:val="none" w:sz="0" w:space="0" w:color="auto"/>
        <w:left w:val="none" w:sz="0" w:space="0" w:color="auto"/>
        <w:bottom w:val="none" w:sz="0" w:space="0" w:color="auto"/>
        <w:right w:val="none" w:sz="0" w:space="0" w:color="auto"/>
      </w:divBdr>
    </w:div>
    <w:div w:id="691883259">
      <w:bodyDiv w:val="1"/>
      <w:marLeft w:val="0"/>
      <w:marRight w:val="0"/>
      <w:marTop w:val="0"/>
      <w:marBottom w:val="0"/>
      <w:divBdr>
        <w:top w:val="none" w:sz="0" w:space="0" w:color="auto"/>
        <w:left w:val="none" w:sz="0" w:space="0" w:color="auto"/>
        <w:bottom w:val="none" w:sz="0" w:space="0" w:color="auto"/>
        <w:right w:val="none" w:sz="0" w:space="0" w:color="auto"/>
      </w:divBdr>
    </w:div>
    <w:div w:id="696395300">
      <w:bodyDiv w:val="1"/>
      <w:marLeft w:val="0"/>
      <w:marRight w:val="0"/>
      <w:marTop w:val="0"/>
      <w:marBottom w:val="0"/>
      <w:divBdr>
        <w:top w:val="none" w:sz="0" w:space="0" w:color="auto"/>
        <w:left w:val="none" w:sz="0" w:space="0" w:color="auto"/>
        <w:bottom w:val="none" w:sz="0" w:space="0" w:color="auto"/>
        <w:right w:val="none" w:sz="0" w:space="0" w:color="auto"/>
      </w:divBdr>
    </w:div>
    <w:div w:id="698094439">
      <w:bodyDiv w:val="1"/>
      <w:marLeft w:val="0"/>
      <w:marRight w:val="0"/>
      <w:marTop w:val="0"/>
      <w:marBottom w:val="0"/>
      <w:divBdr>
        <w:top w:val="none" w:sz="0" w:space="0" w:color="auto"/>
        <w:left w:val="none" w:sz="0" w:space="0" w:color="auto"/>
        <w:bottom w:val="none" w:sz="0" w:space="0" w:color="auto"/>
        <w:right w:val="none" w:sz="0" w:space="0" w:color="auto"/>
      </w:divBdr>
    </w:div>
    <w:div w:id="699866246">
      <w:bodyDiv w:val="1"/>
      <w:marLeft w:val="0"/>
      <w:marRight w:val="0"/>
      <w:marTop w:val="0"/>
      <w:marBottom w:val="0"/>
      <w:divBdr>
        <w:top w:val="none" w:sz="0" w:space="0" w:color="auto"/>
        <w:left w:val="none" w:sz="0" w:space="0" w:color="auto"/>
        <w:bottom w:val="none" w:sz="0" w:space="0" w:color="auto"/>
        <w:right w:val="none" w:sz="0" w:space="0" w:color="auto"/>
      </w:divBdr>
    </w:div>
    <w:div w:id="700790605">
      <w:bodyDiv w:val="1"/>
      <w:marLeft w:val="0"/>
      <w:marRight w:val="0"/>
      <w:marTop w:val="0"/>
      <w:marBottom w:val="0"/>
      <w:divBdr>
        <w:top w:val="none" w:sz="0" w:space="0" w:color="auto"/>
        <w:left w:val="none" w:sz="0" w:space="0" w:color="auto"/>
        <w:bottom w:val="none" w:sz="0" w:space="0" w:color="auto"/>
        <w:right w:val="none" w:sz="0" w:space="0" w:color="auto"/>
      </w:divBdr>
    </w:div>
    <w:div w:id="702944879">
      <w:bodyDiv w:val="1"/>
      <w:marLeft w:val="0"/>
      <w:marRight w:val="0"/>
      <w:marTop w:val="0"/>
      <w:marBottom w:val="0"/>
      <w:divBdr>
        <w:top w:val="none" w:sz="0" w:space="0" w:color="auto"/>
        <w:left w:val="none" w:sz="0" w:space="0" w:color="auto"/>
        <w:bottom w:val="none" w:sz="0" w:space="0" w:color="auto"/>
        <w:right w:val="none" w:sz="0" w:space="0" w:color="auto"/>
      </w:divBdr>
    </w:div>
    <w:div w:id="704332527">
      <w:bodyDiv w:val="1"/>
      <w:marLeft w:val="0"/>
      <w:marRight w:val="0"/>
      <w:marTop w:val="0"/>
      <w:marBottom w:val="0"/>
      <w:divBdr>
        <w:top w:val="none" w:sz="0" w:space="0" w:color="auto"/>
        <w:left w:val="none" w:sz="0" w:space="0" w:color="auto"/>
        <w:bottom w:val="none" w:sz="0" w:space="0" w:color="auto"/>
        <w:right w:val="none" w:sz="0" w:space="0" w:color="auto"/>
      </w:divBdr>
    </w:div>
    <w:div w:id="705444716">
      <w:bodyDiv w:val="1"/>
      <w:marLeft w:val="0"/>
      <w:marRight w:val="0"/>
      <w:marTop w:val="0"/>
      <w:marBottom w:val="0"/>
      <w:divBdr>
        <w:top w:val="none" w:sz="0" w:space="0" w:color="auto"/>
        <w:left w:val="none" w:sz="0" w:space="0" w:color="auto"/>
        <w:bottom w:val="none" w:sz="0" w:space="0" w:color="auto"/>
        <w:right w:val="none" w:sz="0" w:space="0" w:color="auto"/>
      </w:divBdr>
    </w:div>
    <w:div w:id="707219523">
      <w:bodyDiv w:val="1"/>
      <w:marLeft w:val="0"/>
      <w:marRight w:val="0"/>
      <w:marTop w:val="0"/>
      <w:marBottom w:val="0"/>
      <w:divBdr>
        <w:top w:val="none" w:sz="0" w:space="0" w:color="auto"/>
        <w:left w:val="none" w:sz="0" w:space="0" w:color="auto"/>
        <w:bottom w:val="none" w:sz="0" w:space="0" w:color="auto"/>
        <w:right w:val="none" w:sz="0" w:space="0" w:color="auto"/>
      </w:divBdr>
    </w:div>
    <w:div w:id="708796956">
      <w:bodyDiv w:val="1"/>
      <w:marLeft w:val="0"/>
      <w:marRight w:val="0"/>
      <w:marTop w:val="0"/>
      <w:marBottom w:val="0"/>
      <w:divBdr>
        <w:top w:val="none" w:sz="0" w:space="0" w:color="auto"/>
        <w:left w:val="none" w:sz="0" w:space="0" w:color="auto"/>
        <w:bottom w:val="none" w:sz="0" w:space="0" w:color="auto"/>
        <w:right w:val="none" w:sz="0" w:space="0" w:color="auto"/>
      </w:divBdr>
    </w:div>
    <w:div w:id="708844849">
      <w:bodyDiv w:val="1"/>
      <w:marLeft w:val="0"/>
      <w:marRight w:val="0"/>
      <w:marTop w:val="0"/>
      <w:marBottom w:val="0"/>
      <w:divBdr>
        <w:top w:val="none" w:sz="0" w:space="0" w:color="auto"/>
        <w:left w:val="none" w:sz="0" w:space="0" w:color="auto"/>
        <w:bottom w:val="none" w:sz="0" w:space="0" w:color="auto"/>
        <w:right w:val="none" w:sz="0" w:space="0" w:color="auto"/>
      </w:divBdr>
    </w:div>
    <w:div w:id="709114870">
      <w:bodyDiv w:val="1"/>
      <w:marLeft w:val="0"/>
      <w:marRight w:val="0"/>
      <w:marTop w:val="0"/>
      <w:marBottom w:val="0"/>
      <w:divBdr>
        <w:top w:val="none" w:sz="0" w:space="0" w:color="auto"/>
        <w:left w:val="none" w:sz="0" w:space="0" w:color="auto"/>
        <w:bottom w:val="none" w:sz="0" w:space="0" w:color="auto"/>
        <w:right w:val="none" w:sz="0" w:space="0" w:color="auto"/>
      </w:divBdr>
    </w:div>
    <w:div w:id="709377672">
      <w:bodyDiv w:val="1"/>
      <w:marLeft w:val="0"/>
      <w:marRight w:val="0"/>
      <w:marTop w:val="0"/>
      <w:marBottom w:val="0"/>
      <w:divBdr>
        <w:top w:val="none" w:sz="0" w:space="0" w:color="auto"/>
        <w:left w:val="none" w:sz="0" w:space="0" w:color="auto"/>
        <w:bottom w:val="none" w:sz="0" w:space="0" w:color="auto"/>
        <w:right w:val="none" w:sz="0" w:space="0" w:color="auto"/>
      </w:divBdr>
    </w:div>
    <w:div w:id="709379301">
      <w:bodyDiv w:val="1"/>
      <w:marLeft w:val="0"/>
      <w:marRight w:val="0"/>
      <w:marTop w:val="0"/>
      <w:marBottom w:val="0"/>
      <w:divBdr>
        <w:top w:val="none" w:sz="0" w:space="0" w:color="auto"/>
        <w:left w:val="none" w:sz="0" w:space="0" w:color="auto"/>
        <w:bottom w:val="none" w:sz="0" w:space="0" w:color="auto"/>
        <w:right w:val="none" w:sz="0" w:space="0" w:color="auto"/>
      </w:divBdr>
    </w:div>
    <w:div w:id="710424153">
      <w:bodyDiv w:val="1"/>
      <w:marLeft w:val="0"/>
      <w:marRight w:val="0"/>
      <w:marTop w:val="0"/>
      <w:marBottom w:val="0"/>
      <w:divBdr>
        <w:top w:val="none" w:sz="0" w:space="0" w:color="auto"/>
        <w:left w:val="none" w:sz="0" w:space="0" w:color="auto"/>
        <w:bottom w:val="none" w:sz="0" w:space="0" w:color="auto"/>
        <w:right w:val="none" w:sz="0" w:space="0" w:color="auto"/>
      </w:divBdr>
    </w:div>
    <w:div w:id="712852304">
      <w:bodyDiv w:val="1"/>
      <w:marLeft w:val="0"/>
      <w:marRight w:val="0"/>
      <w:marTop w:val="0"/>
      <w:marBottom w:val="0"/>
      <w:divBdr>
        <w:top w:val="none" w:sz="0" w:space="0" w:color="auto"/>
        <w:left w:val="none" w:sz="0" w:space="0" w:color="auto"/>
        <w:bottom w:val="none" w:sz="0" w:space="0" w:color="auto"/>
        <w:right w:val="none" w:sz="0" w:space="0" w:color="auto"/>
      </w:divBdr>
    </w:div>
    <w:div w:id="712920848">
      <w:bodyDiv w:val="1"/>
      <w:marLeft w:val="0"/>
      <w:marRight w:val="0"/>
      <w:marTop w:val="0"/>
      <w:marBottom w:val="0"/>
      <w:divBdr>
        <w:top w:val="none" w:sz="0" w:space="0" w:color="auto"/>
        <w:left w:val="none" w:sz="0" w:space="0" w:color="auto"/>
        <w:bottom w:val="none" w:sz="0" w:space="0" w:color="auto"/>
        <w:right w:val="none" w:sz="0" w:space="0" w:color="auto"/>
      </w:divBdr>
    </w:div>
    <w:div w:id="724330794">
      <w:bodyDiv w:val="1"/>
      <w:marLeft w:val="0"/>
      <w:marRight w:val="0"/>
      <w:marTop w:val="0"/>
      <w:marBottom w:val="0"/>
      <w:divBdr>
        <w:top w:val="none" w:sz="0" w:space="0" w:color="auto"/>
        <w:left w:val="none" w:sz="0" w:space="0" w:color="auto"/>
        <w:bottom w:val="none" w:sz="0" w:space="0" w:color="auto"/>
        <w:right w:val="none" w:sz="0" w:space="0" w:color="auto"/>
      </w:divBdr>
    </w:div>
    <w:div w:id="725762863">
      <w:bodyDiv w:val="1"/>
      <w:marLeft w:val="0"/>
      <w:marRight w:val="0"/>
      <w:marTop w:val="0"/>
      <w:marBottom w:val="0"/>
      <w:divBdr>
        <w:top w:val="none" w:sz="0" w:space="0" w:color="auto"/>
        <w:left w:val="none" w:sz="0" w:space="0" w:color="auto"/>
        <w:bottom w:val="none" w:sz="0" w:space="0" w:color="auto"/>
        <w:right w:val="none" w:sz="0" w:space="0" w:color="auto"/>
      </w:divBdr>
    </w:div>
    <w:div w:id="727918049">
      <w:bodyDiv w:val="1"/>
      <w:marLeft w:val="0"/>
      <w:marRight w:val="0"/>
      <w:marTop w:val="0"/>
      <w:marBottom w:val="0"/>
      <w:divBdr>
        <w:top w:val="none" w:sz="0" w:space="0" w:color="auto"/>
        <w:left w:val="none" w:sz="0" w:space="0" w:color="auto"/>
        <w:bottom w:val="none" w:sz="0" w:space="0" w:color="auto"/>
        <w:right w:val="none" w:sz="0" w:space="0" w:color="auto"/>
      </w:divBdr>
    </w:div>
    <w:div w:id="729882173">
      <w:bodyDiv w:val="1"/>
      <w:marLeft w:val="0"/>
      <w:marRight w:val="0"/>
      <w:marTop w:val="0"/>
      <w:marBottom w:val="0"/>
      <w:divBdr>
        <w:top w:val="none" w:sz="0" w:space="0" w:color="auto"/>
        <w:left w:val="none" w:sz="0" w:space="0" w:color="auto"/>
        <w:bottom w:val="none" w:sz="0" w:space="0" w:color="auto"/>
        <w:right w:val="none" w:sz="0" w:space="0" w:color="auto"/>
      </w:divBdr>
    </w:div>
    <w:div w:id="731274506">
      <w:bodyDiv w:val="1"/>
      <w:marLeft w:val="0"/>
      <w:marRight w:val="0"/>
      <w:marTop w:val="0"/>
      <w:marBottom w:val="0"/>
      <w:divBdr>
        <w:top w:val="none" w:sz="0" w:space="0" w:color="auto"/>
        <w:left w:val="none" w:sz="0" w:space="0" w:color="auto"/>
        <w:bottom w:val="none" w:sz="0" w:space="0" w:color="auto"/>
        <w:right w:val="none" w:sz="0" w:space="0" w:color="auto"/>
      </w:divBdr>
    </w:div>
    <w:div w:id="733048551">
      <w:bodyDiv w:val="1"/>
      <w:marLeft w:val="0"/>
      <w:marRight w:val="0"/>
      <w:marTop w:val="0"/>
      <w:marBottom w:val="0"/>
      <w:divBdr>
        <w:top w:val="none" w:sz="0" w:space="0" w:color="auto"/>
        <w:left w:val="none" w:sz="0" w:space="0" w:color="auto"/>
        <w:bottom w:val="none" w:sz="0" w:space="0" w:color="auto"/>
        <w:right w:val="none" w:sz="0" w:space="0" w:color="auto"/>
      </w:divBdr>
    </w:div>
    <w:div w:id="735318311">
      <w:bodyDiv w:val="1"/>
      <w:marLeft w:val="0"/>
      <w:marRight w:val="0"/>
      <w:marTop w:val="0"/>
      <w:marBottom w:val="0"/>
      <w:divBdr>
        <w:top w:val="none" w:sz="0" w:space="0" w:color="auto"/>
        <w:left w:val="none" w:sz="0" w:space="0" w:color="auto"/>
        <w:bottom w:val="none" w:sz="0" w:space="0" w:color="auto"/>
        <w:right w:val="none" w:sz="0" w:space="0" w:color="auto"/>
      </w:divBdr>
    </w:div>
    <w:div w:id="736130804">
      <w:bodyDiv w:val="1"/>
      <w:marLeft w:val="0"/>
      <w:marRight w:val="0"/>
      <w:marTop w:val="0"/>
      <w:marBottom w:val="0"/>
      <w:divBdr>
        <w:top w:val="none" w:sz="0" w:space="0" w:color="auto"/>
        <w:left w:val="none" w:sz="0" w:space="0" w:color="auto"/>
        <w:bottom w:val="none" w:sz="0" w:space="0" w:color="auto"/>
        <w:right w:val="none" w:sz="0" w:space="0" w:color="auto"/>
      </w:divBdr>
    </w:div>
    <w:div w:id="736823046">
      <w:bodyDiv w:val="1"/>
      <w:marLeft w:val="0"/>
      <w:marRight w:val="0"/>
      <w:marTop w:val="0"/>
      <w:marBottom w:val="0"/>
      <w:divBdr>
        <w:top w:val="none" w:sz="0" w:space="0" w:color="auto"/>
        <w:left w:val="none" w:sz="0" w:space="0" w:color="auto"/>
        <w:bottom w:val="none" w:sz="0" w:space="0" w:color="auto"/>
        <w:right w:val="none" w:sz="0" w:space="0" w:color="auto"/>
      </w:divBdr>
    </w:div>
    <w:div w:id="737285729">
      <w:bodyDiv w:val="1"/>
      <w:marLeft w:val="0"/>
      <w:marRight w:val="0"/>
      <w:marTop w:val="0"/>
      <w:marBottom w:val="0"/>
      <w:divBdr>
        <w:top w:val="none" w:sz="0" w:space="0" w:color="auto"/>
        <w:left w:val="none" w:sz="0" w:space="0" w:color="auto"/>
        <w:bottom w:val="none" w:sz="0" w:space="0" w:color="auto"/>
        <w:right w:val="none" w:sz="0" w:space="0" w:color="auto"/>
      </w:divBdr>
    </w:div>
    <w:div w:id="737436684">
      <w:bodyDiv w:val="1"/>
      <w:marLeft w:val="0"/>
      <w:marRight w:val="0"/>
      <w:marTop w:val="0"/>
      <w:marBottom w:val="0"/>
      <w:divBdr>
        <w:top w:val="none" w:sz="0" w:space="0" w:color="auto"/>
        <w:left w:val="none" w:sz="0" w:space="0" w:color="auto"/>
        <w:bottom w:val="none" w:sz="0" w:space="0" w:color="auto"/>
        <w:right w:val="none" w:sz="0" w:space="0" w:color="auto"/>
      </w:divBdr>
    </w:div>
    <w:div w:id="742408958">
      <w:bodyDiv w:val="1"/>
      <w:marLeft w:val="0"/>
      <w:marRight w:val="0"/>
      <w:marTop w:val="0"/>
      <w:marBottom w:val="0"/>
      <w:divBdr>
        <w:top w:val="none" w:sz="0" w:space="0" w:color="auto"/>
        <w:left w:val="none" w:sz="0" w:space="0" w:color="auto"/>
        <w:bottom w:val="none" w:sz="0" w:space="0" w:color="auto"/>
        <w:right w:val="none" w:sz="0" w:space="0" w:color="auto"/>
      </w:divBdr>
    </w:div>
    <w:div w:id="744033878">
      <w:bodyDiv w:val="1"/>
      <w:marLeft w:val="0"/>
      <w:marRight w:val="0"/>
      <w:marTop w:val="0"/>
      <w:marBottom w:val="0"/>
      <w:divBdr>
        <w:top w:val="none" w:sz="0" w:space="0" w:color="auto"/>
        <w:left w:val="none" w:sz="0" w:space="0" w:color="auto"/>
        <w:bottom w:val="none" w:sz="0" w:space="0" w:color="auto"/>
        <w:right w:val="none" w:sz="0" w:space="0" w:color="auto"/>
      </w:divBdr>
    </w:div>
    <w:div w:id="744299930">
      <w:bodyDiv w:val="1"/>
      <w:marLeft w:val="0"/>
      <w:marRight w:val="0"/>
      <w:marTop w:val="0"/>
      <w:marBottom w:val="0"/>
      <w:divBdr>
        <w:top w:val="none" w:sz="0" w:space="0" w:color="auto"/>
        <w:left w:val="none" w:sz="0" w:space="0" w:color="auto"/>
        <w:bottom w:val="none" w:sz="0" w:space="0" w:color="auto"/>
        <w:right w:val="none" w:sz="0" w:space="0" w:color="auto"/>
      </w:divBdr>
    </w:div>
    <w:div w:id="747579608">
      <w:bodyDiv w:val="1"/>
      <w:marLeft w:val="0"/>
      <w:marRight w:val="0"/>
      <w:marTop w:val="0"/>
      <w:marBottom w:val="0"/>
      <w:divBdr>
        <w:top w:val="none" w:sz="0" w:space="0" w:color="auto"/>
        <w:left w:val="none" w:sz="0" w:space="0" w:color="auto"/>
        <w:bottom w:val="none" w:sz="0" w:space="0" w:color="auto"/>
        <w:right w:val="none" w:sz="0" w:space="0" w:color="auto"/>
      </w:divBdr>
    </w:div>
    <w:div w:id="750008205">
      <w:bodyDiv w:val="1"/>
      <w:marLeft w:val="0"/>
      <w:marRight w:val="0"/>
      <w:marTop w:val="0"/>
      <w:marBottom w:val="0"/>
      <w:divBdr>
        <w:top w:val="none" w:sz="0" w:space="0" w:color="auto"/>
        <w:left w:val="none" w:sz="0" w:space="0" w:color="auto"/>
        <w:bottom w:val="none" w:sz="0" w:space="0" w:color="auto"/>
        <w:right w:val="none" w:sz="0" w:space="0" w:color="auto"/>
      </w:divBdr>
    </w:div>
    <w:div w:id="754127234">
      <w:bodyDiv w:val="1"/>
      <w:marLeft w:val="0"/>
      <w:marRight w:val="0"/>
      <w:marTop w:val="0"/>
      <w:marBottom w:val="0"/>
      <w:divBdr>
        <w:top w:val="none" w:sz="0" w:space="0" w:color="auto"/>
        <w:left w:val="none" w:sz="0" w:space="0" w:color="auto"/>
        <w:bottom w:val="none" w:sz="0" w:space="0" w:color="auto"/>
        <w:right w:val="none" w:sz="0" w:space="0" w:color="auto"/>
      </w:divBdr>
    </w:div>
    <w:div w:id="757755872">
      <w:bodyDiv w:val="1"/>
      <w:marLeft w:val="0"/>
      <w:marRight w:val="0"/>
      <w:marTop w:val="0"/>
      <w:marBottom w:val="0"/>
      <w:divBdr>
        <w:top w:val="none" w:sz="0" w:space="0" w:color="auto"/>
        <w:left w:val="none" w:sz="0" w:space="0" w:color="auto"/>
        <w:bottom w:val="none" w:sz="0" w:space="0" w:color="auto"/>
        <w:right w:val="none" w:sz="0" w:space="0" w:color="auto"/>
      </w:divBdr>
    </w:div>
    <w:div w:id="759373861">
      <w:bodyDiv w:val="1"/>
      <w:marLeft w:val="0"/>
      <w:marRight w:val="0"/>
      <w:marTop w:val="0"/>
      <w:marBottom w:val="0"/>
      <w:divBdr>
        <w:top w:val="none" w:sz="0" w:space="0" w:color="auto"/>
        <w:left w:val="none" w:sz="0" w:space="0" w:color="auto"/>
        <w:bottom w:val="none" w:sz="0" w:space="0" w:color="auto"/>
        <w:right w:val="none" w:sz="0" w:space="0" w:color="auto"/>
      </w:divBdr>
    </w:div>
    <w:div w:id="762533978">
      <w:bodyDiv w:val="1"/>
      <w:marLeft w:val="0"/>
      <w:marRight w:val="0"/>
      <w:marTop w:val="0"/>
      <w:marBottom w:val="0"/>
      <w:divBdr>
        <w:top w:val="none" w:sz="0" w:space="0" w:color="auto"/>
        <w:left w:val="none" w:sz="0" w:space="0" w:color="auto"/>
        <w:bottom w:val="none" w:sz="0" w:space="0" w:color="auto"/>
        <w:right w:val="none" w:sz="0" w:space="0" w:color="auto"/>
      </w:divBdr>
    </w:div>
    <w:div w:id="765613796">
      <w:bodyDiv w:val="1"/>
      <w:marLeft w:val="0"/>
      <w:marRight w:val="0"/>
      <w:marTop w:val="0"/>
      <w:marBottom w:val="0"/>
      <w:divBdr>
        <w:top w:val="none" w:sz="0" w:space="0" w:color="auto"/>
        <w:left w:val="none" w:sz="0" w:space="0" w:color="auto"/>
        <w:bottom w:val="none" w:sz="0" w:space="0" w:color="auto"/>
        <w:right w:val="none" w:sz="0" w:space="0" w:color="auto"/>
      </w:divBdr>
    </w:div>
    <w:div w:id="769397380">
      <w:bodyDiv w:val="1"/>
      <w:marLeft w:val="0"/>
      <w:marRight w:val="0"/>
      <w:marTop w:val="0"/>
      <w:marBottom w:val="0"/>
      <w:divBdr>
        <w:top w:val="none" w:sz="0" w:space="0" w:color="auto"/>
        <w:left w:val="none" w:sz="0" w:space="0" w:color="auto"/>
        <w:bottom w:val="none" w:sz="0" w:space="0" w:color="auto"/>
        <w:right w:val="none" w:sz="0" w:space="0" w:color="auto"/>
      </w:divBdr>
    </w:div>
    <w:div w:id="777141660">
      <w:bodyDiv w:val="1"/>
      <w:marLeft w:val="0"/>
      <w:marRight w:val="0"/>
      <w:marTop w:val="0"/>
      <w:marBottom w:val="0"/>
      <w:divBdr>
        <w:top w:val="none" w:sz="0" w:space="0" w:color="auto"/>
        <w:left w:val="none" w:sz="0" w:space="0" w:color="auto"/>
        <w:bottom w:val="none" w:sz="0" w:space="0" w:color="auto"/>
        <w:right w:val="none" w:sz="0" w:space="0" w:color="auto"/>
      </w:divBdr>
    </w:div>
    <w:div w:id="777331309">
      <w:bodyDiv w:val="1"/>
      <w:marLeft w:val="0"/>
      <w:marRight w:val="0"/>
      <w:marTop w:val="0"/>
      <w:marBottom w:val="0"/>
      <w:divBdr>
        <w:top w:val="none" w:sz="0" w:space="0" w:color="auto"/>
        <w:left w:val="none" w:sz="0" w:space="0" w:color="auto"/>
        <w:bottom w:val="none" w:sz="0" w:space="0" w:color="auto"/>
        <w:right w:val="none" w:sz="0" w:space="0" w:color="auto"/>
      </w:divBdr>
    </w:div>
    <w:div w:id="777605263">
      <w:bodyDiv w:val="1"/>
      <w:marLeft w:val="0"/>
      <w:marRight w:val="0"/>
      <w:marTop w:val="0"/>
      <w:marBottom w:val="0"/>
      <w:divBdr>
        <w:top w:val="none" w:sz="0" w:space="0" w:color="auto"/>
        <w:left w:val="none" w:sz="0" w:space="0" w:color="auto"/>
        <w:bottom w:val="none" w:sz="0" w:space="0" w:color="auto"/>
        <w:right w:val="none" w:sz="0" w:space="0" w:color="auto"/>
      </w:divBdr>
    </w:div>
    <w:div w:id="778374825">
      <w:bodyDiv w:val="1"/>
      <w:marLeft w:val="0"/>
      <w:marRight w:val="0"/>
      <w:marTop w:val="0"/>
      <w:marBottom w:val="0"/>
      <w:divBdr>
        <w:top w:val="none" w:sz="0" w:space="0" w:color="auto"/>
        <w:left w:val="none" w:sz="0" w:space="0" w:color="auto"/>
        <w:bottom w:val="none" w:sz="0" w:space="0" w:color="auto"/>
        <w:right w:val="none" w:sz="0" w:space="0" w:color="auto"/>
      </w:divBdr>
    </w:div>
    <w:div w:id="784008803">
      <w:bodyDiv w:val="1"/>
      <w:marLeft w:val="0"/>
      <w:marRight w:val="0"/>
      <w:marTop w:val="0"/>
      <w:marBottom w:val="0"/>
      <w:divBdr>
        <w:top w:val="none" w:sz="0" w:space="0" w:color="auto"/>
        <w:left w:val="none" w:sz="0" w:space="0" w:color="auto"/>
        <w:bottom w:val="none" w:sz="0" w:space="0" w:color="auto"/>
        <w:right w:val="none" w:sz="0" w:space="0" w:color="auto"/>
      </w:divBdr>
    </w:div>
    <w:div w:id="785317991">
      <w:bodyDiv w:val="1"/>
      <w:marLeft w:val="0"/>
      <w:marRight w:val="0"/>
      <w:marTop w:val="0"/>
      <w:marBottom w:val="0"/>
      <w:divBdr>
        <w:top w:val="none" w:sz="0" w:space="0" w:color="auto"/>
        <w:left w:val="none" w:sz="0" w:space="0" w:color="auto"/>
        <w:bottom w:val="none" w:sz="0" w:space="0" w:color="auto"/>
        <w:right w:val="none" w:sz="0" w:space="0" w:color="auto"/>
      </w:divBdr>
    </w:div>
    <w:div w:id="786629675">
      <w:bodyDiv w:val="1"/>
      <w:marLeft w:val="0"/>
      <w:marRight w:val="0"/>
      <w:marTop w:val="0"/>
      <w:marBottom w:val="0"/>
      <w:divBdr>
        <w:top w:val="none" w:sz="0" w:space="0" w:color="auto"/>
        <w:left w:val="none" w:sz="0" w:space="0" w:color="auto"/>
        <w:bottom w:val="none" w:sz="0" w:space="0" w:color="auto"/>
        <w:right w:val="none" w:sz="0" w:space="0" w:color="auto"/>
      </w:divBdr>
    </w:div>
    <w:div w:id="792790389">
      <w:bodyDiv w:val="1"/>
      <w:marLeft w:val="0"/>
      <w:marRight w:val="0"/>
      <w:marTop w:val="0"/>
      <w:marBottom w:val="0"/>
      <w:divBdr>
        <w:top w:val="none" w:sz="0" w:space="0" w:color="auto"/>
        <w:left w:val="none" w:sz="0" w:space="0" w:color="auto"/>
        <w:bottom w:val="none" w:sz="0" w:space="0" w:color="auto"/>
        <w:right w:val="none" w:sz="0" w:space="0" w:color="auto"/>
      </w:divBdr>
    </w:div>
    <w:div w:id="794518286">
      <w:bodyDiv w:val="1"/>
      <w:marLeft w:val="0"/>
      <w:marRight w:val="0"/>
      <w:marTop w:val="0"/>
      <w:marBottom w:val="0"/>
      <w:divBdr>
        <w:top w:val="none" w:sz="0" w:space="0" w:color="auto"/>
        <w:left w:val="none" w:sz="0" w:space="0" w:color="auto"/>
        <w:bottom w:val="none" w:sz="0" w:space="0" w:color="auto"/>
        <w:right w:val="none" w:sz="0" w:space="0" w:color="auto"/>
      </w:divBdr>
    </w:div>
    <w:div w:id="795875086">
      <w:bodyDiv w:val="1"/>
      <w:marLeft w:val="0"/>
      <w:marRight w:val="0"/>
      <w:marTop w:val="0"/>
      <w:marBottom w:val="0"/>
      <w:divBdr>
        <w:top w:val="none" w:sz="0" w:space="0" w:color="auto"/>
        <w:left w:val="none" w:sz="0" w:space="0" w:color="auto"/>
        <w:bottom w:val="none" w:sz="0" w:space="0" w:color="auto"/>
        <w:right w:val="none" w:sz="0" w:space="0" w:color="auto"/>
      </w:divBdr>
    </w:div>
    <w:div w:id="803084889">
      <w:bodyDiv w:val="1"/>
      <w:marLeft w:val="0"/>
      <w:marRight w:val="0"/>
      <w:marTop w:val="0"/>
      <w:marBottom w:val="0"/>
      <w:divBdr>
        <w:top w:val="none" w:sz="0" w:space="0" w:color="auto"/>
        <w:left w:val="none" w:sz="0" w:space="0" w:color="auto"/>
        <w:bottom w:val="none" w:sz="0" w:space="0" w:color="auto"/>
        <w:right w:val="none" w:sz="0" w:space="0" w:color="auto"/>
      </w:divBdr>
    </w:div>
    <w:div w:id="809326668">
      <w:bodyDiv w:val="1"/>
      <w:marLeft w:val="0"/>
      <w:marRight w:val="0"/>
      <w:marTop w:val="0"/>
      <w:marBottom w:val="0"/>
      <w:divBdr>
        <w:top w:val="none" w:sz="0" w:space="0" w:color="auto"/>
        <w:left w:val="none" w:sz="0" w:space="0" w:color="auto"/>
        <w:bottom w:val="none" w:sz="0" w:space="0" w:color="auto"/>
        <w:right w:val="none" w:sz="0" w:space="0" w:color="auto"/>
      </w:divBdr>
    </w:div>
    <w:div w:id="809904264">
      <w:bodyDiv w:val="1"/>
      <w:marLeft w:val="0"/>
      <w:marRight w:val="0"/>
      <w:marTop w:val="0"/>
      <w:marBottom w:val="0"/>
      <w:divBdr>
        <w:top w:val="none" w:sz="0" w:space="0" w:color="auto"/>
        <w:left w:val="none" w:sz="0" w:space="0" w:color="auto"/>
        <w:bottom w:val="none" w:sz="0" w:space="0" w:color="auto"/>
        <w:right w:val="none" w:sz="0" w:space="0" w:color="auto"/>
      </w:divBdr>
    </w:div>
    <w:div w:id="810906219">
      <w:bodyDiv w:val="1"/>
      <w:marLeft w:val="0"/>
      <w:marRight w:val="0"/>
      <w:marTop w:val="0"/>
      <w:marBottom w:val="0"/>
      <w:divBdr>
        <w:top w:val="none" w:sz="0" w:space="0" w:color="auto"/>
        <w:left w:val="none" w:sz="0" w:space="0" w:color="auto"/>
        <w:bottom w:val="none" w:sz="0" w:space="0" w:color="auto"/>
        <w:right w:val="none" w:sz="0" w:space="0" w:color="auto"/>
      </w:divBdr>
    </w:div>
    <w:div w:id="813182772">
      <w:bodyDiv w:val="1"/>
      <w:marLeft w:val="0"/>
      <w:marRight w:val="0"/>
      <w:marTop w:val="0"/>
      <w:marBottom w:val="0"/>
      <w:divBdr>
        <w:top w:val="none" w:sz="0" w:space="0" w:color="auto"/>
        <w:left w:val="none" w:sz="0" w:space="0" w:color="auto"/>
        <w:bottom w:val="none" w:sz="0" w:space="0" w:color="auto"/>
        <w:right w:val="none" w:sz="0" w:space="0" w:color="auto"/>
      </w:divBdr>
    </w:div>
    <w:div w:id="813254466">
      <w:bodyDiv w:val="1"/>
      <w:marLeft w:val="0"/>
      <w:marRight w:val="0"/>
      <w:marTop w:val="0"/>
      <w:marBottom w:val="0"/>
      <w:divBdr>
        <w:top w:val="none" w:sz="0" w:space="0" w:color="auto"/>
        <w:left w:val="none" w:sz="0" w:space="0" w:color="auto"/>
        <w:bottom w:val="none" w:sz="0" w:space="0" w:color="auto"/>
        <w:right w:val="none" w:sz="0" w:space="0" w:color="auto"/>
      </w:divBdr>
    </w:div>
    <w:div w:id="813639443">
      <w:bodyDiv w:val="1"/>
      <w:marLeft w:val="0"/>
      <w:marRight w:val="0"/>
      <w:marTop w:val="0"/>
      <w:marBottom w:val="0"/>
      <w:divBdr>
        <w:top w:val="none" w:sz="0" w:space="0" w:color="auto"/>
        <w:left w:val="none" w:sz="0" w:space="0" w:color="auto"/>
        <w:bottom w:val="none" w:sz="0" w:space="0" w:color="auto"/>
        <w:right w:val="none" w:sz="0" w:space="0" w:color="auto"/>
      </w:divBdr>
    </w:div>
    <w:div w:id="816383607">
      <w:bodyDiv w:val="1"/>
      <w:marLeft w:val="0"/>
      <w:marRight w:val="0"/>
      <w:marTop w:val="0"/>
      <w:marBottom w:val="0"/>
      <w:divBdr>
        <w:top w:val="none" w:sz="0" w:space="0" w:color="auto"/>
        <w:left w:val="none" w:sz="0" w:space="0" w:color="auto"/>
        <w:bottom w:val="none" w:sz="0" w:space="0" w:color="auto"/>
        <w:right w:val="none" w:sz="0" w:space="0" w:color="auto"/>
      </w:divBdr>
    </w:div>
    <w:div w:id="819035605">
      <w:bodyDiv w:val="1"/>
      <w:marLeft w:val="0"/>
      <w:marRight w:val="0"/>
      <w:marTop w:val="0"/>
      <w:marBottom w:val="0"/>
      <w:divBdr>
        <w:top w:val="none" w:sz="0" w:space="0" w:color="auto"/>
        <w:left w:val="none" w:sz="0" w:space="0" w:color="auto"/>
        <w:bottom w:val="none" w:sz="0" w:space="0" w:color="auto"/>
        <w:right w:val="none" w:sz="0" w:space="0" w:color="auto"/>
      </w:divBdr>
    </w:div>
    <w:div w:id="819080596">
      <w:bodyDiv w:val="1"/>
      <w:marLeft w:val="0"/>
      <w:marRight w:val="0"/>
      <w:marTop w:val="0"/>
      <w:marBottom w:val="0"/>
      <w:divBdr>
        <w:top w:val="none" w:sz="0" w:space="0" w:color="auto"/>
        <w:left w:val="none" w:sz="0" w:space="0" w:color="auto"/>
        <w:bottom w:val="none" w:sz="0" w:space="0" w:color="auto"/>
        <w:right w:val="none" w:sz="0" w:space="0" w:color="auto"/>
      </w:divBdr>
    </w:div>
    <w:div w:id="821120413">
      <w:bodyDiv w:val="1"/>
      <w:marLeft w:val="0"/>
      <w:marRight w:val="0"/>
      <w:marTop w:val="0"/>
      <w:marBottom w:val="0"/>
      <w:divBdr>
        <w:top w:val="none" w:sz="0" w:space="0" w:color="auto"/>
        <w:left w:val="none" w:sz="0" w:space="0" w:color="auto"/>
        <w:bottom w:val="none" w:sz="0" w:space="0" w:color="auto"/>
        <w:right w:val="none" w:sz="0" w:space="0" w:color="auto"/>
      </w:divBdr>
    </w:div>
    <w:div w:id="824707593">
      <w:bodyDiv w:val="1"/>
      <w:marLeft w:val="0"/>
      <w:marRight w:val="0"/>
      <w:marTop w:val="0"/>
      <w:marBottom w:val="0"/>
      <w:divBdr>
        <w:top w:val="none" w:sz="0" w:space="0" w:color="auto"/>
        <w:left w:val="none" w:sz="0" w:space="0" w:color="auto"/>
        <w:bottom w:val="none" w:sz="0" w:space="0" w:color="auto"/>
        <w:right w:val="none" w:sz="0" w:space="0" w:color="auto"/>
      </w:divBdr>
    </w:div>
    <w:div w:id="828909188">
      <w:bodyDiv w:val="1"/>
      <w:marLeft w:val="0"/>
      <w:marRight w:val="0"/>
      <w:marTop w:val="0"/>
      <w:marBottom w:val="0"/>
      <w:divBdr>
        <w:top w:val="none" w:sz="0" w:space="0" w:color="auto"/>
        <w:left w:val="none" w:sz="0" w:space="0" w:color="auto"/>
        <w:bottom w:val="none" w:sz="0" w:space="0" w:color="auto"/>
        <w:right w:val="none" w:sz="0" w:space="0" w:color="auto"/>
      </w:divBdr>
    </w:div>
    <w:div w:id="834225653">
      <w:bodyDiv w:val="1"/>
      <w:marLeft w:val="0"/>
      <w:marRight w:val="0"/>
      <w:marTop w:val="0"/>
      <w:marBottom w:val="0"/>
      <w:divBdr>
        <w:top w:val="none" w:sz="0" w:space="0" w:color="auto"/>
        <w:left w:val="none" w:sz="0" w:space="0" w:color="auto"/>
        <w:bottom w:val="none" w:sz="0" w:space="0" w:color="auto"/>
        <w:right w:val="none" w:sz="0" w:space="0" w:color="auto"/>
      </w:divBdr>
    </w:div>
    <w:div w:id="836925711">
      <w:bodyDiv w:val="1"/>
      <w:marLeft w:val="0"/>
      <w:marRight w:val="0"/>
      <w:marTop w:val="0"/>
      <w:marBottom w:val="0"/>
      <w:divBdr>
        <w:top w:val="none" w:sz="0" w:space="0" w:color="auto"/>
        <w:left w:val="none" w:sz="0" w:space="0" w:color="auto"/>
        <w:bottom w:val="none" w:sz="0" w:space="0" w:color="auto"/>
        <w:right w:val="none" w:sz="0" w:space="0" w:color="auto"/>
      </w:divBdr>
    </w:div>
    <w:div w:id="838469533">
      <w:bodyDiv w:val="1"/>
      <w:marLeft w:val="0"/>
      <w:marRight w:val="0"/>
      <w:marTop w:val="0"/>
      <w:marBottom w:val="0"/>
      <w:divBdr>
        <w:top w:val="none" w:sz="0" w:space="0" w:color="auto"/>
        <w:left w:val="none" w:sz="0" w:space="0" w:color="auto"/>
        <w:bottom w:val="none" w:sz="0" w:space="0" w:color="auto"/>
        <w:right w:val="none" w:sz="0" w:space="0" w:color="auto"/>
      </w:divBdr>
    </w:div>
    <w:div w:id="839008747">
      <w:bodyDiv w:val="1"/>
      <w:marLeft w:val="0"/>
      <w:marRight w:val="0"/>
      <w:marTop w:val="0"/>
      <w:marBottom w:val="0"/>
      <w:divBdr>
        <w:top w:val="none" w:sz="0" w:space="0" w:color="auto"/>
        <w:left w:val="none" w:sz="0" w:space="0" w:color="auto"/>
        <w:bottom w:val="none" w:sz="0" w:space="0" w:color="auto"/>
        <w:right w:val="none" w:sz="0" w:space="0" w:color="auto"/>
      </w:divBdr>
    </w:div>
    <w:div w:id="842090825">
      <w:bodyDiv w:val="1"/>
      <w:marLeft w:val="0"/>
      <w:marRight w:val="0"/>
      <w:marTop w:val="0"/>
      <w:marBottom w:val="0"/>
      <w:divBdr>
        <w:top w:val="none" w:sz="0" w:space="0" w:color="auto"/>
        <w:left w:val="none" w:sz="0" w:space="0" w:color="auto"/>
        <w:bottom w:val="none" w:sz="0" w:space="0" w:color="auto"/>
        <w:right w:val="none" w:sz="0" w:space="0" w:color="auto"/>
      </w:divBdr>
    </w:div>
    <w:div w:id="846092432">
      <w:bodyDiv w:val="1"/>
      <w:marLeft w:val="0"/>
      <w:marRight w:val="0"/>
      <w:marTop w:val="0"/>
      <w:marBottom w:val="0"/>
      <w:divBdr>
        <w:top w:val="none" w:sz="0" w:space="0" w:color="auto"/>
        <w:left w:val="none" w:sz="0" w:space="0" w:color="auto"/>
        <w:bottom w:val="none" w:sz="0" w:space="0" w:color="auto"/>
        <w:right w:val="none" w:sz="0" w:space="0" w:color="auto"/>
      </w:divBdr>
    </w:div>
    <w:div w:id="846677209">
      <w:bodyDiv w:val="1"/>
      <w:marLeft w:val="0"/>
      <w:marRight w:val="0"/>
      <w:marTop w:val="0"/>
      <w:marBottom w:val="0"/>
      <w:divBdr>
        <w:top w:val="none" w:sz="0" w:space="0" w:color="auto"/>
        <w:left w:val="none" w:sz="0" w:space="0" w:color="auto"/>
        <w:bottom w:val="none" w:sz="0" w:space="0" w:color="auto"/>
        <w:right w:val="none" w:sz="0" w:space="0" w:color="auto"/>
      </w:divBdr>
    </w:div>
    <w:div w:id="853809843">
      <w:bodyDiv w:val="1"/>
      <w:marLeft w:val="0"/>
      <w:marRight w:val="0"/>
      <w:marTop w:val="0"/>
      <w:marBottom w:val="0"/>
      <w:divBdr>
        <w:top w:val="none" w:sz="0" w:space="0" w:color="auto"/>
        <w:left w:val="none" w:sz="0" w:space="0" w:color="auto"/>
        <w:bottom w:val="none" w:sz="0" w:space="0" w:color="auto"/>
        <w:right w:val="none" w:sz="0" w:space="0" w:color="auto"/>
      </w:divBdr>
    </w:div>
    <w:div w:id="856190250">
      <w:bodyDiv w:val="1"/>
      <w:marLeft w:val="0"/>
      <w:marRight w:val="0"/>
      <w:marTop w:val="0"/>
      <w:marBottom w:val="0"/>
      <w:divBdr>
        <w:top w:val="none" w:sz="0" w:space="0" w:color="auto"/>
        <w:left w:val="none" w:sz="0" w:space="0" w:color="auto"/>
        <w:bottom w:val="none" w:sz="0" w:space="0" w:color="auto"/>
        <w:right w:val="none" w:sz="0" w:space="0" w:color="auto"/>
      </w:divBdr>
    </w:div>
    <w:div w:id="859008730">
      <w:bodyDiv w:val="1"/>
      <w:marLeft w:val="0"/>
      <w:marRight w:val="0"/>
      <w:marTop w:val="0"/>
      <w:marBottom w:val="0"/>
      <w:divBdr>
        <w:top w:val="none" w:sz="0" w:space="0" w:color="auto"/>
        <w:left w:val="none" w:sz="0" w:space="0" w:color="auto"/>
        <w:bottom w:val="none" w:sz="0" w:space="0" w:color="auto"/>
        <w:right w:val="none" w:sz="0" w:space="0" w:color="auto"/>
      </w:divBdr>
    </w:div>
    <w:div w:id="860244716">
      <w:bodyDiv w:val="1"/>
      <w:marLeft w:val="0"/>
      <w:marRight w:val="0"/>
      <w:marTop w:val="0"/>
      <w:marBottom w:val="0"/>
      <w:divBdr>
        <w:top w:val="none" w:sz="0" w:space="0" w:color="auto"/>
        <w:left w:val="none" w:sz="0" w:space="0" w:color="auto"/>
        <w:bottom w:val="none" w:sz="0" w:space="0" w:color="auto"/>
        <w:right w:val="none" w:sz="0" w:space="0" w:color="auto"/>
      </w:divBdr>
    </w:div>
    <w:div w:id="866020451">
      <w:bodyDiv w:val="1"/>
      <w:marLeft w:val="0"/>
      <w:marRight w:val="0"/>
      <w:marTop w:val="0"/>
      <w:marBottom w:val="0"/>
      <w:divBdr>
        <w:top w:val="none" w:sz="0" w:space="0" w:color="auto"/>
        <w:left w:val="none" w:sz="0" w:space="0" w:color="auto"/>
        <w:bottom w:val="none" w:sz="0" w:space="0" w:color="auto"/>
        <w:right w:val="none" w:sz="0" w:space="0" w:color="auto"/>
      </w:divBdr>
    </w:div>
    <w:div w:id="869144740">
      <w:bodyDiv w:val="1"/>
      <w:marLeft w:val="0"/>
      <w:marRight w:val="0"/>
      <w:marTop w:val="0"/>
      <w:marBottom w:val="0"/>
      <w:divBdr>
        <w:top w:val="none" w:sz="0" w:space="0" w:color="auto"/>
        <w:left w:val="none" w:sz="0" w:space="0" w:color="auto"/>
        <w:bottom w:val="none" w:sz="0" w:space="0" w:color="auto"/>
        <w:right w:val="none" w:sz="0" w:space="0" w:color="auto"/>
      </w:divBdr>
    </w:div>
    <w:div w:id="871726306">
      <w:bodyDiv w:val="1"/>
      <w:marLeft w:val="0"/>
      <w:marRight w:val="0"/>
      <w:marTop w:val="0"/>
      <w:marBottom w:val="0"/>
      <w:divBdr>
        <w:top w:val="none" w:sz="0" w:space="0" w:color="auto"/>
        <w:left w:val="none" w:sz="0" w:space="0" w:color="auto"/>
        <w:bottom w:val="none" w:sz="0" w:space="0" w:color="auto"/>
        <w:right w:val="none" w:sz="0" w:space="0" w:color="auto"/>
      </w:divBdr>
    </w:div>
    <w:div w:id="872035194">
      <w:bodyDiv w:val="1"/>
      <w:marLeft w:val="0"/>
      <w:marRight w:val="0"/>
      <w:marTop w:val="0"/>
      <w:marBottom w:val="0"/>
      <w:divBdr>
        <w:top w:val="none" w:sz="0" w:space="0" w:color="auto"/>
        <w:left w:val="none" w:sz="0" w:space="0" w:color="auto"/>
        <w:bottom w:val="none" w:sz="0" w:space="0" w:color="auto"/>
        <w:right w:val="none" w:sz="0" w:space="0" w:color="auto"/>
      </w:divBdr>
    </w:div>
    <w:div w:id="872888159">
      <w:bodyDiv w:val="1"/>
      <w:marLeft w:val="0"/>
      <w:marRight w:val="0"/>
      <w:marTop w:val="0"/>
      <w:marBottom w:val="0"/>
      <w:divBdr>
        <w:top w:val="none" w:sz="0" w:space="0" w:color="auto"/>
        <w:left w:val="none" w:sz="0" w:space="0" w:color="auto"/>
        <w:bottom w:val="none" w:sz="0" w:space="0" w:color="auto"/>
        <w:right w:val="none" w:sz="0" w:space="0" w:color="auto"/>
      </w:divBdr>
    </w:div>
    <w:div w:id="873352532">
      <w:bodyDiv w:val="1"/>
      <w:marLeft w:val="0"/>
      <w:marRight w:val="0"/>
      <w:marTop w:val="0"/>
      <w:marBottom w:val="0"/>
      <w:divBdr>
        <w:top w:val="none" w:sz="0" w:space="0" w:color="auto"/>
        <w:left w:val="none" w:sz="0" w:space="0" w:color="auto"/>
        <w:bottom w:val="none" w:sz="0" w:space="0" w:color="auto"/>
        <w:right w:val="none" w:sz="0" w:space="0" w:color="auto"/>
      </w:divBdr>
    </w:div>
    <w:div w:id="873620187">
      <w:bodyDiv w:val="1"/>
      <w:marLeft w:val="0"/>
      <w:marRight w:val="0"/>
      <w:marTop w:val="0"/>
      <w:marBottom w:val="0"/>
      <w:divBdr>
        <w:top w:val="none" w:sz="0" w:space="0" w:color="auto"/>
        <w:left w:val="none" w:sz="0" w:space="0" w:color="auto"/>
        <w:bottom w:val="none" w:sz="0" w:space="0" w:color="auto"/>
        <w:right w:val="none" w:sz="0" w:space="0" w:color="auto"/>
      </w:divBdr>
    </w:div>
    <w:div w:id="875461036">
      <w:bodyDiv w:val="1"/>
      <w:marLeft w:val="0"/>
      <w:marRight w:val="0"/>
      <w:marTop w:val="0"/>
      <w:marBottom w:val="0"/>
      <w:divBdr>
        <w:top w:val="none" w:sz="0" w:space="0" w:color="auto"/>
        <w:left w:val="none" w:sz="0" w:space="0" w:color="auto"/>
        <w:bottom w:val="none" w:sz="0" w:space="0" w:color="auto"/>
        <w:right w:val="none" w:sz="0" w:space="0" w:color="auto"/>
      </w:divBdr>
    </w:div>
    <w:div w:id="875895457">
      <w:bodyDiv w:val="1"/>
      <w:marLeft w:val="0"/>
      <w:marRight w:val="0"/>
      <w:marTop w:val="0"/>
      <w:marBottom w:val="0"/>
      <w:divBdr>
        <w:top w:val="none" w:sz="0" w:space="0" w:color="auto"/>
        <w:left w:val="none" w:sz="0" w:space="0" w:color="auto"/>
        <w:bottom w:val="none" w:sz="0" w:space="0" w:color="auto"/>
        <w:right w:val="none" w:sz="0" w:space="0" w:color="auto"/>
      </w:divBdr>
    </w:div>
    <w:div w:id="878470789">
      <w:bodyDiv w:val="1"/>
      <w:marLeft w:val="0"/>
      <w:marRight w:val="0"/>
      <w:marTop w:val="0"/>
      <w:marBottom w:val="0"/>
      <w:divBdr>
        <w:top w:val="none" w:sz="0" w:space="0" w:color="auto"/>
        <w:left w:val="none" w:sz="0" w:space="0" w:color="auto"/>
        <w:bottom w:val="none" w:sz="0" w:space="0" w:color="auto"/>
        <w:right w:val="none" w:sz="0" w:space="0" w:color="auto"/>
      </w:divBdr>
    </w:div>
    <w:div w:id="880365877">
      <w:bodyDiv w:val="1"/>
      <w:marLeft w:val="0"/>
      <w:marRight w:val="0"/>
      <w:marTop w:val="0"/>
      <w:marBottom w:val="0"/>
      <w:divBdr>
        <w:top w:val="none" w:sz="0" w:space="0" w:color="auto"/>
        <w:left w:val="none" w:sz="0" w:space="0" w:color="auto"/>
        <w:bottom w:val="none" w:sz="0" w:space="0" w:color="auto"/>
        <w:right w:val="none" w:sz="0" w:space="0" w:color="auto"/>
      </w:divBdr>
    </w:div>
    <w:div w:id="881669025">
      <w:bodyDiv w:val="1"/>
      <w:marLeft w:val="0"/>
      <w:marRight w:val="0"/>
      <w:marTop w:val="0"/>
      <w:marBottom w:val="0"/>
      <w:divBdr>
        <w:top w:val="none" w:sz="0" w:space="0" w:color="auto"/>
        <w:left w:val="none" w:sz="0" w:space="0" w:color="auto"/>
        <w:bottom w:val="none" w:sz="0" w:space="0" w:color="auto"/>
        <w:right w:val="none" w:sz="0" w:space="0" w:color="auto"/>
      </w:divBdr>
    </w:div>
    <w:div w:id="882180174">
      <w:bodyDiv w:val="1"/>
      <w:marLeft w:val="0"/>
      <w:marRight w:val="0"/>
      <w:marTop w:val="0"/>
      <w:marBottom w:val="0"/>
      <w:divBdr>
        <w:top w:val="none" w:sz="0" w:space="0" w:color="auto"/>
        <w:left w:val="none" w:sz="0" w:space="0" w:color="auto"/>
        <w:bottom w:val="none" w:sz="0" w:space="0" w:color="auto"/>
        <w:right w:val="none" w:sz="0" w:space="0" w:color="auto"/>
      </w:divBdr>
    </w:div>
    <w:div w:id="883099410">
      <w:bodyDiv w:val="1"/>
      <w:marLeft w:val="0"/>
      <w:marRight w:val="0"/>
      <w:marTop w:val="0"/>
      <w:marBottom w:val="0"/>
      <w:divBdr>
        <w:top w:val="none" w:sz="0" w:space="0" w:color="auto"/>
        <w:left w:val="none" w:sz="0" w:space="0" w:color="auto"/>
        <w:bottom w:val="none" w:sz="0" w:space="0" w:color="auto"/>
        <w:right w:val="none" w:sz="0" w:space="0" w:color="auto"/>
      </w:divBdr>
    </w:div>
    <w:div w:id="885340085">
      <w:bodyDiv w:val="1"/>
      <w:marLeft w:val="0"/>
      <w:marRight w:val="0"/>
      <w:marTop w:val="0"/>
      <w:marBottom w:val="0"/>
      <w:divBdr>
        <w:top w:val="none" w:sz="0" w:space="0" w:color="auto"/>
        <w:left w:val="none" w:sz="0" w:space="0" w:color="auto"/>
        <w:bottom w:val="none" w:sz="0" w:space="0" w:color="auto"/>
        <w:right w:val="none" w:sz="0" w:space="0" w:color="auto"/>
      </w:divBdr>
    </w:div>
    <w:div w:id="888345515">
      <w:bodyDiv w:val="1"/>
      <w:marLeft w:val="0"/>
      <w:marRight w:val="0"/>
      <w:marTop w:val="0"/>
      <w:marBottom w:val="0"/>
      <w:divBdr>
        <w:top w:val="none" w:sz="0" w:space="0" w:color="auto"/>
        <w:left w:val="none" w:sz="0" w:space="0" w:color="auto"/>
        <w:bottom w:val="none" w:sz="0" w:space="0" w:color="auto"/>
        <w:right w:val="none" w:sz="0" w:space="0" w:color="auto"/>
      </w:divBdr>
    </w:div>
    <w:div w:id="890846348">
      <w:bodyDiv w:val="1"/>
      <w:marLeft w:val="0"/>
      <w:marRight w:val="0"/>
      <w:marTop w:val="0"/>
      <w:marBottom w:val="0"/>
      <w:divBdr>
        <w:top w:val="none" w:sz="0" w:space="0" w:color="auto"/>
        <w:left w:val="none" w:sz="0" w:space="0" w:color="auto"/>
        <w:bottom w:val="none" w:sz="0" w:space="0" w:color="auto"/>
        <w:right w:val="none" w:sz="0" w:space="0" w:color="auto"/>
      </w:divBdr>
    </w:div>
    <w:div w:id="893003924">
      <w:bodyDiv w:val="1"/>
      <w:marLeft w:val="0"/>
      <w:marRight w:val="0"/>
      <w:marTop w:val="0"/>
      <w:marBottom w:val="0"/>
      <w:divBdr>
        <w:top w:val="none" w:sz="0" w:space="0" w:color="auto"/>
        <w:left w:val="none" w:sz="0" w:space="0" w:color="auto"/>
        <w:bottom w:val="none" w:sz="0" w:space="0" w:color="auto"/>
        <w:right w:val="none" w:sz="0" w:space="0" w:color="auto"/>
      </w:divBdr>
    </w:div>
    <w:div w:id="895354933">
      <w:bodyDiv w:val="1"/>
      <w:marLeft w:val="0"/>
      <w:marRight w:val="0"/>
      <w:marTop w:val="0"/>
      <w:marBottom w:val="0"/>
      <w:divBdr>
        <w:top w:val="none" w:sz="0" w:space="0" w:color="auto"/>
        <w:left w:val="none" w:sz="0" w:space="0" w:color="auto"/>
        <w:bottom w:val="none" w:sz="0" w:space="0" w:color="auto"/>
        <w:right w:val="none" w:sz="0" w:space="0" w:color="auto"/>
      </w:divBdr>
    </w:div>
    <w:div w:id="896359737">
      <w:bodyDiv w:val="1"/>
      <w:marLeft w:val="0"/>
      <w:marRight w:val="0"/>
      <w:marTop w:val="0"/>
      <w:marBottom w:val="0"/>
      <w:divBdr>
        <w:top w:val="none" w:sz="0" w:space="0" w:color="auto"/>
        <w:left w:val="none" w:sz="0" w:space="0" w:color="auto"/>
        <w:bottom w:val="none" w:sz="0" w:space="0" w:color="auto"/>
        <w:right w:val="none" w:sz="0" w:space="0" w:color="auto"/>
      </w:divBdr>
    </w:div>
    <w:div w:id="897547144">
      <w:bodyDiv w:val="1"/>
      <w:marLeft w:val="0"/>
      <w:marRight w:val="0"/>
      <w:marTop w:val="0"/>
      <w:marBottom w:val="0"/>
      <w:divBdr>
        <w:top w:val="none" w:sz="0" w:space="0" w:color="auto"/>
        <w:left w:val="none" w:sz="0" w:space="0" w:color="auto"/>
        <w:bottom w:val="none" w:sz="0" w:space="0" w:color="auto"/>
        <w:right w:val="none" w:sz="0" w:space="0" w:color="auto"/>
      </w:divBdr>
    </w:div>
    <w:div w:id="902569650">
      <w:bodyDiv w:val="1"/>
      <w:marLeft w:val="0"/>
      <w:marRight w:val="0"/>
      <w:marTop w:val="0"/>
      <w:marBottom w:val="0"/>
      <w:divBdr>
        <w:top w:val="none" w:sz="0" w:space="0" w:color="auto"/>
        <w:left w:val="none" w:sz="0" w:space="0" w:color="auto"/>
        <w:bottom w:val="none" w:sz="0" w:space="0" w:color="auto"/>
        <w:right w:val="none" w:sz="0" w:space="0" w:color="auto"/>
      </w:divBdr>
    </w:div>
    <w:div w:id="902833998">
      <w:bodyDiv w:val="1"/>
      <w:marLeft w:val="0"/>
      <w:marRight w:val="0"/>
      <w:marTop w:val="0"/>
      <w:marBottom w:val="0"/>
      <w:divBdr>
        <w:top w:val="none" w:sz="0" w:space="0" w:color="auto"/>
        <w:left w:val="none" w:sz="0" w:space="0" w:color="auto"/>
        <w:bottom w:val="none" w:sz="0" w:space="0" w:color="auto"/>
        <w:right w:val="none" w:sz="0" w:space="0" w:color="auto"/>
      </w:divBdr>
    </w:div>
    <w:div w:id="905649111">
      <w:bodyDiv w:val="1"/>
      <w:marLeft w:val="0"/>
      <w:marRight w:val="0"/>
      <w:marTop w:val="0"/>
      <w:marBottom w:val="0"/>
      <w:divBdr>
        <w:top w:val="none" w:sz="0" w:space="0" w:color="auto"/>
        <w:left w:val="none" w:sz="0" w:space="0" w:color="auto"/>
        <w:bottom w:val="none" w:sz="0" w:space="0" w:color="auto"/>
        <w:right w:val="none" w:sz="0" w:space="0" w:color="auto"/>
      </w:divBdr>
    </w:div>
    <w:div w:id="905871051">
      <w:bodyDiv w:val="1"/>
      <w:marLeft w:val="0"/>
      <w:marRight w:val="0"/>
      <w:marTop w:val="0"/>
      <w:marBottom w:val="0"/>
      <w:divBdr>
        <w:top w:val="none" w:sz="0" w:space="0" w:color="auto"/>
        <w:left w:val="none" w:sz="0" w:space="0" w:color="auto"/>
        <w:bottom w:val="none" w:sz="0" w:space="0" w:color="auto"/>
        <w:right w:val="none" w:sz="0" w:space="0" w:color="auto"/>
      </w:divBdr>
    </w:div>
    <w:div w:id="911937539">
      <w:bodyDiv w:val="1"/>
      <w:marLeft w:val="0"/>
      <w:marRight w:val="0"/>
      <w:marTop w:val="0"/>
      <w:marBottom w:val="0"/>
      <w:divBdr>
        <w:top w:val="none" w:sz="0" w:space="0" w:color="auto"/>
        <w:left w:val="none" w:sz="0" w:space="0" w:color="auto"/>
        <w:bottom w:val="none" w:sz="0" w:space="0" w:color="auto"/>
        <w:right w:val="none" w:sz="0" w:space="0" w:color="auto"/>
      </w:divBdr>
    </w:div>
    <w:div w:id="912005002">
      <w:bodyDiv w:val="1"/>
      <w:marLeft w:val="0"/>
      <w:marRight w:val="0"/>
      <w:marTop w:val="0"/>
      <w:marBottom w:val="0"/>
      <w:divBdr>
        <w:top w:val="none" w:sz="0" w:space="0" w:color="auto"/>
        <w:left w:val="none" w:sz="0" w:space="0" w:color="auto"/>
        <w:bottom w:val="none" w:sz="0" w:space="0" w:color="auto"/>
        <w:right w:val="none" w:sz="0" w:space="0" w:color="auto"/>
      </w:divBdr>
    </w:div>
    <w:div w:id="914121411">
      <w:bodyDiv w:val="1"/>
      <w:marLeft w:val="0"/>
      <w:marRight w:val="0"/>
      <w:marTop w:val="0"/>
      <w:marBottom w:val="0"/>
      <w:divBdr>
        <w:top w:val="none" w:sz="0" w:space="0" w:color="auto"/>
        <w:left w:val="none" w:sz="0" w:space="0" w:color="auto"/>
        <w:bottom w:val="none" w:sz="0" w:space="0" w:color="auto"/>
        <w:right w:val="none" w:sz="0" w:space="0" w:color="auto"/>
      </w:divBdr>
    </w:div>
    <w:div w:id="914894328">
      <w:bodyDiv w:val="1"/>
      <w:marLeft w:val="0"/>
      <w:marRight w:val="0"/>
      <w:marTop w:val="0"/>
      <w:marBottom w:val="0"/>
      <w:divBdr>
        <w:top w:val="none" w:sz="0" w:space="0" w:color="auto"/>
        <w:left w:val="none" w:sz="0" w:space="0" w:color="auto"/>
        <w:bottom w:val="none" w:sz="0" w:space="0" w:color="auto"/>
        <w:right w:val="none" w:sz="0" w:space="0" w:color="auto"/>
      </w:divBdr>
    </w:div>
    <w:div w:id="919363775">
      <w:bodyDiv w:val="1"/>
      <w:marLeft w:val="0"/>
      <w:marRight w:val="0"/>
      <w:marTop w:val="0"/>
      <w:marBottom w:val="0"/>
      <w:divBdr>
        <w:top w:val="none" w:sz="0" w:space="0" w:color="auto"/>
        <w:left w:val="none" w:sz="0" w:space="0" w:color="auto"/>
        <w:bottom w:val="none" w:sz="0" w:space="0" w:color="auto"/>
        <w:right w:val="none" w:sz="0" w:space="0" w:color="auto"/>
      </w:divBdr>
      <w:divsChild>
        <w:div w:id="11304762">
          <w:marLeft w:val="0"/>
          <w:marRight w:val="0"/>
          <w:marTop w:val="0"/>
          <w:marBottom w:val="0"/>
          <w:divBdr>
            <w:top w:val="none" w:sz="0" w:space="0" w:color="auto"/>
            <w:left w:val="none" w:sz="0" w:space="0" w:color="auto"/>
            <w:bottom w:val="none" w:sz="0" w:space="0" w:color="auto"/>
            <w:right w:val="none" w:sz="0" w:space="0" w:color="auto"/>
          </w:divBdr>
        </w:div>
        <w:div w:id="93677554">
          <w:marLeft w:val="0"/>
          <w:marRight w:val="0"/>
          <w:marTop w:val="0"/>
          <w:marBottom w:val="0"/>
          <w:divBdr>
            <w:top w:val="none" w:sz="0" w:space="0" w:color="auto"/>
            <w:left w:val="none" w:sz="0" w:space="0" w:color="auto"/>
            <w:bottom w:val="none" w:sz="0" w:space="0" w:color="auto"/>
            <w:right w:val="none" w:sz="0" w:space="0" w:color="auto"/>
          </w:divBdr>
        </w:div>
        <w:div w:id="894194936">
          <w:marLeft w:val="0"/>
          <w:marRight w:val="0"/>
          <w:marTop w:val="0"/>
          <w:marBottom w:val="0"/>
          <w:divBdr>
            <w:top w:val="none" w:sz="0" w:space="0" w:color="auto"/>
            <w:left w:val="none" w:sz="0" w:space="0" w:color="auto"/>
            <w:bottom w:val="none" w:sz="0" w:space="0" w:color="auto"/>
            <w:right w:val="none" w:sz="0" w:space="0" w:color="auto"/>
          </w:divBdr>
        </w:div>
        <w:div w:id="923607302">
          <w:marLeft w:val="0"/>
          <w:marRight w:val="0"/>
          <w:marTop w:val="0"/>
          <w:marBottom w:val="0"/>
          <w:divBdr>
            <w:top w:val="none" w:sz="0" w:space="0" w:color="auto"/>
            <w:left w:val="none" w:sz="0" w:space="0" w:color="auto"/>
            <w:bottom w:val="none" w:sz="0" w:space="0" w:color="auto"/>
            <w:right w:val="none" w:sz="0" w:space="0" w:color="auto"/>
          </w:divBdr>
        </w:div>
        <w:div w:id="1258438912">
          <w:marLeft w:val="0"/>
          <w:marRight w:val="0"/>
          <w:marTop w:val="0"/>
          <w:marBottom w:val="0"/>
          <w:divBdr>
            <w:top w:val="none" w:sz="0" w:space="0" w:color="auto"/>
            <w:left w:val="none" w:sz="0" w:space="0" w:color="auto"/>
            <w:bottom w:val="none" w:sz="0" w:space="0" w:color="auto"/>
            <w:right w:val="none" w:sz="0" w:space="0" w:color="auto"/>
          </w:divBdr>
        </w:div>
        <w:div w:id="1300500541">
          <w:marLeft w:val="0"/>
          <w:marRight w:val="0"/>
          <w:marTop w:val="0"/>
          <w:marBottom w:val="0"/>
          <w:divBdr>
            <w:top w:val="none" w:sz="0" w:space="0" w:color="auto"/>
            <w:left w:val="none" w:sz="0" w:space="0" w:color="auto"/>
            <w:bottom w:val="none" w:sz="0" w:space="0" w:color="auto"/>
            <w:right w:val="none" w:sz="0" w:space="0" w:color="auto"/>
          </w:divBdr>
        </w:div>
        <w:div w:id="1611887672">
          <w:marLeft w:val="0"/>
          <w:marRight w:val="0"/>
          <w:marTop w:val="0"/>
          <w:marBottom w:val="0"/>
          <w:divBdr>
            <w:top w:val="none" w:sz="0" w:space="0" w:color="auto"/>
            <w:left w:val="none" w:sz="0" w:space="0" w:color="auto"/>
            <w:bottom w:val="none" w:sz="0" w:space="0" w:color="auto"/>
            <w:right w:val="none" w:sz="0" w:space="0" w:color="auto"/>
          </w:divBdr>
        </w:div>
        <w:div w:id="1787307192">
          <w:marLeft w:val="0"/>
          <w:marRight w:val="0"/>
          <w:marTop w:val="0"/>
          <w:marBottom w:val="0"/>
          <w:divBdr>
            <w:top w:val="none" w:sz="0" w:space="0" w:color="auto"/>
            <w:left w:val="none" w:sz="0" w:space="0" w:color="auto"/>
            <w:bottom w:val="none" w:sz="0" w:space="0" w:color="auto"/>
            <w:right w:val="none" w:sz="0" w:space="0" w:color="auto"/>
          </w:divBdr>
        </w:div>
        <w:div w:id="2124840868">
          <w:marLeft w:val="0"/>
          <w:marRight w:val="0"/>
          <w:marTop w:val="0"/>
          <w:marBottom w:val="0"/>
          <w:divBdr>
            <w:top w:val="none" w:sz="0" w:space="0" w:color="auto"/>
            <w:left w:val="none" w:sz="0" w:space="0" w:color="auto"/>
            <w:bottom w:val="none" w:sz="0" w:space="0" w:color="auto"/>
            <w:right w:val="none" w:sz="0" w:space="0" w:color="auto"/>
          </w:divBdr>
        </w:div>
      </w:divsChild>
    </w:div>
    <w:div w:id="920019246">
      <w:bodyDiv w:val="1"/>
      <w:marLeft w:val="0"/>
      <w:marRight w:val="0"/>
      <w:marTop w:val="0"/>
      <w:marBottom w:val="0"/>
      <w:divBdr>
        <w:top w:val="none" w:sz="0" w:space="0" w:color="auto"/>
        <w:left w:val="none" w:sz="0" w:space="0" w:color="auto"/>
        <w:bottom w:val="none" w:sz="0" w:space="0" w:color="auto"/>
        <w:right w:val="none" w:sz="0" w:space="0" w:color="auto"/>
      </w:divBdr>
    </w:div>
    <w:div w:id="924455968">
      <w:bodyDiv w:val="1"/>
      <w:marLeft w:val="0"/>
      <w:marRight w:val="0"/>
      <w:marTop w:val="0"/>
      <w:marBottom w:val="0"/>
      <w:divBdr>
        <w:top w:val="none" w:sz="0" w:space="0" w:color="auto"/>
        <w:left w:val="none" w:sz="0" w:space="0" w:color="auto"/>
        <w:bottom w:val="none" w:sz="0" w:space="0" w:color="auto"/>
        <w:right w:val="none" w:sz="0" w:space="0" w:color="auto"/>
      </w:divBdr>
    </w:div>
    <w:div w:id="925042760">
      <w:bodyDiv w:val="1"/>
      <w:marLeft w:val="0"/>
      <w:marRight w:val="0"/>
      <w:marTop w:val="0"/>
      <w:marBottom w:val="0"/>
      <w:divBdr>
        <w:top w:val="none" w:sz="0" w:space="0" w:color="auto"/>
        <w:left w:val="none" w:sz="0" w:space="0" w:color="auto"/>
        <w:bottom w:val="none" w:sz="0" w:space="0" w:color="auto"/>
        <w:right w:val="none" w:sz="0" w:space="0" w:color="auto"/>
      </w:divBdr>
    </w:div>
    <w:div w:id="925846577">
      <w:bodyDiv w:val="1"/>
      <w:marLeft w:val="0"/>
      <w:marRight w:val="0"/>
      <w:marTop w:val="0"/>
      <w:marBottom w:val="0"/>
      <w:divBdr>
        <w:top w:val="none" w:sz="0" w:space="0" w:color="auto"/>
        <w:left w:val="none" w:sz="0" w:space="0" w:color="auto"/>
        <w:bottom w:val="none" w:sz="0" w:space="0" w:color="auto"/>
        <w:right w:val="none" w:sz="0" w:space="0" w:color="auto"/>
      </w:divBdr>
    </w:div>
    <w:div w:id="927083961">
      <w:bodyDiv w:val="1"/>
      <w:marLeft w:val="0"/>
      <w:marRight w:val="0"/>
      <w:marTop w:val="0"/>
      <w:marBottom w:val="0"/>
      <w:divBdr>
        <w:top w:val="none" w:sz="0" w:space="0" w:color="auto"/>
        <w:left w:val="none" w:sz="0" w:space="0" w:color="auto"/>
        <w:bottom w:val="none" w:sz="0" w:space="0" w:color="auto"/>
        <w:right w:val="none" w:sz="0" w:space="0" w:color="auto"/>
      </w:divBdr>
    </w:div>
    <w:div w:id="928393330">
      <w:bodyDiv w:val="1"/>
      <w:marLeft w:val="0"/>
      <w:marRight w:val="0"/>
      <w:marTop w:val="0"/>
      <w:marBottom w:val="0"/>
      <w:divBdr>
        <w:top w:val="none" w:sz="0" w:space="0" w:color="auto"/>
        <w:left w:val="none" w:sz="0" w:space="0" w:color="auto"/>
        <w:bottom w:val="none" w:sz="0" w:space="0" w:color="auto"/>
        <w:right w:val="none" w:sz="0" w:space="0" w:color="auto"/>
      </w:divBdr>
    </w:div>
    <w:div w:id="930773755">
      <w:bodyDiv w:val="1"/>
      <w:marLeft w:val="0"/>
      <w:marRight w:val="0"/>
      <w:marTop w:val="0"/>
      <w:marBottom w:val="0"/>
      <w:divBdr>
        <w:top w:val="none" w:sz="0" w:space="0" w:color="auto"/>
        <w:left w:val="none" w:sz="0" w:space="0" w:color="auto"/>
        <w:bottom w:val="none" w:sz="0" w:space="0" w:color="auto"/>
        <w:right w:val="none" w:sz="0" w:space="0" w:color="auto"/>
      </w:divBdr>
    </w:div>
    <w:div w:id="933517983">
      <w:bodyDiv w:val="1"/>
      <w:marLeft w:val="0"/>
      <w:marRight w:val="0"/>
      <w:marTop w:val="0"/>
      <w:marBottom w:val="0"/>
      <w:divBdr>
        <w:top w:val="none" w:sz="0" w:space="0" w:color="auto"/>
        <w:left w:val="none" w:sz="0" w:space="0" w:color="auto"/>
        <w:bottom w:val="none" w:sz="0" w:space="0" w:color="auto"/>
        <w:right w:val="none" w:sz="0" w:space="0" w:color="auto"/>
      </w:divBdr>
    </w:div>
    <w:div w:id="937100030">
      <w:bodyDiv w:val="1"/>
      <w:marLeft w:val="0"/>
      <w:marRight w:val="0"/>
      <w:marTop w:val="0"/>
      <w:marBottom w:val="0"/>
      <w:divBdr>
        <w:top w:val="none" w:sz="0" w:space="0" w:color="auto"/>
        <w:left w:val="none" w:sz="0" w:space="0" w:color="auto"/>
        <w:bottom w:val="none" w:sz="0" w:space="0" w:color="auto"/>
        <w:right w:val="none" w:sz="0" w:space="0" w:color="auto"/>
      </w:divBdr>
    </w:div>
    <w:div w:id="939795713">
      <w:bodyDiv w:val="1"/>
      <w:marLeft w:val="0"/>
      <w:marRight w:val="0"/>
      <w:marTop w:val="0"/>
      <w:marBottom w:val="0"/>
      <w:divBdr>
        <w:top w:val="none" w:sz="0" w:space="0" w:color="auto"/>
        <w:left w:val="none" w:sz="0" w:space="0" w:color="auto"/>
        <w:bottom w:val="none" w:sz="0" w:space="0" w:color="auto"/>
        <w:right w:val="none" w:sz="0" w:space="0" w:color="auto"/>
      </w:divBdr>
    </w:div>
    <w:div w:id="941693852">
      <w:bodyDiv w:val="1"/>
      <w:marLeft w:val="0"/>
      <w:marRight w:val="0"/>
      <w:marTop w:val="0"/>
      <w:marBottom w:val="0"/>
      <w:divBdr>
        <w:top w:val="none" w:sz="0" w:space="0" w:color="auto"/>
        <w:left w:val="none" w:sz="0" w:space="0" w:color="auto"/>
        <w:bottom w:val="none" w:sz="0" w:space="0" w:color="auto"/>
        <w:right w:val="none" w:sz="0" w:space="0" w:color="auto"/>
      </w:divBdr>
    </w:div>
    <w:div w:id="944382496">
      <w:bodyDiv w:val="1"/>
      <w:marLeft w:val="0"/>
      <w:marRight w:val="0"/>
      <w:marTop w:val="0"/>
      <w:marBottom w:val="0"/>
      <w:divBdr>
        <w:top w:val="none" w:sz="0" w:space="0" w:color="auto"/>
        <w:left w:val="none" w:sz="0" w:space="0" w:color="auto"/>
        <w:bottom w:val="none" w:sz="0" w:space="0" w:color="auto"/>
        <w:right w:val="none" w:sz="0" w:space="0" w:color="auto"/>
      </w:divBdr>
    </w:div>
    <w:div w:id="945044258">
      <w:bodyDiv w:val="1"/>
      <w:marLeft w:val="0"/>
      <w:marRight w:val="0"/>
      <w:marTop w:val="0"/>
      <w:marBottom w:val="0"/>
      <w:divBdr>
        <w:top w:val="none" w:sz="0" w:space="0" w:color="auto"/>
        <w:left w:val="none" w:sz="0" w:space="0" w:color="auto"/>
        <w:bottom w:val="none" w:sz="0" w:space="0" w:color="auto"/>
        <w:right w:val="none" w:sz="0" w:space="0" w:color="auto"/>
      </w:divBdr>
    </w:div>
    <w:div w:id="945889160">
      <w:bodyDiv w:val="1"/>
      <w:marLeft w:val="0"/>
      <w:marRight w:val="0"/>
      <w:marTop w:val="0"/>
      <w:marBottom w:val="0"/>
      <w:divBdr>
        <w:top w:val="none" w:sz="0" w:space="0" w:color="auto"/>
        <w:left w:val="none" w:sz="0" w:space="0" w:color="auto"/>
        <w:bottom w:val="none" w:sz="0" w:space="0" w:color="auto"/>
        <w:right w:val="none" w:sz="0" w:space="0" w:color="auto"/>
      </w:divBdr>
    </w:div>
    <w:div w:id="946352256">
      <w:bodyDiv w:val="1"/>
      <w:marLeft w:val="0"/>
      <w:marRight w:val="0"/>
      <w:marTop w:val="0"/>
      <w:marBottom w:val="0"/>
      <w:divBdr>
        <w:top w:val="none" w:sz="0" w:space="0" w:color="auto"/>
        <w:left w:val="none" w:sz="0" w:space="0" w:color="auto"/>
        <w:bottom w:val="none" w:sz="0" w:space="0" w:color="auto"/>
        <w:right w:val="none" w:sz="0" w:space="0" w:color="auto"/>
      </w:divBdr>
    </w:div>
    <w:div w:id="949513640">
      <w:bodyDiv w:val="1"/>
      <w:marLeft w:val="0"/>
      <w:marRight w:val="0"/>
      <w:marTop w:val="0"/>
      <w:marBottom w:val="0"/>
      <w:divBdr>
        <w:top w:val="none" w:sz="0" w:space="0" w:color="auto"/>
        <w:left w:val="none" w:sz="0" w:space="0" w:color="auto"/>
        <w:bottom w:val="none" w:sz="0" w:space="0" w:color="auto"/>
        <w:right w:val="none" w:sz="0" w:space="0" w:color="auto"/>
      </w:divBdr>
    </w:div>
    <w:div w:id="950285570">
      <w:bodyDiv w:val="1"/>
      <w:marLeft w:val="0"/>
      <w:marRight w:val="0"/>
      <w:marTop w:val="0"/>
      <w:marBottom w:val="0"/>
      <w:divBdr>
        <w:top w:val="none" w:sz="0" w:space="0" w:color="auto"/>
        <w:left w:val="none" w:sz="0" w:space="0" w:color="auto"/>
        <w:bottom w:val="none" w:sz="0" w:space="0" w:color="auto"/>
        <w:right w:val="none" w:sz="0" w:space="0" w:color="auto"/>
      </w:divBdr>
    </w:div>
    <w:div w:id="953286800">
      <w:bodyDiv w:val="1"/>
      <w:marLeft w:val="0"/>
      <w:marRight w:val="0"/>
      <w:marTop w:val="0"/>
      <w:marBottom w:val="0"/>
      <w:divBdr>
        <w:top w:val="none" w:sz="0" w:space="0" w:color="auto"/>
        <w:left w:val="none" w:sz="0" w:space="0" w:color="auto"/>
        <w:bottom w:val="none" w:sz="0" w:space="0" w:color="auto"/>
        <w:right w:val="none" w:sz="0" w:space="0" w:color="auto"/>
      </w:divBdr>
    </w:div>
    <w:div w:id="953554421">
      <w:bodyDiv w:val="1"/>
      <w:marLeft w:val="0"/>
      <w:marRight w:val="0"/>
      <w:marTop w:val="0"/>
      <w:marBottom w:val="0"/>
      <w:divBdr>
        <w:top w:val="none" w:sz="0" w:space="0" w:color="auto"/>
        <w:left w:val="none" w:sz="0" w:space="0" w:color="auto"/>
        <w:bottom w:val="none" w:sz="0" w:space="0" w:color="auto"/>
        <w:right w:val="none" w:sz="0" w:space="0" w:color="auto"/>
      </w:divBdr>
    </w:div>
    <w:div w:id="953827573">
      <w:bodyDiv w:val="1"/>
      <w:marLeft w:val="0"/>
      <w:marRight w:val="0"/>
      <w:marTop w:val="0"/>
      <w:marBottom w:val="0"/>
      <w:divBdr>
        <w:top w:val="none" w:sz="0" w:space="0" w:color="auto"/>
        <w:left w:val="none" w:sz="0" w:space="0" w:color="auto"/>
        <w:bottom w:val="none" w:sz="0" w:space="0" w:color="auto"/>
        <w:right w:val="none" w:sz="0" w:space="0" w:color="auto"/>
      </w:divBdr>
    </w:div>
    <w:div w:id="954016913">
      <w:bodyDiv w:val="1"/>
      <w:marLeft w:val="0"/>
      <w:marRight w:val="0"/>
      <w:marTop w:val="0"/>
      <w:marBottom w:val="0"/>
      <w:divBdr>
        <w:top w:val="none" w:sz="0" w:space="0" w:color="auto"/>
        <w:left w:val="none" w:sz="0" w:space="0" w:color="auto"/>
        <w:bottom w:val="none" w:sz="0" w:space="0" w:color="auto"/>
        <w:right w:val="none" w:sz="0" w:space="0" w:color="auto"/>
      </w:divBdr>
    </w:div>
    <w:div w:id="956915472">
      <w:bodyDiv w:val="1"/>
      <w:marLeft w:val="0"/>
      <w:marRight w:val="0"/>
      <w:marTop w:val="0"/>
      <w:marBottom w:val="0"/>
      <w:divBdr>
        <w:top w:val="none" w:sz="0" w:space="0" w:color="auto"/>
        <w:left w:val="none" w:sz="0" w:space="0" w:color="auto"/>
        <w:bottom w:val="none" w:sz="0" w:space="0" w:color="auto"/>
        <w:right w:val="none" w:sz="0" w:space="0" w:color="auto"/>
      </w:divBdr>
    </w:div>
    <w:div w:id="960577966">
      <w:bodyDiv w:val="1"/>
      <w:marLeft w:val="0"/>
      <w:marRight w:val="0"/>
      <w:marTop w:val="0"/>
      <w:marBottom w:val="0"/>
      <w:divBdr>
        <w:top w:val="none" w:sz="0" w:space="0" w:color="auto"/>
        <w:left w:val="none" w:sz="0" w:space="0" w:color="auto"/>
        <w:bottom w:val="none" w:sz="0" w:space="0" w:color="auto"/>
        <w:right w:val="none" w:sz="0" w:space="0" w:color="auto"/>
      </w:divBdr>
    </w:div>
    <w:div w:id="960840578">
      <w:bodyDiv w:val="1"/>
      <w:marLeft w:val="0"/>
      <w:marRight w:val="0"/>
      <w:marTop w:val="0"/>
      <w:marBottom w:val="0"/>
      <w:divBdr>
        <w:top w:val="none" w:sz="0" w:space="0" w:color="auto"/>
        <w:left w:val="none" w:sz="0" w:space="0" w:color="auto"/>
        <w:bottom w:val="none" w:sz="0" w:space="0" w:color="auto"/>
        <w:right w:val="none" w:sz="0" w:space="0" w:color="auto"/>
      </w:divBdr>
    </w:div>
    <w:div w:id="961426515">
      <w:bodyDiv w:val="1"/>
      <w:marLeft w:val="0"/>
      <w:marRight w:val="0"/>
      <w:marTop w:val="0"/>
      <w:marBottom w:val="0"/>
      <w:divBdr>
        <w:top w:val="none" w:sz="0" w:space="0" w:color="auto"/>
        <w:left w:val="none" w:sz="0" w:space="0" w:color="auto"/>
        <w:bottom w:val="none" w:sz="0" w:space="0" w:color="auto"/>
        <w:right w:val="none" w:sz="0" w:space="0" w:color="auto"/>
      </w:divBdr>
    </w:div>
    <w:div w:id="962735090">
      <w:bodyDiv w:val="1"/>
      <w:marLeft w:val="0"/>
      <w:marRight w:val="0"/>
      <w:marTop w:val="0"/>
      <w:marBottom w:val="0"/>
      <w:divBdr>
        <w:top w:val="none" w:sz="0" w:space="0" w:color="auto"/>
        <w:left w:val="none" w:sz="0" w:space="0" w:color="auto"/>
        <w:bottom w:val="none" w:sz="0" w:space="0" w:color="auto"/>
        <w:right w:val="none" w:sz="0" w:space="0" w:color="auto"/>
      </w:divBdr>
    </w:div>
    <w:div w:id="963925695">
      <w:bodyDiv w:val="1"/>
      <w:marLeft w:val="0"/>
      <w:marRight w:val="0"/>
      <w:marTop w:val="0"/>
      <w:marBottom w:val="0"/>
      <w:divBdr>
        <w:top w:val="none" w:sz="0" w:space="0" w:color="auto"/>
        <w:left w:val="none" w:sz="0" w:space="0" w:color="auto"/>
        <w:bottom w:val="none" w:sz="0" w:space="0" w:color="auto"/>
        <w:right w:val="none" w:sz="0" w:space="0" w:color="auto"/>
      </w:divBdr>
    </w:div>
    <w:div w:id="964584528">
      <w:bodyDiv w:val="1"/>
      <w:marLeft w:val="0"/>
      <w:marRight w:val="0"/>
      <w:marTop w:val="0"/>
      <w:marBottom w:val="0"/>
      <w:divBdr>
        <w:top w:val="none" w:sz="0" w:space="0" w:color="auto"/>
        <w:left w:val="none" w:sz="0" w:space="0" w:color="auto"/>
        <w:bottom w:val="none" w:sz="0" w:space="0" w:color="auto"/>
        <w:right w:val="none" w:sz="0" w:space="0" w:color="auto"/>
      </w:divBdr>
    </w:div>
    <w:div w:id="970474532">
      <w:bodyDiv w:val="1"/>
      <w:marLeft w:val="0"/>
      <w:marRight w:val="0"/>
      <w:marTop w:val="0"/>
      <w:marBottom w:val="0"/>
      <w:divBdr>
        <w:top w:val="none" w:sz="0" w:space="0" w:color="auto"/>
        <w:left w:val="none" w:sz="0" w:space="0" w:color="auto"/>
        <w:bottom w:val="none" w:sz="0" w:space="0" w:color="auto"/>
        <w:right w:val="none" w:sz="0" w:space="0" w:color="auto"/>
      </w:divBdr>
    </w:div>
    <w:div w:id="971406112">
      <w:bodyDiv w:val="1"/>
      <w:marLeft w:val="0"/>
      <w:marRight w:val="0"/>
      <w:marTop w:val="0"/>
      <w:marBottom w:val="0"/>
      <w:divBdr>
        <w:top w:val="none" w:sz="0" w:space="0" w:color="auto"/>
        <w:left w:val="none" w:sz="0" w:space="0" w:color="auto"/>
        <w:bottom w:val="none" w:sz="0" w:space="0" w:color="auto"/>
        <w:right w:val="none" w:sz="0" w:space="0" w:color="auto"/>
      </w:divBdr>
    </w:div>
    <w:div w:id="972364201">
      <w:bodyDiv w:val="1"/>
      <w:marLeft w:val="0"/>
      <w:marRight w:val="0"/>
      <w:marTop w:val="0"/>
      <w:marBottom w:val="0"/>
      <w:divBdr>
        <w:top w:val="none" w:sz="0" w:space="0" w:color="auto"/>
        <w:left w:val="none" w:sz="0" w:space="0" w:color="auto"/>
        <w:bottom w:val="none" w:sz="0" w:space="0" w:color="auto"/>
        <w:right w:val="none" w:sz="0" w:space="0" w:color="auto"/>
      </w:divBdr>
    </w:div>
    <w:div w:id="973290735">
      <w:bodyDiv w:val="1"/>
      <w:marLeft w:val="0"/>
      <w:marRight w:val="0"/>
      <w:marTop w:val="0"/>
      <w:marBottom w:val="0"/>
      <w:divBdr>
        <w:top w:val="none" w:sz="0" w:space="0" w:color="auto"/>
        <w:left w:val="none" w:sz="0" w:space="0" w:color="auto"/>
        <w:bottom w:val="none" w:sz="0" w:space="0" w:color="auto"/>
        <w:right w:val="none" w:sz="0" w:space="0" w:color="auto"/>
      </w:divBdr>
    </w:div>
    <w:div w:id="973481585">
      <w:bodyDiv w:val="1"/>
      <w:marLeft w:val="0"/>
      <w:marRight w:val="0"/>
      <w:marTop w:val="0"/>
      <w:marBottom w:val="0"/>
      <w:divBdr>
        <w:top w:val="none" w:sz="0" w:space="0" w:color="auto"/>
        <w:left w:val="none" w:sz="0" w:space="0" w:color="auto"/>
        <w:bottom w:val="none" w:sz="0" w:space="0" w:color="auto"/>
        <w:right w:val="none" w:sz="0" w:space="0" w:color="auto"/>
      </w:divBdr>
    </w:div>
    <w:div w:id="975064278">
      <w:bodyDiv w:val="1"/>
      <w:marLeft w:val="0"/>
      <w:marRight w:val="0"/>
      <w:marTop w:val="0"/>
      <w:marBottom w:val="0"/>
      <w:divBdr>
        <w:top w:val="none" w:sz="0" w:space="0" w:color="auto"/>
        <w:left w:val="none" w:sz="0" w:space="0" w:color="auto"/>
        <w:bottom w:val="none" w:sz="0" w:space="0" w:color="auto"/>
        <w:right w:val="none" w:sz="0" w:space="0" w:color="auto"/>
      </w:divBdr>
    </w:div>
    <w:div w:id="975257438">
      <w:bodyDiv w:val="1"/>
      <w:marLeft w:val="0"/>
      <w:marRight w:val="0"/>
      <w:marTop w:val="0"/>
      <w:marBottom w:val="0"/>
      <w:divBdr>
        <w:top w:val="none" w:sz="0" w:space="0" w:color="auto"/>
        <w:left w:val="none" w:sz="0" w:space="0" w:color="auto"/>
        <w:bottom w:val="none" w:sz="0" w:space="0" w:color="auto"/>
        <w:right w:val="none" w:sz="0" w:space="0" w:color="auto"/>
      </w:divBdr>
    </w:div>
    <w:div w:id="978457691">
      <w:bodyDiv w:val="1"/>
      <w:marLeft w:val="0"/>
      <w:marRight w:val="0"/>
      <w:marTop w:val="0"/>
      <w:marBottom w:val="0"/>
      <w:divBdr>
        <w:top w:val="none" w:sz="0" w:space="0" w:color="auto"/>
        <w:left w:val="none" w:sz="0" w:space="0" w:color="auto"/>
        <w:bottom w:val="none" w:sz="0" w:space="0" w:color="auto"/>
        <w:right w:val="none" w:sz="0" w:space="0" w:color="auto"/>
      </w:divBdr>
    </w:div>
    <w:div w:id="979650671">
      <w:bodyDiv w:val="1"/>
      <w:marLeft w:val="0"/>
      <w:marRight w:val="0"/>
      <w:marTop w:val="0"/>
      <w:marBottom w:val="0"/>
      <w:divBdr>
        <w:top w:val="none" w:sz="0" w:space="0" w:color="auto"/>
        <w:left w:val="none" w:sz="0" w:space="0" w:color="auto"/>
        <w:bottom w:val="none" w:sz="0" w:space="0" w:color="auto"/>
        <w:right w:val="none" w:sz="0" w:space="0" w:color="auto"/>
      </w:divBdr>
    </w:div>
    <w:div w:id="980615720">
      <w:bodyDiv w:val="1"/>
      <w:marLeft w:val="0"/>
      <w:marRight w:val="0"/>
      <w:marTop w:val="0"/>
      <w:marBottom w:val="0"/>
      <w:divBdr>
        <w:top w:val="none" w:sz="0" w:space="0" w:color="auto"/>
        <w:left w:val="none" w:sz="0" w:space="0" w:color="auto"/>
        <w:bottom w:val="none" w:sz="0" w:space="0" w:color="auto"/>
        <w:right w:val="none" w:sz="0" w:space="0" w:color="auto"/>
      </w:divBdr>
    </w:div>
    <w:div w:id="981885959">
      <w:bodyDiv w:val="1"/>
      <w:marLeft w:val="0"/>
      <w:marRight w:val="0"/>
      <w:marTop w:val="0"/>
      <w:marBottom w:val="0"/>
      <w:divBdr>
        <w:top w:val="none" w:sz="0" w:space="0" w:color="auto"/>
        <w:left w:val="none" w:sz="0" w:space="0" w:color="auto"/>
        <w:bottom w:val="none" w:sz="0" w:space="0" w:color="auto"/>
        <w:right w:val="none" w:sz="0" w:space="0" w:color="auto"/>
      </w:divBdr>
    </w:div>
    <w:div w:id="983121405">
      <w:bodyDiv w:val="1"/>
      <w:marLeft w:val="0"/>
      <w:marRight w:val="0"/>
      <w:marTop w:val="0"/>
      <w:marBottom w:val="0"/>
      <w:divBdr>
        <w:top w:val="none" w:sz="0" w:space="0" w:color="auto"/>
        <w:left w:val="none" w:sz="0" w:space="0" w:color="auto"/>
        <w:bottom w:val="none" w:sz="0" w:space="0" w:color="auto"/>
        <w:right w:val="none" w:sz="0" w:space="0" w:color="auto"/>
      </w:divBdr>
    </w:div>
    <w:div w:id="984578952">
      <w:bodyDiv w:val="1"/>
      <w:marLeft w:val="0"/>
      <w:marRight w:val="0"/>
      <w:marTop w:val="0"/>
      <w:marBottom w:val="0"/>
      <w:divBdr>
        <w:top w:val="none" w:sz="0" w:space="0" w:color="auto"/>
        <w:left w:val="none" w:sz="0" w:space="0" w:color="auto"/>
        <w:bottom w:val="none" w:sz="0" w:space="0" w:color="auto"/>
        <w:right w:val="none" w:sz="0" w:space="0" w:color="auto"/>
      </w:divBdr>
    </w:div>
    <w:div w:id="985355425">
      <w:bodyDiv w:val="1"/>
      <w:marLeft w:val="0"/>
      <w:marRight w:val="0"/>
      <w:marTop w:val="0"/>
      <w:marBottom w:val="0"/>
      <w:divBdr>
        <w:top w:val="none" w:sz="0" w:space="0" w:color="auto"/>
        <w:left w:val="none" w:sz="0" w:space="0" w:color="auto"/>
        <w:bottom w:val="none" w:sz="0" w:space="0" w:color="auto"/>
        <w:right w:val="none" w:sz="0" w:space="0" w:color="auto"/>
      </w:divBdr>
    </w:div>
    <w:div w:id="985472576">
      <w:bodyDiv w:val="1"/>
      <w:marLeft w:val="0"/>
      <w:marRight w:val="0"/>
      <w:marTop w:val="0"/>
      <w:marBottom w:val="0"/>
      <w:divBdr>
        <w:top w:val="none" w:sz="0" w:space="0" w:color="auto"/>
        <w:left w:val="none" w:sz="0" w:space="0" w:color="auto"/>
        <w:bottom w:val="none" w:sz="0" w:space="0" w:color="auto"/>
        <w:right w:val="none" w:sz="0" w:space="0" w:color="auto"/>
      </w:divBdr>
    </w:div>
    <w:div w:id="987126447">
      <w:bodyDiv w:val="1"/>
      <w:marLeft w:val="0"/>
      <w:marRight w:val="0"/>
      <w:marTop w:val="0"/>
      <w:marBottom w:val="0"/>
      <w:divBdr>
        <w:top w:val="none" w:sz="0" w:space="0" w:color="auto"/>
        <w:left w:val="none" w:sz="0" w:space="0" w:color="auto"/>
        <w:bottom w:val="none" w:sz="0" w:space="0" w:color="auto"/>
        <w:right w:val="none" w:sz="0" w:space="0" w:color="auto"/>
      </w:divBdr>
    </w:div>
    <w:div w:id="987367230">
      <w:bodyDiv w:val="1"/>
      <w:marLeft w:val="0"/>
      <w:marRight w:val="0"/>
      <w:marTop w:val="0"/>
      <w:marBottom w:val="0"/>
      <w:divBdr>
        <w:top w:val="none" w:sz="0" w:space="0" w:color="auto"/>
        <w:left w:val="none" w:sz="0" w:space="0" w:color="auto"/>
        <w:bottom w:val="none" w:sz="0" w:space="0" w:color="auto"/>
        <w:right w:val="none" w:sz="0" w:space="0" w:color="auto"/>
      </w:divBdr>
    </w:div>
    <w:div w:id="991101658">
      <w:bodyDiv w:val="1"/>
      <w:marLeft w:val="0"/>
      <w:marRight w:val="0"/>
      <w:marTop w:val="0"/>
      <w:marBottom w:val="0"/>
      <w:divBdr>
        <w:top w:val="none" w:sz="0" w:space="0" w:color="auto"/>
        <w:left w:val="none" w:sz="0" w:space="0" w:color="auto"/>
        <w:bottom w:val="none" w:sz="0" w:space="0" w:color="auto"/>
        <w:right w:val="none" w:sz="0" w:space="0" w:color="auto"/>
      </w:divBdr>
    </w:div>
    <w:div w:id="991330288">
      <w:bodyDiv w:val="1"/>
      <w:marLeft w:val="0"/>
      <w:marRight w:val="0"/>
      <w:marTop w:val="0"/>
      <w:marBottom w:val="0"/>
      <w:divBdr>
        <w:top w:val="none" w:sz="0" w:space="0" w:color="auto"/>
        <w:left w:val="none" w:sz="0" w:space="0" w:color="auto"/>
        <w:bottom w:val="none" w:sz="0" w:space="0" w:color="auto"/>
        <w:right w:val="none" w:sz="0" w:space="0" w:color="auto"/>
      </w:divBdr>
    </w:div>
    <w:div w:id="992639822">
      <w:bodyDiv w:val="1"/>
      <w:marLeft w:val="0"/>
      <w:marRight w:val="0"/>
      <w:marTop w:val="0"/>
      <w:marBottom w:val="0"/>
      <w:divBdr>
        <w:top w:val="none" w:sz="0" w:space="0" w:color="auto"/>
        <w:left w:val="none" w:sz="0" w:space="0" w:color="auto"/>
        <w:bottom w:val="none" w:sz="0" w:space="0" w:color="auto"/>
        <w:right w:val="none" w:sz="0" w:space="0" w:color="auto"/>
      </w:divBdr>
    </w:div>
    <w:div w:id="996616028">
      <w:bodyDiv w:val="1"/>
      <w:marLeft w:val="0"/>
      <w:marRight w:val="0"/>
      <w:marTop w:val="0"/>
      <w:marBottom w:val="0"/>
      <w:divBdr>
        <w:top w:val="none" w:sz="0" w:space="0" w:color="auto"/>
        <w:left w:val="none" w:sz="0" w:space="0" w:color="auto"/>
        <w:bottom w:val="none" w:sz="0" w:space="0" w:color="auto"/>
        <w:right w:val="none" w:sz="0" w:space="0" w:color="auto"/>
      </w:divBdr>
    </w:div>
    <w:div w:id="997810637">
      <w:bodyDiv w:val="1"/>
      <w:marLeft w:val="0"/>
      <w:marRight w:val="0"/>
      <w:marTop w:val="0"/>
      <w:marBottom w:val="0"/>
      <w:divBdr>
        <w:top w:val="none" w:sz="0" w:space="0" w:color="auto"/>
        <w:left w:val="none" w:sz="0" w:space="0" w:color="auto"/>
        <w:bottom w:val="none" w:sz="0" w:space="0" w:color="auto"/>
        <w:right w:val="none" w:sz="0" w:space="0" w:color="auto"/>
      </w:divBdr>
    </w:div>
    <w:div w:id="1001204064">
      <w:bodyDiv w:val="1"/>
      <w:marLeft w:val="0"/>
      <w:marRight w:val="0"/>
      <w:marTop w:val="0"/>
      <w:marBottom w:val="0"/>
      <w:divBdr>
        <w:top w:val="none" w:sz="0" w:space="0" w:color="auto"/>
        <w:left w:val="none" w:sz="0" w:space="0" w:color="auto"/>
        <w:bottom w:val="none" w:sz="0" w:space="0" w:color="auto"/>
        <w:right w:val="none" w:sz="0" w:space="0" w:color="auto"/>
      </w:divBdr>
    </w:div>
    <w:div w:id="1004553441">
      <w:bodyDiv w:val="1"/>
      <w:marLeft w:val="0"/>
      <w:marRight w:val="0"/>
      <w:marTop w:val="0"/>
      <w:marBottom w:val="0"/>
      <w:divBdr>
        <w:top w:val="none" w:sz="0" w:space="0" w:color="auto"/>
        <w:left w:val="none" w:sz="0" w:space="0" w:color="auto"/>
        <w:bottom w:val="none" w:sz="0" w:space="0" w:color="auto"/>
        <w:right w:val="none" w:sz="0" w:space="0" w:color="auto"/>
      </w:divBdr>
    </w:div>
    <w:div w:id="1005477519">
      <w:bodyDiv w:val="1"/>
      <w:marLeft w:val="0"/>
      <w:marRight w:val="0"/>
      <w:marTop w:val="0"/>
      <w:marBottom w:val="0"/>
      <w:divBdr>
        <w:top w:val="none" w:sz="0" w:space="0" w:color="auto"/>
        <w:left w:val="none" w:sz="0" w:space="0" w:color="auto"/>
        <w:bottom w:val="none" w:sz="0" w:space="0" w:color="auto"/>
        <w:right w:val="none" w:sz="0" w:space="0" w:color="auto"/>
      </w:divBdr>
    </w:div>
    <w:div w:id="1007320950">
      <w:bodyDiv w:val="1"/>
      <w:marLeft w:val="0"/>
      <w:marRight w:val="0"/>
      <w:marTop w:val="0"/>
      <w:marBottom w:val="0"/>
      <w:divBdr>
        <w:top w:val="none" w:sz="0" w:space="0" w:color="auto"/>
        <w:left w:val="none" w:sz="0" w:space="0" w:color="auto"/>
        <w:bottom w:val="none" w:sz="0" w:space="0" w:color="auto"/>
        <w:right w:val="none" w:sz="0" w:space="0" w:color="auto"/>
      </w:divBdr>
    </w:div>
    <w:div w:id="1007365895">
      <w:bodyDiv w:val="1"/>
      <w:marLeft w:val="0"/>
      <w:marRight w:val="0"/>
      <w:marTop w:val="0"/>
      <w:marBottom w:val="0"/>
      <w:divBdr>
        <w:top w:val="none" w:sz="0" w:space="0" w:color="auto"/>
        <w:left w:val="none" w:sz="0" w:space="0" w:color="auto"/>
        <w:bottom w:val="none" w:sz="0" w:space="0" w:color="auto"/>
        <w:right w:val="none" w:sz="0" w:space="0" w:color="auto"/>
      </w:divBdr>
    </w:div>
    <w:div w:id="1008756107">
      <w:bodyDiv w:val="1"/>
      <w:marLeft w:val="0"/>
      <w:marRight w:val="0"/>
      <w:marTop w:val="0"/>
      <w:marBottom w:val="0"/>
      <w:divBdr>
        <w:top w:val="none" w:sz="0" w:space="0" w:color="auto"/>
        <w:left w:val="none" w:sz="0" w:space="0" w:color="auto"/>
        <w:bottom w:val="none" w:sz="0" w:space="0" w:color="auto"/>
        <w:right w:val="none" w:sz="0" w:space="0" w:color="auto"/>
      </w:divBdr>
    </w:div>
    <w:div w:id="1009258355">
      <w:bodyDiv w:val="1"/>
      <w:marLeft w:val="0"/>
      <w:marRight w:val="0"/>
      <w:marTop w:val="0"/>
      <w:marBottom w:val="0"/>
      <w:divBdr>
        <w:top w:val="none" w:sz="0" w:space="0" w:color="auto"/>
        <w:left w:val="none" w:sz="0" w:space="0" w:color="auto"/>
        <w:bottom w:val="none" w:sz="0" w:space="0" w:color="auto"/>
        <w:right w:val="none" w:sz="0" w:space="0" w:color="auto"/>
      </w:divBdr>
    </w:div>
    <w:div w:id="1014307562">
      <w:bodyDiv w:val="1"/>
      <w:marLeft w:val="0"/>
      <w:marRight w:val="0"/>
      <w:marTop w:val="0"/>
      <w:marBottom w:val="0"/>
      <w:divBdr>
        <w:top w:val="none" w:sz="0" w:space="0" w:color="auto"/>
        <w:left w:val="none" w:sz="0" w:space="0" w:color="auto"/>
        <w:bottom w:val="none" w:sz="0" w:space="0" w:color="auto"/>
        <w:right w:val="none" w:sz="0" w:space="0" w:color="auto"/>
      </w:divBdr>
    </w:div>
    <w:div w:id="1016923946">
      <w:bodyDiv w:val="1"/>
      <w:marLeft w:val="0"/>
      <w:marRight w:val="0"/>
      <w:marTop w:val="0"/>
      <w:marBottom w:val="0"/>
      <w:divBdr>
        <w:top w:val="none" w:sz="0" w:space="0" w:color="auto"/>
        <w:left w:val="none" w:sz="0" w:space="0" w:color="auto"/>
        <w:bottom w:val="none" w:sz="0" w:space="0" w:color="auto"/>
        <w:right w:val="none" w:sz="0" w:space="0" w:color="auto"/>
      </w:divBdr>
    </w:div>
    <w:div w:id="1018894945">
      <w:bodyDiv w:val="1"/>
      <w:marLeft w:val="0"/>
      <w:marRight w:val="0"/>
      <w:marTop w:val="0"/>
      <w:marBottom w:val="0"/>
      <w:divBdr>
        <w:top w:val="none" w:sz="0" w:space="0" w:color="auto"/>
        <w:left w:val="none" w:sz="0" w:space="0" w:color="auto"/>
        <w:bottom w:val="none" w:sz="0" w:space="0" w:color="auto"/>
        <w:right w:val="none" w:sz="0" w:space="0" w:color="auto"/>
      </w:divBdr>
    </w:div>
    <w:div w:id="1018966139">
      <w:bodyDiv w:val="1"/>
      <w:marLeft w:val="0"/>
      <w:marRight w:val="0"/>
      <w:marTop w:val="0"/>
      <w:marBottom w:val="0"/>
      <w:divBdr>
        <w:top w:val="none" w:sz="0" w:space="0" w:color="auto"/>
        <w:left w:val="none" w:sz="0" w:space="0" w:color="auto"/>
        <w:bottom w:val="none" w:sz="0" w:space="0" w:color="auto"/>
        <w:right w:val="none" w:sz="0" w:space="0" w:color="auto"/>
      </w:divBdr>
    </w:div>
    <w:div w:id="1020933014">
      <w:bodyDiv w:val="1"/>
      <w:marLeft w:val="0"/>
      <w:marRight w:val="0"/>
      <w:marTop w:val="0"/>
      <w:marBottom w:val="0"/>
      <w:divBdr>
        <w:top w:val="none" w:sz="0" w:space="0" w:color="auto"/>
        <w:left w:val="none" w:sz="0" w:space="0" w:color="auto"/>
        <w:bottom w:val="none" w:sz="0" w:space="0" w:color="auto"/>
        <w:right w:val="none" w:sz="0" w:space="0" w:color="auto"/>
      </w:divBdr>
    </w:div>
    <w:div w:id="1024286133">
      <w:bodyDiv w:val="1"/>
      <w:marLeft w:val="0"/>
      <w:marRight w:val="0"/>
      <w:marTop w:val="0"/>
      <w:marBottom w:val="0"/>
      <w:divBdr>
        <w:top w:val="none" w:sz="0" w:space="0" w:color="auto"/>
        <w:left w:val="none" w:sz="0" w:space="0" w:color="auto"/>
        <w:bottom w:val="none" w:sz="0" w:space="0" w:color="auto"/>
        <w:right w:val="none" w:sz="0" w:space="0" w:color="auto"/>
      </w:divBdr>
    </w:div>
    <w:div w:id="1025596106">
      <w:bodyDiv w:val="1"/>
      <w:marLeft w:val="0"/>
      <w:marRight w:val="0"/>
      <w:marTop w:val="0"/>
      <w:marBottom w:val="0"/>
      <w:divBdr>
        <w:top w:val="none" w:sz="0" w:space="0" w:color="auto"/>
        <w:left w:val="none" w:sz="0" w:space="0" w:color="auto"/>
        <w:bottom w:val="none" w:sz="0" w:space="0" w:color="auto"/>
        <w:right w:val="none" w:sz="0" w:space="0" w:color="auto"/>
      </w:divBdr>
    </w:div>
    <w:div w:id="1031223059">
      <w:bodyDiv w:val="1"/>
      <w:marLeft w:val="0"/>
      <w:marRight w:val="0"/>
      <w:marTop w:val="0"/>
      <w:marBottom w:val="0"/>
      <w:divBdr>
        <w:top w:val="none" w:sz="0" w:space="0" w:color="auto"/>
        <w:left w:val="none" w:sz="0" w:space="0" w:color="auto"/>
        <w:bottom w:val="none" w:sz="0" w:space="0" w:color="auto"/>
        <w:right w:val="none" w:sz="0" w:space="0" w:color="auto"/>
      </w:divBdr>
    </w:div>
    <w:div w:id="1040479019">
      <w:bodyDiv w:val="1"/>
      <w:marLeft w:val="0"/>
      <w:marRight w:val="0"/>
      <w:marTop w:val="0"/>
      <w:marBottom w:val="0"/>
      <w:divBdr>
        <w:top w:val="none" w:sz="0" w:space="0" w:color="auto"/>
        <w:left w:val="none" w:sz="0" w:space="0" w:color="auto"/>
        <w:bottom w:val="none" w:sz="0" w:space="0" w:color="auto"/>
        <w:right w:val="none" w:sz="0" w:space="0" w:color="auto"/>
      </w:divBdr>
    </w:div>
    <w:div w:id="1043139155">
      <w:bodyDiv w:val="1"/>
      <w:marLeft w:val="0"/>
      <w:marRight w:val="0"/>
      <w:marTop w:val="0"/>
      <w:marBottom w:val="0"/>
      <w:divBdr>
        <w:top w:val="none" w:sz="0" w:space="0" w:color="auto"/>
        <w:left w:val="none" w:sz="0" w:space="0" w:color="auto"/>
        <w:bottom w:val="none" w:sz="0" w:space="0" w:color="auto"/>
        <w:right w:val="none" w:sz="0" w:space="0" w:color="auto"/>
      </w:divBdr>
    </w:div>
    <w:div w:id="1044061821">
      <w:bodyDiv w:val="1"/>
      <w:marLeft w:val="0"/>
      <w:marRight w:val="0"/>
      <w:marTop w:val="0"/>
      <w:marBottom w:val="0"/>
      <w:divBdr>
        <w:top w:val="none" w:sz="0" w:space="0" w:color="auto"/>
        <w:left w:val="none" w:sz="0" w:space="0" w:color="auto"/>
        <w:bottom w:val="none" w:sz="0" w:space="0" w:color="auto"/>
        <w:right w:val="none" w:sz="0" w:space="0" w:color="auto"/>
      </w:divBdr>
    </w:div>
    <w:div w:id="1050307364">
      <w:bodyDiv w:val="1"/>
      <w:marLeft w:val="0"/>
      <w:marRight w:val="0"/>
      <w:marTop w:val="0"/>
      <w:marBottom w:val="0"/>
      <w:divBdr>
        <w:top w:val="none" w:sz="0" w:space="0" w:color="auto"/>
        <w:left w:val="none" w:sz="0" w:space="0" w:color="auto"/>
        <w:bottom w:val="none" w:sz="0" w:space="0" w:color="auto"/>
        <w:right w:val="none" w:sz="0" w:space="0" w:color="auto"/>
      </w:divBdr>
    </w:div>
    <w:div w:id="1055467315">
      <w:bodyDiv w:val="1"/>
      <w:marLeft w:val="0"/>
      <w:marRight w:val="0"/>
      <w:marTop w:val="0"/>
      <w:marBottom w:val="0"/>
      <w:divBdr>
        <w:top w:val="none" w:sz="0" w:space="0" w:color="auto"/>
        <w:left w:val="none" w:sz="0" w:space="0" w:color="auto"/>
        <w:bottom w:val="none" w:sz="0" w:space="0" w:color="auto"/>
        <w:right w:val="none" w:sz="0" w:space="0" w:color="auto"/>
      </w:divBdr>
    </w:div>
    <w:div w:id="1059010155">
      <w:bodyDiv w:val="1"/>
      <w:marLeft w:val="0"/>
      <w:marRight w:val="0"/>
      <w:marTop w:val="0"/>
      <w:marBottom w:val="0"/>
      <w:divBdr>
        <w:top w:val="none" w:sz="0" w:space="0" w:color="auto"/>
        <w:left w:val="none" w:sz="0" w:space="0" w:color="auto"/>
        <w:bottom w:val="none" w:sz="0" w:space="0" w:color="auto"/>
        <w:right w:val="none" w:sz="0" w:space="0" w:color="auto"/>
      </w:divBdr>
    </w:div>
    <w:div w:id="1062799594">
      <w:bodyDiv w:val="1"/>
      <w:marLeft w:val="0"/>
      <w:marRight w:val="0"/>
      <w:marTop w:val="0"/>
      <w:marBottom w:val="0"/>
      <w:divBdr>
        <w:top w:val="none" w:sz="0" w:space="0" w:color="auto"/>
        <w:left w:val="none" w:sz="0" w:space="0" w:color="auto"/>
        <w:bottom w:val="none" w:sz="0" w:space="0" w:color="auto"/>
        <w:right w:val="none" w:sz="0" w:space="0" w:color="auto"/>
      </w:divBdr>
    </w:div>
    <w:div w:id="1063991388">
      <w:bodyDiv w:val="1"/>
      <w:marLeft w:val="0"/>
      <w:marRight w:val="0"/>
      <w:marTop w:val="0"/>
      <w:marBottom w:val="0"/>
      <w:divBdr>
        <w:top w:val="none" w:sz="0" w:space="0" w:color="auto"/>
        <w:left w:val="none" w:sz="0" w:space="0" w:color="auto"/>
        <w:bottom w:val="none" w:sz="0" w:space="0" w:color="auto"/>
        <w:right w:val="none" w:sz="0" w:space="0" w:color="auto"/>
      </w:divBdr>
    </w:div>
    <w:div w:id="1065682709">
      <w:bodyDiv w:val="1"/>
      <w:marLeft w:val="0"/>
      <w:marRight w:val="0"/>
      <w:marTop w:val="0"/>
      <w:marBottom w:val="0"/>
      <w:divBdr>
        <w:top w:val="none" w:sz="0" w:space="0" w:color="auto"/>
        <w:left w:val="none" w:sz="0" w:space="0" w:color="auto"/>
        <w:bottom w:val="none" w:sz="0" w:space="0" w:color="auto"/>
        <w:right w:val="none" w:sz="0" w:space="0" w:color="auto"/>
      </w:divBdr>
    </w:div>
    <w:div w:id="1066682696">
      <w:bodyDiv w:val="1"/>
      <w:marLeft w:val="0"/>
      <w:marRight w:val="0"/>
      <w:marTop w:val="0"/>
      <w:marBottom w:val="0"/>
      <w:divBdr>
        <w:top w:val="none" w:sz="0" w:space="0" w:color="auto"/>
        <w:left w:val="none" w:sz="0" w:space="0" w:color="auto"/>
        <w:bottom w:val="none" w:sz="0" w:space="0" w:color="auto"/>
        <w:right w:val="none" w:sz="0" w:space="0" w:color="auto"/>
      </w:divBdr>
    </w:div>
    <w:div w:id="1066997551">
      <w:bodyDiv w:val="1"/>
      <w:marLeft w:val="0"/>
      <w:marRight w:val="0"/>
      <w:marTop w:val="0"/>
      <w:marBottom w:val="0"/>
      <w:divBdr>
        <w:top w:val="none" w:sz="0" w:space="0" w:color="auto"/>
        <w:left w:val="none" w:sz="0" w:space="0" w:color="auto"/>
        <w:bottom w:val="none" w:sz="0" w:space="0" w:color="auto"/>
        <w:right w:val="none" w:sz="0" w:space="0" w:color="auto"/>
      </w:divBdr>
    </w:div>
    <w:div w:id="1067143743">
      <w:bodyDiv w:val="1"/>
      <w:marLeft w:val="0"/>
      <w:marRight w:val="0"/>
      <w:marTop w:val="0"/>
      <w:marBottom w:val="0"/>
      <w:divBdr>
        <w:top w:val="none" w:sz="0" w:space="0" w:color="auto"/>
        <w:left w:val="none" w:sz="0" w:space="0" w:color="auto"/>
        <w:bottom w:val="none" w:sz="0" w:space="0" w:color="auto"/>
        <w:right w:val="none" w:sz="0" w:space="0" w:color="auto"/>
      </w:divBdr>
    </w:div>
    <w:div w:id="1067461143">
      <w:bodyDiv w:val="1"/>
      <w:marLeft w:val="0"/>
      <w:marRight w:val="0"/>
      <w:marTop w:val="0"/>
      <w:marBottom w:val="0"/>
      <w:divBdr>
        <w:top w:val="none" w:sz="0" w:space="0" w:color="auto"/>
        <w:left w:val="none" w:sz="0" w:space="0" w:color="auto"/>
        <w:bottom w:val="none" w:sz="0" w:space="0" w:color="auto"/>
        <w:right w:val="none" w:sz="0" w:space="0" w:color="auto"/>
      </w:divBdr>
    </w:div>
    <w:div w:id="1069958124">
      <w:bodyDiv w:val="1"/>
      <w:marLeft w:val="0"/>
      <w:marRight w:val="0"/>
      <w:marTop w:val="0"/>
      <w:marBottom w:val="0"/>
      <w:divBdr>
        <w:top w:val="none" w:sz="0" w:space="0" w:color="auto"/>
        <w:left w:val="none" w:sz="0" w:space="0" w:color="auto"/>
        <w:bottom w:val="none" w:sz="0" w:space="0" w:color="auto"/>
        <w:right w:val="none" w:sz="0" w:space="0" w:color="auto"/>
      </w:divBdr>
    </w:div>
    <w:div w:id="1070226282">
      <w:bodyDiv w:val="1"/>
      <w:marLeft w:val="0"/>
      <w:marRight w:val="0"/>
      <w:marTop w:val="0"/>
      <w:marBottom w:val="0"/>
      <w:divBdr>
        <w:top w:val="none" w:sz="0" w:space="0" w:color="auto"/>
        <w:left w:val="none" w:sz="0" w:space="0" w:color="auto"/>
        <w:bottom w:val="none" w:sz="0" w:space="0" w:color="auto"/>
        <w:right w:val="none" w:sz="0" w:space="0" w:color="auto"/>
      </w:divBdr>
    </w:div>
    <w:div w:id="1070810366">
      <w:bodyDiv w:val="1"/>
      <w:marLeft w:val="0"/>
      <w:marRight w:val="0"/>
      <w:marTop w:val="0"/>
      <w:marBottom w:val="0"/>
      <w:divBdr>
        <w:top w:val="none" w:sz="0" w:space="0" w:color="auto"/>
        <w:left w:val="none" w:sz="0" w:space="0" w:color="auto"/>
        <w:bottom w:val="none" w:sz="0" w:space="0" w:color="auto"/>
        <w:right w:val="none" w:sz="0" w:space="0" w:color="auto"/>
      </w:divBdr>
    </w:div>
    <w:div w:id="1073509545">
      <w:bodyDiv w:val="1"/>
      <w:marLeft w:val="0"/>
      <w:marRight w:val="0"/>
      <w:marTop w:val="0"/>
      <w:marBottom w:val="0"/>
      <w:divBdr>
        <w:top w:val="none" w:sz="0" w:space="0" w:color="auto"/>
        <w:left w:val="none" w:sz="0" w:space="0" w:color="auto"/>
        <w:bottom w:val="none" w:sz="0" w:space="0" w:color="auto"/>
        <w:right w:val="none" w:sz="0" w:space="0" w:color="auto"/>
      </w:divBdr>
    </w:div>
    <w:div w:id="1075779899">
      <w:bodyDiv w:val="1"/>
      <w:marLeft w:val="0"/>
      <w:marRight w:val="0"/>
      <w:marTop w:val="0"/>
      <w:marBottom w:val="0"/>
      <w:divBdr>
        <w:top w:val="none" w:sz="0" w:space="0" w:color="auto"/>
        <w:left w:val="none" w:sz="0" w:space="0" w:color="auto"/>
        <w:bottom w:val="none" w:sz="0" w:space="0" w:color="auto"/>
        <w:right w:val="none" w:sz="0" w:space="0" w:color="auto"/>
      </w:divBdr>
    </w:div>
    <w:div w:id="1079597872">
      <w:bodyDiv w:val="1"/>
      <w:marLeft w:val="0"/>
      <w:marRight w:val="0"/>
      <w:marTop w:val="0"/>
      <w:marBottom w:val="0"/>
      <w:divBdr>
        <w:top w:val="none" w:sz="0" w:space="0" w:color="auto"/>
        <w:left w:val="none" w:sz="0" w:space="0" w:color="auto"/>
        <w:bottom w:val="none" w:sz="0" w:space="0" w:color="auto"/>
        <w:right w:val="none" w:sz="0" w:space="0" w:color="auto"/>
      </w:divBdr>
    </w:div>
    <w:div w:id="1086152780">
      <w:bodyDiv w:val="1"/>
      <w:marLeft w:val="0"/>
      <w:marRight w:val="0"/>
      <w:marTop w:val="0"/>
      <w:marBottom w:val="0"/>
      <w:divBdr>
        <w:top w:val="none" w:sz="0" w:space="0" w:color="auto"/>
        <w:left w:val="none" w:sz="0" w:space="0" w:color="auto"/>
        <w:bottom w:val="none" w:sz="0" w:space="0" w:color="auto"/>
        <w:right w:val="none" w:sz="0" w:space="0" w:color="auto"/>
      </w:divBdr>
    </w:div>
    <w:div w:id="1088114727">
      <w:bodyDiv w:val="1"/>
      <w:marLeft w:val="0"/>
      <w:marRight w:val="0"/>
      <w:marTop w:val="0"/>
      <w:marBottom w:val="0"/>
      <w:divBdr>
        <w:top w:val="none" w:sz="0" w:space="0" w:color="auto"/>
        <w:left w:val="none" w:sz="0" w:space="0" w:color="auto"/>
        <w:bottom w:val="none" w:sz="0" w:space="0" w:color="auto"/>
        <w:right w:val="none" w:sz="0" w:space="0" w:color="auto"/>
      </w:divBdr>
    </w:div>
    <w:div w:id="1092626110">
      <w:bodyDiv w:val="1"/>
      <w:marLeft w:val="0"/>
      <w:marRight w:val="0"/>
      <w:marTop w:val="0"/>
      <w:marBottom w:val="0"/>
      <w:divBdr>
        <w:top w:val="none" w:sz="0" w:space="0" w:color="auto"/>
        <w:left w:val="none" w:sz="0" w:space="0" w:color="auto"/>
        <w:bottom w:val="none" w:sz="0" w:space="0" w:color="auto"/>
        <w:right w:val="none" w:sz="0" w:space="0" w:color="auto"/>
      </w:divBdr>
    </w:div>
    <w:div w:id="1094546216">
      <w:bodyDiv w:val="1"/>
      <w:marLeft w:val="0"/>
      <w:marRight w:val="0"/>
      <w:marTop w:val="0"/>
      <w:marBottom w:val="0"/>
      <w:divBdr>
        <w:top w:val="none" w:sz="0" w:space="0" w:color="auto"/>
        <w:left w:val="none" w:sz="0" w:space="0" w:color="auto"/>
        <w:bottom w:val="none" w:sz="0" w:space="0" w:color="auto"/>
        <w:right w:val="none" w:sz="0" w:space="0" w:color="auto"/>
      </w:divBdr>
    </w:div>
    <w:div w:id="1097746568">
      <w:bodyDiv w:val="1"/>
      <w:marLeft w:val="0"/>
      <w:marRight w:val="0"/>
      <w:marTop w:val="0"/>
      <w:marBottom w:val="0"/>
      <w:divBdr>
        <w:top w:val="none" w:sz="0" w:space="0" w:color="auto"/>
        <w:left w:val="none" w:sz="0" w:space="0" w:color="auto"/>
        <w:bottom w:val="none" w:sz="0" w:space="0" w:color="auto"/>
        <w:right w:val="none" w:sz="0" w:space="0" w:color="auto"/>
      </w:divBdr>
    </w:div>
    <w:div w:id="1101267571">
      <w:bodyDiv w:val="1"/>
      <w:marLeft w:val="0"/>
      <w:marRight w:val="0"/>
      <w:marTop w:val="0"/>
      <w:marBottom w:val="0"/>
      <w:divBdr>
        <w:top w:val="none" w:sz="0" w:space="0" w:color="auto"/>
        <w:left w:val="none" w:sz="0" w:space="0" w:color="auto"/>
        <w:bottom w:val="none" w:sz="0" w:space="0" w:color="auto"/>
        <w:right w:val="none" w:sz="0" w:space="0" w:color="auto"/>
      </w:divBdr>
    </w:div>
    <w:div w:id="1102337807">
      <w:bodyDiv w:val="1"/>
      <w:marLeft w:val="0"/>
      <w:marRight w:val="0"/>
      <w:marTop w:val="0"/>
      <w:marBottom w:val="0"/>
      <w:divBdr>
        <w:top w:val="none" w:sz="0" w:space="0" w:color="auto"/>
        <w:left w:val="none" w:sz="0" w:space="0" w:color="auto"/>
        <w:bottom w:val="none" w:sz="0" w:space="0" w:color="auto"/>
        <w:right w:val="none" w:sz="0" w:space="0" w:color="auto"/>
      </w:divBdr>
    </w:div>
    <w:div w:id="1104038333">
      <w:bodyDiv w:val="1"/>
      <w:marLeft w:val="0"/>
      <w:marRight w:val="0"/>
      <w:marTop w:val="0"/>
      <w:marBottom w:val="0"/>
      <w:divBdr>
        <w:top w:val="none" w:sz="0" w:space="0" w:color="auto"/>
        <w:left w:val="none" w:sz="0" w:space="0" w:color="auto"/>
        <w:bottom w:val="none" w:sz="0" w:space="0" w:color="auto"/>
        <w:right w:val="none" w:sz="0" w:space="0" w:color="auto"/>
      </w:divBdr>
    </w:div>
    <w:div w:id="1110393248">
      <w:bodyDiv w:val="1"/>
      <w:marLeft w:val="0"/>
      <w:marRight w:val="0"/>
      <w:marTop w:val="0"/>
      <w:marBottom w:val="0"/>
      <w:divBdr>
        <w:top w:val="none" w:sz="0" w:space="0" w:color="auto"/>
        <w:left w:val="none" w:sz="0" w:space="0" w:color="auto"/>
        <w:bottom w:val="none" w:sz="0" w:space="0" w:color="auto"/>
        <w:right w:val="none" w:sz="0" w:space="0" w:color="auto"/>
      </w:divBdr>
    </w:div>
    <w:div w:id="1110586256">
      <w:bodyDiv w:val="1"/>
      <w:marLeft w:val="0"/>
      <w:marRight w:val="0"/>
      <w:marTop w:val="0"/>
      <w:marBottom w:val="0"/>
      <w:divBdr>
        <w:top w:val="none" w:sz="0" w:space="0" w:color="auto"/>
        <w:left w:val="none" w:sz="0" w:space="0" w:color="auto"/>
        <w:bottom w:val="none" w:sz="0" w:space="0" w:color="auto"/>
        <w:right w:val="none" w:sz="0" w:space="0" w:color="auto"/>
      </w:divBdr>
    </w:div>
    <w:div w:id="1111049617">
      <w:bodyDiv w:val="1"/>
      <w:marLeft w:val="0"/>
      <w:marRight w:val="0"/>
      <w:marTop w:val="0"/>
      <w:marBottom w:val="0"/>
      <w:divBdr>
        <w:top w:val="none" w:sz="0" w:space="0" w:color="auto"/>
        <w:left w:val="none" w:sz="0" w:space="0" w:color="auto"/>
        <w:bottom w:val="none" w:sz="0" w:space="0" w:color="auto"/>
        <w:right w:val="none" w:sz="0" w:space="0" w:color="auto"/>
      </w:divBdr>
    </w:div>
    <w:div w:id="1114981445">
      <w:bodyDiv w:val="1"/>
      <w:marLeft w:val="0"/>
      <w:marRight w:val="0"/>
      <w:marTop w:val="0"/>
      <w:marBottom w:val="0"/>
      <w:divBdr>
        <w:top w:val="none" w:sz="0" w:space="0" w:color="auto"/>
        <w:left w:val="none" w:sz="0" w:space="0" w:color="auto"/>
        <w:bottom w:val="none" w:sz="0" w:space="0" w:color="auto"/>
        <w:right w:val="none" w:sz="0" w:space="0" w:color="auto"/>
      </w:divBdr>
    </w:div>
    <w:div w:id="1115754030">
      <w:bodyDiv w:val="1"/>
      <w:marLeft w:val="0"/>
      <w:marRight w:val="0"/>
      <w:marTop w:val="0"/>
      <w:marBottom w:val="0"/>
      <w:divBdr>
        <w:top w:val="none" w:sz="0" w:space="0" w:color="auto"/>
        <w:left w:val="none" w:sz="0" w:space="0" w:color="auto"/>
        <w:bottom w:val="none" w:sz="0" w:space="0" w:color="auto"/>
        <w:right w:val="none" w:sz="0" w:space="0" w:color="auto"/>
      </w:divBdr>
    </w:div>
    <w:div w:id="1117144152">
      <w:bodyDiv w:val="1"/>
      <w:marLeft w:val="0"/>
      <w:marRight w:val="0"/>
      <w:marTop w:val="0"/>
      <w:marBottom w:val="0"/>
      <w:divBdr>
        <w:top w:val="none" w:sz="0" w:space="0" w:color="auto"/>
        <w:left w:val="none" w:sz="0" w:space="0" w:color="auto"/>
        <w:bottom w:val="none" w:sz="0" w:space="0" w:color="auto"/>
        <w:right w:val="none" w:sz="0" w:space="0" w:color="auto"/>
      </w:divBdr>
    </w:div>
    <w:div w:id="1118068012">
      <w:bodyDiv w:val="1"/>
      <w:marLeft w:val="0"/>
      <w:marRight w:val="0"/>
      <w:marTop w:val="0"/>
      <w:marBottom w:val="0"/>
      <w:divBdr>
        <w:top w:val="none" w:sz="0" w:space="0" w:color="auto"/>
        <w:left w:val="none" w:sz="0" w:space="0" w:color="auto"/>
        <w:bottom w:val="none" w:sz="0" w:space="0" w:color="auto"/>
        <w:right w:val="none" w:sz="0" w:space="0" w:color="auto"/>
      </w:divBdr>
    </w:div>
    <w:div w:id="1120882531">
      <w:bodyDiv w:val="1"/>
      <w:marLeft w:val="0"/>
      <w:marRight w:val="0"/>
      <w:marTop w:val="0"/>
      <w:marBottom w:val="0"/>
      <w:divBdr>
        <w:top w:val="none" w:sz="0" w:space="0" w:color="auto"/>
        <w:left w:val="none" w:sz="0" w:space="0" w:color="auto"/>
        <w:bottom w:val="none" w:sz="0" w:space="0" w:color="auto"/>
        <w:right w:val="none" w:sz="0" w:space="0" w:color="auto"/>
      </w:divBdr>
    </w:div>
    <w:div w:id="1121068823">
      <w:bodyDiv w:val="1"/>
      <w:marLeft w:val="0"/>
      <w:marRight w:val="0"/>
      <w:marTop w:val="0"/>
      <w:marBottom w:val="0"/>
      <w:divBdr>
        <w:top w:val="none" w:sz="0" w:space="0" w:color="auto"/>
        <w:left w:val="none" w:sz="0" w:space="0" w:color="auto"/>
        <w:bottom w:val="none" w:sz="0" w:space="0" w:color="auto"/>
        <w:right w:val="none" w:sz="0" w:space="0" w:color="auto"/>
      </w:divBdr>
    </w:div>
    <w:div w:id="1122263578">
      <w:bodyDiv w:val="1"/>
      <w:marLeft w:val="0"/>
      <w:marRight w:val="0"/>
      <w:marTop w:val="0"/>
      <w:marBottom w:val="0"/>
      <w:divBdr>
        <w:top w:val="none" w:sz="0" w:space="0" w:color="auto"/>
        <w:left w:val="none" w:sz="0" w:space="0" w:color="auto"/>
        <w:bottom w:val="none" w:sz="0" w:space="0" w:color="auto"/>
        <w:right w:val="none" w:sz="0" w:space="0" w:color="auto"/>
      </w:divBdr>
    </w:div>
    <w:div w:id="1122571246">
      <w:bodyDiv w:val="1"/>
      <w:marLeft w:val="0"/>
      <w:marRight w:val="0"/>
      <w:marTop w:val="0"/>
      <w:marBottom w:val="0"/>
      <w:divBdr>
        <w:top w:val="none" w:sz="0" w:space="0" w:color="auto"/>
        <w:left w:val="none" w:sz="0" w:space="0" w:color="auto"/>
        <w:bottom w:val="none" w:sz="0" w:space="0" w:color="auto"/>
        <w:right w:val="none" w:sz="0" w:space="0" w:color="auto"/>
      </w:divBdr>
    </w:div>
    <w:div w:id="1124419336">
      <w:bodyDiv w:val="1"/>
      <w:marLeft w:val="0"/>
      <w:marRight w:val="0"/>
      <w:marTop w:val="0"/>
      <w:marBottom w:val="0"/>
      <w:divBdr>
        <w:top w:val="none" w:sz="0" w:space="0" w:color="auto"/>
        <w:left w:val="none" w:sz="0" w:space="0" w:color="auto"/>
        <w:bottom w:val="none" w:sz="0" w:space="0" w:color="auto"/>
        <w:right w:val="none" w:sz="0" w:space="0" w:color="auto"/>
      </w:divBdr>
    </w:div>
    <w:div w:id="1124537212">
      <w:bodyDiv w:val="1"/>
      <w:marLeft w:val="0"/>
      <w:marRight w:val="0"/>
      <w:marTop w:val="0"/>
      <w:marBottom w:val="0"/>
      <w:divBdr>
        <w:top w:val="none" w:sz="0" w:space="0" w:color="auto"/>
        <w:left w:val="none" w:sz="0" w:space="0" w:color="auto"/>
        <w:bottom w:val="none" w:sz="0" w:space="0" w:color="auto"/>
        <w:right w:val="none" w:sz="0" w:space="0" w:color="auto"/>
      </w:divBdr>
    </w:div>
    <w:div w:id="1131440240">
      <w:bodyDiv w:val="1"/>
      <w:marLeft w:val="0"/>
      <w:marRight w:val="0"/>
      <w:marTop w:val="0"/>
      <w:marBottom w:val="0"/>
      <w:divBdr>
        <w:top w:val="none" w:sz="0" w:space="0" w:color="auto"/>
        <w:left w:val="none" w:sz="0" w:space="0" w:color="auto"/>
        <w:bottom w:val="none" w:sz="0" w:space="0" w:color="auto"/>
        <w:right w:val="none" w:sz="0" w:space="0" w:color="auto"/>
      </w:divBdr>
    </w:div>
    <w:div w:id="1133522308">
      <w:bodyDiv w:val="1"/>
      <w:marLeft w:val="0"/>
      <w:marRight w:val="0"/>
      <w:marTop w:val="0"/>
      <w:marBottom w:val="0"/>
      <w:divBdr>
        <w:top w:val="none" w:sz="0" w:space="0" w:color="auto"/>
        <w:left w:val="none" w:sz="0" w:space="0" w:color="auto"/>
        <w:bottom w:val="none" w:sz="0" w:space="0" w:color="auto"/>
        <w:right w:val="none" w:sz="0" w:space="0" w:color="auto"/>
      </w:divBdr>
    </w:div>
    <w:div w:id="1133908564">
      <w:bodyDiv w:val="1"/>
      <w:marLeft w:val="0"/>
      <w:marRight w:val="0"/>
      <w:marTop w:val="0"/>
      <w:marBottom w:val="0"/>
      <w:divBdr>
        <w:top w:val="none" w:sz="0" w:space="0" w:color="auto"/>
        <w:left w:val="none" w:sz="0" w:space="0" w:color="auto"/>
        <w:bottom w:val="none" w:sz="0" w:space="0" w:color="auto"/>
        <w:right w:val="none" w:sz="0" w:space="0" w:color="auto"/>
      </w:divBdr>
    </w:div>
    <w:div w:id="1146898661">
      <w:bodyDiv w:val="1"/>
      <w:marLeft w:val="0"/>
      <w:marRight w:val="0"/>
      <w:marTop w:val="0"/>
      <w:marBottom w:val="0"/>
      <w:divBdr>
        <w:top w:val="none" w:sz="0" w:space="0" w:color="auto"/>
        <w:left w:val="none" w:sz="0" w:space="0" w:color="auto"/>
        <w:bottom w:val="none" w:sz="0" w:space="0" w:color="auto"/>
        <w:right w:val="none" w:sz="0" w:space="0" w:color="auto"/>
      </w:divBdr>
    </w:div>
    <w:div w:id="1151824836">
      <w:bodyDiv w:val="1"/>
      <w:marLeft w:val="0"/>
      <w:marRight w:val="0"/>
      <w:marTop w:val="0"/>
      <w:marBottom w:val="0"/>
      <w:divBdr>
        <w:top w:val="none" w:sz="0" w:space="0" w:color="auto"/>
        <w:left w:val="none" w:sz="0" w:space="0" w:color="auto"/>
        <w:bottom w:val="none" w:sz="0" w:space="0" w:color="auto"/>
        <w:right w:val="none" w:sz="0" w:space="0" w:color="auto"/>
      </w:divBdr>
    </w:div>
    <w:div w:id="1153329933">
      <w:bodyDiv w:val="1"/>
      <w:marLeft w:val="0"/>
      <w:marRight w:val="0"/>
      <w:marTop w:val="0"/>
      <w:marBottom w:val="0"/>
      <w:divBdr>
        <w:top w:val="none" w:sz="0" w:space="0" w:color="auto"/>
        <w:left w:val="none" w:sz="0" w:space="0" w:color="auto"/>
        <w:bottom w:val="none" w:sz="0" w:space="0" w:color="auto"/>
        <w:right w:val="none" w:sz="0" w:space="0" w:color="auto"/>
      </w:divBdr>
    </w:div>
    <w:div w:id="1155991597">
      <w:bodyDiv w:val="1"/>
      <w:marLeft w:val="0"/>
      <w:marRight w:val="0"/>
      <w:marTop w:val="0"/>
      <w:marBottom w:val="0"/>
      <w:divBdr>
        <w:top w:val="none" w:sz="0" w:space="0" w:color="auto"/>
        <w:left w:val="none" w:sz="0" w:space="0" w:color="auto"/>
        <w:bottom w:val="none" w:sz="0" w:space="0" w:color="auto"/>
        <w:right w:val="none" w:sz="0" w:space="0" w:color="auto"/>
      </w:divBdr>
    </w:div>
    <w:div w:id="1156409948">
      <w:bodyDiv w:val="1"/>
      <w:marLeft w:val="0"/>
      <w:marRight w:val="0"/>
      <w:marTop w:val="0"/>
      <w:marBottom w:val="0"/>
      <w:divBdr>
        <w:top w:val="none" w:sz="0" w:space="0" w:color="auto"/>
        <w:left w:val="none" w:sz="0" w:space="0" w:color="auto"/>
        <w:bottom w:val="none" w:sz="0" w:space="0" w:color="auto"/>
        <w:right w:val="none" w:sz="0" w:space="0" w:color="auto"/>
      </w:divBdr>
    </w:div>
    <w:div w:id="1164203321">
      <w:bodyDiv w:val="1"/>
      <w:marLeft w:val="0"/>
      <w:marRight w:val="0"/>
      <w:marTop w:val="0"/>
      <w:marBottom w:val="0"/>
      <w:divBdr>
        <w:top w:val="none" w:sz="0" w:space="0" w:color="auto"/>
        <w:left w:val="none" w:sz="0" w:space="0" w:color="auto"/>
        <w:bottom w:val="none" w:sz="0" w:space="0" w:color="auto"/>
        <w:right w:val="none" w:sz="0" w:space="0" w:color="auto"/>
      </w:divBdr>
    </w:div>
    <w:div w:id="1164665685">
      <w:bodyDiv w:val="1"/>
      <w:marLeft w:val="0"/>
      <w:marRight w:val="0"/>
      <w:marTop w:val="0"/>
      <w:marBottom w:val="0"/>
      <w:divBdr>
        <w:top w:val="none" w:sz="0" w:space="0" w:color="auto"/>
        <w:left w:val="none" w:sz="0" w:space="0" w:color="auto"/>
        <w:bottom w:val="none" w:sz="0" w:space="0" w:color="auto"/>
        <w:right w:val="none" w:sz="0" w:space="0" w:color="auto"/>
      </w:divBdr>
    </w:div>
    <w:div w:id="1165122580">
      <w:bodyDiv w:val="1"/>
      <w:marLeft w:val="0"/>
      <w:marRight w:val="0"/>
      <w:marTop w:val="0"/>
      <w:marBottom w:val="0"/>
      <w:divBdr>
        <w:top w:val="none" w:sz="0" w:space="0" w:color="auto"/>
        <w:left w:val="none" w:sz="0" w:space="0" w:color="auto"/>
        <w:bottom w:val="none" w:sz="0" w:space="0" w:color="auto"/>
        <w:right w:val="none" w:sz="0" w:space="0" w:color="auto"/>
      </w:divBdr>
    </w:div>
    <w:div w:id="1165126105">
      <w:bodyDiv w:val="1"/>
      <w:marLeft w:val="0"/>
      <w:marRight w:val="0"/>
      <w:marTop w:val="0"/>
      <w:marBottom w:val="0"/>
      <w:divBdr>
        <w:top w:val="none" w:sz="0" w:space="0" w:color="auto"/>
        <w:left w:val="none" w:sz="0" w:space="0" w:color="auto"/>
        <w:bottom w:val="none" w:sz="0" w:space="0" w:color="auto"/>
        <w:right w:val="none" w:sz="0" w:space="0" w:color="auto"/>
      </w:divBdr>
    </w:div>
    <w:div w:id="1165365174">
      <w:bodyDiv w:val="1"/>
      <w:marLeft w:val="0"/>
      <w:marRight w:val="0"/>
      <w:marTop w:val="0"/>
      <w:marBottom w:val="0"/>
      <w:divBdr>
        <w:top w:val="none" w:sz="0" w:space="0" w:color="auto"/>
        <w:left w:val="none" w:sz="0" w:space="0" w:color="auto"/>
        <w:bottom w:val="none" w:sz="0" w:space="0" w:color="auto"/>
        <w:right w:val="none" w:sz="0" w:space="0" w:color="auto"/>
      </w:divBdr>
    </w:div>
    <w:div w:id="1168134737">
      <w:bodyDiv w:val="1"/>
      <w:marLeft w:val="0"/>
      <w:marRight w:val="0"/>
      <w:marTop w:val="0"/>
      <w:marBottom w:val="0"/>
      <w:divBdr>
        <w:top w:val="none" w:sz="0" w:space="0" w:color="auto"/>
        <w:left w:val="none" w:sz="0" w:space="0" w:color="auto"/>
        <w:bottom w:val="none" w:sz="0" w:space="0" w:color="auto"/>
        <w:right w:val="none" w:sz="0" w:space="0" w:color="auto"/>
      </w:divBdr>
    </w:div>
    <w:div w:id="1170490575">
      <w:bodyDiv w:val="1"/>
      <w:marLeft w:val="0"/>
      <w:marRight w:val="0"/>
      <w:marTop w:val="0"/>
      <w:marBottom w:val="0"/>
      <w:divBdr>
        <w:top w:val="none" w:sz="0" w:space="0" w:color="auto"/>
        <w:left w:val="none" w:sz="0" w:space="0" w:color="auto"/>
        <w:bottom w:val="none" w:sz="0" w:space="0" w:color="auto"/>
        <w:right w:val="none" w:sz="0" w:space="0" w:color="auto"/>
      </w:divBdr>
    </w:div>
    <w:div w:id="1172067648">
      <w:bodyDiv w:val="1"/>
      <w:marLeft w:val="0"/>
      <w:marRight w:val="0"/>
      <w:marTop w:val="0"/>
      <w:marBottom w:val="0"/>
      <w:divBdr>
        <w:top w:val="none" w:sz="0" w:space="0" w:color="auto"/>
        <w:left w:val="none" w:sz="0" w:space="0" w:color="auto"/>
        <w:bottom w:val="none" w:sz="0" w:space="0" w:color="auto"/>
        <w:right w:val="none" w:sz="0" w:space="0" w:color="auto"/>
      </w:divBdr>
    </w:div>
    <w:div w:id="1172255436">
      <w:bodyDiv w:val="1"/>
      <w:marLeft w:val="0"/>
      <w:marRight w:val="0"/>
      <w:marTop w:val="0"/>
      <w:marBottom w:val="0"/>
      <w:divBdr>
        <w:top w:val="none" w:sz="0" w:space="0" w:color="auto"/>
        <w:left w:val="none" w:sz="0" w:space="0" w:color="auto"/>
        <w:bottom w:val="none" w:sz="0" w:space="0" w:color="auto"/>
        <w:right w:val="none" w:sz="0" w:space="0" w:color="auto"/>
      </w:divBdr>
    </w:div>
    <w:div w:id="1172721335">
      <w:bodyDiv w:val="1"/>
      <w:marLeft w:val="0"/>
      <w:marRight w:val="0"/>
      <w:marTop w:val="0"/>
      <w:marBottom w:val="0"/>
      <w:divBdr>
        <w:top w:val="none" w:sz="0" w:space="0" w:color="auto"/>
        <w:left w:val="none" w:sz="0" w:space="0" w:color="auto"/>
        <w:bottom w:val="none" w:sz="0" w:space="0" w:color="auto"/>
        <w:right w:val="none" w:sz="0" w:space="0" w:color="auto"/>
      </w:divBdr>
    </w:div>
    <w:div w:id="1180199713">
      <w:bodyDiv w:val="1"/>
      <w:marLeft w:val="0"/>
      <w:marRight w:val="0"/>
      <w:marTop w:val="0"/>
      <w:marBottom w:val="0"/>
      <w:divBdr>
        <w:top w:val="none" w:sz="0" w:space="0" w:color="auto"/>
        <w:left w:val="none" w:sz="0" w:space="0" w:color="auto"/>
        <w:bottom w:val="none" w:sz="0" w:space="0" w:color="auto"/>
        <w:right w:val="none" w:sz="0" w:space="0" w:color="auto"/>
      </w:divBdr>
    </w:div>
    <w:div w:id="1181165772">
      <w:bodyDiv w:val="1"/>
      <w:marLeft w:val="0"/>
      <w:marRight w:val="0"/>
      <w:marTop w:val="0"/>
      <w:marBottom w:val="0"/>
      <w:divBdr>
        <w:top w:val="none" w:sz="0" w:space="0" w:color="auto"/>
        <w:left w:val="none" w:sz="0" w:space="0" w:color="auto"/>
        <w:bottom w:val="none" w:sz="0" w:space="0" w:color="auto"/>
        <w:right w:val="none" w:sz="0" w:space="0" w:color="auto"/>
      </w:divBdr>
    </w:div>
    <w:div w:id="1182738845">
      <w:bodyDiv w:val="1"/>
      <w:marLeft w:val="0"/>
      <w:marRight w:val="0"/>
      <w:marTop w:val="0"/>
      <w:marBottom w:val="0"/>
      <w:divBdr>
        <w:top w:val="none" w:sz="0" w:space="0" w:color="auto"/>
        <w:left w:val="none" w:sz="0" w:space="0" w:color="auto"/>
        <w:bottom w:val="none" w:sz="0" w:space="0" w:color="auto"/>
        <w:right w:val="none" w:sz="0" w:space="0" w:color="auto"/>
      </w:divBdr>
    </w:div>
    <w:div w:id="1185708416">
      <w:bodyDiv w:val="1"/>
      <w:marLeft w:val="0"/>
      <w:marRight w:val="0"/>
      <w:marTop w:val="0"/>
      <w:marBottom w:val="0"/>
      <w:divBdr>
        <w:top w:val="none" w:sz="0" w:space="0" w:color="auto"/>
        <w:left w:val="none" w:sz="0" w:space="0" w:color="auto"/>
        <w:bottom w:val="none" w:sz="0" w:space="0" w:color="auto"/>
        <w:right w:val="none" w:sz="0" w:space="0" w:color="auto"/>
      </w:divBdr>
    </w:div>
    <w:div w:id="1186140310">
      <w:bodyDiv w:val="1"/>
      <w:marLeft w:val="0"/>
      <w:marRight w:val="0"/>
      <w:marTop w:val="0"/>
      <w:marBottom w:val="0"/>
      <w:divBdr>
        <w:top w:val="none" w:sz="0" w:space="0" w:color="auto"/>
        <w:left w:val="none" w:sz="0" w:space="0" w:color="auto"/>
        <w:bottom w:val="none" w:sz="0" w:space="0" w:color="auto"/>
        <w:right w:val="none" w:sz="0" w:space="0" w:color="auto"/>
      </w:divBdr>
    </w:div>
    <w:div w:id="1187910215">
      <w:bodyDiv w:val="1"/>
      <w:marLeft w:val="0"/>
      <w:marRight w:val="0"/>
      <w:marTop w:val="0"/>
      <w:marBottom w:val="0"/>
      <w:divBdr>
        <w:top w:val="none" w:sz="0" w:space="0" w:color="auto"/>
        <w:left w:val="none" w:sz="0" w:space="0" w:color="auto"/>
        <w:bottom w:val="none" w:sz="0" w:space="0" w:color="auto"/>
        <w:right w:val="none" w:sz="0" w:space="0" w:color="auto"/>
      </w:divBdr>
    </w:div>
    <w:div w:id="1195919381">
      <w:bodyDiv w:val="1"/>
      <w:marLeft w:val="0"/>
      <w:marRight w:val="0"/>
      <w:marTop w:val="0"/>
      <w:marBottom w:val="0"/>
      <w:divBdr>
        <w:top w:val="none" w:sz="0" w:space="0" w:color="auto"/>
        <w:left w:val="none" w:sz="0" w:space="0" w:color="auto"/>
        <w:bottom w:val="none" w:sz="0" w:space="0" w:color="auto"/>
        <w:right w:val="none" w:sz="0" w:space="0" w:color="auto"/>
      </w:divBdr>
    </w:div>
    <w:div w:id="1200630052">
      <w:bodyDiv w:val="1"/>
      <w:marLeft w:val="0"/>
      <w:marRight w:val="0"/>
      <w:marTop w:val="0"/>
      <w:marBottom w:val="0"/>
      <w:divBdr>
        <w:top w:val="none" w:sz="0" w:space="0" w:color="auto"/>
        <w:left w:val="none" w:sz="0" w:space="0" w:color="auto"/>
        <w:bottom w:val="none" w:sz="0" w:space="0" w:color="auto"/>
        <w:right w:val="none" w:sz="0" w:space="0" w:color="auto"/>
      </w:divBdr>
    </w:div>
    <w:div w:id="1207987157">
      <w:bodyDiv w:val="1"/>
      <w:marLeft w:val="0"/>
      <w:marRight w:val="0"/>
      <w:marTop w:val="0"/>
      <w:marBottom w:val="0"/>
      <w:divBdr>
        <w:top w:val="none" w:sz="0" w:space="0" w:color="auto"/>
        <w:left w:val="none" w:sz="0" w:space="0" w:color="auto"/>
        <w:bottom w:val="none" w:sz="0" w:space="0" w:color="auto"/>
        <w:right w:val="none" w:sz="0" w:space="0" w:color="auto"/>
      </w:divBdr>
    </w:div>
    <w:div w:id="1212038477">
      <w:bodyDiv w:val="1"/>
      <w:marLeft w:val="0"/>
      <w:marRight w:val="0"/>
      <w:marTop w:val="0"/>
      <w:marBottom w:val="0"/>
      <w:divBdr>
        <w:top w:val="none" w:sz="0" w:space="0" w:color="auto"/>
        <w:left w:val="none" w:sz="0" w:space="0" w:color="auto"/>
        <w:bottom w:val="none" w:sz="0" w:space="0" w:color="auto"/>
        <w:right w:val="none" w:sz="0" w:space="0" w:color="auto"/>
      </w:divBdr>
    </w:div>
    <w:div w:id="1229223443">
      <w:bodyDiv w:val="1"/>
      <w:marLeft w:val="0"/>
      <w:marRight w:val="0"/>
      <w:marTop w:val="0"/>
      <w:marBottom w:val="0"/>
      <w:divBdr>
        <w:top w:val="none" w:sz="0" w:space="0" w:color="auto"/>
        <w:left w:val="none" w:sz="0" w:space="0" w:color="auto"/>
        <w:bottom w:val="none" w:sz="0" w:space="0" w:color="auto"/>
        <w:right w:val="none" w:sz="0" w:space="0" w:color="auto"/>
      </w:divBdr>
    </w:div>
    <w:div w:id="1231230927">
      <w:bodyDiv w:val="1"/>
      <w:marLeft w:val="0"/>
      <w:marRight w:val="0"/>
      <w:marTop w:val="0"/>
      <w:marBottom w:val="0"/>
      <w:divBdr>
        <w:top w:val="none" w:sz="0" w:space="0" w:color="auto"/>
        <w:left w:val="none" w:sz="0" w:space="0" w:color="auto"/>
        <w:bottom w:val="none" w:sz="0" w:space="0" w:color="auto"/>
        <w:right w:val="none" w:sz="0" w:space="0" w:color="auto"/>
      </w:divBdr>
    </w:div>
    <w:div w:id="1233269406">
      <w:bodyDiv w:val="1"/>
      <w:marLeft w:val="0"/>
      <w:marRight w:val="0"/>
      <w:marTop w:val="0"/>
      <w:marBottom w:val="0"/>
      <w:divBdr>
        <w:top w:val="none" w:sz="0" w:space="0" w:color="auto"/>
        <w:left w:val="none" w:sz="0" w:space="0" w:color="auto"/>
        <w:bottom w:val="none" w:sz="0" w:space="0" w:color="auto"/>
        <w:right w:val="none" w:sz="0" w:space="0" w:color="auto"/>
      </w:divBdr>
    </w:div>
    <w:div w:id="1233463851">
      <w:bodyDiv w:val="1"/>
      <w:marLeft w:val="0"/>
      <w:marRight w:val="0"/>
      <w:marTop w:val="0"/>
      <w:marBottom w:val="0"/>
      <w:divBdr>
        <w:top w:val="none" w:sz="0" w:space="0" w:color="auto"/>
        <w:left w:val="none" w:sz="0" w:space="0" w:color="auto"/>
        <w:bottom w:val="none" w:sz="0" w:space="0" w:color="auto"/>
        <w:right w:val="none" w:sz="0" w:space="0" w:color="auto"/>
      </w:divBdr>
    </w:div>
    <w:div w:id="1234701694">
      <w:bodyDiv w:val="1"/>
      <w:marLeft w:val="0"/>
      <w:marRight w:val="0"/>
      <w:marTop w:val="0"/>
      <w:marBottom w:val="0"/>
      <w:divBdr>
        <w:top w:val="none" w:sz="0" w:space="0" w:color="auto"/>
        <w:left w:val="none" w:sz="0" w:space="0" w:color="auto"/>
        <w:bottom w:val="none" w:sz="0" w:space="0" w:color="auto"/>
        <w:right w:val="none" w:sz="0" w:space="0" w:color="auto"/>
      </w:divBdr>
    </w:div>
    <w:div w:id="1235162858">
      <w:bodyDiv w:val="1"/>
      <w:marLeft w:val="0"/>
      <w:marRight w:val="0"/>
      <w:marTop w:val="0"/>
      <w:marBottom w:val="0"/>
      <w:divBdr>
        <w:top w:val="none" w:sz="0" w:space="0" w:color="auto"/>
        <w:left w:val="none" w:sz="0" w:space="0" w:color="auto"/>
        <w:bottom w:val="none" w:sz="0" w:space="0" w:color="auto"/>
        <w:right w:val="none" w:sz="0" w:space="0" w:color="auto"/>
      </w:divBdr>
    </w:div>
    <w:div w:id="1238586926">
      <w:bodyDiv w:val="1"/>
      <w:marLeft w:val="0"/>
      <w:marRight w:val="0"/>
      <w:marTop w:val="0"/>
      <w:marBottom w:val="0"/>
      <w:divBdr>
        <w:top w:val="none" w:sz="0" w:space="0" w:color="auto"/>
        <w:left w:val="none" w:sz="0" w:space="0" w:color="auto"/>
        <w:bottom w:val="none" w:sz="0" w:space="0" w:color="auto"/>
        <w:right w:val="none" w:sz="0" w:space="0" w:color="auto"/>
      </w:divBdr>
    </w:div>
    <w:div w:id="1239680297">
      <w:bodyDiv w:val="1"/>
      <w:marLeft w:val="0"/>
      <w:marRight w:val="0"/>
      <w:marTop w:val="0"/>
      <w:marBottom w:val="0"/>
      <w:divBdr>
        <w:top w:val="none" w:sz="0" w:space="0" w:color="auto"/>
        <w:left w:val="none" w:sz="0" w:space="0" w:color="auto"/>
        <w:bottom w:val="none" w:sz="0" w:space="0" w:color="auto"/>
        <w:right w:val="none" w:sz="0" w:space="0" w:color="auto"/>
      </w:divBdr>
    </w:div>
    <w:div w:id="1244677663">
      <w:bodyDiv w:val="1"/>
      <w:marLeft w:val="0"/>
      <w:marRight w:val="0"/>
      <w:marTop w:val="0"/>
      <w:marBottom w:val="0"/>
      <w:divBdr>
        <w:top w:val="none" w:sz="0" w:space="0" w:color="auto"/>
        <w:left w:val="none" w:sz="0" w:space="0" w:color="auto"/>
        <w:bottom w:val="none" w:sz="0" w:space="0" w:color="auto"/>
        <w:right w:val="none" w:sz="0" w:space="0" w:color="auto"/>
      </w:divBdr>
    </w:div>
    <w:div w:id="1246767558">
      <w:bodyDiv w:val="1"/>
      <w:marLeft w:val="0"/>
      <w:marRight w:val="0"/>
      <w:marTop w:val="0"/>
      <w:marBottom w:val="0"/>
      <w:divBdr>
        <w:top w:val="none" w:sz="0" w:space="0" w:color="auto"/>
        <w:left w:val="none" w:sz="0" w:space="0" w:color="auto"/>
        <w:bottom w:val="none" w:sz="0" w:space="0" w:color="auto"/>
        <w:right w:val="none" w:sz="0" w:space="0" w:color="auto"/>
      </w:divBdr>
    </w:div>
    <w:div w:id="1248734378">
      <w:bodyDiv w:val="1"/>
      <w:marLeft w:val="0"/>
      <w:marRight w:val="0"/>
      <w:marTop w:val="0"/>
      <w:marBottom w:val="0"/>
      <w:divBdr>
        <w:top w:val="none" w:sz="0" w:space="0" w:color="auto"/>
        <w:left w:val="none" w:sz="0" w:space="0" w:color="auto"/>
        <w:bottom w:val="none" w:sz="0" w:space="0" w:color="auto"/>
        <w:right w:val="none" w:sz="0" w:space="0" w:color="auto"/>
      </w:divBdr>
    </w:div>
    <w:div w:id="1254046751">
      <w:bodyDiv w:val="1"/>
      <w:marLeft w:val="0"/>
      <w:marRight w:val="0"/>
      <w:marTop w:val="0"/>
      <w:marBottom w:val="0"/>
      <w:divBdr>
        <w:top w:val="none" w:sz="0" w:space="0" w:color="auto"/>
        <w:left w:val="none" w:sz="0" w:space="0" w:color="auto"/>
        <w:bottom w:val="none" w:sz="0" w:space="0" w:color="auto"/>
        <w:right w:val="none" w:sz="0" w:space="0" w:color="auto"/>
      </w:divBdr>
    </w:div>
    <w:div w:id="1256552445">
      <w:bodyDiv w:val="1"/>
      <w:marLeft w:val="0"/>
      <w:marRight w:val="0"/>
      <w:marTop w:val="0"/>
      <w:marBottom w:val="0"/>
      <w:divBdr>
        <w:top w:val="none" w:sz="0" w:space="0" w:color="auto"/>
        <w:left w:val="none" w:sz="0" w:space="0" w:color="auto"/>
        <w:bottom w:val="none" w:sz="0" w:space="0" w:color="auto"/>
        <w:right w:val="none" w:sz="0" w:space="0" w:color="auto"/>
      </w:divBdr>
    </w:div>
    <w:div w:id="1258176766">
      <w:bodyDiv w:val="1"/>
      <w:marLeft w:val="0"/>
      <w:marRight w:val="0"/>
      <w:marTop w:val="0"/>
      <w:marBottom w:val="0"/>
      <w:divBdr>
        <w:top w:val="none" w:sz="0" w:space="0" w:color="auto"/>
        <w:left w:val="none" w:sz="0" w:space="0" w:color="auto"/>
        <w:bottom w:val="none" w:sz="0" w:space="0" w:color="auto"/>
        <w:right w:val="none" w:sz="0" w:space="0" w:color="auto"/>
      </w:divBdr>
    </w:div>
    <w:div w:id="1261111270">
      <w:bodyDiv w:val="1"/>
      <w:marLeft w:val="0"/>
      <w:marRight w:val="0"/>
      <w:marTop w:val="0"/>
      <w:marBottom w:val="0"/>
      <w:divBdr>
        <w:top w:val="none" w:sz="0" w:space="0" w:color="auto"/>
        <w:left w:val="none" w:sz="0" w:space="0" w:color="auto"/>
        <w:bottom w:val="none" w:sz="0" w:space="0" w:color="auto"/>
        <w:right w:val="none" w:sz="0" w:space="0" w:color="auto"/>
      </w:divBdr>
    </w:div>
    <w:div w:id="1265184017">
      <w:bodyDiv w:val="1"/>
      <w:marLeft w:val="0"/>
      <w:marRight w:val="0"/>
      <w:marTop w:val="0"/>
      <w:marBottom w:val="0"/>
      <w:divBdr>
        <w:top w:val="none" w:sz="0" w:space="0" w:color="auto"/>
        <w:left w:val="none" w:sz="0" w:space="0" w:color="auto"/>
        <w:bottom w:val="none" w:sz="0" w:space="0" w:color="auto"/>
        <w:right w:val="none" w:sz="0" w:space="0" w:color="auto"/>
      </w:divBdr>
    </w:div>
    <w:div w:id="1265918171">
      <w:bodyDiv w:val="1"/>
      <w:marLeft w:val="0"/>
      <w:marRight w:val="0"/>
      <w:marTop w:val="0"/>
      <w:marBottom w:val="0"/>
      <w:divBdr>
        <w:top w:val="none" w:sz="0" w:space="0" w:color="auto"/>
        <w:left w:val="none" w:sz="0" w:space="0" w:color="auto"/>
        <w:bottom w:val="none" w:sz="0" w:space="0" w:color="auto"/>
        <w:right w:val="none" w:sz="0" w:space="0" w:color="auto"/>
      </w:divBdr>
    </w:div>
    <w:div w:id="1269117069">
      <w:bodyDiv w:val="1"/>
      <w:marLeft w:val="0"/>
      <w:marRight w:val="0"/>
      <w:marTop w:val="0"/>
      <w:marBottom w:val="0"/>
      <w:divBdr>
        <w:top w:val="none" w:sz="0" w:space="0" w:color="auto"/>
        <w:left w:val="none" w:sz="0" w:space="0" w:color="auto"/>
        <w:bottom w:val="none" w:sz="0" w:space="0" w:color="auto"/>
        <w:right w:val="none" w:sz="0" w:space="0" w:color="auto"/>
      </w:divBdr>
    </w:div>
    <w:div w:id="1270502221">
      <w:bodyDiv w:val="1"/>
      <w:marLeft w:val="0"/>
      <w:marRight w:val="0"/>
      <w:marTop w:val="0"/>
      <w:marBottom w:val="0"/>
      <w:divBdr>
        <w:top w:val="none" w:sz="0" w:space="0" w:color="auto"/>
        <w:left w:val="none" w:sz="0" w:space="0" w:color="auto"/>
        <w:bottom w:val="none" w:sz="0" w:space="0" w:color="auto"/>
        <w:right w:val="none" w:sz="0" w:space="0" w:color="auto"/>
      </w:divBdr>
    </w:div>
    <w:div w:id="1271627168">
      <w:bodyDiv w:val="1"/>
      <w:marLeft w:val="0"/>
      <w:marRight w:val="0"/>
      <w:marTop w:val="0"/>
      <w:marBottom w:val="0"/>
      <w:divBdr>
        <w:top w:val="none" w:sz="0" w:space="0" w:color="auto"/>
        <w:left w:val="none" w:sz="0" w:space="0" w:color="auto"/>
        <w:bottom w:val="none" w:sz="0" w:space="0" w:color="auto"/>
        <w:right w:val="none" w:sz="0" w:space="0" w:color="auto"/>
      </w:divBdr>
    </w:div>
    <w:div w:id="1272397406">
      <w:bodyDiv w:val="1"/>
      <w:marLeft w:val="0"/>
      <w:marRight w:val="0"/>
      <w:marTop w:val="0"/>
      <w:marBottom w:val="0"/>
      <w:divBdr>
        <w:top w:val="none" w:sz="0" w:space="0" w:color="auto"/>
        <w:left w:val="none" w:sz="0" w:space="0" w:color="auto"/>
        <w:bottom w:val="none" w:sz="0" w:space="0" w:color="auto"/>
        <w:right w:val="none" w:sz="0" w:space="0" w:color="auto"/>
      </w:divBdr>
    </w:div>
    <w:div w:id="1274361733">
      <w:bodyDiv w:val="1"/>
      <w:marLeft w:val="0"/>
      <w:marRight w:val="0"/>
      <w:marTop w:val="0"/>
      <w:marBottom w:val="0"/>
      <w:divBdr>
        <w:top w:val="none" w:sz="0" w:space="0" w:color="auto"/>
        <w:left w:val="none" w:sz="0" w:space="0" w:color="auto"/>
        <w:bottom w:val="none" w:sz="0" w:space="0" w:color="auto"/>
        <w:right w:val="none" w:sz="0" w:space="0" w:color="auto"/>
      </w:divBdr>
    </w:div>
    <w:div w:id="1276331632">
      <w:bodyDiv w:val="1"/>
      <w:marLeft w:val="0"/>
      <w:marRight w:val="0"/>
      <w:marTop w:val="0"/>
      <w:marBottom w:val="0"/>
      <w:divBdr>
        <w:top w:val="none" w:sz="0" w:space="0" w:color="auto"/>
        <w:left w:val="none" w:sz="0" w:space="0" w:color="auto"/>
        <w:bottom w:val="none" w:sz="0" w:space="0" w:color="auto"/>
        <w:right w:val="none" w:sz="0" w:space="0" w:color="auto"/>
      </w:divBdr>
    </w:div>
    <w:div w:id="1278634455">
      <w:bodyDiv w:val="1"/>
      <w:marLeft w:val="0"/>
      <w:marRight w:val="0"/>
      <w:marTop w:val="0"/>
      <w:marBottom w:val="0"/>
      <w:divBdr>
        <w:top w:val="none" w:sz="0" w:space="0" w:color="auto"/>
        <w:left w:val="none" w:sz="0" w:space="0" w:color="auto"/>
        <w:bottom w:val="none" w:sz="0" w:space="0" w:color="auto"/>
        <w:right w:val="none" w:sz="0" w:space="0" w:color="auto"/>
      </w:divBdr>
    </w:div>
    <w:div w:id="1280604355">
      <w:bodyDiv w:val="1"/>
      <w:marLeft w:val="0"/>
      <w:marRight w:val="0"/>
      <w:marTop w:val="0"/>
      <w:marBottom w:val="0"/>
      <w:divBdr>
        <w:top w:val="none" w:sz="0" w:space="0" w:color="auto"/>
        <w:left w:val="none" w:sz="0" w:space="0" w:color="auto"/>
        <w:bottom w:val="none" w:sz="0" w:space="0" w:color="auto"/>
        <w:right w:val="none" w:sz="0" w:space="0" w:color="auto"/>
      </w:divBdr>
    </w:div>
    <w:div w:id="1285845586">
      <w:bodyDiv w:val="1"/>
      <w:marLeft w:val="0"/>
      <w:marRight w:val="0"/>
      <w:marTop w:val="0"/>
      <w:marBottom w:val="0"/>
      <w:divBdr>
        <w:top w:val="none" w:sz="0" w:space="0" w:color="auto"/>
        <w:left w:val="none" w:sz="0" w:space="0" w:color="auto"/>
        <w:bottom w:val="none" w:sz="0" w:space="0" w:color="auto"/>
        <w:right w:val="none" w:sz="0" w:space="0" w:color="auto"/>
      </w:divBdr>
    </w:div>
    <w:div w:id="1290285290">
      <w:bodyDiv w:val="1"/>
      <w:marLeft w:val="0"/>
      <w:marRight w:val="0"/>
      <w:marTop w:val="0"/>
      <w:marBottom w:val="0"/>
      <w:divBdr>
        <w:top w:val="none" w:sz="0" w:space="0" w:color="auto"/>
        <w:left w:val="none" w:sz="0" w:space="0" w:color="auto"/>
        <w:bottom w:val="none" w:sz="0" w:space="0" w:color="auto"/>
        <w:right w:val="none" w:sz="0" w:space="0" w:color="auto"/>
      </w:divBdr>
    </w:div>
    <w:div w:id="1291329086">
      <w:bodyDiv w:val="1"/>
      <w:marLeft w:val="0"/>
      <w:marRight w:val="0"/>
      <w:marTop w:val="0"/>
      <w:marBottom w:val="0"/>
      <w:divBdr>
        <w:top w:val="none" w:sz="0" w:space="0" w:color="auto"/>
        <w:left w:val="none" w:sz="0" w:space="0" w:color="auto"/>
        <w:bottom w:val="none" w:sz="0" w:space="0" w:color="auto"/>
        <w:right w:val="none" w:sz="0" w:space="0" w:color="auto"/>
      </w:divBdr>
    </w:div>
    <w:div w:id="1292860943">
      <w:bodyDiv w:val="1"/>
      <w:marLeft w:val="0"/>
      <w:marRight w:val="0"/>
      <w:marTop w:val="0"/>
      <w:marBottom w:val="0"/>
      <w:divBdr>
        <w:top w:val="none" w:sz="0" w:space="0" w:color="auto"/>
        <w:left w:val="none" w:sz="0" w:space="0" w:color="auto"/>
        <w:bottom w:val="none" w:sz="0" w:space="0" w:color="auto"/>
        <w:right w:val="none" w:sz="0" w:space="0" w:color="auto"/>
      </w:divBdr>
    </w:div>
    <w:div w:id="1294868759">
      <w:bodyDiv w:val="1"/>
      <w:marLeft w:val="0"/>
      <w:marRight w:val="0"/>
      <w:marTop w:val="0"/>
      <w:marBottom w:val="0"/>
      <w:divBdr>
        <w:top w:val="none" w:sz="0" w:space="0" w:color="auto"/>
        <w:left w:val="none" w:sz="0" w:space="0" w:color="auto"/>
        <w:bottom w:val="none" w:sz="0" w:space="0" w:color="auto"/>
        <w:right w:val="none" w:sz="0" w:space="0" w:color="auto"/>
      </w:divBdr>
    </w:div>
    <w:div w:id="1295022625">
      <w:bodyDiv w:val="1"/>
      <w:marLeft w:val="0"/>
      <w:marRight w:val="0"/>
      <w:marTop w:val="0"/>
      <w:marBottom w:val="0"/>
      <w:divBdr>
        <w:top w:val="none" w:sz="0" w:space="0" w:color="auto"/>
        <w:left w:val="none" w:sz="0" w:space="0" w:color="auto"/>
        <w:bottom w:val="none" w:sz="0" w:space="0" w:color="auto"/>
        <w:right w:val="none" w:sz="0" w:space="0" w:color="auto"/>
      </w:divBdr>
    </w:div>
    <w:div w:id="1299074322">
      <w:bodyDiv w:val="1"/>
      <w:marLeft w:val="0"/>
      <w:marRight w:val="0"/>
      <w:marTop w:val="0"/>
      <w:marBottom w:val="0"/>
      <w:divBdr>
        <w:top w:val="none" w:sz="0" w:space="0" w:color="auto"/>
        <w:left w:val="none" w:sz="0" w:space="0" w:color="auto"/>
        <w:bottom w:val="none" w:sz="0" w:space="0" w:color="auto"/>
        <w:right w:val="none" w:sz="0" w:space="0" w:color="auto"/>
      </w:divBdr>
    </w:div>
    <w:div w:id="1301643235">
      <w:bodyDiv w:val="1"/>
      <w:marLeft w:val="0"/>
      <w:marRight w:val="0"/>
      <w:marTop w:val="0"/>
      <w:marBottom w:val="0"/>
      <w:divBdr>
        <w:top w:val="none" w:sz="0" w:space="0" w:color="auto"/>
        <w:left w:val="none" w:sz="0" w:space="0" w:color="auto"/>
        <w:bottom w:val="none" w:sz="0" w:space="0" w:color="auto"/>
        <w:right w:val="none" w:sz="0" w:space="0" w:color="auto"/>
      </w:divBdr>
    </w:div>
    <w:div w:id="1302691313">
      <w:bodyDiv w:val="1"/>
      <w:marLeft w:val="0"/>
      <w:marRight w:val="0"/>
      <w:marTop w:val="0"/>
      <w:marBottom w:val="0"/>
      <w:divBdr>
        <w:top w:val="none" w:sz="0" w:space="0" w:color="auto"/>
        <w:left w:val="none" w:sz="0" w:space="0" w:color="auto"/>
        <w:bottom w:val="none" w:sz="0" w:space="0" w:color="auto"/>
        <w:right w:val="none" w:sz="0" w:space="0" w:color="auto"/>
      </w:divBdr>
    </w:div>
    <w:div w:id="1304770998">
      <w:bodyDiv w:val="1"/>
      <w:marLeft w:val="0"/>
      <w:marRight w:val="0"/>
      <w:marTop w:val="0"/>
      <w:marBottom w:val="0"/>
      <w:divBdr>
        <w:top w:val="none" w:sz="0" w:space="0" w:color="auto"/>
        <w:left w:val="none" w:sz="0" w:space="0" w:color="auto"/>
        <w:bottom w:val="none" w:sz="0" w:space="0" w:color="auto"/>
        <w:right w:val="none" w:sz="0" w:space="0" w:color="auto"/>
      </w:divBdr>
    </w:div>
    <w:div w:id="1305160565">
      <w:bodyDiv w:val="1"/>
      <w:marLeft w:val="0"/>
      <w:marRight w:val="0"/>
      <w:marTop w:val="0"/>
      <w:marBottom w:val="0"/>
      <w:divBdr>
        <w:top w:val="none" w:sz="0" w:space="0" w:color="auto"/>
        <w:left w:val="none" w:sz="0" w:space="0" w:color="auto"/>
        <w:bottom w:val="none" w:sz="0" w:space="0" w:color="auto"/>
        <w:right w:val="none" w:sz="0" w:space="0" w:color="auto"/>
      </w:divBdr>
    </w:div>
    <w:div w:id="1305694425">
      <w:bodyDiv w:val="1"/>
      <w:marLeft w:val="0"/>
      <w:marRight w:val="0"/>
      <w:marTop w:val="0"/>
      <w:marBottom w:val="0"/>
      <w:divBdr>
        <w:top w:val="none" w:sz="0" w:space="0" w:color="auto"/>
        <w:left w:val="none" w:sz="0" w:space="0" w:color="auto"/>
        <w:bottom w:val="none" w:sz="0" w:space="0" w:color="auto"/>
        <w:right w:val="none" w:sz="0" w:space="0" w:color="auto"/>
      </w:divBdr>
    </w:div>
    <w:div w:id="1305962051">
      <w:bodyDiv w:val="1"/>
      <w:marLeft w:val="0"/>
      <w:marRight w:val="0"/>
      <w:marTop w:val="0"/>
      <w:marBottom w:val="0"/>
      <w:divBdr>
        <w:top w:val="none" w:sz="0" w:space="0" w:color="auto"/>
        <w:left w:val="none" w:sz="0" w:space="0" w:color="auto"/>
        <w:bottom w:val="none" w:sz="0" w:space="0" w:color="auto"/>
        <w:right w:val="none" w:sz="0" w:space="0" w:color="auto"/>
      </w:divBdr>
    </w:div>
    <w:div w:id="1306355118">
      <w:bodyDiv w:val="1"/>
      <w:marLeft w:val="0"/>
      <w:marRight w:val="0"/>
      <w:marTop w:val="0"/>
      <w:marBottom w:val="0"/>
      <w:divBdr>
        <w:top w:val="none" w:sz="0" w:space="0" w:color="auto"/>
        <w:left w:val="none" w:sz="0" w:space="0" w:color="auto"/>
        <w:bottom w:val="none" w:sz="0" w:space="0" w:color="auto"/>
        <w:right w:val="none" w:sz="0" w:space="0" w:color="auto"/>
      </w:divBdr>
    </w:div>
    <w:div w:id="1309675257">
      <w:bodyDiv w:val="1"/>
      <w:marLeft w:val="0"/>
      <w:marRight w:val="0"/>
      <w:marTop w:val="0"/>
      <w:marBottom w:val="0"/>
      <w:divBdr>
        <w:top w:val="none" w:sz="0" w:space="0" w:color="auto"/>
        <w:left w:val="none" w:sz="0" w:space="0" w:color="auto"/>
        <w:bottom w:val="none" w:sz="0" w:space="0" w:color="auto"/>
        <w:right w:val="none" w:sz="0" w:space="0" w:color="auto"/>
      </w:divBdr>
    </w:div>
    <w:div w:id="1309818917">
      <w:bodyDiv w:val="1"/>
      <w:marLeft w:val="0"/>
      <w:marRight w:val="0"/>
      <w:marTop w:val="0"/>
      <w:marBottom w:val="0"/>
      <w:divBdr>
        <w:top w:val="none" w:sz="0" w:space="0" w:color="auto"/>
        <w:left w:val="none" w:sz="0" w:space="0" w:color="auto"/>
        <w:bottom w:val="none" w:sz="0" w:space="0" w:color="auto"/>
        <w:right w:val="none" w:sz="0" w:space="0" w:color="auto"/>
      </w:divBdr>
    </w:div>
    <w:div w:id="1310015141">
      <w:bodyDiv w:val="1"/>
      <w:marLeft w:val="0"/>
      <w:marRight w:val="0"/>
      <w:marTop w:val="0"/>
      <w:marBottom w:val="0"/>
      <w:divBdr>
        <w:top w:val="none" w:sz="0" w:space="0" w:color="auto"/>
        <w:left w:val="none" w:sz="0" w:space="0" w:color="auto"/>
        <w:bottom w:val="none" w:sz="0" w:space="0" w:color="auto"/>
        <w:right w:val="none" w:sz="0" w:space="0" w:color="auto"/>
      </w:divBdr>
    </w:div>
    <w:div w:id="1310672348">
      <w:bodyDiv w:val="1"/>
      <w:marLeft w:val="0"/>
      <w:marRight w:val="0"/>
      <w:marTop w:val="0"/>
      <w:marBottom w:val="0"/>
      <w:divBdr>
        <w:top w:val="none" w:sz="0" w:space="0" w:color="auto"/>
        <w:left w:val="none" w:sz="0" w:space="0" w:color="auto"/>
        <w:bottom w:val="none" w:sz="0" w:space="0" w:color="auto"/>
        <w:right w:val="none" w:sz="0" w:space="0" w:color="auto"/>
      </w:divBdr>
    </w:div>
    <w:div w:id="1311711838">
      <w:bodyDiv w:val="1"/>
      <w:marLeft w:val="0"/>
      <w:marRight w:val="0"/>
      <w:marTop w:val="0"/>
      <w:marBottom w:val="0"/>
      <w:divBdr>
        <w:top w:val="none" w:sz="0" w:space="0" w:color="auto"/>
        <w:left w:val="none" w:sz="0" w:space="0" w:color="auto"/>
        <w:bottom w:val="none" w:sz="0" w:space="0" w:color="auto"/>
        <w:right w:val="none" w:sz="0" w:space="0" w:color="auto"/>
      </w:divBdr>
    </w:div>
    <w:div w:id="1321539662">
      <w:bodyDiv w:val="1"/>
      <w:marLeft w:val="0"/>
      <w:marRight w:val="0"/>
      <w:marTop w:val="0"/>
      <w:marBottom w:val="0"/>
      <w:divBdr>
        <w:top w:val="none" w:sz="0" w:space="0" w:color="auto"/>
        <w:left w:val="none" w:sz="0" w:space="0" w:color="auto"/>
        <w:bottom w:val="none" w:sz="0" w:space="0" w:color="auto"/>
        <w:right w:val="none" w:sz="0" w:space="0" w:color="auto"/>
      </w:divBdr>
    </w:div>
    <w:div w:id="1321956508">
      <w:bodyDiv w:val="1"/>
      <w:marLeft w:val="0"/>
      <w:marRight w:val="0"/>
      <w:marTop w:val="0"/>
      <w:marBottom w:val="0"/>
      <w:divBdr>
        <w:top w:val="none" w:sz="0" w:space="0" w:color="auto"/>
        <w:left w:val="none" w:sz="0" w:space="0" w:color="auto"/>
        <w:bottom w:val="none" w:sz="0" w:space="0" w:color="auto"/>
        <w:right w:val="none" w:sz="0" w:space="0" w:color="auto"/>
      </w:divBdr>
    </w:div>
    <w:div w:id="1322004383">
      <w:bodyDiv w:val="1"/>
      <w:marLeft w:val="0"/>
      <w:marRight w:val="0"/>
      <w:marTop w:val="0"/>
      <w:marBottom w:val="0"/>
      <w:divBdr>
        <w:top w:val="none" w:sz="0" w:space="0" w:color="auto"/>
        <w:left w:val="none" w:sz="0" w:space="0" w:color="auto"/>
        <w:bottom w:val="none" w:sz="0" w:space="0" w:color="auto"/>
        <w:right w:val="none" w:sz="0" w:space="0" w:color="auto"/>
      </w:divBdr>
    </w:div>
    <w:div w:id="1325012057">
      <w:bodyDiv w:val="1"/>
      <w:marLeft w:val="0"/>
      <w:marRight w:val="0"/>
      <w:marTop w:val="0"/>
      <w:marBottom w:val="0"/>
      <w:divBdr>
        <w:top w:val="none" w:sz="0" w:space="0" w:color="auto"/>
        <w:left w:val="none" w:sz="0" w:space="0" w:color="auto"/>
        <w:bottom w:val="none" w:sz="0" w:space="0" w:color="auto"/>
        <w:right w:val="none" w:sz="0" w:space="0" w:color="auto"/>
      </w:divBdr>
    </w:div>
    <w:div w:id="1325547859">
      <w:bodyDiv w:val="1"/>
      <w:marLeft w:val="0"/>
      <w:marRight w:val="0"/>
      <w:marTop w:val="0"/>
      <w:marBottom w:val="0"/>
      <w:divBdr>
        <w:top w:val="none" w:sz="0" w:space="0" w:color="auto"/>
        <w:left w:val="none" w:sz="0" w:space="0" w:color="auto"/>
        <w:bottom w:val="none" w:sz="0" w:space="0" w:color="auto"/>
        <w:right w:val="none" w:sz="0" w:space="0" w:color="auto"/>
      </w:divBdr>
    </w:div>
    <w:div w:id="1325737854">
      <w:bodyDiv w:val="1"/>
      <w:marLeft w:val="0"/>
      <w:marRight w:val="0"/>
      <w:marTop w:val="0"/>
      <w:marBottom w:val="0"/>
      <w:divBdr>
        <w:top w:val="none" w:sz="0" w:space="0" w:color="auto"/>
        <w:left w:val="none" w:sz="0" w:space="0" w:color="auto"/>
        <w:bottom w:val="none" w:sz="0" w:space="0" w:color="auto"/>
        <w:right w:val="none" w:sz="0" w:space="0" w:color="auto"/>
      </w:divBdr>
    </w:div>
    <w:div w:id="1326321955">
      <w:bodyDiv w:val="1"/>
      <w:marLeft w:val="0"/>
      <w:marRight w:val="0"/>
      <w:marTop w:val="0"/>
      <w:marBottom w:val="0"/>
      <w:divBdr>
        <w:top w:val="none" w:sz="0" w:space="0" w:color="auto"/>
        <w:left w:val="none" w:sz="0" w:space="0" w:color="auto"/>
        <w:bottom w:val="none" w:sz="0" w:space="0" w:color="auto"/>
        <w:right w:val="none" w:sz="0" w:space="0" w:color="auto"/>
      </w:divBdr>
    </w:div>
    <w:div w:id="1328629573">
      <w:bodyDiv w:val="1"/>
      <w:marLeft w:val="0"/>
      <w:marRight w:val="0"/>
      <w:marTop w:val="0"/>
      <w:marBottom w:val="0"/>
      <w:divBdr>
        <w:top w:val="none" w:sz="0" w:space="0" w:color="auto"/>
        <w:left w:val="none" w:sz="0" w:space="0" w:color="auto"/>
        <w:bottom w:val="none" w:sz="0" w:space="0" w:color="auto"/>
        <w:right w:val="none" w:sz="0" w:space="0" w:color="auto"/>
      </w:divBdr>
    </w:div>
    <w:div w:id="1329869312">
      <w:bodyDiv w:val="1"/>
      <w:marLeft w:val="0"/>
      <w:marRight w:val="0"/>
      <w:marTop w:val="0"/>
      <w:marBottom w:val="0"/>
      <w:divBdr>
        <w:top w:val="none" w:sz="0" w:space="0" w:color="auto"/>
        <w:left w:val="none" w:sz="0" w:space="0" w:color="auto"/>
        <w:bottom w:val="none" w:sz="0" w:space="0" w:color="auto"/>
        <w:right w:val="none" w:sz="0" w:space="0" w:color="auto"/>
      </w:divBdr>
    </w:div>
    <w:div w:id="1334067202">
      <w:bodyDiv w:val="1"/>
      <w:marLeft w:val="0"/>
      <w:marRight w:val="0"/>
      <w:marTop w:val="0"/>
      <w:marBottom w:val="0"/>
      <w:divBdr>
        <w:top w:val="none" w:sz="0" w:space="0" w:color="auto"/>
        <w:left w:val="none" w:sz="0" w:space="0" w:color="auto"/>
        <w:bottom w:val="none" w:sz="0" w:space="0" w:color="auto"/>
        <w:right w:val="none" w:sz="0" w:space="0" w:color="auto"/>
      </w:divBdr>
    </w:div>
    <w:div w:id="1334642606">
      <w:bodyDiv w:val="1"/>
      <w:marLeft w:val="0"/>
      <w:marRight w:val="0"/>
      <w:marTop w:val="0"/>
      <w:marBottom w:val="0"/>
      <w:divBdr>
        <w:top w:val="none" w:sz="0" w:space="0" w:color="auto"/>
        <w:left w:val="none" w:sz="0" w:space="0" w:color="auto"/>
        <w:bottom w:val="none" w:sz="0" w:space="0" w:color="auto"/>
        <w:right w:val="none" w:sz="0" w:space="0" w:color="auto"/>
      </w:divBdr>
    </w:div>
    <w:div w:id="1338076874">
      <w:bodyDiv w:val="1"/>
      <w:marLeft w:val="0"/>
      <w:marRight w:val="0"/>
      <w:marTop w:val="0"/>
      <w:marBottom w:val="0"/>
      <w:divBdr>
        <w:top w:val="none" w:sz="0" w:space="0" w:color="auto"/>
        <w:left w:val="none" w:sz="0" w:space="0" w:color="auto"/>
        <w:bottom w:val="none" w:sz="0" w:space="0" w:color="auto"/>
        <w:right w:val="none" w:sz="0" w:space="0" w:color="auto"/>
      </w:divBdr>
    </w:div>
    <w:div w:id="1338731471">
      <w:bodyDiv w:val="1"/>
      <w:marLeft w:val="0"/>
      <w:marRight w:val="0"/>
      <w:marTop w:val="0"/>
      <w:marBottom w:val="0"/>
      <w:divBdr>
        <w:top w:val="none" w:sz="0" w:space="0" w:color="auto"/>
        <w:left w:val="none" w:sz="0" w:space="0" w:color="auto"/>
        <w:bottom w:val="none" w:sz="0" w:space="0" w:color="auto"/>
        <w:right w:val="none" w:sz="0" w:space="0" w:color="auto"/>
      </w:divBdr>
    </w:div>
    <w:div w:id="1342275248">
      <w:bodyDiv w:val="1"/>
      <w:marLeft w:val="0"/>
      <w:marRight w:val="0"/>
      <w:marTop w:val="0"/>
      <w:marBottom w:val="0"/>
      <w:divBdr>
        <w:top w:val="none" w:sz="0" w:space="0" w:color="auto"/>
        <w:left w:val="none" w:sz="0" w:space="0" w:color="auto"/>
        <w:bottom w:val="none" w:sz="0" w:space="0" w:color="auto"/>
        <w:right w:val="none" w:sz="0" w:space="0" w:color="auto"/>
      </w:divBdr>
    </w:div>
    <w:div w:id="1344168300">
      <w:bodyDiv w:val="1"/>
      <w:marLeft w:val="0"/>
      <w:marRight w:val="0"/>
      <w:marTop w:val="0"/>
      <w:marBottom w:val="0"/>
      <w:divBdr>
        <w:top w:val="none" w:sz="0" w:space="0" w:color="auto"/>
        <w:left w:val="none" w:sz="0" w:space="0" w:color="auto"/>
        <w:bottom w:val="none" w:sz="0" w:space="0" w:color="auto"/>
        <w:right w:val="none" w:sz="0" w:space="0" w:color="auto"/>
      </w:divBdr>
    </w:div>
    <w:div w:id="1344281673">
      <w:bodyDiv w:val="1"/>
      <w:marLeft w:val="0"/>
      <w:marRight w:val="0"/>
      <w:marTop w:val="0"/>
      <w:marBottom w:val="0"/>
      <w:divBdr>
        <w:top w:val="none" w:sz="0" w:space="0" w:color="auto"/>
        <w:left w:val="none" w:sz="0" w:space="0" w:color="auto"/>
        <w:bottom w:val="none" w:sz="0" w:space="0" w:color="auto"/>
        <w:right w:val="none" w:sz="0" w:space="0" w:color="auto"/>
      </w:divBdr>
    </w:div>
    <w:div w:id="1347295482">
      <w:bodyDiv w:val="1"/>
      <w:marLeft w:val="0"/>
      <w:marRight w:val="0"/>
      <w:marTop w:val="0"/>
      <w:marBottom w:val="0"/>
      <w:divBdr>
        <w:top w:val="none" w:sz="0" w:space="0" w:color="auto"/>
        <w:left w:val="none" w:sz="0" w:space="0" w:color="auto"/>
        <w:bottom w:val="none" w:sz="0" w:space="0" w:color="auto"/>
        <w:right w:val="none" w:sz="0" w:space="0" w:color="auto"/>
      </w:divBdr>
    </w:div>
    <w:div w:id="1348557417">
      <w:bodyDiv w:val="1"/>
      <w:marLeft w:val="0"/>
      <w:marRight w:val="0"/>
      <w:marTop w:val="0"/>
      <w:marBottom w:val="0"/>
      <w:divBdr>
        <w:top w:val="none" w:sz="0" w:space="0" w:color="auto"/>
        <w:left w:val="none" w:sz="0" w:space="0" w:color="auto"/>
        <w:bottom w:val="none" w:sz="0" w:space="0" w:color="auto"/>
        <w:right w:val="none" w:sz="0" w:space="0" w:color="auto"/>
      </w:divBdr>
    </w:div>
    <w:div w:id="1349452383">
      <w:bodyDiv w:val="1"/>
      <w:marLeft w:val="0"/>
      <w:marRight w:val="0"/>
      <w:marTop w:val="0"/>
      <w:marBottom w:val="0"/>
      <w:divBdr>
        <w:top w:val="none" w:sz="0" w:space="0" w:color="auto"/>
        <w:left w:val="none" w:sz="0" w:space="0" w:color="auto"/>
        <w:bottom w:val="none" w:sz="0" w:space="0" w:color="auto"/>
        <w:right w:val="none" w:sz="0" w:space="0" w:color="auto"/>
      </w:divBdr>
    </w:div>
    <w:div w:id="1351492926">
      <w:bodyDiv w:val="1"/>
      <w:marLeft w:val="0"/>
      <w:marRight w:val="0"/>
      <w:marTop w:val="0"/>
      <w:marBottom w:val="0"/>
      <w:divBdr>
        <w:top w:val="none" w:sz="0" w:space="0" w:color="auto"/>
        <w:left w:val="none" w:sz="0" w:space="0" w:color="auto"/>
        <w:bottom w:val="none" w:sz="0" w:space="0" w:color="auto"/>
        <w:right w:val="none" w:sz="0" w:space="0" w:color="auto"/>
      </w:divBdr>
    </w:div>
    <w:div w:id="1358044097">
      <w:bodyDiv w:val="1"/>
      <w:marLeft w:val="0"/>
      <w:marRight w:val="0"/>
      <w:marTop w:val="0"/>
      <w:marBottom w:val="0"/>
      <w:divBdr>
        <w:top w:val="none" w:sz="0" w:space="0" w:color="auto"/>
        <w:left w:val="none" w:sz="0" w:space="0" w:color="auto"/>
        <w:bottom w:val="none" w:sz="0" w:space="0" w:color="auto"/>
        <w:right w:val="none" w:sz="0" w:space="0" w:color="auto"/>
      </w:divBdr>
    </w:div>
    <w:div w:id="1360349714">
      <w:bodyDiv w:val="1"/>
      <w:marLeft w:val="0"/>
      <w:marRight w:val="0"/>
      <w:marTop w:val="0"/>
      <w:marBottom w:val="0"/>
      <w:divBdr>
        <w:top w:val="none" w:sz="0" w:space="0" w:color="auto"/>
        <w:left w:val="none" w:sz="0" w:space="0" w:color="auto"/>
        <w:bottom w:val="none" w:sz="0" w:space="0" w:color="auto"/>
        <w:right w:val="none" w:sz="0" w:space="0" w:color="auto"/>
      </w:divBdr>
    </w:div>
    <w:div w:id="1361398564">
      <w:bodyDiv w:val="1"/>
      <w:marLeft w:val="0"/>
      <w:marRight w:val="0"/>
      <w:marTop w:val="0"/>
      <w:marBottom w:val="0"/>
      <w:divBdr>
        <w:top w:val="none" w:sz="0" w:space="0" w:color="auto"/>
        <w:left w:val="none" w:sz="0" w:space="0" w:color="auto"/>
        <w:bottom w:val="none" w:sz="0" w:space="0" w:color="auto"/>
        <w:right w:val="none" w:sz="0" w:space="0" w:color="auto"/>
      </w:divBdr>
    </w:div>
    <w:div w:id="1367028628">
      <w:bodyDiv w:val="1"/>
      <w:marLeft w:val="0"/>
      <w:marRight w:val="0"/>
      <w:marTop w:val="0"/>
      <w:marBottom w:val="0"/>
      <w:divBdr>
        <w:top w:val="none" w:sz="0" w:space="0" w:color="auto"/>
        <w:left w:val="none" w:sz="0" w:space="0" w:color="auto"/>
        <w:bottom w:val="none" w:sz="0" w:space="0" w:color="auto"/>
        <w:right w:val="none" w:sz="0" w:space="0" w:color="auto"/>
      </w:divBdr>
    </w:div>
    <w:div w:id="1367367981">
      <w:bodyDiv w:val="1"/>
      <w:marLeft w:val="0"/>
      <w:marRight w:val="0"/>
      <w:marTop w:val="0"/>
      <w:marBottom w:val="0"/>
      <w:divBdr>
        <w:top w:val="none" w:sz="0" w:space="0" w:color="auto"/>
        <w:left w:val="none" w:sz="0" w:space="0" w:color="auto"/>
        <w:bottom w:val="none" w:sz="0" w:space="0" w:color="auto"/>
        <w:right w:val="none" w:sz="0" w:space="0" w:color="auto"/>
      </w:divBdr>
    </w:div>
    <w:div w:id="1375933823">
      <w:bodyDiv w:val="1"/>
      <w:marLeft w:val="0"/>
      <w:marRight w:val="0"/>
      <w:marTop w:val="0"/>
      <w:marBottom w:val="0"/>
      <w:divBdr>
        <w:top w:val="none" w:sz="0" w:space="0" w:color="auto"/>
        <w:left w:val="none" w:sz="0" w:space="0" w:color="auto"/>
        <w:bottom w:val="none" w:sz="0" w:space="0" w:color="auto"/>
        <w:right w:val="none" w:sz="0" w:space="0" w:color="auto"/>
      </w:divBdr>
    </w:div>
    <w:div w:id="1376387326">
      <w:bodyDiv w:val="1"/>
      <w:marLeft w:val="0"/>
      <w:marRight w:val="0"/>
      <w:marTop w:val="0"/>
      <w:marBottom w:val="0"/>
      <w:divBdr>
        <w:top w:val="none" w:sz="0" w:space="0" w:color="auto"/>
        <w:left w:val="none" w:sz="0" w:space="0" w:color="auto"/>
        <w:bottom w:val="none" w:sz="0" w:space="0" w:color="auto"/>
        <w:right w:val="none" w:sz="0" w:space="0" w:color="auto"/>
      </w:divBdr>
    </w:div>
    <w:div w:id="1386485709">
      <w:bodyDiv w:val="1"/>
      <w:marLeft w:val="0"/>
      <w:marRight w:val="0"/>
      <w:marTop w:val="0"/>
      <w:marBottom w:val="0"/>
      <w:divBdr>
        <w:top w:val="none" w:sz="0" w:space="0" w:color="auto"/>
        <w:left w:val="none" w:sz="0" w:space="0" w:color="auto"/>
        <w:bottom w:val="none" w:sz="0" w:space="0" w:color="auto"/>
        <w:right w:val="none" w:sz="0" w:space="0" w:color="auto"/>
      </w:divBdr>
    </w:div>
    <w:div w:id="1387535679">
      <w:bodyDiv w:val="1"/>
      <w:marLeft w:val="0"/>
      <w:marRight w:val="0"/>
      <w:marTop w:val="0"/>
      <w:marBottom w:val="0"/>
      <w:divBdr>
        <w:top w:val="none" w:sz="0" w:space="0" w:color="auto"/>
        <w:left w:val="none" w:sz="0" w:space="0" w:color="auto"/>
        <w:bottom w:val="none" w:sz="0" w:space="0" w:color="auto"/>
        <w:right w:val="none" w:sz="0" w:space="0" w:color="auto"/>
      </w:divBdr>
    </w:div>
    <w:div w:id="1388723622">
      <w:bodyDiv w:val="1"/>
      <w:marLeft w:val="0"/>
      <w:marRight w:val="0"/>
      <w:marTop w:val="0"/>
      <w:marBottom w:val="0"/>
      <w:divBdr>
        <w:top w:val="none" w:sz="0" w:space="0" w:color="auto"/>
        <w:left w:val="none" w:sz="0" w:space="0" w:color="auto"/>
        <w:bottom w:val="none" w:sz="0" w:space="0" w:color="auto"/>
        <w:right w:val="none" w:sz="0" w:space="0" w:color="auto"/>
      </w:divBdr>
    </w:div>
    <w:div w:id="1388996389">
      <w:bodyDiv w:val="1"/>
      <w:marLeft w:val="0"/>
      <w:marRight w:val="0"/>
      <w:marTop w:val="0"/>
      <w:marBottom w:val="0"/>
      <w:divBdr>
        <w:top w:val="none" w:sz="0" w:space="0" w:color="auto"/>
        <w:left w:val="none" w:sz="0" w:space="0" w:color="auto"/>
        <w:bottom w:val="none" w:sz="0" w:space="0" w:color="auto"/>
        <w:right w:val="none" w:sz="0" w:space="0" w:color="auto"/>
      </w:divBdr>
    </w:div>
    <w:div w:id="1391222990">
      <w:bodyDiv w:val="1"/>
      <w:marLeft w:val="0"/>
      <w:marRight w:val="0"/>
      <w:marTop w:val="0"/>
      <w:marBottom w:val="0"/>
      <w:divBdr>
        <w:top w:val="none" w:sz="0" w:space="0" w:color="auto"/>
        <w:left w:val="none" w:sz="0" w:space="0" w:color="auto"/>
        <w:bottom w:val="none" w:sz="0" w:space="0" w:color="auto"/>
        <w:right w:val="none" w:sz="0" w:space="0" w:color="auto"/>
      </w:divBdr>
    </w:div>
    <w:div w:id="1393500606">
      <w:bodyDiv w:val="1"/>
      <w:marLeft w:val="0"/>
      <w:marRight w:val="0"/>
      <w:marTop w:val="0"/>
      <w:marBottom w:val="0"/>
      <w:divBdr>
        <w:top w:val="none" w:sz="0" w:space="0" w:color="auto"/>
        <w:left w:val="none" w:sz="0" w:space="0" w:color="auto"/>
        <w:bottom w:val="none" w:sz="0" w:space="0" w:color="auto"/>
        <w:right w:val="none" w:sz="0" w:space="0" w:color="auto"/>
      </w:divBdr>
    </w:div>
    <w:div w:id="1393655596">
      <w:bodyDiv w:val="1"/>
      <w:marLeft w:val="0"/>
      <w:marRight w:val="0"/>
      <w:marTop w:val="0"/>
      <w:marBottom w:val="0"/>
      <w:divBdr>
        <w:top w:val="none" w:sz="0" w:space="0" w:color="auto"/>
        <w:left w:val="none" w:sz="0" w:space="0" w:color="auto"/>
        <w:bottom w:val="none" w:sz="0" w:space="0" w:color="auto"/>
        <w:right w:val="none" w:sz="0" w:space="0" w:color="auto"/>
      </w:divBdr>
    </w:div>
    <w:div w:id="1395542483">
      <w:bodyDiv w:val="1"/>
      <w:marLeft w:val="0"/>
      <w:marRight w:val="0"/>
      <w:marTop w:val="0"/>
      <w:marBottom w:val="0"/>
      <w:divBdr>
        <w:top w:val="none" w:sz="0" w:space="0" w:color="auto"/>
        <w:left w:val="none" w:sz="0" w:space="0" w:color="auto"/>
        <w:bottom w:val="none" w:sz="0" w:space="0" w:color="auto"/>
        <w:right w:val="none" w:sz="0" w:space="0" w:color="auto"/>
      </w:divBdr>
    </w:div>
    <w:div w:id="1395591808">
      <w:bodyDiv w:val="1"/>
      <w:marLeft w:val="0"/>
      <w:marRight w:val="0"/>
      <w:marTop w:val="0"/>
      <w:marBottom w:val="0"/>
      <w:divBdr>
        <w:top w:val="none" w:sz="0" w:space="0" w:color="auto"/>
        <w:left w:val="none" w:sz="0" w:space="0" w:color="auto"/>
        <w:bottom w:val="none" w:sz="0" w:space="0" w:color="auto"/>
        <w:right w:val="none" w:sz="0" w:space="0" w:color="auto"/>
      </w:divBdr>
    </w:div>
    <w:div w:id="1395619780">
      <w:bodyDiv w:val="1"/>
      <w:marLeft w:val="0"/>
      <w:marRight w:val="0"/>
      <w:marTop w:val="0"/>
      <w:marBottom w:val="0"/>
      <w:divBdr>
        <w:top w:val="none" w:sz="0" w:space="0" w:color="auto"/>
        <w:left w:val="none" w:sz="0" w:space="0" w:color="auto"/>
        <w:bottom w:val="none" w:sz="0" w:space="0" w:color="auto"/>
        <w:right w:val="none" w:sz="0" w:space="0" w:color="auto"/>
      </w:divBdr>
    </w:div>
    <w:div w:id="1403141490">
      <w:bodyDiv w:val="1"/>
      <w:marLeft w:val="0"/>
      <w:marRight w:val="0"/>
      <w:marTop w:val="0"/>
      <w:marBottom w:val="0"/>
      <w:divBdr>
        <w:top w:val="none" w:sz="0" w:space="0" w:color="auto"/>
        <w:left w:val="none" w:sz="0" w:space="0" w:color="auto"/>
        <w:bottom w:val="none" w:sz="0" w:space="0" w:color="auto"/>
        <w:right w:val="none" w:sz="0" w:space="0" w:color="auto"/>
      </w:divBdr>
    </w:div>
    <w:div w:id="1408452000">
      <w:bodyDiv w:val="1"/>
      <w:marLeft w:val="0"/>
      <w:marRight w:val="0"/>
      <w:marTop w:val="0"/>
      <w:marBottom w:val="0"/>
      <w:divBdr>
        <w:top w:val="none" w:sz="0" w:space="0" w:color="auto"/>
        <w:left w:val="none" w:sz="0" w:space="0" w:color="auto"/>
        <w:bottom w:val="none" w:sz="0" w:space="0" w:color="auto"/>
        <w:right w:val="none" w:sz="0" w:space="0" w:color="auto"/>
      </w:divBdr>
    </w:div>
    <w:div w:id="1409620422">
      <w:bodyDiv w:val="1"/>
      <w:marLeft w:val="0"/>
      <w:marRight w:val="0"/>
      <w:marTop w:val="0"/>
      <w:marBottom w:val="0"/>
      <w:divBdr>
        <w:top w:val="none" w:sz="0" w:space="0" w:color="auto"/>
        <w:left w:val="none" w:sz="0" w:space="0" w:color="auto"/>
        <w:bottom w:val="none" w:sz="0" w:space="0" w:color="auto"/>
        <w:right w:val="none" w:sz="0" w:space="0" w:color="auto"/>
      </w:divBdr>
    </w:div>
    <w:div w:id="1411152251">
      <w:bodyDiv w:val="1"/>
      <w:marLeft w:val="0"/>
      <w:marRight w:val="0"/>
      <w:marTop w:val="0"/>
      <w:marBottom w:val="0"/>
      <w:divBdr>
        <w:top w:val="none" w:sz="0" w:space="0" w:color="auto"/>
        <w:left w:val="none" w:sz="0" w:space="0" w:color="auto"/>
        <w:bottom w:val="none" w:sz="0" w:space="0" w:color="auto"/>
        <w:right w:val="none" w:sz="0" w:space="0" w:color="auto"/>
      </w:divBdr>
    </w:div>
    <w:div w:id="1411461106">
      <w:bodyDiv w:val="1"/>
      <w:marLeft w:val="0"/>
      <w:marRight w:val="0"/>
      <w:marTop w:val="0"/>
      <w:marBottom w:val="0"/>
      <w:divBdr>
        <w:top w:val="none" w:sz="0" w:space="0" w:color="auto"/>
        <w:left w:val="none" w:sz="0" w:space="0" w:color="auto"/>
        <w:bottom w:val="none" w:sz="0" w:space="0" w:color="auto"/>
        <w:right w:val="none" w:sz="0" w:space="0" w:color="auto"/>
      </w:divBdr>
    </w:div>
    <w:div w:id="1412580303">
      <w:bodyDiv w:val="1"/>
      <w:marLeft w:val="0"/>
      <w:marRight w:val="0"/>
      <w:marTop w:val="0"/>
      <w:marBottom w:val="0"/>
      <w:divBdr>
        <w:top w:val="none" w:sz="0" w:space="0" w:color="auto"/>
        <w:left w:val="none" w:sz="0" w:space="0" w:color="auto"/>
        <w:bottom w:val="none" w:sz="0" w:space="0" w:color="auto"/>
        <w:right w:val="none" w:sz="0" w:space="0" w:color="auto"/>
      </w:divBdr>
    </w:div>
    <w:div w:id="1413357359">
      <w:bodyDiv w:val="1"/>
      <w:marLeft w:val="0"/>
      <w:marRight w:val="0"/>
      <w:marTop w:val="0"/>
      <w:marBottom w:val="0"/>
      <w:divBdr>
        <w:top w:val="none" w:sz="0" w:space="0" w:color="auto"/>
        <w:left w:val="none" w:sz="0" w:space="0" w:color="auto"/>
        <w:bottom w:val="none" w:sz="0" w:space="0" w:color="auto"/>
        <w:right w:val="none" w:sz="0" w:space="0" w:color="auto"/>
      </w:divBdr>
    </w:div>
    <w:div w:id="1413576293">
      <w:bodyDiv w:val="1"/>
      <w:marLeft w:val="0"/>
      <w:marRight w:val="0"/>
      <w:marTop w:val="0"/>
      <w:marBottom w:val="0"/>
      <w:divBdr>
        <w:top w:val="none" w:sz="0" w:space="0" w:color="auto"/>
        <w:left w:val="none" w:sz="0" w:space="0" w:color="auto"/>
        <w:bottom w:val="none" w:sz="0" w:space="0" w:color="auto"/>
        <w:right w:val="none" w:sz="0" w:space="0" w:color="auto"/>
      </w:divBdr>
    </w:div>
    <w:div w:id="1418865885">
      <w:bodyDiv w:val="1"/>
      <w:marLeft w:val="0"/>
      <w:marRight w:val="0"/>
      <w:marTop w:val="0"/>
      <w:marBottom w:val="0"/>
      <w:divBdr>
        <w:top w:val="none" w:sz="0" w:space="0" w:color="auto"/>
        <w:left w:val="none" w:sz="0" w:space="0" w:color="auto"/>
        <w:bottom w:val="none" w:sz="0" w:space="0" w:color="auto"/>
        <w:right w:val="none" w:sz="0" w:space="0" w:color="auto"/>
      </w:divBdr>
    </w:div>
    <w:div w:id="1419667816">
      <w:bodyDiv w:val="1"/>
      <w:marLeft w:val="0"/>
      <w:marRight w:val="0"/>
      <w:marTop w:val="0"/>
      <w:marBottom w:val="0"/>
      <w:divBdr>
        <w:top w:val="none" w:sz="0" w:space="0" w:color="auto"/>
        <w:left w:val="none" w:sz="0" w:space="0" w:color="auto"/>
        <w:bottom w:val="none" w:sz="0" w:space="0" w:color="auto"/>
        <w:right w:val="none" w:sz="0" w:space="0" w:color="auto"/>
      </w:divBdr>
    </w:div>
    <w:div w:id="1419987516">
      <w:bodyDiv w:val="1"/>
      <w:marLeft w:val="0"/>
      <w:marRight w:val="0"/>
      <w:marTop w:val="0"/>
      <w:marBottom w:val="0"/>
      <w:divBdr>
        <w:top w:val="none" w:sz="0" w:space="0" w:color="auto"/>
        <w:left w:val="none" w:sz="0" w:space="0" w:color="auto"/>
        <w:bottom w:val="none" w:sz="0" w:space="0" w:color="auto"/>
        <w:right w:val="none" w:sz="0" w:space="0" w:color="auto"/>
      </w:divBdr>
    </w:div>
    <w:div w:id="1421369425">
      <w:bodyDiv w:val="1"/>
      <w:marLeft w:val="0"/>
      <w:marRight w:val="0"/>
      <w:marTop w:val="0"/>
      <w:marBottom w:val="0"/>
      <w:divBdr>
        <w:top w:val="none" w:sz="0" w:space="0" w:color="auto"/>
        <w:left w:val="none" w:sz="0" w:space="0" w:color="auto"/>
        <w:bottom w:val="none" w:sz="0" w:space="0" w:color="auto"/>
        <w:right w:val="none" w:sz="0" w:space="0" w:color="auto"/>
      </w:divBdr>
    </w:div>
    <w:div w:id="1429816923">
      <w:bodyDiv w:val="1"/>
      <w:marLeft w:val="0"/>
      <w:marRight w:val="0"/>
      <w:marTop w:val="0"/>
      <w:marBottom w:val="0"/>
      <w:divBdr>
        <w:top w:val="none" w:sz="0" w:space="0" w:color="auto"/>
        <w:left w:val="none" w:sz="0" w:space="0" w:color="auto"/>
        <w:bottom w:val="none" w:sz="0" w:space="0" w:color="auto"/>
        <w:right w:val="none" w:sz="0" w:space="0" w:color="auto"/>
      </w:divBdr>
    </w:div>
    <w:div w:id="1430271790">
      <w:bodyDiv w:val="1"/>
      <w:marLeft w:val="0"/>
      <w:marRight w:val="0"/>
      <w:marTop w:val="0"/>
      <w:marBottom w:val="0"/>
      <w:divBdr>
        <w:top w:val="none" w:sz="0" w:space="0" w:color="auto"/>
        <w:left w:val="none" w:sz="0" w:space="0" w:color="auto"/>
        <w:bottom w:val="none" w:sz="0" w:space="0" w:color="auto"/>
        <w:right w:val="none" w:sz="0" w:space="0" w:color="auto"/>
      </w:divBdr>
    </w:div>
    <w:div w:id="1435586721">
      <w:bodyDiv w:val="1"/>
      <w:marLeft w:val="0"/>
      <w:marRight w:val="0"/>
      <w:marTop w:val="0"/>
      <w:marBottom w:val="0"/>
      <w:divBdr>
        <w:top w:val="none" w:sz="0" w:space="0" w:color="auto"/>
        <w:left w:val="none" w:sz="0" w:space="0" w:color="auto"/>
        <w:bottom w:val="none" w:sz="0" w:space="0" w:color="auto"/>
        <w:right w:val="none" w:sz="0" w:space="0" w:color="auto"/>
      </w:divBdr>
    </w:div>
    <w:div w:id="1435633456">
      <w:bodyDiv w:val="1"/>
      <w:marLeft w:val="0"/>
      <w:marRight w:val="0"/>
      <w:marTop w:val="0"/>
      <w:marBottom w:val="0"/>
      <w:divBdr>
        <w:top w:val="none" w:sz="0" w:space="0" w:color="auto"/>
        <w:left w:val="none" w:sz="0" w:space="0" w:color="auto"/>
        <w:bottom w:val="none" w:sz="0" w:space="0" w:color="auto"/>
        <w:right w:val="none" w:sz="0" w:space="0" w:color="auto"/>
      </w:divBdr>
    </w:div>
    <w:div w:id="1436944732">
      <w:bodyDiv w:val="1"/>
      <w:marLeft w:val="0"/>
      <w:marRight w:val="0"/>
      <w:marTop w:val="0"/>
      <w:marBottom w:val="0"/>
      <w:divBdr>
        <w:top w:val="none" w:sz="0" w:space="0" w:color="auto"/>
        <w:left w:val="none" w:sz="0" w:space="0" w:color="auto"/>
        <w:bottom w:val="none" w:sz="0" w:space="0" w:color="auto"/>
        <w:right w:val="none" w:sz="0" w:space="0" w:color="auto"/>
      </w:divBdr>
    </w:div>
    <w:div w:id="1436948503">
      <w:bodyDiv w:val="1"/>
      <w:marLeft w:val="0"/>
      <w:marRight w:val="0"/>
      <w:marTop w:val="0"/>
      <w:marBottom w:val="0"/>
      <w:divBdr>
        <w:top w:val="none" w:sz="0" w:space="0" w:color="auto"/>
        <w:left w:val="none" w:sz="0" w:space="0" w:color="auto"/>
        <w:bottom w:val="none" w:sz="0" w:space="0" w:color="auto"/>
        <w:right w:val="none" w:sz="0" w:space="0" w:color="auto"/>
      </w:divBdr>
    </w:div>
    <w:div w:id="1437292007">
      <w:bodyDiv w:val="1"/>
      <w:marLeft w:val="0"/>
      <w:marRight w:val="0"/>
      <w:marTop w:val="0"/>
      <w:marBottom w:val="0"/>
      <w:divBdr>
        <w:top w:val="none" w:sz="0" w:space="0" w:color="auto"/>
        <w:left w:val="none" w:sz="0" w:space="0" w:color="auto"/>
        <w:bottom w:val="none" w:sz="0" w:space="0" w:color="auto"/>
        <w:right w:val="none" w:sz="0" w:space="0" w:color="auto"/>
      </w:divBdr>
    </w:div>
    <w:div w:id="1438477883">
      <w:bodyDiv w:val="1"/>
      <w:marLeft w:val="0"/>
      <w:marRight w:val="0"/>
      <w:marTop w:val="0"/>
      <w:marBottom w:val="0"/>
      <w:divBdr>
        <w:top w:val="none" w:sz="0" w:space="0" w:color="auto"/>
        <w:left w:val="none" w:sz="0" w:space="0" w:color="auto"/>
        <w:bottom w:val="none" w:sz="0" w:space="0" w:color="auto"/>
        <w:right w:val="none" w:sz="0" w:space="0" w:color="auto"/>
      </w:divBdr>
    </w:div>
    <w:div w:id="1439518448">
      <w:bodyDiv w:val="1"/>
      <w:marLeft w:val="0"/>
      <w:marRight w:val="0"/>
      <w:marTop w:val="0"/>
      <w:marBottom w:val="0"/>
      <w:divBdr>
        <w:top w:val="none" w:sz="0" w:space="0" w:color="auto"/>
        <w:left w:val="none" w:sz="0" w:space="0" w:color="auto"/>
        <w:bottom w:val="none" w:sz="0" w:space="0" w:color="auto"/>
        <w:right w:val="none" w:sz="0" w:space="0" w:color="auto"/>
      </w:divBdr>
    </w:div>
    <w:div w:id="1439718556">
      <w:bodyDiv w:val="1"/>
      <w:marLeft w:val="0"/>
      <w:marRight w:val="0"/>
      <w:marTop w:val="0"/>
      <w:marBottom w:val="0"/>
      <w:divBdr>
        <w:top w:val="none" w:sz="0" w:space="0" w:color="auto"/>
        <w:left w:val="none" w:sz="0" w:space="0" w:color="auto"/>
        <w:bottom w:val="none" w:sz="0" w:space="0" w:color="auto"/>
        <w:right w:val="none" w:sz="0" w:space="0" w:color="auto"/>
      </w:divBdr>
    </w:div>
    <w:div w:id="1442065738">
      <w:bodyDiv w:val="1"/>
      <w:marLeft w:val="0"/>
      <w:marRight w:val="0"/>
      <w:marTop w:val="0"/>
      <w:marBottom w:val="0"/>
      <w:divBdr>
        <w:top w:val="none" w:sz="0" w:space="0" w:color="auto"/>
        <w:left w:val="none" w:sz="0" w:space="0" w:color="auto"/>
        <w:bottom w:val="none" w:sz="0" w:space="0" w:color="auto"/>
        <w:right w:val="none" w:sz="0" w:space="0" w:color="auto"/>
      </w:divBdr>
    </w:div>
    <w:div w:id="1443108459">
      <w:bodyDiv w:val="1"/>
      <w:marLeft w:val="0"/>
      <w:marRight w:val="0"/>
      <w:marTop w:val="0"/>
      <w:marBottom w:val="0"/>
      <w:divBdr>
        <w:top w:val="none" w:sz="0" w:space="0" w:color="auto"/>
        <w:left w:val="none" w:sz="0" w:space="0" w:color="auto"/>
        <w:bottom w:val="none" w:sz="0" w:space="0" w:color="auto"/>
        <w:right w:val="none" w:sz="0" w:space="0" w:color="auto"/>
      </w:divBdr>
    </w:div>
    <w:div w:id="1447188961">
      <w:bodyDiv w:val="1"/>
      <w:marLeft w:val="0"/>
      <w:marRight w:val="0"/>
      <w:marTop w:val="0"/>
      <w:marBottom w:val="0"/>
      <w:divBdr>
        <w:top w:val="none" w:sz="0" w:space="0" w:color="auto"/>
        <w:left w:val="none" w:sz="0" w:space="0" w:color="auto"/>
        <w:bottom w:val="none" w:sz="0" w:space="0" w:color="auto"/>
        <w:right w:val="none" w:sz="0" w:space="0" w:color="auto"/>
      </w:divBdr>
    </w:div>
    <w:div w:id="1449273713">
      <w:bodyDiv w:val="1"/>
      <w:marLeft w:val="0"/>
      <w:marRight w:val="0"/>
      <w:marTop w:val="0"/>
      <w:marBottom w:val="0"/>
      <w:divBdr>
        <w:top w:val="none" w:sz="0" w:space="0" w:color="auto"/>
        <w:left w:val="none" w:sz="0" w:space="0" w:color="auto"/>
        <w:bottom w:val="none" w:sz="0" w:space="0" w:color="auto"/>
        <w:right w:val="none" w:sz="0" w:space="0" w:color="auto"/>
      </w:divBdr>
    </w:div>
    <w:div w:id="1450054333">
      <w:bodyDiv w:val="1"/>
      <w:marLeft w:val="0"/>
      <w:marRight w:val="0"/>
      <w:marTop w:val="0"/>
      <w:marBottom w:val="0"/>
      <w:divBdr>
        <w:top w:val="none" w:sz="0" w:space="0" w:color="auto"/>
        <w:left w:val="none" w:sz="0" w:space="0" w:color="auto"/>
        <w:bottom w:val="none" w:sz="0" w:space="0" w:color="auto"/>
        <w:right w:val="none" w:sz="0" w:space="0" w:color="auto"/>
      </w:divBdr>
    </w:div>
    <w:div w:id="1452475594">
      <w:bodyDiv w:val="1"/>
      <w:marLeft w:val="0"/>
      <w:marRight w:val="0"/>
      <w:marTop w:val="0"/>
      <w:marBottom w:val="0"/>
      <w:divBdr>
        <w:top w:val="none" w:sz="0" w:space="0" w:color="auto"/>
        <w:left w:val="none" w:sz="0" w:space="0" w:color="auto"/>
        <w:bottom w:val="none" w:sz="0" w:space="0" w:color="auto"/>
        <w:right w:val="none" w:sz="0" w:space="0" w:color="auto"/>
      </w:divBdr>
    </w:div>
    <w:div w:id="1452824388">
      <w:bodyDiv w:val="1"/>
      <w:marLeft w:val="0"/>
      <w:marRight w:val="0"/>
      <w:marTop w:val="0"/>
      <w:marBottom w:val="0"/>
      <w:divBdr>
        <w:top w:val="none" w:sz="0" w:space="0" w:color="auto"/>
        <w:left w:val="none" w:sz="0" w:space="0" w:color="auto"/>
        <w:bottom w:val="none" w:sz="0" w:space="0" w:color="auto"/>
        <w:right w:val="none" w:sz="0" w:space="0" w:color="auto"/>
      </w:divBdr>
    </w:div>
    <w:div w:id="1457914558">
      <w:bodyDiv w:val="1"/>
      <w:marLeft w:val="0"/>
      <w:marRight w:val="0"/>
      <w:marTop w:val="0"/>
      <w:marBottom w:val="0"/>
      <w:divBdr>
        <w:top w:val="none" w:sz="0" w:space="0" w:color="auto"/>
        <w:left w:val="none" w:sz="0" w:space="0" w:color="auto"/>
        <w:bottom w:val="none" w:sz="0" w:space="0" w:color="auto"/>
        <w:right w:val="none" w:sz="0" w:space="0" w:color="auto"/>
      </w:divBdr>
    </w:div>
    <w:div w:id="1459952763">
      <w:bodyDiv w:val="1"/>
      <w:marLeft w:val="0"/>
      <w:marRight w:val="0"/>
      <w:marTop w:val="0"/>
      <w:marBottom w:val="0"/>
      <w:divBdr>
        <w:top w:val="none" w:sz="0" w:space="0" w:color="auto"/>
        <w:left w:val="none" w:sz="0" w:space="0" w:color="auto"/>
        <w:bottom w:val="none" w:sz="0" w:space="0" w:color="auto"/>
        <w:right w:val="none" w:sz="0" w:space="0" w:color="auto"/>
      </w:divBdr>
    </w:div>
    <w:div w:id="1461453513">
      <w:bodyDiv w:val="1"/>
      <w:marLeft w:val="0"/>
      <w:marRight w:val="0"/>
      <w:marTop w:val="0"/>
      <w:marBottom w:val="0"/>
      <w:divBdr>
        <w:top w:val="none" w:sz="0" w:space="0" w:color="auto"/>
        <w:left w:val="none" w:sz="0" w:space="0" w:color="auto"/>
        <w:bottom w:val="none" w:sz="0" w:space="0" w:color="auto"/>
        <w:right w:val="none" w:sz="0" w:space="0" w:color="auto"/>
      </w:divBdr>
    </w:div>
    <w:div w:id="1461461324">
      <w:bodyDiv w:val="1"/>
      <w:marLeft w:val="0"/>
      <w:marRight w:val="0"/>
      <w:marTop w:val="0"/>
      <w:marBottom w:val="0"/>
      <w:divBdr>
        <w:top w:val="none" w:sz="0" w:space="0" w:color="auto"/>
        <w:left w:val="none" w:sz="0" w:space="0" w:color="auto"/>
        <w:bottom w:val="none" w:sz="0" w:space="0" w:color="auto"/>
        <w:right w:val="none" w:sz="0" w:space="0" w:color="auto"/>
      </w:divBdr>
    </w:div>
    <w:div w:id="1463815149">
      <w:bodyDiv w:val="1"/>
      <w:marLeft w:val="0"/>
      <w:marRight w:val="0"/>
      <w:marTop w:val="0"/>
      <w:marBottom w:val="0"/>
      <w:divBdr>
        <w:top w:val="none" w:sz="0" w:space="0" w:color="auto"/>
        <w:left w:val="none" w:sz="0" w:space="0" w:color="auto"/>
        <w:bottom w:val="none" w:sz="0" w:space="0" w:color="auto"/>
        <w:right w:val="none" w:sz="0" w:space="0" w:color="auto"/>
      </w:divBdr>
    </w:div>
    <w:div w:id="1468163912">
      <w:bodyDiv w:val="1"/>
      <w:marLeft w:val="0"/>
      <w:marRight w:val="0"/>
      <w:marTop w:val="0"/>
      <w:marBottom w:val="0"/>
      <w:divBdr>
        <w:top w:val="none" w:sz="0" w:space="0" w:color="auto"/>
        <w:left w:val="none" w:sz="0" w:space="0" w:color="auto"/>
        <w:bottom w:val="none" w:sz="0" w:space="0" w:color="auto"/>
        <w:right w:val="none" w:sz="0" w:space="0" w:color="auto"/>
      </w:divBdr>
    </w:div>
    <w:div w:id="1469394869">
      <w:bodyDiv w:val="1"/>
      <w:marLeft w:val="0"/>
      <w:marRight w:val="0"/>
      <w:marTop w:val="0"/>
      <w:marBottom w:val="0"/>
      <w:divBdr>
        <w:top w:val="none" w:sz="0" w:space="0" w:color="auto"/>
        <w:left w:val="none" w:sz="0" w:space="0" w:color="auto"/>
        <w:bottom w:val="none" w:sz="0" w:space="0" w:color="auto"/>
        <w:right w:val="none" w:sz="0" w:space="0" w:color="auto"/>
      </w:divBdr>
    </w:div>
    <w:div w:id="1469742110">
      <w:bodyDiv w:val="1"/>
      <w:marLeft w:val="0"/>
      <w:marRight w:val="0"/>
      <w:marTop w:val="0"/>
      <w:marBottom w:val="0"/>
      <w:divBdr>
        <w:top w:val="none" w:sz="0" w:space="0" w:color="auto"/>
        <w:left w:val="none" w:sz="0" w:space="0" w:color="auto"/>
        <w:bottom w:val="none" w:sz="0" w:space="0" w:color="auto"/>
        <w:right w:val="none" w:sz="0" w:space="0" w:color="auto"/>
      </w:divBdr>
    </w:div>
    <w:div w:id="1470048394">
      <w:bodyDiv w:val="1"/>
      <w:marLeft w:val="0"/>
      <w:marRight w:val="0"/>
      <w:marTop w:val="0"/>
      <w:marBottom w:val="0"/>
      <w:divBdr>
        <w:top w:val="none" w:sz="0" w:space="0" w:color="auto"/>
        <w:left w:val="none" w:sz="0" w:space="0" w:color="auto"/>
        <w:bottom w:val="none" w:sz="0" w:space="0" w:color="auto"/>
        <w:right w:val="none" w:sz="0" w:space="0" w:color="auto"/>
      </w:divBdr>
    </w:div>
    <w:div w:id="1471508659">
      <w:bodyDiv w:val="1"/>
      <w:marLeft w:val="0"/>
      <w:marRight w:val="0"/>
      <w:marTop w:val="0"/>
      <w:marBottom w:val="0"/>
      <w:divBdr>
        <w:top w:val="none" w:sz="0" w:space="0" w:color="auto"/>
        <w:left w:val="none" w:sz="0" w:space="0" w:color="auto"/>
        <w:bottom w:val="none" w:sz="0" w:space="0" w:color="auto"/>
        <w:right w:val="none" w:sz="0" w:space="0" w:color="auto"/>
      </w:divBdr>
    </w:div>
    <w:div w:id="1476410520">
      <w:bodyDiv w:val="1"/>
      <w:marLeft w:val="0"/>
      <w:marRight w:val="0"/>
      <w:marTop w:val="0"/>
      <w:marBottom w:val="0"/>
      <w:divBdr>
        <w:top w:val="none" w:sz="0" w:space="0" w:color="auto"/>
        <w:left w:val="none" w:sz="0" w:space="0" w:color="auto"/>
        <w:bottom w:val="none" w:sz="0" w:space="0" w:color="auto"/>
        <w:right w:val="none" w:sz="0" w:space="0" w:color="auto"/>
      </w:divBdr>
    </w:div>
    <w:div w:id="1477604046">
      <w:bodyDiv w:val="1"/>
      <w:marLeft w:val="0"/>
      <w:marRight w:val="0"/>
      <w:marTop w:val="0"/>
      <w:marBottom w:val="0"/>
      <w:divBdr>
        <w:top w:val="none" w:sz="0" w:space="0" w:color="auto"/>
        <w:left w:val="none" w:sz="0" w:space="0" w:color="auto"/>
        <w:bottom w:val="none" w:sz="0" w:space="0" w:color="auto"/>
        <w:right w:val="none" w:sz="0" w:space="0" w:color="auto"/>
      </w:divBdr>
    </w:div>
    <w:div w:id="1479105961">
      <w:bodyDiv w:val="1"/>
      <w:marLeft w:val="0"/>
      <w:marRight w:val="0"/>
      <w:marTop w:val="0"/>
      <w:marBottom w:val="0"/>
      <w:divBdr>
        <w:top w:val="none" w:sz="0" w:space="0" w:color="auto"/>
        <w:left w:val="none" w:sz="0" w:space="0" w:color="auto"/>
        <w:bottom w:val="none" w:sz="0" w:space="0" w:color="auto"/>
        <w:right w:val="none" w:sz="0" w:space="0" w:color="auto"/>
      </w:divBdr>
    </w:div>
    <w:div w:id="1488936960">
      <w:bodyDiv w:val="1"/>
      <w:marLeft w:val="0"/>
      <w:marRight w:val="0"/>
      <w:marTop w:val="0"/>
      <w:marBottom w:val="0"/>
      <w:divBdr>
        <w:top w:val="none" w:sz="0" w:space="0" w:color="auto"/>
        <w:left w:val="none" w:sz="0" w:space="0" w:color="auto"/>
        <w:bottom w:val="none" w:sz="0" w:space="0" w:color="auto"/>
        <w:right w:val="none" w:sz="0" w:space="0" w:color="auto"/>
      </w:divBdr>
    </w:div>
    <w:div w:id="1490826652">
      <w:bodyDiv w:val="1"/>
      <w:marLeft w:val="0"/>
      <w:marRight w:val="0"/>
      <w:marTop w:val="0"/>
      <w:marBottom w:val="0"/>
      <w:divBdr>
        <w:top w:val="none" w:sz="0" w:space="0" w:color="auto"/>
        <w:left w:val="none" w:sz="0" w:space="0" w:color="auto"/>
        <w:bottom w:val="none" w:sz="0" w:space="0" w:color="auto"/>
        <w:right w:val="none" w:sz="0" w:space="0" w:color="auto"/>
      </w:divBdr>
    </w:div>
    <w:div w:id="1491948841">
      <w:bodyDiv w:val="1"/>
      <w:marLeft w:val="0"/>
      <w:marRight w:val="0"/>
      <w:marTop w:val="0"/>
      <w:marBottom w:val="0"/>
      <w:divBdr>
        <w:top w:val="none" w:sz="0" w:space="0" w:color="auto"/>
        <w:left w:val="none" w:sz="0" w:space="0" w:color="auto"/>
        <w:bottom w:val="none" w:sz="0" w:space="0" w:color="auto"/>
        <w:right w:val="none" w:sz="0" w:space="0" w:color="auto"/>
      </w:divBdr>
    </w:div>
    <w:div w:id="1496146233">
      <w:bodyDiv w:val="1"/>
      <w:marLeft w:val="0"/>
      <w:marRight w:val="0"/>
      <w:marTop w:val="0"/>
      <w:marBottom w:val="0"/>
      <w:divBdr>
        <w:top w:val="none" w:sz="0" w:space="0" w:color="auto"/>
        <w:left w:val="none" w:sz="0" w:space="0" w:color="auto"/>
        <w:bottom w:val="none" w:sz="0" w:space="0" w:color="auto"/>
        <w:right w:val="none" w:sz="0" w:space="0" w:color="auto"/>
      </w:divBdr>
    </w:div>
    <w:div w:id="1496338378">
      <w:bodyDiv w:val="1"/>
      <w:marLeft w:val="0"/>
      <w:marRight w:val="0"/>
      <w:marTop w:val="0"/>
      <w:marBottom w:val="0"/>
      <w:divBdr>
        <w:top w:val="none" w:sz="0" w:space="0" w:color="auto"/>
        <w:left w:val="none" w:sz="0" w:space="0" w:color="auto"/>
        <w:bottom w:val="none" w:sz="0" w:space="0" w:color="auto"/>
        <w:right w:val="none" w:sz="0" w:space="0" w:color="auto"/>
      </w:divBdr>
    </w:div>
    <w:div w:id="1498110218">
      <w:bodyDiv w:val="1"/>
      <w:marLeft w:val="0"/>
      <w:marRight w:val="0"/>
      <w:marTop w:val="0"/>
      <w:marBottom w:val="0"/>
      <w:divBdr>
        <w:top w:val="none" w:sz="0" w:space="0" w:color="auto"/>
        <w:left w:val="none" w:sz="0" w:space="0" w:color="auto"/>
        <w:bottom w:val="none" w:sz="0" w:space="0" w:color="auto"/>
        <w:right w:val="none" w:sz="0" w:space="0" w:color="auto"/>
      </w:divBdr>
    </w:div>
    <w:div w:id="1499154903">
      <w:bodyDiv w:val="1"/>
      <w:marLeft w:val="0"/>
      <w:marRight w:val="0"/>
      <w:marTop w:val="0"/>
      <w:marBottom w:val="0"/>
      <w:divBdr>
        <w:top w:val="none" w:sz="0" w:space="0" w:color="auto"/>
        <w:left w:val="none" w:sz="0" w:space="0" w:color="auto"/>
        <w:bottom w:val="none" w:sz="0" w:space="0" w:color="auto"/>
        <w:right w:val="none" w:sz="0" w:space="0" w:color="auto"/>
      </w:divBdr>
    </w:div>
    <w:div w:id="1500149391">
      <w:bodyDiv w:val="1"/>
      <w:marLeft w:val="0"/>
      <w:marRight w:val="0"/>
      <w:marTop w:val="0"/>
      <w:marBottom w:val="0"/>
      <w:divBdr>
        <w:top w:val="none" w:sz="0" w:space="0" w:color="auto"/>
        <w:left w:val="none" w:sz="0" w:space="0" w:color="auto"/>
        <w:bottom w:val="none" w:sz="0" w:space="0" w:color="auto"/>
        <w:right w:val="none" w:sz="0" w:space="0" w:color="auto"/>
      </w:divBdr>
    </w:div>
    <w:div w:id="1502430568">
      <w:bodyDiv w:val="1"/>
      <w:marLeft w:val="0"/>
      <w:marRight w:val="0"/>
      <w:marTop w:val="0"/>
      <w:marBottom w:val="0"/>
      <w:divBdr>
        <w:top w:val="none" w:sz="0" w:space="0" w:color="auto"/>
        <w:left w:val="none" w:sz="0" w:space="0" w:color="auto"/>
        <w:bottom w:val="none" w:sz="0" w:space="0" w:color="auto"/>
        <w:right w:val="none" w:sz="0" w:space="0" w:color="auto"/>
      </w:divBdr>
    </w:div>
    <w:div w:id="1504205202">
      <w:bodyDiv w:val="1"/>
      <w:marLeft w:val="0"/>
      <w:marRight w:val="0"/>
      <w:marTop w:val="0"/>
      <w:marBottom w:val="0"/>
      <w:divBdr>
        <w:top w:val="none" w:sz="0" w:space="0" w:color="auto"/>
        <w:left w:val="none" w:sz="0" w:space="0" w:color="auto"/>
        <w:bottom w:val="none" w:sz="0" w:space="0" w:color="auto"/>
        <w:right w:val="none" w:sz="0" w:space="0" w:color="auto"/>
      </w:divBdr>
    </w:div>
    <w:div w:id="1509324984">
      <w:bodyDiv w:val="1"/>
      <w:marLeft w:val="0"/>
      <w:marRight w:val="0"/>
      <w:marTop w:val="0"/>
      <w:marBottom w:val="0"/>
      <w:divBdr>
        <w:top w:val="none" w:sz="0" w:space="0" w:color="auto"/>
        <w:left w:val="none" w:sz="0" w:space="0" w:color="auto"/>
        <w:bottom w:val="none" w:sz="0" w:space="0" w:color="auto"/>
        <w:right w:val="none" w:sz="0" w:space="0" w:color="auto"/>
      </w:divBdr>
    </w:div>
    <w:div w:id="1509710130">
      <w:bodyDiv w:val="1"/>
      <w:marLeft w:val="0"/>
      <w:marRight w:val="0"/>
      <w:marTop w:val="0"/>
      <w:marBottom w:val="0"/>
      <w:divBdr>
        <w:top w:val="none" w:sz="0" w:space="0" w:color="auto"/>
        <w:left w:val="none" w:sz="0" w:space="0" w:color="auto"/>
        <w:bottom w:val="none" w:sz="0" w:space="0" w:color="auto"/>
        <w:right w:val="none" w:sz="0" w:space="0" w:color="auto"/>
      </w:divBdr>
    </w:div>
    <w:div w:id="1513685579">
      <w:bodyDiv w:val="1"/>
      <w:marLeft w:val="0"/>
      <w:marRight w:val="0"/>
      <w:marTop w:val="0"/>
      <w:marBottom w:val="0"/>
      <w:divBdr>
        <w:top w:val="none" w:sz="0" w:space="0" w:color="auto"/>
        <w:left w:val="none" w:sz="0" w:space="0" w:color="auto"/>
        <w:bottom w:val="none" w:sz="0" w:space="0" w:color="auto"/>
        <w:right w:val="none" w:sz="0" w:space="0" w:color="auto"/>
      </w:divBdr>
    </w:div>
    <w:div w:id="1514997129">
      <w:bodyDiv w:val="1"/>
      <w:marLeft w:val="0"/>
      <w:marRight w:val="0"/>
      <w:marTop w:val="0"/>
      <w:marBottom w:val="0"/>
      <w:divBdr>
        <w:top w:val="none" w:sz="0" w:space="0" w:color="auto"/>
        <w:left w:val="none" w:sz="0" w:space="0" w:color="auto"/>
        <w:bottom w:val="none" w:sz="0" w:space="0" w:color="auto"/>
        <w:right w:val="none" w:sz="0" w:space="0" w:color="auto"/>
      </w:divBdr>
    </w:div>
    <w:div w:id="1515341257">
      <w:bodyDiv w:val="1"/>
      <w:marLeft w:val="0"/>
      <w:marRight w:val="0"/>
      <w:marTop w:val="0"/>
      <w:marBottom w:val="0"/>
      <w:divBdr>
        <w:top w:val="none" w:sz="0" w:space="0" w:color="auto"/>
        <w:left w:val="none" w:sz="0" w:space="0" w:color="auto"/>
        <w:bottom w:val="none" w:sz="0" w:space="0" w:color="auto"/>
        <w:right w:val="none" w:sz="0" w:space="0" w:color="auto"/>
      </w:divBdr>
    </w:div>
    <w:div w:id="1517310513">
      <w:bodyDiv w:val="1"/>
      <w:marLeft w:val="0"/>
      <w:marRight w:val="0"/>
      <w:marTop w:val="0"/>
      <w:marBottom w:val="0"/>
      <w:divBdr>
        <w:top w:val="none" w:sz="0" w:space="0" w:color="auto"/>
        <w:left w:val="none" w:sz="0" w:space="0" w:color="auto"/>
        <w:bottom w:val="none" w:sz="0" w:space="0" w:color="auto"/>
        <w:right w:val="none" w:sz="0" w:space="0" w:color="auto"/>
      </w:divBdr>
    </w:div>
    <w:div w:id="1527215799">
      <w:bodyDiv w:val="1"/>
      <w:marLeft w:val="0"/>
      <w:marRight w:val="0"/>
      <w:marTop w:val="0"/>
      <w:marBottom w:val="0"/>
      <w:divBdr>
        <w:top w:val="none" w:sz="0" w:space="0" w:color="auto"/>
        <w:left w:val="none" w:sz="0" w:space="0" w:color="auto"/>
        <w:bottom w:val="none" w:sz="0" w:space="0" w:color="auto"/>
        <w:right w:val="none" w:sz="0" w:space="0" w:color="auto"/>
      </w:divBdr>
    </w:div>
    <w:div w:id="1530332839">
      <w:bodyDiv w:val="1"/>
      <w:marLeft w:val="0"/>
      <w:marRight w:val="0"/>
      <w:marTop w:val="0"/>
      <w:marBottom w:val="0"/>
      <w:divBdr>
        <w:top w:val="none" w:sz="0" w:space="0" w:color="auto"/>
        <w:left w:val="none" w:sz="0" w:space="0" w:color="auto"/>
        <w:bottom w:val="none" w:sz="0" w:space="0" w:color="auto"/>
        <w:right w:val="none" w:sz="0" w:space="0" w:color="auto"/>
      </w:divBdr>
    </w:div>
    <w:div w:id="1531256020">
      <w:bodyDiv w:val="1"/>
      <w:marLeft w:val="0"/>
      <w:marRight w:val="0"/>
      <w:marTop w:val="0"/>
      <w:marBottom w:val="0"/>
      <w:divBdr>
        <w:top w:val="none" w:sz="0" w:space="0" w:color="auto"/>
        <w:left w:val="none" w:sz="0" w:space="0" w:color="auto"/>
        <w:bottom w:val="none" w:sz="0" w:space="0" w:color="auto"/>
        <w:right w:val="none" w:sz="0" w:space="0" w:color="auto"/>
      </w:divBdr>
    </w:div>
    <w:div w:id="1534539469">
      <w:bodyDiv w:val="1"/>
      <w:marLeft w:val="0"/>
      <w:marRight w:val="0"/>
      <w:marTop w:val="0"/>
      <w:marBottom w:val="0"/>
      <w:divBdr>
        <w:top w:val="none" w:sz="0" w:space="0" w:color="auto"/>
        <w:left w:val="none" w:sz="0" w:space="0" w:color="auto"/>
        <w:bottom w:val="none" w:sz="0" w:space="0" w:color="auto"/>
        <w:right w:val="none" w:sz="0" w:space="0" w:color="auto"/>
      </w:divBdr>
    </w:div>
    <w:div w:id="1536889356">
      <w:bodyDiv w:val="1"/>
      <w:marLeft w:val="0"/>
      <w:marRight w:val="0"/>
      <w:marTop w:val="0"/>
      <w:marBottom w:val="0"/>
      <w:divBdr>
        <w:top w:val="none" w:sz="0" w:space="0" w:color="auto"/>
        <w:left w:val="none" w:sz="0" w:space="0" w:color="auto"/>
        <w:bottom w:val="none" w:sz="0" w:space="0" w:color="auto"/>
        <w:right w:val="none" w:sz="0" w:space="0" w:color="auto"/>
      </w:divBdr>
    </w:div>
    <w:div w:id="1539976419">
      <w:bodyDiv w:val="1"/>
      <w:marLeft w:val="0"/>
      <w:marRight w:val="0"/>
      <w:marTop w:val="0"/>
      <w:marBottom w:val="0"/>
      <w:divBdr>
        <w:top w:val="none" w:sz="0" w:space="0" w:color="auto"/>
        <w:left w:val="none" w:sz="0" w:space="0" w:color="auto"/>
        <w:bottom w:val="none" w:sz="0" w:space="0" w:color="auto"/>
        <w:right w:val="none" w:sz="0" w:space="0" w:color="auto"/>
      </w:divBdr>
    </w:div>
    <w:div w:id="1540627005">
      <w:bodyDiv w:val="1"/>
      <w:marLeft w:val="0"/>
      <w:marRight w:val="0"/>
      <w:marTop w:val="0"/>
      <w:marBottom w:val="0"/>
      <w:divBdr>
        <w:top w:val="none" w:sz="0" w:space="0" w:color="auto"/>
        <w:left w:val="none" w:sz="0" w:space="0" w:color="auto"/>
        <w:bottom w:val="none" w:sz="0" w:space="0" w:color="auto"/>
        <w:right w:val="none" w:sz="0" w:space="0" w:color="auto"/>
      </w:divBdr>
    </w:div>
    <w:div w:id="1541235921">
      <w:bodyDiv w:val="1"/>
      <w:marLeft w:val="0"/>
      <w:marRight w:val="0"/>
      <w:marTop w:val="0"/>
      <w:marBottom w:val="0"/>
      <w:divBdr>
        <w:top w:val="none" w:sz="0" w:space="0" w:color="auto"/>
        <w:left w:val="none" w:sz="0" w:space="0" w:color="auto"/>
        <w:bottom w:val="none" w:sz="0" w:space="0" w:color="auto"/>
        <w:right w:val="none" w:sz="0" w:space="0" w:color="auto"/>
      </w:divBdr>
    </w:div>
    <w:div w:id="1542670396">
      <w:bodyDiv w:val="1"/>
      <w:marLeft w:val="0"/>
      <w:marRight w:val="0"/>
      <w:marTop w:val="0"/>
      <w:marBottom w:val="0"/>
      <w:divBdr>
        <w:top w:val="none" w:sz="0" w:space="0" w:color="auto"/>
        <w:left w:val="none" w:sz="0" w:space="0" w:color="auto"/>
        <w:bottom w:val="none" w:sz="0" w:space="0" w:color="auto"/>
        <w:right w:val="none" w:sz="0" w:space="0" w:color="auto"/>
      </w:divBdr>
    </w:div>
    <w:div w:id="1547641643">
      <w:bodyDiv w:val="1"/>
      <w:marLeft w:val="0"/>
      <w:marRight w:val="0"/>
      <w:marTop w:val="0"/>
      <w:marBottom w:val="0"/>
      <w:divBdr>
        <w:top w:val="none" w:sz="0" w:space="0" w:color="auto"/>
        <w:left w:val="none" w:sz="0" w:space="0" w:color="auto"/>
        <w:bottom w:val="none" w:sz="0" w:space="0" w:color="auto"/>
        <w:right w:val="none" w:sz="0" w:space="0" w:color="auto"/>
      </w:divBdr>
    </w:div>
    <w:div w:id="1548446252">
      <w:bodyDiv w:val="1"/>
      <w:marLeft w:val="0"/>
      <w:marRight w:val="0"/>
      <w:marTop w:val="0"/>
      <w:marBottom w:val="0"/>
      <w:divBdr>
        <w:top w:val="none" w:sz="0" w:space="0" w:color="auto"/>
        <w:left w:val="none" w:sz="0" w:space="0" w:color="auto"/>
        <w:bottom w:val="none" w:sz="0" w:space="0" w:color="auto"/>
        <w:right w:val="none" w:sz="0" w:space="0" w:color="auto"/>
      </w:divBdr>
    </w:div>
    <w:div w:id="1550338473">
      <w:bodyDiv w:val="1"/>
      <w:marLeft w:val="0"/>
      <w:marRight w:val="0"/>
      <w:marTop w:val="0"/>
      <w:marBottom w:val="0"/>
      <w:divBdr>
        <w:top w:val="none" w:sz="0" w:space="0" w:color="auto"/>
        <w:left w:val="none" w:sz="0" w:space="0" w:color="auto"/>
        <w:bottom w:val="none" w:sz="0" w:space="0" w:color="auto"/>
        <w:right w:val="none" w:sz="0" w:space="0" w:color="auto"/>
      </w:divBdr>
    </w:div>
    <w:div w:id="1555199069">
      <w:bodyDiv w:val="1"/>
      <w:marLeft w:val="0"/>
      <w:marRight w:val="0"/>
      <w:marTop w:val="0"/>
      <w:marBottom w:val="0"/>
      <w:divBdr>
        <w:top w:val="none" w:sz="0" w:space="0" w:color="auto"/>
        <w:left w:val="none" w:sz="0" w:space="0" w:color="auto"/>
        <w:bottom w:val="none" w:sz="0" w:space="0" w:color="auto"/>
        <w:right w:val="none" w:sz="0" w:space="0" w:color="auto"/>
      </w:divBdr>
    </w:div>
    <w:div w:id="1555432992">
      <w:bodyDiv w:val="1"/>
      <w:marLeft w:val="0"/>
      <w:marRight w:val="0"/>
      <w:marTop w:val="0"/>
      <w:marBottom w:val="0"/>
      <w:divBdr>
        <w:top w:val="none" w:sz="0" w:space="0" w:color="auto"/>
        <w:left w:val="none" w:sz="0" w:space="0" w:color="auto"/>
        <w:bottom w:val="none" w:sz="0" w:space="0" w:color="auto"/>
        <w:right w:val="none" w:sz="0" w:space="0" w:color="auto"/>
      </w:divBdr>
    </w:div>
    <w:div w:id="1557811629">
      <w:bodyDiv w:val="1"/>
      <w:marLeft w:val="0"/>
      <w:marRight w:val="0"/>
      <w:marTop w:val="0"/>
      <w:marBottom w:val="0"/>
      <w:divBdr>
        <w:top w:val="none" w:sz="0" w:space="0" w:color="auto"/>
        <w:left w:val="none" w:sz="0" w:space="0" w:color="auto"/>
        <w:bottom w:val="none" w:sz="0" w:space="0" w:color="auto"/>
        <w:right w:val="none" w:sz="0" w:space="0" w:color="auto"/>
      </w:divBdr>
    </w:div>
    <w:div w:id="1557856713">
      <w:bodyDiv w:val="1"/>
      <w:marLeft w:val="0"/>
      <w:marRight w:val="0"/>
      <w:marTop w:val="0"/>
      <w:marBottom w:val="0"/>
      <w:divBdr>
        <w:top w:val="none" w:sz="0" w:space="0" w:color="auto"/>
        <w:left w:val="none" w:sz="0" w:space="0" w:color="auto"/>
        <w:bottom w:val="none" w:sz="0" w:space="0" w:color="auto"/>
        <w:right w:val="none" w:sz="0" w:space="0" w:color="auto"/>
      </w:divBdr>
    </w:div>
    <w:div w:id="1558322375">
      <w:bodyDiv w:val="1"/>
      <w:marLeft w:val="0"/>
      <w:marRight w:val="0"/>
      <w:marTop w:val="0"/>
      <w:marBottom w:val="0"/>
      <w:divBdr>
        <w:top w:val="none" w:sz="0" w:space="0" w:color="auto"/>
        <w:left w:val="none" w:sz="0" w:space="0" w:color="auto"/>
        <w:bottom w:val="none" w:sz="0" w:space="0" w:color="auto"/>
        <w:right w:val="none" w:sz="0" w:space="0" w:color="auto"/>
      </w:divBdr>
    </w:div>
    <w:div w:id="1559587530">
      <w:bodyDiv w:val="1"/>
      <w:marLeft w:val="0"/>
      <w:marRight w:val="0"/>
      <w:marTop w:val="0"/>
      <w:marBottom w:val="0"/>
      <w:divBdr>
        <w:top w:val="none" w:sz="0" w:space="0" w:color="auto"/>
        <w:left w:val="none" w:sz="0" w:space="0" w:color="auto"/>
        <w:bottom w:val="none" w:sz="0" w:space="0" w:color="auto"/>
        <w:right w:val="none" w:sz="0" w:space="0" w:color="auto"/>
      </w:divBdr>
    </w:div>
    <w:div w:id="1560050633">
      <w:bodyDiv w:val="1"/>
      <w:marLeft w:val="0"/>
      <w:marRight w:val="0"/>
      <w:marTop w:val="0"/>
      <w:marBottom w:val="0"/>
      <w:divBdr>
        <w:top w:val="none" w:sz="0" w:space="0" w:color="auto"/>
        <w:left w:val="none" w:sz="0" w:space="0" w:color="auto"/>
        <w:bottom w:val="none" w:sz="0" w:space="0" w:color="auto"/>
        <w:right w:val="none" w:sz="0" w:space="0" w:color="auto"/>
      </w:divBdr>
    </w:div>
    <w:div w:id="1562716289">
      <w:bodyDiv w:val="1"/>
      <w:marLeft w:val="0"/>
      <w:marRight w:val="0"/>
      <w:marTop w:val="0"/>
      <w:marBottom w:val="0"/>
      <w:divBdr>
        <w:top w:val="none" w:sz="0" w:space="0" w:color="auto"/>
        <w:left w:val="none" w:sz="0" w:space="0" w:color="auto"/>
        <w:bottom w:val="none" w:sz="0" w:space="0" w:color="auto"/>
        <w:right w:val="none" w:sz="0" w:space="0" w:color="auto"/>
      </w:divBdr>
    </w:div>
    <w:div w:id="1565067020">
      <w:bodyDiv w:val="1"/>
      <w:marLeft w:val="0"/>
      <w:marRight w:val="0"/>
      <w:marTop w:val="0"/>
      <w:marBottom w:val="0"/>
      <w:divBdr>
        <w:top w:val="none" w:sz="0" w:space="0" w:color="auto"/>
        <w:left w:val="none" w:sz="0" w:space="0" w:color="auto"/>
        <w:bottom w:val="none" w:sz="0" w:space="0" w:color="auto"/>
        <w:right w:val="none" w:sz="0" w:space="0" w:color="auto"/>
      </w:divBdr>
    </w:div>
    <w:div w:id="1567447634">
      <w:bodyDiv w:val="1"/>
      <w:marLeft w:val="0"/>
      <w:marRight w:val="0"/>
      <w:marTop w:val="0"/>
      <w:marBottom w:val="0"/>
      <w:divBdr>
        <w:top w:val="none" w:sz="0" w:space="0" w:color="auto"/>
        <w:left w:val="none" w:sz="0" w:space="0" w:color="auto"/>
        <w:bottom w:val="none" w:sz="0" w:space="0" w:color="auto"/>
        <w:right w:val="none" w:sz="0" w:space="0" w:color="auto"/>
      </w:divBdr>
    </w:div>
    <w:div w:id="1570730748">
      <w:bodyDiv w:val="1"/>
      <w:marLeft w:val="0"/>
      <w:marRight w:val="0"/>
      <w:marTop w:val="0"/>
      <w:marBottom w:val="0"/>
      <w:divBdr>
        <w:top w:val="none" w:sz="0" w:space="0" w:color="auto"/>
        <w:left w:val="none" w:sz="0" w:space="0" w:color="auto"/>
        <w:bottom w:val="none" w:sz="0" w:space="0" w:color="auto"/>
        <w:right w:val="none" w:sz="0" w:space="0" w:color="auto"/>
      </w:divBdr>
    </w:div>
    <w:div w:id="1573156122">
      <w:bodyDiv w:val="1"/>
      <w:marLeft w:val="0"/>
      <w:marRight w:val="0"/>
      <w:marTop w:val="0"/>
      <w:marBottom w:val="0"/>
      <w:divBdr>
        <w:top w:val="none" w:sz="0" w:space="0" w:color="auto"/>
        <w:left w:val="none" w:sz="0" w:space="0" w:color="auto"/>
        <w:bottom w:val="none" w:sz="0" w:space="0" w:color="auto"/>
        <w:right w:val="none" w:sz="0" w:space="0" w:color="auto"/>
      </w:divBdr>
    </w:div>
    <w:div w:id="1574512304">
      <w:bodyDiv w:val="1"/>
      <w:marLeft w:val="0"/>
      <w:marRight w:val="0"/>
      <w:marTop w:val="0"/>
      <w:marBottom w:val="0"/>
      <w:divBdr>
        <w:top w:val="none" w:sz="0" w:space="0" w:color="auto"/>
        <w:left w:val="none" w:sz="0" w:space="0" w:color="auto"/>
        <w:bottom w:val="none" w:sz="0" w:space="0" w:color="auto"/>
        <w:right w:val="none" w:sz="0" w:space="0" w:color="auto"/>
      </w:divBdr>
    </w:div>
    <w:div w:id="1575552888">
      <w:bodyDiv w:val="1"/>
      <w:marLeft w:val="0"/>
      <w:marRight w:val="0"/>
      <w:marTop w:val="0"/>
      <w:marBottom w:val="0"/>
      <w:divBdr>
        <w:top w:val="none" w:sz="0" w:space="0" w:color="auto"/>
        <w:left w:val="none" w:sz="0" w:space="0" w:color="auto"/>
        <w:bottom w:val="none" w:sz="0" w:space="0" w:color="auto"/>
        <w:right w:val="none" w:sz="0" w:space="0" w:color="auto"/>
      </w:divBdr>
    </w:div>
    <w:div w:id="1575580536">
      <w:bodyDiv w:val="1"/>
      <w:marLeft w:val="0"/>
      <w:marRight w:val="0"/>
      <w:marTop w:val="0"/>
      <w:marBottom w:val="0"/>
      <w:divBdr>
        <w:top w:val="none" w:sz="0" w:space="0" w:color="auto"/>
        <w:left w:val="none" w:sz="0" w:space="0" w:color="auto"/>
        <w:bottom w:val="none" w:sz="0" w:space="0" w:color="auto"/>
        <w:right w:val="none" w:sz="0" w:space="0" w:color="auto"/>
      </w:divBdr>
    </w:div>
    <w:div w:id="1577009646">
      <w:bodyDiv w:val="1"/>
      <w:marLeft w:val="0"/>
      <w:marRight w:val="0"/>
      <w:marTop w:val="0"/>
      <w:marBottom w:val="0"/>
      <w:divBdr>
        <w:top w:val="none" w:sz="0" w:space="0" w:color="auto"/>
        <w:left w:val="none" w:sz="0" w:space="0" w:color="auto"/>
        <w:bottom w:val="none" w:sz="0" w:space="0" w:color="auto"/>
        <w:right w:val="none" w:sz="0" w:space="0" w:color="auto"/>
      </w:divBdr>
    </w:div>
    <w:div w:id="1577396569">
      <w:bodyDiv w:val="1"/>
      <w:marLeft w:val="0"/>
      <w:marRight w:val="0"/>
      <w:marTop w:val="0"/>
      <w:marBottom w:val="0"/>
      <w:divBdr>
        <w:top w:val="none" w:sz="0" w:space="0" w:color="auto"/>
        <w:left w:val="none" w:sz="0" w:space="0" w:color="auto"/>
        <w:bottom w:val="none" w:sz="0" w:space="0" w:color="auto"/>
        <w:right w:val="none" w:sz="0" w:space="0" w:color="auto"/>
      </w:divBdr>
    </w:div>
    <w:div w:id="1588806454">
      <w:bodyDiv w:val="1"/>
      <w:marLeft w:val="0"/>
      <w:marRight w:val="0"/>
      <w:marTop w:val="0"/>
      <w:marBottom w:val="0"/>
      <w:divBdr>
        <w:top w:val="none" w:sz="0" w:space="0" w:color="auto"/>
        <w:left w:val="none" w:sz="0" w:space="0" w:color="auto"/>
        <w:bottom w:val="none" w:sz="0" w:space="0" w:color="auto"/>
        <w:right w:val="none" w:sz="0" w:space="0" w:color="auto"/>
      </w:divBdr>
    </w:div>
    <w:div w:id="1589267650">
      <w:bodyDiv w:val="1"/>
      <w:marLeft w:val="0"/>
      <w:marRight w:val="0"/>
      <w:marTop w:val="0"/>
      <w:marBottom w:val="0"/>
      <w:divBdr>
        <w:top w:val="none" w:sz="0" w:space="0" w:color="auto"/>
        <w:left w:val="none" w:sz="0" w:space="0" w:color="auto"/>
        <w:bottom w:val="none" w:sz="0" w:space="0" w:color="auto"/>
        <w:right w:val="none" w:sz="0" w:space="0" w:color="auto"/>
      </w:divBdr>
    </w:div>
    <w:div w:id="1591354933">
      <w:bodyDiv w:val="1"/>
      <w:marLeft w:val="0"/>
      <w:marRight w:val="0"/>
      <w:marTop w:val="0"/>
      <w:marBottom w:val="0"/>
      <w:divBdr>
        <w:top w:val="none" w:sz="0" w:space="0" w:color="auto"/>
        <w:left w:val="none" w:sz="0" w:space="0" w:color="auto"/>
        <w:bottom w:val="none" w:sz="0" w:space="0" w:color="auto"/>
        <w:right w:val="none" w:sz="0" w:space="0" w:color="auto"/>
      </w:divBdr>
    </w:div>
    <w:div w:id="1591887301">
      <w:bodyDiv w:val="1"/>
      <w:marLeft w:val="0"/>
      <w:marRight w:val="0"/>
      <w:marTop w:val="0"/>
      <w:marBottom w:val="0"/>
      <w:divBdr>
        <w:top w:val="none" w:sz="0" w:space="0" w:color="auto"/>
        <w:left w:val="none" w:sz="0" w:space="0" w:color="auto"/>
        <w:bottom w:val="none" w:sz="0" w:space="0" w:color="auto"/>
        <w:right w:val="none" w:sz="0" w:space="0" w:color="auto"/>
      </w:divBdr>
    </w:div>
    <w:div w:id="1596867690">
      <w:bodyDiv w:val="1"/>
      <w:marLeft w:val="0"/>
      <w:marRight w:val="0"/>
      <w:marTop w:val="0"/>
      <w:marBottom w:val="0"/>
      <w:divBdr>
        <w:top w:val="none" w:sz="0" w:space="0" w:color="auto"/>
        <w:left w:val="none" w:sz="0" w:space="0" w:color="auto"/>
        <w:bottom w:val="none" w:sz="0" w:space="0" w:color="auto"/>
        <w:right w:val="none" w:sz="0" w:space="0" w:color="auto"/>
      </w:divBdr>
    </w:div>
    <w:div w:id="1598563888">
      <w:bodyDiv w:val="1"/>
      <w:marLeft w:val="0"/>
      <w:marRight w:val="0"/>
      <w:marTop w:val="0"/>
      <w:marBottom w:val="0"/>
      <w:divBdr>
        <w:top w:val="none" w:sz="0" w:space="0" w:color="auto"/>
        <w:left w:val="none" w:sz="0" w:space="0" w:color="auto"/>
        <w:bottom w:val="none" w:sz="0" w:space="0" w:color="auto"/>
        <w:right w:val="none" w:sz="0" w:space="0" w:color="auto"/>
      </w:divBdr>
    </w:div>
    <w:div w:id="1599291828">
      <w:bodyDiv w:val="1"/>
      <w:marLeft w:val="0"/>
      <w:marRight w:val="0"/>
      <w:marTop w:val="0"/>
      <w:marBottom w:val="0"/>
      <w:divBdr>
        <w:top w:val="none" w:sz="0" w:space="0" w:color="auto"/>
        <w:left w:val="none" w:sz="0" w:space="0" w:color="auto"/>
        <w:bottom w:val="none" w:sz="0" w:space="0" w:color="auto"/>
        <w:right w:val="none" w:sz="0" w:space="0" w:color="auto"/>
      </w:divBdr>
    </w:div>
    <w:div w:id="1600066437">
      <w:bodyDiv w:val="1"/>
      <w:marLeft w:val="0"/>
      <w:marRight w:val="0"/>
      <w:marTop w:val="0"/>
      <w:marBottom w:val="0"/>
      <w:divBdr>
        <w:top w:val="none" w:sz="0" w:space="0" w:color="auto"/>
        <w:left w:val="none" w:sz="0" w:space="0" w:color="auto"/>
        <w:bottom w:val="none" w:sz="0" w:space="0" w:color="auto"/>
        <w:right w:val="none" w:sz="0" w:space="0" w:color="auto"/>
      </w:divBdr>
    </w:div>
    <w:div w:id="1600485364">
      <w:bodyDiv w:val="1"/>
      <w:marLeft w:val="0"/>
      <w:marRight w:val="0"/>
      <w:marTop w:val="0"/>
      <w:marBottom w:val="0"/>
      <w:divBdr>
        <w:top w:val="none" w:sz="0" w:space="0" w:color="auto"/>
        <w:left w:val="none" w:sz="0" w:space="0" w:color="auto"/>
        <w:bottom w:val="none" w:sz="0" w:space="0" w:color="auto"/>
        <w:right w:val="none" w:sz="0" w:space="0" w:color="auto"/>
      </w:divBdr>
    </w:div>
    <w:div w:id="1601833283">
      <w:bodyDiv w:val="1"/>
      <w:marLeft w:val="0"/>
      <w:marRight w:val="0"/>
      <w:marTop w:val="0"/>
      <w:marBottom w:val="0"/>
      <w:divBdr>
        <w:top w:val="none" w:sz="0" w:space="0" w:color="auto"/>
        <w:left w:val="none" w:sz="0" w:space="0" w:color="auto"/>
        <w:bottom w:val="none" w:sz="0" w:space="0" w:color="auto"/>
        <w:right w:val="none" w:sz="0" w:space="0" w:color="auto"/>
      </w:divBdr>
    </w:div>
    <w:div w:id="1603338400">
      <w:bodyDiv w:val="1"/>
      <w:marLeft w:val="0"/>
      <w:marRight w:val="0"/>
      <w:marTop w:val="0"/>
      <w:marBottom w:val="0"/>
      <w:divBdr>
        <w:top w:val="none" w:sz="0" w:space="0" w:color="auto"/>
        <w:left w:val="none" w:sz="0" w:space="0" w:color="auto"/>
        <w:bottom w:val="none" w:sz="0" w:space="0" w:color="auto"/>
        <w:right w:val="none" w:sz="0" w:space="0" w:color="auto"/>
      </w:divBdr>
    </w:div>
    <w:div w:id="1605646365">
      <w:bodyDiv w:val="1"/>
      <w:marLeft w:val="0"/>
      <w:marRight w:val="0"/>
      <w:marTop w:val="0"/>
      <w:marBottom w:val="0"/>
      <w:divBdr>
        <w:top w:val="none" w:sz="0" w:space="0" w:color="auto"/>
        <w:left w:val="none" w:sz="0" w:space="0" w:color="auto"/>
        <w:bottom w:val="none" w:sz="0" w:space="0" w:color="auto"/>
        <w:right w:val="none" w:sz="0" w:space="0" w:color="auto"/>
      </w:divBdr>
    </w:div>
    <w:div w:id="1608151341">
      <w:bodyDiv w:val="1"/>
      <w:marLeft w:val="0"/>
      <w:marRight w:val="0"/>
      <w:marTop w:val="0"/>
      <w:marBottom w:val="0"/>
      <w:divBdr>
        <w:top w:val="none" w:sz="0" w:space="0" w:color="auto"/>
        <w:left w:val="none" w:sz="0" w:space="0" w:color="auto"/>
        <w:bottom w:val="none" w:sz="0" w:space="0" w:color="auto"/>
        <w:right w:val="none" w:sz="0" w:space="0" w:color="auto"/>
      </w:divBdr>
    </w:div>
    <w:div w:id="1608808334">
      <w:bodyDiv w:val="1"/>
      <w:marLeft w:val="0"/>
      <w:marRight w:val="0"/>
      <w:marTop w:val="0"/>
      <w:marBottom w:val="0"/>
      <w:divBdr>
        <w:top w:val="none" w:sz="0" w:space="0" w:color="auto"/>
        <w:left w:val="none" w:sz="0" w:space="0" w:color="auto"/>
        <w:bottom w:val="none" w:sz="0" w:space="0" w:color="auto"/>
        <w:right w:val="none" w:sz="0" w:space="0" w:color="auto"/>
      </w:divBdr>
    </w:div>
    <w:div w:id="1610309859">
      <w:bodyDiv w:val="1"/>
      <w:marLeft w:val="0"/>
      <w:marRight w:val="0"/>
      <w:marTop w:val="0"/>
      <w:marBottom w:val="0"/>
      <w:divBdr>
        <w:top w:val="none" w:sz="0" w:space="0" w:color="auto"/>
        <w:left w:val="none" w:sz="0" w:space="0" w:color="auto"/>
        <w:bottom w:val="none" w:sz="0" w:space="0" w:color="auto"/>
        <w:right w:val="none" w:sz="0" w:space="0" w:color="auto"/>
      </w:divBdr>
    </w:div>
    <w:div w:id="1613517765">
      <w:bodyDiv w:val="1"/>
      <w:marLeft w:val="0"/>
      <w:marRight w:val="0"/>
      <w:marTop w:val="0"/>
      <w:marBottom w:val="0"/>
      <w:divBdr>
        <w:top w:val="none" w:sz="0" w:space="0" w:color="auto"/>
        <w:left w:val="none" w:sz="0" w:space="0" w:color="auto"/>
        <w:bottom w:val="none" w:sz="0" w:space="0" w:color="auto"/>
        <w:right w:val="none" w:sz="0" w:space="0" w:color="auto"/>
      </w:divBdr>
    </w:div>
    <w:div w:id="1614970038">
      <w:bodyDiv w:val="1"/>
      <w:marLeft w:val="0"/>
      <w:marRight w:val="0"/>
      <w:marTop w:val="0"/>
      <w:marBottom w:val="0"/>
      <w:divBdr>
        <w:top w:val="none" w:sz="0" w:space="0" w:color="auto"/>
        <w:left w:val="none" w:sz="0" w:space="0" w:color="auto"/>
        <w:bottom w:val="none" w:sz="0" w:space="0" w:color="auto"/>
        <w:right w:val="none" w:sz="0" w:space="0" w:color="auto"/>
      </w:divBdr>
    </w:div>
    <w:div w:id="1617759004">
      <w:bodyDiv w:val="1"/>
      <w:marLeft w:val="0"/>
      <w:marRight w:val="0"/>
      <w:marTop w:val="0"/>
      <w:marBottom w:val="0"/>
      <w:divBdr>
        <w:top w:val="none" w:sz="0" w:space="0" w:color="auto"/>
        <w:left w:val="none" w:sz="0" w:space="0" w:color="auto"/>
        <w:bottom w:val="none" w:sz="0" w:space="0" w:color="auto"/>
        <w:right w:val="none" w:sz="0" w:space="0" w:color="auto"/>
      </w:divBdr>
    </w:div>
    <w:div w:id="1617907413">
      <w:bodyDiv w:val="1"/>
      <w:marLeft w:val="0"/>
      <w:marRight w:val="0"/>
      <w:marTop w:val="0"/>
      <w:marBottom w:val="0"/>
      <w:divBdr>
        <w:top w:val="none" w:sz="0" w:space="0" w:color="auto"/>
        <w:left w:val="none" w:sz="0" w:space="0" w:color="auto"/>
        <w:bottom w:val="none" w:sz="0" w:space="0" w:color="auto"/>
        <w:right w:val="none" w:sz="0" w:space="0" w:color="auto"/>
      </w:divBdr>
    </w:div>
    <w:div w:id="1618370377">
      <w:bodyDiv w:val="1"/>
      <w:marLeft w:val="0"/>
      <w:marRight w:val="0"/>
      <w:marTop w:val="0"/>
      <w:marBottom w:val="0"/>
      <w:divBdr>
        <w:top w:val="none" w:sz="0" w:space="0" w:color="auto"/>
        <w:left w:val="none" w:sz="0" w:space="0" w:color="auto"/>
        <w:bottom w:val="none" w:sz="0" w:space="0" w:color="auto"/>
        <w:right w:val="none" w:sz="0" w:space="0" w:color="auto"/>
      </w:divBdr>
    </w:div>
    <w:div w:id="1621184337">
      <w:bodyDiv w:val="1"/>
      <w:marLeft w:val="0"/>
      <w:marRight w:val="0"/>
      <w:marTop w:val="0"/>
      <w:marBottom w:val="0"/>
      <w:divBdr>
        <w:top w:val="none" w:sz="0" w:space="0" w:color="auto"/>
        <w:left w:val="none" w:sz="0" w:space="0" w:color="auto"/>
        <w:bottom w:val="none" w:sz="0" w:space="0" w:color="auto"/>
        <w:right w:val="none" w:sz="0" w:space="0" w:color="auto"/>
      </w:divBdr>
    </w:div>
    <w:div w:id="1623920298">
      <w:bodyDiv w:val="1"/>
      <w:marLeft w:val="0"/>
      <w:marRight w:val="0"/>
      <w:marTop w:val="0"/>
      <w:marBottom w:val="0"/>
      <w:divBdr>
        <w:top w:val="none" w:sz="0" w:space="0" w:color="auto"/>
        <w:left w:val="none" w:sz="0" w:space="0" w:color="auto"/>
        <w:bottom w:val="none" w:sz="0" w:space="0" w:color="auto"/>
        <w:right w:val="none" w:sz="0" w:space="0" w:color="auto"/>
      </w:divBdr>
    </w:div>
    <w:div w:id="1625572701">
      <w:bodyDiv w:val="1"/>
      <w:marLeft w:val="0"/>
      <w:marRight w:val="0"/>
      <w:marTop w:val="0"/>
      <w:marBottom w:val="0"/>
      <w:divBdr>
        <w:top w:val="none" w:sz="0" w:space="0" w:color="auto"/>
        <w:left w:val="none" w:sz="0" w:space="0" w:color="auto"/>
        <w:bottom w:val="none" w:sz="0" w:space="0" w:color="auto"/>
        <w:right w:val="none" w:sz="0" w:space="0" w:color="auto"/>
      </w:divBdr>
    </w:div>
    <w:div w:id="1625765410">
      <w:bodyDiv w:val="1"/>
      <w:marLeft w:val="0"/>
      <w:marRight w:val="0"/>
      <w:marTop w:val="0"/>
      <w:marBottom w:val="0"/>
      <w:divBdr>
        <w:top w:val="none" w:sz="0" w:space="0" w:color="auto"/>
        <w:left w:val="none" w:sz="0" w:space="0" w:color="auto"/>
        <w:bottom w:val="none" w:sz="0" w:space="0" w:color="auto"/>
        <w:right w:val="none" w:sz="0" w:space="0" w:color="auto"/>
      </w:divBdr>
    </w:div>
    <w:div w:id="1630088399">
      <w:bodyDiv w:val="1"/>
      <w:marLeft w:val="0"/>
      <w:marRight w:val="0"/>
      <w:marTop w:val="0"/>
      <w:marBottom w:val="0"/>
      <w:divBdr>
        <w:top w:val="none" w:sz="0" w:space="0" w:color="auto"/>
        <w:left w:val="none" w:sz="0" w:space="0" w:color="auto"/>
        <w:bottom w:val="none" w:sz="0" w:space="0" w:color="auto"/>
        <w:right w:val="none" w:sz="0" w:space="0" w:color="auto"/>
      </w:divBdr>
    </w:div>
    <w:div w:id="1630696741">
      <w:bodyDiv w:val="1"/>
      <w:marLeft w:val="0"/>
      <w:marRight w:val="0"/>
      <w:marTop w:val="0"/>
      <w:marBottom w:val="0"/>
      <w:divBdr>
        <w:top w:val="none" w:sz="0" w:space="0" w:color="auto"/>
        <w:left w:val="none" w:sz="0" w:space="0" w:color="auto"/>
        <w:bottom w:val="none" w:sz="0" w:space="0" w:color="auto"/>
        <w:right w:val="none" w:sz="0" w:space="0" w:color="auto"/>
      </w:divBdr>
    </w:div>
    <w:div w:id="1631521817">
      <w:bodyDiv w:val="1"/>
      <w:marLeft w:val="0"/>
      <w:marRight w:val="0"/>
      <w:marTop w:val="0"/>
      <w:marBottom w:val="0"/>
      <w:divBdr>
        <w:top w:val="none" w:sz="0" w:space="0" w:color="auto"/>
        <w:left w:val="none" w:sz="0" w:space="0" w:color="auto"/>
        <w:bottom w:val="none" w:sz="0" w:space="0" w:color="auto"/>
        <w:right w:val="none" w:sz="0" w:space="0" w:color="auto"/>
      </w:divBdr>
    </w:div>
    <w:div w:id="1634091519">
      <w:bodyDiv w:val="1"/>
      <w:marLeft w:val="0"/>
      <w:marRight w:val="0"/>
      <w:marTop w:val="0"/>
      <w:marBottom w:val="0"/>
      <w:divBdr>
        <w:top w:val="none" w:sz="0" w:space="0" w:color="auto"/>
        <w:left w:val="none" w:sz="0" w:space="0" w:color="auto"/>
        <w:bottom w:val="none" w:sz="0" w:space="0" w:color="auto"/>
        <w:right w:val="none" w:sz="0" w:space="0" w:color="auto"/>
      </w:divBdr>
    </w:div>
    <w:div w:id="1635014824">
      <w:bodyDiv w:val="1"/>
      <w:marLeft w:val="0"/>
      <w:marRight w:val="0"/>
      <w:marTop w:val="0"/>
      <w:marBottom w:val="0"/>
      <w:divBdr>
        <w:top w:val="none" w:sz="0" w:space="0" w:color="auto"/>
        <w:left w:val="none" w:sz="0" w:space="0" w:color="auto"/>
        <w:bottom w:val="none" w:sz="0" w:space="0" w:color="auto"/>
        <w:right w:val="none" w:sz="0" w:space="0" w:color="auto"/>
      </w:divBdr>
    </w:div>
    <w:div w:id="1636255297">
      <w:bodyDiv w:val="1"/>
      <w:marLeft w:val="0"/>
      <w:marRight w:val="0"/>
      <w:marTop w:val="0"/>
      <w:marBottom w:val="0"/>
      <w:divBdr>
        <w:top w:val="none" w:sz="0" w:space="0" w:color="auto"/>
        <w:left w:val="none" w:sz="0" w:space="0" w:color="auto"/>
        <w:bottom w:val="none" w:sz="0" w:space="0" w:color="auto"/>
        <w:right w:val="none" w:sz="0" w:space="0" w:color="auto"/>
      </w:divBdr>
    </w:div>
    <w:div w:id="1638338050">
      <w:bodyDiv w:val="1"/>
      <w:marLeft w:val="0"/>
      <w:marRight w:val="0"/>
      <w:marTop w:val="0"/>
      <w:marBottom w:val="0"/>
      <w:divBdr>
        <w:top w:val="none" w:sz="0" w:space="0" w:color="auto"/>
        <w:left w:val="none" w:sz="0" w:space="0" w:color="auto"/>
        <w:bottom w:val="none" w:sz="0" w:space="0" w:color="auto"/>
        <w:right w:val="none" w:sz="0" w:space="0" w:color="auto"/>
      </w:divBdr>
    </w:div>
    <w:div w:id="1639383916">
      <w:bodyDiv w:val="1"/>
      <w:marLeft w:val="0"/>
      <w:marRight w:val="0"/>
      <w:marTop w:val="0"/>
      <w:marBottom w:val="0"/>
      <w:divBdr>
        <w:top w:val="none" w:sz="0" w:space="0" w:color="auto"/>
        <w:left w:val="none" w:sz="0" w:space="0" w:color="auto"/>
        <w:bottom w:val="none" w:sz="0" w:space="0" w:color="auto"/>
        <w:right w:val="none" w:sz="0" w:space="0" w:color="auto"/>
      </w:divBdr>
    </w:div>
    <w:div w:id="1639653286">
      <w:bodyDiv w:val="1"/>
      <w:marLeft w:val="0"/>
      <w:marRight w:val="0"/>
      <w:marTop w:val="0"/>
      <w:marBottom w:val="0"/>
      <w:divBdr>
        <w:top w:val="none" w:sz="0" w:space="0" w:color="auto"/>
        <w:left w:val="none" w:sz="0" w:space="0" w:color="auto"/>
        <w:bottom w:val="none" w:sz="0" w:space="0" w:color="auto"/>
        <w:right w:val="none" w:sz="0" w:space="0" w:color="auto"/>
      </w:divBdr>
    </w:div>
    <w:div w:id="1642463271">
      <w:bodyDiv w:val="1"/>
      <w:marLeft w:val="0"/>
      <w:marRight w:val="0"/>
      <w:marTop w:val="0"/>
      <w:marBottom w:val="0"/>
      <w:divBdr>
        <w:top w:val="none" w:sz="0" w:space="0" w:color="auto"/>
        <w:left w:val="none" w:sz="0" w:space="0" w:color="auto"/>
        <w:bottom w:val="none" w:sz="0" w:space="0" w:color="auto"/>
        <w:right w:val="none" w:sz="0" w:space="0" w:color="auto"/>
      </w:divBdr>
    </w:div>
    <w:div w:id="1643658374">
      <w:bodyDiv w:val="1"/>
      <w:marLeft w:val="0"/>
      <w:marRight w:val="0"/>
      <w:marTop w:val="0"/>
      <w:marBottom w:val="0"/>
      <w:divBdr>
        <w:top w:val="none" w:sz="0" w:space="0" w:color="auto"/>
        <w:left w:val="none" w:sz="0" w:space="0" w:color="auto"/>
        <w:bottom w:val="none" w:sz="0" w:space="0" w:color="auto"/>
        <w:right w:val="none" w:sz="0" w:space="0" w:color="auto"/>
      </w:divBdr>
    </w:div>
    <w:div w:id="1646623999">
      <w:bodyDiv w:val="1"/>
      <w:marLeft w:val="0"/>
      <w:marRight w:val="0"/>
      <w:marTop w:val="0"/>
      <w:marBottom w:val="0"/>
      <w:divBdr>
        <w:top w:val="none" w:sz="0" w:space="0" w:color="auto"/>
        <w:left w:val="none" w:sz="0" w:space="0" w:color="auto"/>
        <w:bottom w:val="none" w:sz="0" w:space="0" w:color="auto"/>
        <w:right w:val="none" w:sz="0" w:space="0" w:color="auto"/>
      </w:divBdr>
    </w:div>
    <w:div w:id="1646739373">
      <w:bodyDiv w:val="1"/>
      <w:marLeft w:val="0"/>
      <w:marRight w:val="0"/>
      <w:marTop w:val="0"/>
      <w:marBottom w:val="0"/>
      <w:divBdr>
        <w:top w:val="none" w:sz="0" w:space="0" w:color="auto"/>
        <w:left w:val="none" w:sz="0" w:space="0" w:color="auto"/>
        <w:bottom w:val="none" w:sz="0" w:space="0" w:color="auto"/>
        <w:right w:val="none" w:sz="0" w:space="0" w:color="auto"/>
      </w:divBdr>
    </w:div>
    <w:div w:id="1647469678">
      <w:bodyDiv w:val="1"/>
      <w:marLeft w:val="0"/>
      <w:marRight w:val="0"/>
      <w:marTop w:val="0"/>
      <w:marBottom w:val="0"/>
      <w:divBdr>
        <w:top w:val="none" w:sz="0" w:space="0" w:color="auto"/>
        <w:left w:val="none" w:sz="0" w:space="0" w:color="auto"/>
        <w:bottom w:val="none" w:sz="0" w:space="0" w:color="auto"/>
        <w:right w:val="none" w:sz="0" w:space="0" w:color="auto"/>
      </w:divBdr>
    </w:div>
    <w:div w:id="1647734794">
      <w:bodyDiv w:val="1"/>
      <w:marLeft w:val="0"/>
      <w:marRight w:val="0"/>
      <w:marTop w:val="0"/>
      <w:marBottom w:val="0"/>
      <w:divBdr>
        <w:top w:val="none" w:sz="0" w:space="0" w:color="auto"/>
        <w:left w:val="none" w:sz="0" w:space="0" w:color="auto"/>
        <w:bottom w:val="none" w:sz="0" w:space="0" w:color="auto"/>
        <w:right w:val="none" w:sz="0" w:space="0" w:color="auto"/>
      </w:divBdr>
    </w:div>
    <w:div w:id="1648239529">
      <w:bodyDiv w:val="1"/>
      <w:marLeft w:val="0"/>
      <w:marRight w:val="0"/>
      <w:marTop w:val="0"/>
      <w:marBottom w:val="0"/>
      <w:divBdr>
        <w:top w:val="none" w:sz="0" w:space="0" w:color="auto"/>
        <w:left w:val="none" w:sz="0" w:space="0" w:color="auto"/>
        <w:bottom w:val="none" w:sz="0" w:space="0" w:color="auto"/>
        <w:right w:val="none" w:sz="0" w:space="0" w:color="auto"/>
      </w:divBdr>
    </w:div>
    <w:div w:id="1648433949">
      <w:bodyDiv w:val="1"/>
      <w:marLeft w:val="0"/>
      <w:marRight w:val="0"/>
      <w:marTop w:val="0"/>
      <w:marBottom w:val="0"/>
      <w:divBdr>
        <w:top w:val="none" w:sz="0" w:space="0" w:color="auto"/>
        <w:left w:val="none" w:sz="0" w:space="0" w:color="auto"/>
        <w:bottom w:val="none" w:sz="0" w:space="0" w:color="auto"/>
        <w:right w:val="none" w:sz="0" w:space="0" w:color="auto"/>
      </w:divBdr>
    </w:div>
    <w:div w:id="1649673412">
      <w:bodyDiv w:val="1"/>
      <w:marLeft w:val="0"/>
      <w:marRight w:val="0"/>
      <w:marTop w:val="0"/>
      <w:marBottom w:val="0"/>
      <w:divBdr>
        <w:top w:val="none" w:sz="0" w:space="0" w:color="auto"/>
        <w:left w:val="none" w:sz="0" w:space="0" w:color="auto"/>
        <w:bottom w:val="none" w:sz="0" w:space="0" w:color="auto"/>
        <w:right w:val="none" w:sz="0" w:space="0" w:color="auto"/>
      </w:divBdr>
    </w:div>
    <w:div w:id="1652713033">
      <w:bodyDiv w:val="1"/>
      <w:marLeft w:val="0"/>
      <w:marRight w:val="0"/>
      <w:marTop w:val="0"/>
      <w:marBottom w:val="0"/>
      <w:divBdr>
        <w:top w:val="none" w:sz="0" w:space="0" w:color="auto"/>
        <w:left w:val="none" w:sz="0" w:space="0" w:color="auto"/>
        <w:bottom w:val="none" w:sz="0" w:space="0" w:color="auto"/>
        <w:right w:val="none" w:sz="0" w:space="0" w:color="auto"/>
      </w:divBdr>
    </w:div>
    <w:div w:id="1654798157">
      <w:bodyDiv w:val="1"/>
      <w:marLeft w:val="0"/>
      <w:marRight w:val="0"/>
      <w:marTop w:val="0"/>
      <w:marBottom w:val="0"/>
      <w:divBdr>
        <w:top w:val="none" w:sz="0" w:space="0" w:color="auto"/>
        <w:left w:val="none" w:sz="0" w:space="0" w:color="auto"/>
        <w:bottom w:val="none" w:sz="0" w:space="0" w:color="auto"/>
        <w:right w:val="none" w:sz="0" w:space="0" w:color="auto"/>
      </w:divBdr>
    </w:div>
    <w:div w:id="1662849787">
      <w:bodyDiv w:val="1"/>
      <w:marLeft w:val="0"/>
      <w:marRight w:val="0"/>
      <w:marTop w:val="0"/>
      <w:marBottom w:val="0"/>
      <w:divBdr>
        <w:top w:val="none" w:sz="0" w:space="0" w:color="auto"/>
        <w:left w:val="none" w:sz="0" w:space="0" w:color="auto"/>
        <w:bottom w:val="none" w:sz="0" w:space="0" w:color="auto"/>
        <w:right w:val="none" w:sz="0" w:space="0" w:color="auto"/>
      </w:divBdr>
    </w:div>
    <w:div w:id="1666086879">
      <w:bodyDiv w:val="1"/>
      <w:marLeft w:val="0"/>
      <w:marRight w:val="0"/>
      <w:marTop w:val="0"/>
      <w:marBottom w:val="0"/>
      <w:divBdr>
        <w:top w:val="none" w:sz="0" w:space="0" w:color="auto"/>
        <w:left w:val="none" w:sz="0" w:space="0" w:color="auto"/>
        <w:bottom w:val="none" w:sz="0" w:space="0" w:color="auto"/>
        <w:right w:val="none" w:sz="0" w:space="0" w:color="auto"/>
      </w:divBdr>
    </w:div>
    <w:div w:id="1670594135">
      <w:bodyDiv w:val="1"/>
      <w:marLeft w:val="0"/>
      <w:marRight w:val="0"/>
      <w:marTop w:val="0"/>
      <w:marBottom w:val="0"/>
      <w:divBdr>
        <w:top w:val="none" w:sz="0" w:space="0" w:color="auto"/>
        <w:left w:val="none" w:sz="0" w:space="0" w:color="auto"/>
        <w:bottom w:val="none" w:sz="0" w:space="0" w:color="auto"/>
        <w:right w:val="none" w:sz="0" w:space="0" w:color="auto"/>
      </w:divBdr>
    </w:div>
    <w:div w:id="1672953289">
      <w:bodyDiv w:val="1"/>
      <w:marLeft w:val="0"/>
      <w:marRight w:val="0"/>
      <w:marTop w:val="0"/>
      <w:marBottom w:val="0"/>
      <w:divBdr>
        <w:top w:val="none" w:sz="0" w:space="0" w:color="auto"/>
        <w:left w:val="none" w:sz="0" w:space="0" w:color="auto"/>
        <w:bottom w:val="none" w:sz="0" w:space="0" w:color="auto"/>
        <w:right w:val="none" w:sz="0" w:space="0" w:color="auto"/>
      </w:divBdr>
    </w:div>
    <w:div w:id="1676372286">
      <w:bodyDiv w:val="1"/>
      <w:marLeft w:val="0"/>
      <w:marRight w:val="0"/>
      <w:marTop w:val="0"/>
      <w:marBottom w:val="0"/>
      <w:divBdr>
        <w:top w:val="none" w:sz="0" w:space="0" w:color="auto"/>
        <w:left w:val="none" w:sz="0" w:space="0" w:color="auto"/>
        <w:bottom w:val="none" w:sz="0" w:space="0" w:color="auto"/>
        <w:right w:val="none" w:sz="0" w:space="0" w:color="auto"/>
      </w:divBdr>
    </w:div>
    <w:div w:id="1681543151">
      <w:bodyDiv w:val="1"/>
      <w:marLeft w:val="0"/>
      <w:marRight w:val="0"/>
      <w:marTop w:val="0"/>
      <w:marBottom w:val="0"/>
      <w:divBdr>
        <w:top w:val="none" w:sz="0" w:space="0" w:color="auto"/>
        <w:left w:val="none" w:sz="0" w:space="0" w:color="auto"/>
        <w:bottom w:val="none" w:sz="0" w:space="0" w:color="auto"/>
        <w:right w:val="none" w:sz="0" w:space="0" w:color="auto"/>
      </w:divBdr>
    </w:div>
    <w:div w:id="1681814859">
      <w:bodyDiv w:val="1"/>
      <w:marLeft w:val="0"/>
      <w:marRight w:val="0"/>
      <w:marTop w:val="0"/>
      <w:marBottom w:val="0"/>
      <w:divBdr>
        <w:top w:val="none" w:sz="0" w:space="0" w:color="auto"/>
        <w:left w:val="none" w:sz="0" w:space="0" w:color="auto"/>
        <w:bottom w:val="none" w:sz="0" w:space="0" w:color="auto"/>
        <w:right w:val="none" w:sz="0" w:space="0" w:color="auto"/>
      </w:divBdr>
    </w:div>
    <w:div w:id="1684478229">
      <w:bodyDiv w:val="1"/>
      <w:marLeft w:val="0"/>
      <w:marRight w:val="0"/>
      <w:marTop w:val="0"/>
      <w:marBottom w:val="0"/>
      <w:divBdr>
        <w:top w:val="none" w:sz="0" w:space="0" w:color="auto"/>
        <w:left w:val="none" w:sz="0" w:space="0" w:color="auto"/>
        <w:bottom w:val="none" w:sz="0" w:space="0" w:color="auto"/>
        <w:right w:val="none" w:sz="0" w:space="0" w:color="auto"/>
      </w:divBdr>
    </w:div>
    <w:div w:id="1686861960">
      <w:bodyDiv w:val="1"/>
      <w:marLeft w:val="0"/>
      <w:marRight w:val="0"/>
      <w:marTop w:val="0"/>
      <w:marBottom w:val="0"/>
      <w:divBdr>
        <w:top w:val="none" w:sz="0" w:space="0" w:color="auto"/>
        <w:left w:val="none" w:sz="0" w:space="0" w:color="auto"/>
        <w:bottom w:val="none" w:sz="0" w:space="0" w:color="auto"/>
        <w:right w:val="none" w:sz="0" w:space="0" w:color="auto"/>
      </w:divBdr>
    </w:div>
    <w:div w:id="1691952491">
      <w:bodyDiv w:val="1"/>
      <w:marLeft w:val="0"/>
      <w:marRight w:val="0"/>
      <w:marTop w:val="0"/>
      <w:marBottom w:val="0"/>
      <w:divBdr>
        <w:top w:val="none" w:sz="0" w:space="0" w:color="auto"/>
        <w:left w:val="none" w:sz="0" w:space="0" w:color="auto"/>
        <w:bottom w:val="none" w:sz="0" w:space="0" w:color="auto"/>
        <w:right w:val="none" w:sz="0" w:space="0" w:color="auto"/>
      </w:divBdr>
    </w:div>
    <w:div w:id="1694452936">
      <w:bodyDiv w:val="1"/>
      <w:marLeft w:val="0"/>
      <w:marRight w:val="0"/>
      <w:marTop w:val="0"/>
      <w:marBottom w:val="0"/>
      <w:divBdr>
        <w:top w:val="none" w:sz="0" w:space="0" w:color="auto"/>
        <w:left w:val="none" w:sz="0" w:space="0" w:color="auto"/>
        <w:bottom w:val="none" w:sz="0" w:space="0" w:color="auto"/>
        <w:right w:val="none" w:sz="0" w:space="0" w:color="auto"/>
      </w:divBdr>
    </w:div>
    <w:div w:id="1700004834">
      <w:bodyDiv w:val="1"/>
      <w:marLeft w:val="0"/>
      <w:marRight w:val="0"/>
      <w:marTop w:val="0"/>
      <w:marBottom w:val="0"/>
      <w:divBdr>
        <w:top w:val="none" w:sz="0" w:space="0" w:color="auto"/>
        <w:left w:val="none" w:sz="0" w:space="0" w:color="auto"/>
        <w:bottom w:val="none" w:sz="0" w:space="0" w:color="auto"/>
        <w:right w:val="none" w:sz="0" w:space="0" w:color="auto"/>
      </w:divBdr>
    </w:div>
    <w:div w:id="1701707963">
      <w:bodyDiv w:val="1"/>
      <w:marLeft w:val="0"/>
      <w:marRight w:val="0"/>
      <w:marTop w:val="0"/>
      <w:marBottom w:val="0"/>
      <w:divBdr>
        <w:top w:val="none" w:sz="0" w:space="0" w:color="auto"/>
        <w:left w:val="none" w:sz="0" w:space="0" w:color="auto"/>
        <w:bottom w:val="none" w:sz="0" w:space="0" w:color="auto"/>
        <w:right w:val="none" w:sz="0" w:space="0" w:color="auto"/>
      </w:divBdr>
    </w:div>
    <w:div w:id="1705595580">
      <w:bodyDiv w:val="1"/>
      <w:marLeft w:val="0"/>
      <w:marRight w:val="0"/>
      <w:marTop w:val="0"/>
      <w:marBottom w:val="0"/>
      <w:divBdr>
        <w:top w:val="none" w:sz="0" w:space="0" w:color="auto"/>
        <w:left w:val="none" w:sz="0" w:space="0" w:color="auto"/>
        <w:bottom w:val="none" w:sz="0" w:space="0" w:color="auto"/>
        <w:right w:val="none" w:sz="0" w:space="0" w:color="auto"/>
      </w:divBdr>
    </w:div>
    <w:div w:id="1714650586">
      <w:bodyDiv w:val="1"/>
      <w:marLeft w:val="0"/>
      <w:marRight w:val="0"/>
      <w:marTop w:val="0"/>
      <w:marBottom w:val="0"/>
      <w:divBdr>
        <w:top w:val="none" w:sz="0" w:space="0" w:color="auto"/>
        <w:left w:val="none" w:sz="0" w:space="0" w:color="auto"/>
        <w:bottom w:val="none" w:sz="0" w:space="0" w:color="auto"/>
        <w:right w:val="none" w:sz="0" w:space="0" w:color="auto"/>
      </w:divBdr>
    </w:div>
    <w:div w:id="1715080721">
      <w:bodyDiv w:val="1"/>
      <w:marLeft w:val="0"/>
      <w:marRight w:val="0"/>
      <w:marTop w:val="0"/>
      <w:marBottom w:val="0"/>
      <w:divBdr>
        <w:top w:val="none" w:sz="0" w:space="0" w:color="auto"/>
        <w:left w:val="none" w:sz="0" w:space="0" w:color="auto"/>
        <w:bottom w:val="none" w:sz="0" w:space="0" w:color="auto"/>
        <w:right w:val="none" w:sz="0" w:space="0" w:color="auto"/>
      </w:divBdr>
    </w:div>
    <w:div w:id="1719739236">
      <w:bodyDiv w:val="1"/>
      <w:marLeft w:val="0"/>
      <w:marRight w:val="0"/>
      <w:marTop w:val="0"/>
      <w:marBottom w:val="0"/>
      <w:divBdr>
        <w:top w:val="none" w:sz="0" w:space="0" w:color="auto"/>
        <w:left w:val="none" w:sz="0" w:space="0" w:color="auto"/>
        <w:bottom w:val="none" w:sz="0" w:space="0" w:color="auto"/>
        <w:right w:val="none" w:sz="0" w:space="0" w:color="auto"/>
      </w:divBdr>
    </w:div>
    <w:div w:id="1724060238">
      <w:bodyDiv w:val="1"/>
      <w:marLeft w:val="0"/>
      <w:marRight w:val="0"/>
      <w:marTop w:val="0"/>
      <w:marBottom w:val="0"/>
      <w:divBdr>
        <w:top w:val="none" w:sz="0" w:space="0" w:color="auto"/>
        <w:left w:val="none" w:sz="0" w:space="0" w:color="auto"/>
        <w:bottom w:val="none" w:sz="0" w:space="0" w:color="auto"/>
        <w:right w:val="none" w:sz="0" w:space="0" w:color="auto"/>
      </w:divBdr>
    </w:div>
    <w:div w:id="1729307284">
      <w:bodyDiv w:val="1"/>
      <w:marLeft w:val="0"/>
      <w:marRight w:val="0"/>
      <w:marTop w:val="0"/>
      <w:marBottom w:val="0"/>
      <w:divBdr>
        <w:top w:val="none" w:sz="0" w:space="0" w:color="auto"/>
        <w:left w:val="none" w:sz="0" w:space="0" w:color="auto"/>
        <w:bottom w:val="none" w:sz="0" w:space="0" w:color="auto"/>
        <w:right w:val="none" w:sz="0" w:space="0" w:color="auto"/>
      </w:divBdr>
    </w:div>
    <w:div w:id="1731464739">
      <w:bodyDiv w:val="1"/>
      <w:marLeft w:val="0"/>
      <w:marRight w:val="0"/>
      <w:marTop w:val="0"/>
      <w:marBottom w:val="0"/>
      <w:divBdr>
        <w:top w:val="none" w:sz="0" w:space="0" w:color="auto"/>
        <w:left w:val="none" w:sz="0" w:space="0" w:color="auto"/>
        <w:bottom w:val="none" w:sz="0" w:space="0" w:color="auto"/>
        <w:right w:val="none" w:sz="0" w:space="0" w:color="auto"/>
      </w:divBdr>
    </w:div>
    <w:div w:id="1733043790">
      <w:bodyDiv w:val="1"/>
      <w:marLeft w:val="0"/>
      <w:marRight w:val="0"/>
      <w:marTop w:val="0"/>
      <w:marBottom w:val="0"/>
      <w:divBdr>
        <w:top w:val="none" w:sz="0" w:space="0" w:color="auto"/>
        <w:left w:val="none" w:sz="0" w:space="0" w:color="auto"/>
        <w:bottom w:val="none" w:sz="0" w:space="0" w:color="auto"/>
        <w:right w:val="none" w:sz="0" w:space="0" w:color="auto"/>
      </w:divBdr>
    </w:div>
    <w:div w:id="1737360252">
      <w:bodyDiv w:val="1"/>
      <w:marLeft w:val="0"/>
      <w:marRight w:val="0"/>
      <w:marTop w:val="0"/>
      <w:marBottom w:val="0"/>
      <w:divBdr>
        <w:top w:val="none" w:sz="0" w:space="0" w:color="auto"/>
        <w:left w:val="none" w:sz="0" w:space="0" w:color="auto"/>
        <w:bottom w:val="none" w:sz="0" w:space="0" w:color="auto"/>
        <w:right w:val="none" w:sz="0" w:space="0" w:color="auto"/>
      </w:divBdr>
    </w:div>
    <w:div w:id="1738626441">
      <w:bodyDiv w:val="1"/>
      <w:marLeft w:val="0"/>
      <w:marRight w:val="0"/>
      <w:marTop w:val="0"/>
      <w:marBottom w:val="0"/>
      <w:divBdr>
        <w:top w:val="none" w:sz="0" w:space="0" w:color="auto"/>
        <w:left w:val="none" w:sz="0" w:space="0" w:color="auto"/>
        <w:bottom w:val="none" w:sz="0" w:space="0" w:color="auto"/>
        <w:right w:val="none" w:sz="0" w:space="0" w:color="auto"/>
      </w:divBdr>
    </w:div>
    <w:div w:id="1739744907">
      <w:bodyDiv w:val="1"/>
      <w:marLeft w:val="0"/>
      <w:marRight w:val="0"/>
      <w:marTop w:val="0"/>
      <w:marBottom w:val="0"/>
      <w:divBdr>
        <w:top w:val="none" w:sz="0" w:space="0" w:color="auto"/>
        <w:left w:val="none" w:sz="0" w:space="0" w:color="auto"/>
        <w:bottom w:val="none" w:sz="0" w:space="0" w:color="auto"/>
        <w:right w:val="none" w:sz="0" w:space="0" w:color="auto"/>
      </w:divBdr>
    </w:div>
    <w:div w:id="1740010654">
      <w:bodyDiv w:val="1"/>
      <w:marLeft w:val="0"/>
      <w:marRight w:val="0"/>
      <w:marTop w:val="0"/>
      <w:marBottom w:val="0"/>
      <w:divBdr>
        <w:top w:val="none" w:sz="0" w:space="0" w:color="auto"/>
        <w:left w:val="none" w:sz="0" w:space="0" w:color="auto"/>
        <w:bottom w:val="none" w:sz="0" w:space="0" w:color="auto"/>
        <w:right w:val="none" w:sz="0" w:space="0" w:color="auto"/>
      </w:divBdr>
    </w:div>
    <w:div w:id="1743404634">
      <w:bodyDiv w:val="1"/>
      <w:marLeft w:val="0"/>
      <w:marRight w:val="0"/>
      <w:marTop w:val="0"/>
      <w:marBottom w:val="0"/>
      <w:divBdr>
        <w:top w:val="none" w:sz="0" w:space="0" w:color="auto"/>
        <w:left w:val="none" w:sz="0" w:space="0" w:color="auto"/>
        <w:bottom w:val="none" w:sz="0" w:space="0" w:color="auto"/>
        <w:right w:val="none" w:sz="0" w:space="0" w:color="auto"/>
      </w:divBdr>
    </w:div>
    <w:div w:id="1745489355">
      <w:bodyDiv w:val="1"/>
      <w:marLeft w:val="0"/>
      <w:marRight w:val="0"/>
      <w:marTop w:val="0"/>
      <w:marBottom w:val="0"/>
      <w:divBdr>
        <w:top w:val="none" w:sz="0" w:space="0" w:color="auto"/>
        <w:left w:val="none" w:sz="0" w:space="0" w:color="auto"/>
        <w:bottom w:val="none" w:sz="0" w:space="0" w:color="auto"/>
        <w:right w:val="none" w:sz="0" w:space="0" w:color="auto"/>
      </w:divBdr>
    </w:div>
    <w:div w:id="1746148555">
      <w:bodyDiv w:val="1"/>
      <w:marLeft w:val="0"/>
      <w:marRight w:val="0"/>
      <w:marTop w:val="0"/>
      <w:marBottom w:val="0"/>
      <w:divBdr>
        <w:top w:val="none" w:sz="0" w:space="0" w:color="auto"/>
        <w:left w:val="none" w:sz="0" w:space="0" w:color="auto"/>
        <w:bottom w:val="none" w:sz="0" w:space="0" w:color="auto"/>
        <w:right w:val="none" w:sz="0" w:space="0" w:color="auto"/>
      </w:divBdr>
    </w:div>
    <w:div w:id="1746293464">
      <w:bodyDiv w:val="1"/>
      <w:marLeft w:val="0"/>
      <w:marRight w:val="0"/>
      <w:marTop w:val="0"/>
      <w:marBottom w:val="0"/>
      <w:divBdr>
        <w:top w:val="none" w:sz="0" w:space="0" w:color="auto"/>
        <w:left w:val="none" w:sz="0" w:space="0" w:color="auto"/>
        <w:bottom w:val="none" w:sz="0" w:space="0" w:color="auto"/>
        <w:right w:val="none" w:sz="0" w:space="0" w:color="auto"/>
      </w:divBdr>
    </w:div>
    <w:div w:id="1746684437">
      <w:bodyDiv w:val="1"/>
      <w:marLeft w:val="0"/>
      <w:marRight w:val="0"/>
      <w:marTop w:val="0"/>
      <w:marBottom w:val="0"/>
      <w:divBdr>
        <w:top w:val="none" w:sz="0" w:space="0" w:color="auto"/>
        <w:left w:val="none" w:sz="0" w:space="0" w:color="auto"/>
        <w:bottom w:val="none" w:sz="0" w:space="0" w:color="auto"/>
        <w:right w:val="none" w:sz="0" w:space="0" w:color="auto"/>
      </w:divBdr>
    </w:div>
    <w:div w:id="1748527904">
      <w:bodyDiv w:val="1"/>
      <w:marLeft w:val="0"/>
      <w:marRight w:val="0"/>
      <w:marTop w:val="0"/>
      <w:marBottom w:val="0"/>
      <w:divBdr>
        <w:top w:val="none" w:sz="0" w:space="0" w:color="auto"/>
        <w:left w:val="none" w:sz="0" w:space="0" w:color="auto"/>
        <w:bottom w:val="none" w:sz="0" w:space="0" w:color="auto"/>
        <w:right w:val="none" w:sz="0" w:space="0" w:color="auto"/>
      </w:divBdr>
    </w:div>
    <w:div w:id="1752267280">
      <w:bodyDiv w:val="1"/>
      <w:marLeft w:val="0"/>
      <w:marRight w:val="0"/>
      <w:marTop w:val="0"/>
      <w:marBottom w:val="0"/>
      <w:divBdr>
        <w:top w:val="none" w:sz="0" w:space="0" w:color="auto"/>
        <w:left w:val="none" w:sz="0" w:space="0" w:color="auto"/>
        <w:bottom w:val="none" w:sz="0" w:space="0" w:color="auto"/>
        <w:right w:val="none" w:sz="0" w:space="0" w:color="auto"/>
      </w:divBdr>
    </w:div>
    <w:div w:id="1754358279">
      <w:bodyDiv w:val="1"/>
      <w:marLeft w:val="0"/>
      <w:marRight w:val="0"/>
      <w:marTop w:val="0"/>
      <w:marBottom w:val="0"/>
      <w:divBdr>
        <w:top w:val="none" w:sz="0" w:space="0" w:color="auto"/>
        <w:left w:val="none" w:sz="0" w:space="0" w:color="auto"/>
        <w:bottom w:val="none" w:sz="0" w:space="0" w:color="auto"/>
        <w:right w:val="none" w:sz="0" w:space="0" w:color="auto"/>
      </w:divBdr>
    </w:div>
    <w:div w:id="1770199340">
      <w:bodyDiv w:val="1"/>
      <w:marLeft w:val="0"/>
      <w:marRight w:val="0"/>
      <w:marTop w:val="0"/>
      <w:marBottom w:val="0"/>
      <w:divBdr>
        <w:top w:val="none" w:sz="0" w:space="0" w:color="auto"/>
        <w:left w:val="none" w:sz="0" w:space="0" w:color="auto"/>
        <w:bottom w:val="none" w:sz="0" w:space="0" w:color="auto"/>
        <w:right w:val="none" w:sz="0" w:space="0" w:color="auto"/>
      </w:divBdr>
    </w:div>
    <w:div w:id="1770664607">
      <w:bodyDiv w:val="1"/>
      <w:marLeft w:val="0"/>
      <w:marRight w:val="0"/>
      <w:marTop w:val="0"/>
      <w:marBottom w:val="0"/>
      <w:divBdr>
        <w:top w:val="none" w:sz="0" w:space="0" w:color="auto"/>
        <w:left w:val="none" w:sz="0" w:space="0" w:color="auto"/>
        <w:bottom w:val="none" w:sz="0" w:space="0" w:color="auto"/>
        <w:right w:val="none" w:sz="0" w:space="0" w:color="auto"/>
      </w:divBdr>
    </w:div>
    <w:div w:id="1771001696">
      <w:bodyDiv w:val="1"/>
      <w:marLeft w:val="0"/>
      <w:marRight w:val="0"/>
      <w:marTop w:val="0"/>
      <w:marBottom w:val="0"/>
      <w:divBdr>
        <w:top w:val="none" w:sz="0" w:space="0" w:color="auto"/>
        <w:left w:val="none" w:sz="0" w:space="0" w:color="auto"/>
        <w:bottom w:val="none" w:sz="0" w:space="0" w:color="auto"/>
        <w:right w:val="none" w:sz="0" w:space="0" w:color="auto"/>
      </w:divBdr>
    </w:div>
    <w:div w:id="1772777301">
      <w:bodyDiv w:val="1"/>
      <w:marLeft w:val="0"/>
      <w:marRight w:val="0"/>
      <w:marTop w:val="0"/>
      <w:marBottom w:val="0"/>
      <w:divBdr>
        <w:top w:val="none" w:sz="0" w:space="0" w:color="auto"/>
        <w:left w:val="none" w:sz="0" w:space="0" w:color="auto"/>
        <w:bottom w:val="none" w:sz="0" w:space="0" w:color="auto"/>
        <w:right w:val="none" w:sz="0" w:space="0" w:color="auto"/>
      </w:divBdr>
    </w:div>
    <w:div w:id="1774325981">
      <w:bodyDiv w:val="1"/>
      <w:marLeft w:val="0"/>
      <w:marRight w:val="0"/>
      <w:marTop w:val="0"/>
      <w:marBottom w:val="0"/>
      <w:divBdr>
        <w:top w:val="none" w:sz="0" w:space="0" w:color="auto"/>
        <w:left w:val="none" w:sz="0" w:space="0" w:color="auto"/>
        <w:bottom w:val="none" w:sz="0" w:space="0" w:color="auto"/>
        <w:right w:val="none" w:sz="0" w:space="0" w:color="auto"/>
      </w:divBdr>
    </w:div>
    <w:div w:id="1775056835">
      <w:bodyDiv w:val="1"/>
      <w:marLeft w:val="0"/>
      <w:marRight w:val="0"/>
      <w:marTop w:val="0"/>
      <w:marBottom w:val="0"/>
      <w:divBdr>
        <w:top w:val="none" w:sz="0" w:space="0" w:color="auto"/>
        <w:left w:val="none" w:sz="0" w:space="0" w:color="auto"/>
        <w:bottom w:val="none" w:sz="0" w:space="0" w:color="auto"/>
        <w:right w:val="none" w:sz="0" w:space="0" w:color="auto"/>
      </w:divBdr>
    </w:div>
    <w:div w:id="1776516117">
      <w:bodyDiv w:val="1"/>
      <w:marLeft w:val="0"/>
      <w:marRight w:val="0"/>
      <w:marTop w:val="0"/>
      <w:marBottom w:val="0"/>
      <w:divBdr>
        <w:top w:val="none" w:sz="0" w:space="0" w:color="auto"/>
        <w:left w:val="none" w:sz="0" w:space="0" w:color="auto"/>
        <w:bottom w:val="none" w:sz="0" w:space="0" w:color="auto"/>
        <w:right w:val="none" w:sz="0" w:space="0" w:color="auto"/>
      </w:divBdr>
    </w:div>
    <w:div w:id="1779524407">
      <w:bodyDiv w:val="1"/>
      <w:marLeft w:val="0"/>
      <w:marRight w:val="0"/>
      <w:marTop w:val="0"/>
      <w:marBottom w:val="0"/>
      <w:divBdr>
        <w:top w:val="none" w:sz="0" w:space="0" w:color="auto"/>
        <w:left w:val="none" w:sz="0" w:space="0" w:color="auto"/>
        <w:bottom w:val="none" w:sz="0" w:space="0" w:color="auto"/>
        <w:right w:val="none" w:sz="0" w:space="0" w:color="auto"/>
      </w:divBdr>
    </w:div>
    <w:div w:id="1782843840">
      <w:bodyDiv w:val="1"/>
      <w:marLeft w:val="0"/>
      <w:marRight w:val="0"/>
      <w:marTop w:val="0"/>
      <w:marBottom w:val="0"/>
      <w:divBdr>
        <w:top w:val="none" w:sz="0" w:space="0" w:color="auto"/>
        <w:left w:val="none" w:sz="0" w:space="0" w:color="auto"/>
        <w:bottom w:val="none" w:sz="0" w:space="0" w:color="auto"/>
        <w:right w:val="none" w:sz="0" w:space="0" w:color="auto"/>
      </w:divBdr>
    </w:div>
    <w:div w:id="1784690857">
      <w:bodyDiv w:val="1"/>
      <w:marLeft w:val="0"/>
      <w:marRight w:val="0"/>
      <w:marTop w:val="0"/>
      <w:marBottom w:val="0"/>
      <w:divBdr>
        <w:top w:val="none" w:sz="0" w:space="0" w:color="auto"/>
        <w:left w:val="none" w:sz="0" w:space="0" w:color="auto"/>
        <w:bottom w:val="none" w:sz="0" w:space="0" w:color="auto"/>
        <w:right w:val="none" w:sz="0" w:space="0" w:color="auto"/>
      </w:divBdr>
    </w:div>
    <w:div w:id="1786536597">
      <w:bodyDiv w:val="1"/>
      <w:marLeft w:val="0"/>
      <w:marRight w:val="0"/>
      <w:marTop w:val="0"/>
      <w:marBottom w:val="0"/>
      <w:divBdr>
        <w:top w:val="none" w:sz="0" w:space="0" w:color="auto"/>
        <w:left w:val="none" w:sz="0" w:space="0" w:color="auto"/>
        <w:bottom w:val="none" w:sz="0" w:space="0" w:color="auto"/>
        <w:right w:val="none" w:sz="0" w:space="0" w:color="auto"/>
      </w:divBdr>
    </w:div>
    <w:div w:id="1786653656">
      <w:bodyDiv w:val="1"/>
      <w:marLeft w:val="0"/>
      <w:marRight w:val="0"/>
      <w:marTop w:val="0"/>
      <w:marBottom w:val="0"/>
      <w:divBdr>
        <w:top w:val="none" w:sz="0" w:space="0" w:color="auto"/>
        <w:left w:val="none" w:sz="0" w:space="0" w:color="auto"/>
        <w:bottom w:val="none" w:sz="0" w:space="0" w:color="auto"/>
        <w:right w:val="none" w:sz="0" w:space="0" w:color="auto"/>
      </w:divBdr>
    </w:div>
    <w:div w:id="1787309514">
      <w:bodyDiv w:val="1"/>
      <w:marLeft w:val="0"/>
      <w:marRight w:val="0"/>
      <w:marTop w:val="0"/>
      <w:marBottom w:val="0"/>
      <w:divBdr>
        <w:top w:val="none" w:sz="0" w:space="0" w:color="auto"/>
        <w:left w:val="none" w:sz="0" w:space="0" w:color="auto"/>
        <w:bottom w:val="none" w:sz="0" w:space="0" w:color="auto"/>
        <w:right w:val="none" w:sz="0" w:space="0" w:color="auto"/>
      </w:divBdr>
    </w:div>
    <w:div w:id="1790540211">
      <w:bodyDiv w:val="1"/>
      <w:marLeft w:val="0"/>
      <w:marRight w:val="0"/>
      <w:marTop w:val="0"/>
      <w:marBottom w:val="0"/>
      <w:divBdr>
        <w:top w:val="none" w:sz="0" w:space="0" w:color="auto"/>
        <w:left w:val="none" w:sz="0" w:space="0" w:color="auto"/>
        <w:bottom w:val="none" w:sz="0" w:space="0" w:color="auto"/>
        <w:right w:val="none" w:sz="0" w:space="0" w:color="auto"/>
      </w:divBdr>
    </w:div>
    <w:div w:id="1791124916">
      <w:bodyDiv w:val="1"/>
      <w:marLeft w:val="0"/>
      <w:marRight w:val="0"/>
      <w:marTop w:val="0"/>
      <w:marBottom w:val="0"/>
      <w:divBdr>
        <w:top w:val="none" w:sz="0" w:space="0" w:color="auto"/>
        <w:left w:val="none" w:sz="0" w:space="0" w:color="auto"/>
        <w:bottom w:val="none" w:sz="0" w:space="0" w:color="auto"/>
        <w:right w:val="none" w:sz="0" w:space="0" w:color="auto"/>
      </w:divBdr>
    </w:div>
    <w:div w:id="1791240001">
      <w:bodyDiv w:val="1"/>
      <w:marLeft w:val="0"/>
      <w:marRight w:val="0"/>
      <w:marTop w:val="0"/>
      <w:marBottom w:val="0"/>
      <w:divBdr>
        <w:top w:val="none" w:sz="0" w:space="0" w:color="auto"/>
        <w:left w:val="none" w:sz="0" w:space="0" w:color="auto"/>
        <w:bottom w:val="none" w:sz="0" w:space="0" w:color="auto"/>
        <w:right w:val="none" w:sz="0" w:space="0" w:color="auto"/>
      </w:divBdr>
    </w:div>
    <w:div w:id="1792282701">
      <w:bodyDiv w:val="1"/>
      <w:marLeft w:val="0"/>
      <w:marRight w:val="0"/>
      <w:marTop w:val="0"/>
      <w:marBottom w:val="0"/>
      <w:divBdr>
        <w:top w:val="none" w:sz="0" w:space="0" w:color="auto"/>
        <w:left w:val="none" w:sz="0" w:space="0" w:color="auto"/>
        <w:bottom w:val="none" w:sz="0" w:space="0" w:color="auto"/>
        <w:right w:val="none" w:sz="0" w:space="0" w:color="auto"/>
      </w:divBdr>
    </w:div>
    <w:div w:id="1792672965">
      <w:bodyDiv w:val="1"/>
      <w:marLeft w:val="0"/>
      <w:marRight w:val="0"/>
      <w:marTop w:val="0"/>
      <w:marBottom w:val="0"/>
      <w:divBdr>
        <w:top w:val="none" w:sz="0" w:space="0" w:color="auto"/>
        <w:left w:val="none" w:sz="0" w:space="0" w:color="auto"/>
        <w:bottom w:val="none" w:sz="0" w:space="0" w:color="auto"/>
        <w:right w:val="none" w:sz="0" w:space="0" w:color="auto"/>
      </w:divBdr>
    </w:div>
    <w:div w:id="1793862376">
      <w:bodyDiv w:val="1"/>
      <w:marLeft w:val="0"/>
      <w:marRight w:val="0"/>
      <w:marTop w:val="0"/>
      <w:marBottom w:val="0"/>
      <w:divBdr>
        <w:top w:val="none" w:sz="0" w:space="0" w:color="auto"/>
        <w:left w:val="none" w:sz="0" w:space="0" w:color="auto"/>
        <w:bottom w:val="none" w:sz="0" w:space="0" w:color="auto"/>
        <w:right w:val="none" w:sz="0" w:space="0" w:color="auto"/>
      </w:divBdr>
    </w:div>
    <w:div w:id="1797675212">
      <w:bodyDiv w:val="1"/>
      <w:marLeft w:val="0"/>
      <w:marRight w:val="0"/>
      <w:marTop w:val="0"/>
      <w:marBottom w:val="0"/>
      <w:divBdr>
        <w:top w:val="none" w:sz="0" w:space="0" w:color="auto"/>
        <w:left w:val="none" w:sz="0" w:space="0" w:color="auto"/>
        <w:bottom w:val="none" w:sz="0" w:space="0" w:color="auto"/>
        <w:right w:val="none" w:sz="0" w:space="0" w:color="auto"/>
      </w:divBdr>
    </w:div>
    <w:div w:id="1800565768">
      <w:bodyDiv w:val="1"/>
      <w:marLeft w:val="0"/>
      <w:marRight w:val="0"/>
      <w:marTop w:val="0"/>
      <w:marBottom w:val="0"/>
      <w:divBdr>
        <w:top w:val="none" w:sz="0" w:space="0" w:color="auto"/>
        <w:left w:val="none" w:sz="0" w:space="0" w:color="auto"/>
        <w:bottom w:val="none" w:sz="0" w:space="0" w:color="auto"/>
        <w:right w:val="none" w:sz="0" w:space="0" w:color="auto"/>
      </w:divBdr>
    </w:div>
    <w:div w:id="1800685299">
      <w:bodyDiv w:val="1"/>
      <w:marLeft w:val="0"/>
      <w:marRight w:val="0"/>
      <w:marTop w:val="0"/>
      <w:marBottom w:val="0"/>
      <w:divBdr>
        <w:top w:val="none" w:sz="0" w:space="0" w:color="auto"/>
        <w:left w:val="none" w:sz="0" w:space="0" w:color="auto"/>
        <w:bottom w:val="none" w:sz="0" w:space="0" w:color="auto"/>
        <w:right w:val="none" w:sz="0" w:space="0" w:color="auto"/>
      </w:divBdr>
    </w:div>
    <w:div w:id="1802186342">
      <w:bodyDiv w:val="1"/>
      <w:marLeft w:val="0"/>
      <w:marRight w:val="0"/>
      <w:marTop w:val="0"/>
      <w:marBottom w:val="0"/>
      <w:divBdr>
        <w:top w:val="none" w:sz="0" w:space="0" w:color="auto"/>
        <w:left w:val="none" w:sz="0" w:space="0" w:color="auto"/>
        <w:bottom w:val="none" w:sz="0" w:space="0" w:color="auto"/>
        <w:right w:val="none" w:sz="0" w:space="0" w:color="auto"/>
      </w:divBdr>
    </w:div>
    <w:div w:id="1804810486">
      <w:bodyDiv w:val="1"/>
      <w:marLeft w:val="0"/>
      <w:marRight w:val="0"/>
      <w:marTop w:val="0"/>
      <w:marBottom w:val="0"/>
      <w:divBdr>
        <w:top w:val="none" w:sz="0" w:space="0" w:color="auto"/>
        <w:left w:val="none" w:sz="0" w:space="0" w:color="auto"/>
        <w:bottom w:val="none" w:sz="0" w:space="0" w:color="auto"/>
        <w:right w:val="none" w:sz="0" w:space="0" w:color="auto"/>
      </w:divBdr>
    </w:div>
    <w:div w:id="1807352417">
      <w:bodyDiv w:val="1"/>
      <w:marLeft w:val="0"/>
      <w:marRight w:val="0"/>
      <w:marTop w:val="0"/>
      <w:marBottom w:val="0"/>
      <w:divBdr>
        <w:top w:val="none" w:sz="0" w:space="0" w:color="auto"/>
        <w:left w:val="none" w:sz="0" w:space="0" w:color="auto"/>
        <w:bottom w:val="none" w:sz="0" w:space="0" w:color="auto"/>
        <w:right w:val="none" w:sz="0" w:space="0" w:color="auto"/>
      </w:divBdr>
    </w:div>
    <w:div w:id="1811432967">
      <w:bodyDiv w:val="1"/>
      <w:marLeft w:val="0"/>
      <w:marRight w:val="0"/>
      <w:marTop w:val="0"/>
      <w:marBottom w:val="0"/>
      <w:divBdr>
        <w:top w:val="none" w:sz="0" w:space="0" w:color="auto"/>
        <w:left w:val="none" w:sz="0" w:space="0" w:color="auto"/>
        <w:bottom w:val="none" w:sz="0" w:space="0" w:color="auto"/>
        <w:right w:val="none" w:sz="0" w:space="0" w:color="auto"/>
      </w:divBdr>
    </w:div>
    <w:div w:id="1812864361">
      <w:bodyDiv w:val="1"/>
      <w:marLeft w:val="0"/>
      <w:marRight w:val="0"/>
      <w:marTop w:val="0"/>
      <w:marBottom w:val="0"/>
      <w:divBdr>
        <w:top w:val="none" w:sz="0" w:space="0" w:color="auto"/>
        <w:left w:val="none" w:sz="0" w:space="0" w:color="auto"/>
        <w:bottom w:val="none" w:sz="0" w:space="0" w:color="auto"/>
        <w:right w:val="none" w:sz="0" w:space="0" w:color="auto"/>
      </w:divBdr>
    </w:div>
    <w:div w:id="1812942081">
      <w:bodyDiv w:val="1"/>
      <w:marLeft w:val="0"/>
      <w:marRight w:val="0"/>
      <w:marTop w:val="0"/>
      <w:marBottom w:val="0"/>
      <w:divBdr>
        <w:top w:val="none" w:sz="0" w:space="0" w:color="auto"/>
        <w:left w:val="none" w:sz="0" w:space="0" w:color="auto"/>
        <w:bottom w:val="none" w:sz="0" w:space="0" w:color="auto"/>
        <w:right w:val="none" w:sz="0" w:space="0" w:color="auto"/>
      </w:divBdr>
    </w:div>
    <w:div w:id="1813673552">
      <w:bodyDiv w:val="1"/>
      <w:marLeft w:val="0"/>
      <w:marRight w:val="0"/>
      <w:marTop w:val="0"/>
      <w:marBottom w:val="0"/>
      <w:divBdr>
        <w:top w:val="none" w:sz="0" w:space="0" w:color="auto"/>
        <w:left w:val="none" w:sz="0" w:space="0" w:color="auto"/>
        <w:bottom w:val="none" w:sz="0" w:space="0" w:color="auto"/>
        <w:right w:val="none" w:sz="0" w:space="0" w:color="auto"/>
      </w:divBdr>
    </w:div>
    <w:div w:id="1813978483">
      <w:bodyDiv w:val="1"/>
      <w:marLeft w:val="0"/>
      <w:marRight w:val="0"/>
      <w:marTop w:val="0"/>
      <w:marBottom w:val="0"/>
      <w:divBdr>
        <w:top w:val="none" w:sz="0" w:space="0" w:color="auto"/>
        <w:left w:val="none" w:sz="0" w:space="0" w:color="auto"/>
        <w:bottom w:val="none" w:sz="0" w:space="0" w:color="auto"/>
        <w:right w:val="none" w:sz="0" w:space="0" w:color="auto"/>
      </w:divBdr>
    </w:div>
    <w:div w:id="1817064906">
      <w:bodyDiv w:val="1"/>
      <w:marLeft w:val="0"/>
      <w:marRight w:val="0"/>
      <w:marTop w:val="0"/>
      <w:marBottom w:val="0"/>
      <w:divBdr>
        <w:top w:val="none" w:sz="0" w:space="0" w:color="auto"/>
        <w:left w:val="none" w:sz="0" w:space="0" w:color="auto"/>
        <w:bottom w:val="none" w:sz="0" w:space="0" w:color="auto"/>
        <w:right w:val="none" w:sz="0" w:space="0" w:color="auto"/>
      </w:divBdr>
    </w:div>
    <w:div w:id="1818835363">
      <w:bodyDiv w:val="1"/>
      <w:marLeft w:val="0"/>
      <w:marRight w:val="0"/>
      <w:marTop w:val="0"/>
      <w:marBottom w:val="0"/>
      <w:divBdr>
        <w:top w:val="none" w:sz="0" w:space="0" w:color="auto"/>
        <w:left w:val="none" w:sz="0" w:space="0" w:color="auto"/>
        <w:bottom w:val="none" w:sz="0" w:space="0" w:color="auto"/>
        <w:right w:val="none" w:sz="0" w:space="0" w:color="auto"/>
      </w:divBdr>
    </w:div>
    <w:div w:id="1821994528">
      <w:bodyDiv w:val="1"/>
      <w:marLeft w:val="0"/>
      <w:marRight w:val="0"/>
      <w:marTop w:val="0"/>
      <w:marBottom w:val="0"/>
      <w:divBdr>
        <w:top w:val="none" w:sz="0" w:space="0" w:color="auto"/>
        <w:left w:val="none" w:sz="0" w:space="0" w:color="auto"/>
        <w:bottom w:val="none" w:sz="0" w:space="0" w:color="auto"/>
        <w:right w:val="none" w:sz="0" w:space="0" w:color="auto"/>
      </w:divBdr>
    </w:div>
    <w:div w:id="1822847028">
      <w:bodyDiv w:val="1"/>
      <w:marLeft w:val="0"/>
      <w:marRight w:val="0"/>
      <w:marTop w:val="0"/>
      <w:marBottom w:val="0"/>
      <w:divBdr>
        <w:top w:val="none" w:sz="0" w:space="0" w:color="auto"/>
        <w:left w:val="none" w:sz="0" w:space="0" w:color="auto"/>
        <w:bottom w:val="none" w:sz="0" w:space="0" w:color="auto"/>
        <w:right w:val="none" w:sz="0" w:space="0" w:color="auto"/>
      </w:divBdr>
    </w:div>
    <w:div w:id="1824542398">
      <w:bodyDiv w:val="1"/>
      <w:marLeft w:val="0"/>
      <w:marRight w:val="0"/>
      <w:marTop w:val="0"/>
      <w:marBottom w:val="0"/>
      <w:divBdr>
        <w:top w:val="none" w:sz="0" w:space="0" w:color="auto"/>
        <w:left w:val="none" w:sz="0" w:space="0" w:color="auto"/>
        <w:bottom w:val="none" w:sz="0" w:space="0" w:color="auto"/>
        <w:right w:val="none" w:sz="0" w:space="0" w:color="auto"/>
      </w:divBdr>
    </w:div>
    <w:div w:id="1829134206">
      <w:bodyDiv w:val="1"/>
      <w:marLeft w:val="0"/>
      <w:marRight w:val="0"/>
      <w:marTop w:val="0"/>
      <w:marBottom w:val="0"/>
      <w:divBdr>
        <w:top w:val="none" w:sz="0" w:space="0" w:color="auto"/>
        <w:left w:val="none" w:sz="0" w:space="0" w:color="auto"/>
        <w:bottom w:val="none" w:sz="0" w:space="0" w:color="auto"/>
        <w:right w:val="none" w:sz="0" w:space="0" w:color="auto"/>
      </w:divBdr>
    </w:div>
    <w:div w:id="1829399662">
      <w:bodyDiv w:val="1"/>
      <w:marLeft w:val="0"/>
      <w:marRight w:val="0"/>
      <w:marTop w:val="0"/>
      <w:marBottom w:val="0"/>
      <w:divBdr>
        <w:top w:val="none" w:sz="0" w:space="0" w:color="auto"/>
        <w:left w:val="none" w:sz="0" w:space="0" w:color="auto"/>
        <w:bottom w:val="none" w:sz="0" w:space="0" w:color="auto"/>
        <w:right w:val="none" w:sz="0" w:space="0" w:color="auto"/>
      </w:divBdr>
    </w:div>
    <w:div w:id="1830293356">
      <w:bodyDiv w:val="1"/>
      <w:marLeft w:val="0"/>
      <w:marRight w:val="0"/>
      <w:marTop w:val="0"/>
      <w:marBottom w:val="0"/>
      <w:divBdr>
        <w:top w:val="none" w:sz="0" w:space="0" w:color="auto"/>
        <w:left w:val="none" w:sz="0" w:space="0" w:color="auto"/>
        <w:bottom w:val="none" w:sz="0" w:space="0" w:color="auto"/>
        <w:right w:val="none" w:sz="0" w:space="0" w:color="auto"/>
      </w:divBdr>
    </w:div>
    <w:div w:id="1831602392">
      <w:bodyDiv w:val="1"/>
      <w:marLeft w:val="0"/>
      <w:marRight w:val="0"/>
      <w:marTop w:val="0"/>
      <w:marBottom w:val="0"/>
      <w:divBdr>
        <w:top w:val="none" w:sz="0" w:space="0" w:color="auto"/>
        <w:left w:val="none" w:sz="0" w:space="0" w:color="auto"/>
        <w:bottom w:val="none" w:sz="0" w:space="0" w:color="auto"/>
        <w:right w:val="none" w:sz="0" w:space="0" w:color="auto"/>
      </w:divBdr>
    </w:div>
    <w:div w:id="1834560965">
      <w:bodyDiv w:val="1"/>
      <w:marLeft w:val="0"/>
      <w:marRight w:val="0"/>
      <w:marTop w:val="0"/>
      <w:marBottom w:val="0"/>
      <w:divBdr>
        <w:top w:val="none" w:sz="0" w:space="0" w:color="auto"/>
        <w:left w:val="none" w:sz="0" w:space="0" w:color="auto"/>
        <w:bottom w:val="none" w:sz="0" w:space="0" w:color="auto"/>
        <w:right w:val="none" w:sz="0" w:space="0" w:color="auto"/>
      </w:divBdr>
    </w:div>
    <w:div w:id="1835293315">
      <w:bodyDiv w:val="1"/>
      <w:marLeft w:val="0"/>
      <w:marRight w:val="0"/>
      <w:marTop w:val="0"/>
      <w:marBottom w:val="0"/>
      <w:divBdr>
        <w:top w:val="none" w:sz="0" w:space="0" w:color="auto"/>
        <w:left w:val="none" w:sz="0" w:space="0" w:color="auto"/>
        <w:bottom w:val="none" w:sz="0" w:space="0" w:color="auto"/>
        <w:right w:val="none" w:sz="0" w:space="0" w:color="auto"/>
      </w:divBdr>
    </w:div>
    <w:div w:id="1835610890">
      <w:bodyDiv w:val="1"/>
      <w:marLeft w:val="0"/>
      <w:marRight w:val="0"/>
      <w:marTop w:val="0"/>
      <w:marBottom w:val="0"/>
      <w:divBdr>
        <w:top w:val="none" w:sz="0" w:space="0" w:color="auto"/>
        <w:left w:val="none" w:sz="0" w:space="0" w:color="auto"/>
        <w:bottom w:val="none" w:sz="0" w:space="0" w:color="auto"/>
        <w:right w:val="none" w:sz="0" w:space="0" w:color="auto"/>
      </w:divBdr>
    </w:div>
    <w:div w:id="1839881272">
      <w:bodyDiv w:val="1"/>
      <w:marLeft w:val="0"/>
      <w:marRight w:val="0"/>
      <w:marTop w:val="0"/>
      <w:marBottom w:val="0"/>
      <w:divBdr>
        <w:top w:val="none" w:sz="0" w:space="0" w:color="auto"/>
        <w:left w:val="none" w:sz="0" w:space="0" w:color="auto"/>
        <w:bottom w:val="none" w:sz="0" w:space="0" w:color="auto"/>
        <w:right w:val="none" w:sz="0" w:space="0" w:color="auto"/>
      </w:divBdr>
    </w:div>
    <w:div w:id="1840534765">
      <w:bodyDiv w:val="1"/>
      <w:marLeft w:val="0"/>
      <w:marRight w:val="0"/>
      <w:marTop w:val="0"/>
      <w:marBottom w:val="0"/>
      <w:divBdr>
        <w:top w:val="none" w:sz="0" w:space="0" w:color="auto"/>
        <w:left w:val="none" w:sz="0" w:space="0" w:color="auto"/>
        <w:bottom w:val="none" w:sz="0" w:space="0" w:color="auto"/>
        <w:right w:val="none" w:sz="0" w:space="0" w:color="auto"/>
      </w:divBdr>
    </w:div>
    <w:div w:id="1843855820">
      <w:bodyDiv w:val="1"/>
      <w:marLeft w:val="0"/>
      <w:marRight w:val="0"/>
      <w:marTop w:val="0"/>
      <w:marBottom w:val="0"/>
      <w:divBdr>
        <w:top w:val="none" w:sz="0" w:space="0" w:color="auto"/>
        <w:left w:val="none" w:sz="0" w:space="0" w:color="auto"/>
        <w:bottom w:val="none" w:sz="0" w:space="0" w:color="auto"/>
        <w:right w:val="none" w:sz="0" w:space="0" w:color="auto"/>
      </w:divBdr>
    </w:div>
    <w:div w:id="1844851388">
      <w:bodyDiv w:val="1"/>
      <w:marLeft w:val="0"/>
      <w:marRight w:val="0"/>
      <w:marTop w:val="0"/>
      <w:marBottom w:val="0"/>
      <w:divBdr>
        <w:top w:val="none" w:sz="0" w:space="0" w:color="auto"/>
        <w:left w:val="none" w:sz="0" w:space="0" w:color="auto"/>
        <w:bottom w:val="none" w:sz="0" w:space="0" w:color="auto"/>
        <w:right w:val="none" w:sz="0" w:space="0" w:color="auto"/>
      </w:divBdr>
    </w:div>
    <w:div w:id="1849976934">
      <w:bodyDiv w:val="1"/>
      <w:marLeft w:val="0"/>
      <w:marRight w:val="0"/>
      <w:marTop w:val="0"/>
      <w:marBottom w:val="0"/>
      <w:divBdr>
        <w:top w:val="none" w:sz="0" w:space="0" w:color="auto"/>
        <w:left w:val="none" w:sz="0" w:space="0" w:color="auto"/>
        <w:bottom w:val="none" w:sz="0" w:space="0" w:color="auto"/>
        <w:right w:val="none" w:sz="0" w:space="0" w:color="auto"/>
      </w:divBdr>
    </w:div>
    <w:div w:id="1856730309">
      <w:bodyDiv w:val="1"/>
      <w:marLeft w:val="0"/>
      <w:marRight w:val="0"/>
      <w:marTop w:val="0"/>
      <w:marBottom w:val="0"/>
      <w:divBdr>
        <w:top w:val="none" w:sz="0" w:space="0" w:color="auto"/>
        <w:left w:val="none" w:sz="0" w:space="0" w:color="auto"/>
        <w:bottom w:val="none" w:sz="0" w:space="0" w:color="auto"/>
        <w:right w:val="none" w:sz="0" w:space="0" w:color="auto"/>
      </w:divBdr>
    </w:div>
    <w:div w:id="1858499296">
      <w:bodyDiv w:val="1"/>
      <w:marLeft w:val="0"/>
      <w:marRight w:val="0"/>
      <w:marTop w:val="0"/>
      <w:marBottom w:val="0"/>
      <w:divBdr>
        <w:top w:val="none" w:sz="0" w:space="0" w:color="auto"/>
        <w:left w:val="none" w:sz="0" w:space="0" w:color="auto"/>
        <w:bottom w:val="none" w:sz="0" w:space="0" w:color="auto"/>
        <w:right w:val="none" w:sz="0" w:space="0" w:color="auto"/>
      </w:divBdr>
    </w:div>
    <w:div w:id="1860852592">
      <w:bodyDiv w:val="1"/>
      <w:marLeft w:val="0"/>
      <w:marRight w:val="0"/>
      <w:marTop w:val="0"/>
      <w:marBottom w:val="0"/>
      <w:divBdr>
        <w:top w:val="none" w:sz="0" w:space="0" w:color="auto"/>
        <w:left w:val="none" w:sz="0" w:space="0" w:color="auto"/>
        <w:bottom w:val="none" w:sz="0" w:space="0" w:color="auto"/>
        <w:right w:val="none" w:sz="0" w:space="0" w:color="auto"/>
      </w:divBdr>
    </w:div>
    <w:div w:id="1861815574">
      <w:bodyDiv w:val="1"/>
      <w:marLeft w:val="0"/>
      <w:marRight w:val="0"/>
      <w:marTop w:val="0"/>
      <w:marBottom w:val="0"/>
      <w:divBdr>
        <w:top w:val="none" w:sz="0" w:space="0" w:color="auto"/>
        <w:left w:val="none" w:sz="0" w:space="0" w:color="auto"/>
        <w:bottom w:val="none" w:sz="0" w:space="0" w:color="auto"/>
        <w:right w:val="none" w:sz="0" w:space="0" w:color="auto"/>
      </w:divBdr>
    </w:div>
    <w:div w:id="1865749905">
      <w:bodyDiv w:val="1"/>
      <w:marLeft w:val="0"/>
      <w:marRight w:val="0"/>
      <w:marTop w:val="0"/>
      <w:marBottom w:val="0"/>
      <w:divBdr>
        <w:top w:val="none" w:sz="0" w:space="0" w:color="auto"/>
        <w:left w:val="none" w:sz="0" w:space="0" w:color="auto"/>
        <w:bottom w:val="none" w:sz="0" w:space="0" w:color="auto"/>
        <w:right w:val="none" w:sz="0" w:space="0" w:color="auto"/>
      </w:divBdr>
    </w:div>
    <w:div w:id="1868832814">
      <w:bodyDiv w:val="1"/>
      <w:marLeft w:val="0"/>
      <w:marRight w:val="0"/>
      <w:marTop w:val="0"/>
      <w:marBottom w:val="0"/>
      <w:divBdr>
        <w:top w:val="none" w:sz="0" w:space="0" w:color="auto"/>
        <w:left w:val="none" w:sz="0" w:space="0" w:color="auto"/>
        <w:bottom w:val="none" w:sz="0" w:space="0" w:color="auto"/>
        <w:right w:val="none" w:sz="0" w:space="0" w:color="auto"/>
      </w:divBdr>
    </w:div>
    <w:div w:id="1869954487">
      <w:bodyDiv w:val="1"/>
      <w:marLeft w:val="0"/>
      <w:marRight w:val="0"/>
      <w:marTop w:val="0"/>
      <w:marBottom w:val="0"/>
      <w:divBdr>
        <w:top w:val="none" w:sz="0" w:space="0" w:color="auto"/>
        <w:left w:val="none" w:sz="0" w:space="0" w:color="auto"/>
        <w:bottom w:val="none" w:sz="0" w:space="0" w:color="auto"/>
        <w:right w:val="none" w:sz="0" w:space="0" w:color="auto"/>
      </w:divBdr>
    </w:div>
    <w:div w:id="1875120944">
      <w:bodyDiv w:val="1"/>
      <w:marLeft w:val="0"/>
      <w:marRight w:val="0"/>
      <w:marTop w:val="0"/>
      <w:marBottom w:val="0"/>
      <w:divBdr>
        <w:top w:val="none" w:sz="0" w:space="0" w:color="auto"/>
        <w:left w:val="none" w:sz="0" w:space="0" w:color="auto"/>
        <w:bottom w:val="none" w:sz="0" w:space="0" w:color="auto"/>
        <w:right w:val="none" w:sz="0" w:space="0" w:color="auto"/>
      </w:divBdr>
    </w:div>
    <w:div w:id="1878084338">
      <w:bodyDiv w:val="1"/>
      <w:marLeft w:val="0"/>
      <w:marRight w:val="0"/>
      <w:marTop w:val="0"/>
      <w:marBottom w:val="0"/>
      <w:divBdr>
        <w:top w:val="none" w:sz="0" w:space="0" w:color="auto"/>
        <w:left w:val="none" w:sz="0" w:space="0" w:color="auto"/>
        <w:bottom w:val="none" w:sz="0" w:space="0" w:color="auto"/>
        <w:right w:val="none" w:sz="0" w:space="0" w:color="auto"/>
      </w:divBdr>
    </w:div>
    <w:div w:id="1878270211">
      <w:bodyDiv w:val="1"/>
      <w:marLeft w:val="0"/>
      <w:marRight w:val="0"/>
      <w:marTop w:val="0"/>
      <w:marBottom w:val="0"/>
      <w:divBdr>
        <w:top w:val="none" w:sz="0" w:space="0" w:color="auto"/>
        <w:left w:val="none" w:sz="0" w:space="0" w:color="auto"/>
        <w:bottom w:val="none" w:sz="0" w:space="0" w:color="auto"/>
        <w:right w:val="none" w:sz="0" w:space="0" w:color="auto"/>
      </w:divBdr>
    </w:div>
    <w:div w:id="1878620607">
      <w:bodyDiv w:val="1"/>
      <w:marLeft w:val="0"/>
      <w:marRight w:val="0"/>
      <w:marTop w:val="0"/>
      <w:marBottom w:val="0"/>
      <w:divBdr>
        <w:top w:val="none" w:sz="0" w:space="0" w:color="auto"/>
        <w:left w:val="none" w:sz="0" w:space="0" w:color="auto"/>
        <w:bottom w:val="none" w:sz="0" w:space="0" w:color="auto"/>
        <w:right w:val="none" w:sz="0" w:space="0" w:color="auto"/>
      </w:divBdr>
    </w:div>
    <w:div w:id="1881816553">
      <w:bodyDiv w:val="1"/>
      <w:marLeft w:val="0"/>
      <w:marRight w:val="0"/>
      <w:marTop w:val="0"/>
      <w:marBottom w:val="0"/>
      <w:divBdr>
        <w:top w:val="none" w:sz="0" w:space="0" w:color="auto"/>
        <w:left w:val="none" w:sz="0" w:space="0" w:color="auto"/>
        <w:bottom w:val="none" w:sz="0" w:space="0" w:color="auto"/>
        <w:right w:val="none" w:sz="0" w:space="0" w:color="auto"/>
      </w:divBdr>
    </w:div>
    <w:div w:id="1883596984">
      <w:bodyDiv w:val="1"/>
      <w:marLeft w:val="0"/>
      <w:marRight w:val="0"/>
      <w:marTop w:val="0"/>
      <w:marBottom w:val="0"/>
      <w:divBdr>
        <w:top w:val="none" w:sz="0" w:space="0" w:color="auto"/>
        <w:left w:val="none" w:sz="0" w:space="0" w:color="auto"/>
        <w:bottom w:val="none" w:sz="0" w:space="0" w:color="auto"/>
        <w:right w:val="none" w:sz="0" w:space="0" w:color="auto"/>
      </w:divBdr>
    </w:div>
    <w:div w:id="1886939456">
      <w:bodyDiv w:val="1"/>
      <w:marLeft w:val="0"/>
      <w:marRight w:val="0"/>
      <w:marTop w:val="0"/>
      <w:marBottom w:val="0"/>
      <w:divBdr>
        <w:top w:val="none" w:sz="0" w:space="0" w:color="auto"/>
        <w:left w:val="none" w:sz="0" w:space="0" w:color="auto"/>
        <w:bottom w:val="none" w:sz="0" w:space="0" w:color="auto"/>
        <w:right w:val="none" w:sz="0" w:space="0" w:color="auto"/>
      </w:divBdr>
    </w:div>
    <w:div w:id="1886988715">
      <w:bodyDiv w:val="1"/>
      <w:marLeft w:val="0"/>
      <w:marRight w:val="0"/>
      <w:marTop w:val="0"/>
      <w:marBottom w:val="0"/>
      <w:divBdr>
        <w:top w:val="none" w:sz="0" w:space="0" w:color="auto"/>
        <w:left w:val="none" w:sz="0" w:space="0" w:color="auto"/>
        <w:bottom w:val="none" w:sz="0" w:space="0" w:color="auto"/>
        <w:right w:val="none" w:sz="0" w:space="0" w:color="auto"/>
      </w:divBdr>
    </w:div>
    <w:div w:id="1886989934">
      <w:bodyDiv w:val="1"/>
      <w:marLeft w:val="0"/>
      <w:marRight w:val="0"/>
      <w:marTop w:val="0"/>
      <w:marBottom w:val="0"/>
      <w:divBdr>
        <w:top w:val="none" w:sz="0" w:space="0" w:color="auto"/>
        <w:left w:val="none" w:sz="0" w:space="0" w:color="auto"/>
        <w:bottom w:val="none" w:sz="0" w:space="0" w:color="auto"/>
        <w:right w:val="none" w:sz="0" w:space="0" w:color="auto"/>
      </w:divBdr>
    </w:div>
    <w:div w:id="1887062865">
      <w:bodyDiv w:val="1"/>
      <w:marLeft w:val="0"/>
      <w:marRight w:val="0"/>
      <w:marTop w:val="0"/>
      <w:marBottom w:val="0"/>
      <w:divBdr>
        <w:top w:val="none" w:sz="0" w:space="0" w:color="auto"/>
        <w:left w:val="none" w:sz="0" w:space="0" w:color="auto"/>
        <w:bottom w:val="none" w:sz="0" w:space="0" w:color="auto"/>
        <w:right w:val="none" w:sz="0" w:space="0" w:color="auto"/>
      </w:divBdr>
    </w:div>
    <w:div w:id="1888761339">
      <w:bodyDiv w:val="1"/>
      <w:marLeft w:val="0"/>
      <w:marRight w:val="0"/>
      <w:marTop w:val="0"/>
      <w:marBottom w:val="0"/>
      <w:divBdr>
        <w:top w:val="none" w:sz="0" w:space="0" w:color="auto"/>
        <w:left w:val="none" w:sz="0" w:space="0" w:color="auto"/>
        <w:bottom w:val="none" w:sz="0" w:space="0" w:color="auto"/>
        <w:right w:val="none" w:sz="0" w:space="0" w:color="auto"/>
      </w:divBdr>
    </w:div>
    <w:div w:id="1889104708">
      <w:bodyDiv w:val="1"/>
      <w:marLeft w:val="0"/>
      <w:marRight w:val="0"/>
      <w:marTop w:val="0"/>
      <w:marBottom w:val="0"/>
      <w:divBdr>
        <w:top w:val="none" w:sz="0" w:space="0" w:color="auto"/>
        <w:left w:val="none" w:sz="0" w:space="0" w:color="auto"/>
        <w:bottom w:val="none" w:sz="0" w:space="0" w:color="auto"/>
        <w:right w:val="none" w:sz="0" w:space="0" w:color="auto"/>
      </w:divBdr>
    </w:div>
    <w:div w:id="1890724594">
      <w:bodyDiv w:val="1"/>
      <w:marLeft w:val="0"/>
      <w:marRight w:val="0"/>
      <w:marTop w:val="0"/>
      <w:marBottom w:val="0"/>
      <w:divBdr>
        <w:top w:val="none" w:sz="0" w:space="0" w:color="auto"/>
        <w:left w:val="none" w:sz="0" w:space="0" w:color="auto"/>
        <w:bottom w:val="none" w:sz="0" w:space="0" w:color="auto"/>
        <w:right w:val="none" w:sz="0" w:space="0" w:color="auto"/>
      </w:divBdr>
    </w:div>
    <w:div w:id="1891842932">
      <w:bodyDiv w:val="1"/>
      <w:marLeft w:val="0"/>
      <w:marRight w:val="0"/>
      <w:marTop w:val="0"/>
      <w:marBottom w:val="0"/>
      <w:divBdr>
        <w:top w:val="none" w:sz="0" w:space="0" w:color="auto"/>
        <w:left w:val="none" w:sz="0" w:space="0" w:color="auto"/>
        <w:bottom w:val="none" w:sz="0" w:space="0" w:color="auto"/>
        <w:right w:val="none" w:sz="0" w:space="0" w:color="auto"/>
      </w:divBdr>
    </w:div>
    <w:div w:id="1895895098">
      <w:bodyDiv w:val="1"/>
      <w:marLeft w:val="0"/>
      <w:marRight w:val="0"/>
      <w:marTop w:val="0"/>
      <w:marBottom w:val="0"/>
      <w:divBdr>
        <w:top w:val="none" w:sz="0" w:space="0" w:color="auto"/>
        <w:left w:val="none" w:sz="0" w:space="0" w:color="auto"/>
        <w:bottom w:val="none" w:sz="0" w:space="0" w:color="auto"/>
        <w:right w:val="none" w:sz="0" w:space="0" w:color="auto"/>
      </w:divBdr>
    </w:div>
    <w:div w:id="1896043117">
      <w:bodyDiv w:val="1"/>
      <w:marLeft w:val="0"/>
      <w:marRight w:val="0"/>
      <w:marTop w:val="0"/>
      <w:marBottom w:val="0"/>
      <w:divBdr>
        <w:top w:val="none" w:sz="0" w:space="0" w:color="auto"/>
        <w:left w:val="none" w:sz="0" w:space="0" w:color="auto"/>
        <w:bottom w:val="none" w:sz="0" w:space="0" w:color="auto"/>
        <w:right w:val="none" w:sz="0" w:space="0" w:color="auto"/>
      </w:divBdr>
    </w:div>
    <w:div w:id="1899053459">
      <w:bodyDiv w:val="1"/>
      <w:marLeft w:val="0"/>
      <w:marRight w:val="0"/>
      <w:marTop w:val="0"/>
      <w:marBottom w:val="0"/>
      <w:divBdr>
        <w:top w:val="none" w:sz="0" w:space="0" w:color="auto"/>
        <w:left w:val="none" w:sz="0" w:space="0" w:color="auto"/>
        <w:bottom w:val="none" w:sz="0" w:space="0" w:color="auto"/>
        <w:right w:val="none" w:sz="0" w:space="0" w:color="auto"/>
      </w:divBdr>
    </w:div>
    <w:div w:id="1901555341">
      <w:bodyDiv w:val="1"/>
      <w:marLeft w:val="0"/>
      <w:marRight w:val="0"/>
      <w:marTop w:val="0"/>
      <w:marBottom w:val="0"/>
      <w:divBdr>
        <w:top w:val="none" w:sz="0" w:space="0" w:color="auto"/>
        <w:left w:val="none" w:sz="0" w:space="0" w:color="auto"/>
        <w:bottom w:val="none" w:sz="0" w:space="0" w:color="auto"/>
        <w:right w:val="none" w:sz="0" w:space="0" w:color="auto"/>
      </w:divBdr>
    </w:div>
    <w:div w:id="1901750988">
      <w:bodyDiv w:val="1"/>
      <w:marLeft w:val="0"/>
      <w:marRight w:val="0"/>
      <w:marTop w:val="0"/>
      <w:marBottom w:val="0"/>
      <w:divBdr>
        <w:top w:val="none" w:sz="0" w:space="0" w:color="auto"/>
        <w:left w:val="none" w:sz="0" w:space="0" w:color="auto"/>
        <w:bottom w:val="none" w:sz="0" w:space="0" w:color="auto"/>
        <w:right w:val="none" w:sz="0" w:space="0" w:color="auto"/>
      </w:divBdr>
    </w:div>
    <w:div w:id="1904438508">
      <w:bodyDiv w:val="1"/>
      <w:marLeft w:val="0"/>
      <w:marRight w:val="0"/>
      <w:marTop w:val="0"/>
      <w:marBottom w:val="0"/>
      <w:divBdr>
        <w:top w:val="none" w:sz="0" w:space="0" w:color="auto"/>
        <w:left w:val="none" w:sz="0" w:space="0" w:color="auto"/>
        <w:bottom w:val="none" w:sz="0" w:space="0" w:color="auto"/>
        <w:right w:val="none" w:sz="0" w:space="0" w:color="auto"/>
      </w:divBdr>
    </w:div>
    <w:div w:id="1906601131">
      <w:bodyDiv w:val="1"/>
      <w:marLeft w:val="0"/>
      <w:marRight w:val="0"/>
      <w:marTop w:val="0"/>
      <w:marBottom w:val="0"/>
      <w:divBdr>
        <w:top w:val="none" w:sz="0" w:space="0" w:color="auto"/>
        <w:left w:val="none" w:sz="0" w:space="0" w:color="auto"/>
        <w:bottom w:val="none" w:sz="0" w:space="0" w:color="auto"/>
        <w:right w:val="none" w:sz="0" w:space="0" w:color="auto"/>
      </w:divBdr>
    </w:div>
    <w:div w:id="1907447840">
      <w:bodyDiv w:val="1"/>
      <w:marLeft w:val="0"/>
      <w:marRight w:val="0"/>
      <w:marTop w:val="0"/>
      <w:marBottom w:val="0"/>
      <w:divBdr>
        <w:top w:val="none" w:sz="0" w:space="0" w:color="auto"/>
        <w:left w:val="none" w:sz="0" w:space="0" w:color="auto"/>
        <w:bottom w:val="none" w:sz="0" w:space="0" w:color="auto"/>
        <w:right w:val="none" w:sz="0" w:space="0" w:color="auto"/>
      </w:divBdr>
    </w:div>
    <w:div w:id="1908108075">
      <w:bodyDiv w:val="1"/>
      <w:marLeft w:val="0"/>
      <w:marRight w:val="0"/>
      <w:marTop w:val="0"/>
      <w:marBottom w:val="0"/>
      <w:divBdr>
        <w:top w:val="none" w:sz="0" w:space="0" w:color="auto"/>
        <w:left w:val="none" w:sz="0" w:space="0" w:color="auto"/>
        <w:bottom w:val="none" w:sz="0" w:space="0" w:color="auto"/>
        <w:right w:val="none" w:sz="0" w:space="0" w:color="auto"/>
      </w:divBdr>
    </w:div>
    <w:div w:id="1909220362">
      <w:bodyDiv w:val="1"/>
      <w:marLeft w:val="0"/>
      <w:marRight w:val="0"/>
      <w:marTop w:val="0"/>
      <w:marBottom w:val="0"/>
      <w:divBdr>
        <w:top w:val="none" w:sz="0" w:space="0" w:color="auto"/>
        <w:left w:val="none" w:sz="0" w:space="0" w:color="auto"/>
        <w:bottom w:val="none" w:sz="0" w:space="0" w:color="auto"/>
        <w:right w:val="none" w:sz="0" w:space="0" w:color="auto"/>
      </w:divBdr>
    </w:div>
    <w:div w:id="1910581142">
      <w:bodyDiv w:val="1"/>
      <w:marLeft w:val="0"/>
      <w:marRight w:val="0"/>
      <w:marTop w:val="0"/>
      <w:marBottom w:val="0"/>
      <w:divBdr>
        <w:top w:val="none" w:sz="0" w:space="0" w:color="auto"/>
        <w:left w:val="none" w:sz="0" w:space="0" w:color="auto"/>
        <w:bottom w:val="none" w:sz="0" w:space="0" w:color="auto"/>
        <w:right w:val="none" w:sz="0" w:space="0" w:color="auto"/>
      </w:divBdr>
    </w:div>
    <w:div w:id="1917398925">
      <w:bodyDiv w:val="1"/>
      <w:marLeft w:val="0"/>
      <w:marRight w:val="0"/>
      <w:marTop w:val="0"/>
      <w:marBottom w:val="0"/>
      <w:divBdr>
        <w:top w:val="none" w:sz="0" w:space="0" w:color="auto"/>
        <w:left w:val="none" w:sz="0" w:space="0" w:color="auto"/>
        <w:bottom w:val="none" w:sz="0" w:space="0" w:color="auto"/>
        <w:right w:val="none" w:sz="0" w:space="0" w:color="auto"/>
      </w:divBdr>
    </w:div>
    <w:div w:id="1918130387">
      <w:bodyDiv w:val="1"/>
      <w:marLeft w:val="0"/>
      <w:marRight w:val="0"/>
      <w:marTop w:val="0"/>
      <w:marBottom w:val="0"/>
      <w:divBdr>
        <w:top w:val="none" w:sz="0" w:space="0" w:color="auto"/>
        <w:left w:val="none" w:sz="0" w:space="0" w:color="auto"/>
        <w:bottom w:val="none" w:sz="0" w:space="0" w:color="auto"/>
        <w:right w:val="none" w:sz="0" w:space="0" w:color="auto"/>
      </w:divBdr>
    </w:div>
    <w:div w:id="1923759068">
      <w:bodyDiv w:val="1"/>
      <w:marLeft w:val="0"/>
      <w:marRight w:val="0"/>
      <w:marTop w:val="0"/>
      <w:marBottom w:val="0"/>
      <w:divBdr>
        <w:top w:val="none" w:sz="0" w:space="0" w:color="auto"/>
        <w:left w:val="none" w:sz="0" w:space="0" w:color="auto"/>
        <w:bottom w:val="none" w:sz="0" w:space="0" w:color="auto"/>
        <w:right w:val="none" w:sz="0" w:space="0" w:color="auto"/>
      </w:divBdr>
    </w:div>
    <w:div w:id="1926112309">
      <w:bodyDiv w:val="1"/>
      <w:marLeft w:val="0"/>
      <w:marRight w:val="0"/>
      <w:marTop w:val="0"/>
      <w:marBottom w:val="0"/>
      <w:divBdr>
        <w:top w:val="none" w:sz="0" w:space="0" w:color="auto"/>
        <w:left w:val="none" w:sz="0" w:space="0" w:color="auto"/>
        <w:bottom w:val="none" w:sz="0" w:space="0" w:color="auto"/>
        <w:right w:val="none" w:sz="0" w:space="0" w:color="auto"/>
      </w:divBdr>
    </w:div>
    <w:div w:id="1927038281">
      <w:bodyDiv w:val="1"/>
      <w:marLeft w:val="0"/>
      <w:marRight w:val="0"/>
      <w:marTop w:val="0"/>
      <w:marBottom w:val="0"/>
      <w:divBdr>
        <w:top w:val="none" w:sz="0" w:space="0" w:color="auto"/>
        <w:left w:val="none" w:sz="0" w:space="0" w:color="auto"/>
        <w:bottom w:val="none" w:sz="0" w:space="0" w:color="auto"/>
        <w:right w:val="none" w:sz="0" w:space="0" w:color="auto"/>
      </w:divBdr>
    </w:div>
    <w:div w:id="1928077907">
      <w:bodyDiv w:val="1"/>
      <w:marLeft w:val="0"/>
      <w:marRight w:val="0"/>
      <w:marTop w:val="0"/>
      <w:marBottom w:val="0"/>
      <w:divBdr>
        <w:top w:val="none" w:sz="0" w:space="0" w:color="auto"/>
        <w:left w:val="none" w:sz="0" w:space="0" w:color="auto"/>
        <w:bottom w:val="none" w:sz="0" w:space="0" w:color="auto"/>
        <w:right w:val="none" w:sz="0" w:space="0" w:color="auto"/>
      </w:divBdr>
    </w:div>
    <w:div w:id="1929970499">
      <w:bodyDiv w:val="1"/>
      <w:marLeft w:val="0"/>
      <w:marRight w:val="0"/>
      <w:marTop w:val="0"/>
      <w:marBottom w:val="0"/>
      <w:divBdr>
        <w:top w:val="none" w:sz="0" w:space="0" w:color="auto"/>
        <w:left w:val="none" w:sz="0" w:space="0" w:color="auto"/>
        <w:bottom w:val="none" w:sz="0" w:space="0" w:color="auto"/>
        <w:right w:val="none" w:sz="0" w:space="0" w:color="auto"/>
      </w:divBdr>
    </w:div>
    <w:div w:id="1931429169">
      <w:bodyDiv w:val="1"/>
      <w:marLeft w:val="0"/>
      <w:marRight w:val="0"/>
      <w:marTop w:val="0"/>
      <w:marBottom w:val="0"/>
      <w:divBdr>
        <w:top w:val="none" w:sz="0" w:space="0" w:color="auto"/>
        <w:left w:val="none" w:sz="0" w:space="0" w:color="auto"/>
        <w:bottom w:val="none" w:sz="0" w:space="0" w:color="auto"/>
        <w:right w:val="none" w:sz="0" w:space="0" w:color="auto"/>
      </w:divBdr>
    </w:div>
    <w:div w:id="1932932854">
      <w:bodyDiv w:val="1"/>
      <w:marLeft w:val="0"/>
      <w:marRight w:val="0"/>
      <w:marTop w:val="0"/>
      <w:marBottom w:val="0"/>
      <w:divBdr>
        <w:top w:val="none" w:sz="0" w:space="0" w:color="auto"/>
        <w:left w:val="none" w:sz="0" w:space="0" w:color="auto"/>
        <w:bottom w:val="none" w:sz="0" w:space="0" w:color="auto"/>
        <w:right w:val="none" w:sz="0" w:space="0" w:color="auto"/>
      </w:divBdr>
    </w:div>
    <w:div w:id="1936592194">
      <w:bodyDiv w:val="1"/>
      <w:marLeft w:val="0"/>
      <w:marRight w:val="0"/>
      <w:marTop w:val="0"/>
      <w:marBottom w:val="0"/>
      <w:divBdr>
        <w:top w:val="none" w:sz="0" w:space="0" w:color="auto"/>
        <w:left w:val="none" w:sz="0" w:space="0" w:color="auto"/>
        <w:bottom w:val="none" w:sz="0" w:space="0" w:color="auto"/>
        <w:right w:val="none" w:sz="0" w:space="0" w:color="auto"/>
      </w:divBdr>
    </w:div>
    <w:div w:id="1943880673">
      <w:bodyDiv w:val="1"/>
      <w:marLeft w:val="0"/>
      <w:marRight w:val="0"/>
      <w:marTop w:val="0"/>
      <w:marBottom w:val="0"/>
      <w:divBdr>
        <w:top w:val="none" w:sz="0" w:space="0" w:color="auto"/>
        <w:left w:val="none" w:sz="0" w:space="0" w:color="auto"/>
        <w:bottom w:val="none" w:sz="0" w:space="0" w:color="auto"/>
        <w:right w:val="none" w:sz="0" w:space="0" w:color="auto"/>
      </w:divBdr>
    </w:div>
    <w:div w:id="1944919669">
      <w:bodyDiv w:val="1"/>
      <w:marLeft w:val="0"/>
      <w:marRight w:val="0"/>
      <w:marTop w:val="0"/>
      <w:marBottom w:val="0"/>
      <w:divBdr>
        <w:top w:val="none" w:sz="0" w:space="0" w:color="auto"/>
        <w:left w:val="none" w:sz="0" w:space="0" w:color="auto"/>
        <w:bottom w:val="none" w:sz="0" w:space="0" w:color="auto"/>
        <w:right w:val="none" w:sz="0" w:space="0" w:color="auto"/>
      </w:divBdr>
    </w:div>
    <w:div w:id="1945914566">
      <w:bodyDiv w:val="1"/>
      <w:marLeft w:val="0"/>
      <w:marRight w:val="0"/>
      <w:marTop w:val="0"/>
      <w:marBottom w:val="0"/>
      <w:divBdr>
        <w:top w:val="none" w:sz="0" w:space="0" w:color="auto"/>
        <w:left w:val="none" w:sz="0" w:space="0" w:color="auto"/>
        <w:bottom w:val="none" w:sz="0" w:space="0" w:color="auto"/>
        <w:right w:val="none" w:sz="0" w:space="0" w:color="auto"/>
      </w:divBdr>
    </w:div>
    <w:div w:id="1947498140">
      <w:bodyDiv w:val="1"/>
      <w:marLeft w:val="0"/>
      <w:marRight w:val="0"/>
      <w:marTop w:val="0"/>
      <w:marBottom w:val="0"/>
      <w:divBdr>
        <w:top w:val="none" w:sz="0" w:space="0" w:color="auto"/>
        <w:left w:val="none" w:sz="0" w:space="0" w:color="auto"/>
        <w:bottom w:val="none" w:sz="0" w:space="0" w:color="auto"/>
        <w:right w:val="none" w:sz="0" w:space="0" w:color="auto"/>
      </w:divBdr>
    </w:div>
    <w:div w:id="1947880427">
      <w:bodyDiv w:val="1"/>
      <w:marLeft w:val="0"/>
      <w:marRight w:val="0"/>
      <w:marTop w:val="0"/>
      <w:marBottom w:val="0"/>
      <w:divBdr>
        <w:top w:val="none" w:sz="0" w:space="0" w:color="auto"/>
        <w:left w:val="none" w:sz="0" w:space="0" w:color="auto"/>
        <w:bottom w:val="none" w:sz="0" w:space="0" w:color="auto"/>
        <w:right w:val="none" w:sz="0" w:space="0" w:color="auto"/>
      </w:divBdr>
    </w:div>
    <w:div w:id="1952937888">
      <w:bodyDiv w:val="1"/>
      <w:marLeft w:val="0"/>
      <w:marRight w:val="0"/>
      <w:marTop w:val="0"/>
      <w:marBottom w:val="0"/>
      <w:divBdr>
        <w:top w:val="none" w:sz="0" w:space="0" w:color="auto"/>
        <w:left w:val="none" w:sz="0" w:space="0" w:color="auto"/>
        <w:bottom w:val="none" w:sz="0" w:space="0" w:color="auto"/>
        <w:right w:val="none" w:sz="0" w:space="0" w:color="auto"/>
      </w:divBdr>
    </w:div>
    <w:div w:id="1954316066">
      <w:bodyDiv w:val="1"/>
      <w:marLeft w:val="0"/>
      <w:marRight w:val="0"/>
      <w:marTop w:val="0"/>
      <w:marBottom w:val="0"/>
      <w:divBdr>
        <w:top w:val="none" w:sz="0" w:space="0" w:color="auto"/>
        <w:left w:val="none" w:sz="0" w:space="0" w:color="auto"/>
        <w:bottom w:val="none" w:sz="0" w:space="0" w:color="auto"/>
        <w:right w:val="none" w:sz="0" w:space="0" w:color="auto"/>
      </w:divBdr>
    </w:div>
    <w:div w:id="1956014987">
      <w:bodyDiv w:val="1"/>
      <w:marLeft w:val="0"/>
      <w:marRight w:val="0"/>
      <w:marTop w:val="0"/>
      <w:marBottom w:val="0"/>
      <w:divBdr>
        <w:top w:val="none" w:sz="0" w:space="0" w:color="auto"/>
        <w:left w:val="none" w:sz="0" w:space="0" w:color="auto"/>
        <w:bottom w:val="none" w:sz="0" w:space="0" w:color="auto"/>
        <w:right w:val="none" w:sz="0" w:space="0" w:color="auto"/>
      </w:divBdr>
    </w:div>
    <w:div w:id="1956793730">
      <w:bodyDiv w:val="1"/>
      <w:marLeft w:val="0"/>
      <w:marRight w:val="0"/>
      <w:marTop w:val="0"/>
      <w:marBottom w:val="0"/>
      <w:divBdr>
        <w:top w:val="none" w:sz="0" w:space="0" w:color="auto"/>
        <w:left w:val="none" w:sz="0" w:space="0" w:color="auto"/>
        <w:bottom w:val="none" w:sz="0" w:space="0" w:color="auto"/>
        <w:right w:val="none" w:sz="0" w:space="0" w:color="auto"/>
      </w:divBdr>
    </w:div>
    <w:div w:id="1958561667">
      <w:bodyDiv w:val="1"/>
      <w:marLeft w:val="0"/>
      <w:marRight w:val="0"/>
      <w:marTop w:val="0"/>
      <w:marBottom w:val="0"/>
      <w:divBdr>
        <w:top w:val="none" w:sz="0" w:space="0" w:color="auto"/>
        <w:left w:val="none" w:sz="0" w:space="0" w:color="auto"/>
        <w:bottom w:val="none" w:sz="0" w:space="0" w:color="auto"/>
        <w:right w:val="none" w:sz="0" w:space="0" w:color="auto"/>
      </w:divBdr>
    </w:div>
    <w:div w:id="1958677917">
      <w:bodyDiv w:val="1"/>
      <w:marLeft w:val="0"/>
      <w:marRight w:val="0"/>
      <w:marTop w:val="0"/>
      <w:marBottom w:val="0"/>
      <w:divBdr>
        <w:top w:val="none" w:sz="0" w:space="0" w:color="auto"/>
        <w:left w:val="none" w:sz="0" w:space="0" w:color="auto"/>
        <w:bottom w:val="none" w:sz="0" w:space="0" w:color="auto"/>
        <w:right w:val="none" w:sz="0" w:space="0" w:color="auto"/>
      </w:divBdr>
    </w:div>
    <w:div w:id="1958901103">
      <w:bodyDiv w:val="1"/>
      <w:marLeft w:val="0"/>
      <w:marRight w:val="0"/>
      <w:marTop w:val="0"/>
      <w:marBottom w:val="0"/>
      <w:divBdr>
        <w:top w:val="none" w:sz="0" w:space="0" w:color="auto"/>
        <w:left w:val="none" w:sz="0" w:space="0" w:color="auto"/>
        <w:bottom w:val="none" w:sz="0" w:space="0" w:color="auto"/>
        <w:right w:val="none" w:sz="0" w:space="0" w:color="auto"/>
      </w:divBdr>
    </w:div>
    <w:div w:id="1961060114">
      <w:bodyDiv w:val="1"/>
      <w:marLeft w:val="0"/>
      <w:marRight w:val="0"/>
      <w:marTop w:val="0"/>
      <w:marBottom w:val="0"/>
      <w:divBdr>
        <w:top w:val="none" w:sz="0" w:space="0" w:color="auto"/>
        <w:left w:val="none" w:sz="0" w:space="0" w:color="auto"/>
        <w:bottom w:val="none" w:sz="0" w:space="0" w:color="auto"/>
        <w:right w:val="none" w:sz="0" w:space="0" w:color="auto"/>
      </w:divBdr>
    </w:div>
    <w:div w:id="1966429405">
      <w:bodyDiv w:val="1"/>
      <w:marLeft w:val="0"/>
      <w:marRight w:val="0"/>
      <w:marTop w:val="0"/>
      <w:marBottom w:val="0"/>
      <w:divBdr>
        <w:top w:val="none" w:sz="0" w:space="0" w:color="auto"/>
        <w:left w:val="none" w:sz="0" w:space="0" w:color="auto"/>
        <w:bottom w:val="none" w:sz="0" w:space="0" w:color="auto"/>
        <w:right w:val="none" w:sz="0" w:space="0" w:color="auto"/>
      </w:divBdr>
    </w:div>
    <w:div w:id="1966815410">
      <w:bodyDiv w:val="1"/>
      <w:marLeft w:val="0"/>
      <w:marRight w:val="0"/>
      <w:marTop w:val="0"/>
      <w:marBottom w:val="0"/>
      <w:divBdr>
        <w:top w:val="none" w:sz="0" w:space="0" w:color="auto"/>
        <w:left w:val="none" w:sz="0" w:space="0" w:color="auto"/>
        <w:bottom w:val="none" w:sz="0" w:space="0" w:color="auto"/>
        <w:right w:val="none" w:sz="0" w:space="0" w:color="auto"/>
      </w:divBdr>
    </w:div>
    <w:div w:id="1967395188">
      <w:bodyDiv w:val="1"/>
      <w:marLeft w:val="0"/>
      <w:marRight w:val="0"/>
      <w:marTop w:val="0"/>
      <w:marBottom w:val="0"/>
      <w:divBdr>
        <w:top w:val="none" w:sz="0" w:space="0" w:color="auto"/>
        <w:left w:val="none" w:sz="0" w:space="0" w:color="auto"/>
        <w:bottom w:val="none" w:sz="0" w:space="0" w:color="auto"/>
        <w:right w:val="none" w:sz="0" w:space="0" w:color="auto"/>
      </w:divBdr>
    </w:div>
    <w:div w:id="1968509218">
      <w:bodyDiv w:val="1"/>
      <w:marLeft w:val="0"/>
      <w:marRight w:val="0"/>
      <w:marTop w:val="0"/>
      <w:marBottom w:val="0"/>
      <w:divBdr>
        <w:top w:val="none" w:sz="0" w:space="0" w:color="auto"/>
        <w:left w:val="none" w:sz="0" w:space="0" w:color="auto"/>
        <w:bottom w:val="none" w:sz="0" w:space="0" w:color="auto"/>
        <w:right w:val="none" w:sz="0" w:space="0" w:color="auto"/>
      </w:divBdr>
    </w:div>
    <w:div w:id="1970355876">
      <w:bodyDiv w:val="1"/>
      <w:marLeft w:val="0"/>
      <w:marRight w:val="0"/>
      <w:marTop w:val="0"/>
      <w:marBottom w:val="0"/>
      <w:divBdr>
        <w:top w:val="none" w:sz="0" w:space="0" w:color="auto"/>
        <w:left w:val="none" w:sz="0" w:space="0" w:color="auto"/>
        <w:bottom w:val="none" w:sz="0" w:space="0" w:color="auto"/>
        <w:right w:val="none" w:sz="0" w:space="0" w:color="auto"/>
      </w:divBdr>
    </w:div>
    <w:div w:id="1972711843">
      <w:bodyDiv w:val="1"/>
      <w:marLeft w:val="0"/>
      <w:marRight w:val="0"/>
      <w:marTop w:val="0"/>
      <w:marBottom w:val="0"/>
      <w:divBdr>
        <w:top w:val="none" w:sz="0" w:space="0" w:color="auto"/>
        <w:left w:val="none" w:sz="0" w:space="0" w:color="auto"/>
        <w:bottom w:val="none" w:sz="0" w:space="0" w:color="auto"/>
        <w:right w:val="none" w:sz="0" w:space="0" w:color="auto"/>
      </w:divBdr>
    </w:div>
    <w:div w:id="1973897706">
      <w:bodyDiv w:val="1"/>
      <w:marLeft w:val="0"/>
      <w:marRight w:val="0"/>
      <w:marTop w:val="0"/>
      <w:marBottom w:val="0"/>
      <w:divBdr>
        <w:top w:val="none" w:sz="0" w:space="0" w:color="auto"/>
        <w:left w:val="none" w:sz="0" w:space="0" w:color="auto"/>
        <w:bottom w:val="none" w:sz="0" w:space="0" w:color="auto"/>
        <w:right w:val="none" w:sz="0" w:space="0" w:color="auto"/>
      </w:divBdr>
    </w:div>
    <w:div w:id="1974866882">
      <w:bodyDiv w:val="1"/>
      <w:marLeft w:val="0"/>
      <w:marRight w:val="0"/>
      <w:marTop w:val="0"/>
      <w:marBottom w:val="0"/>
      <w:divBdr>
        <w:top w:val="none" w:sz="0" w:space="0" w:color="auto"/>
        <w:left w:val="none" w:sz="0" w:space="0" w:color="auto"/>
        <w:bottom w:val="none" w:sz="0" w:space="0" w:color="auto"/>
        <w:right w:val="none" w:sz="0" w:space="0" w:color="auto"/>
      </w:divBdr>
    </w:div>
    <w:div w:id="1976329229">
      <w:bodyDiv w:val="1"/>
      <w:marLeft w:val="0"/>
      <w:marRight w:val="0"/>
      <w:marTop w:val="0"/>
      <w:marBottom w:val="0"/>
      <w:divBdr>
        <w:top w:val="none" w:sz="0" w:space="0" w:color="auto"/>
        <w:left w:val="none" w:sz="0" w:space="0" w:color="auto"/>
        <w:bottom w:val="none" w:sz="0" w:space="0" w:color="auto"/>
        <w:right w:val="none" w:sz="0" w:space="0" w:color="auto"/>
      </w:divBdr>
    </w:div>
    <w:div w:id="1978223749">
      <w:bodyDiv w:val="1"/>
      <w:marLeft w:val="0"/>
      <w:marRight w:val="0"/>
      <w:marTop w:val="0"/>
      <w:marBottom w:val="0"/>
      <w:divBdr>
        <w:top w:val="none" w:sz="0" w:space="0" w:color="auto"/>
        <w:left w:val="none" w:sz="0" w:space="0" w:color="auto"/>
        <w:bottom w:val="none" w:sz="0" w:space="0" w:color="auto"/>
        <w:right w:val="none" w:sz="0" w:space="0" w:color="auto"/>
      </w:divBdr>
    </w:div>
    <w:div w:id="1978367806">
      <w:bodyDiv w:val="1"/>
      <w:marLeft w:val="0"/>
      <w:marRight w:val="0"/>
      <w:marTop w:val="0"/>
      <w:marBottom w:val="0"/>
      <w:divBdr>
        <w:top w:val="none" w:sz="0" w:space="0" w:color="auto"/>
        <w:left w:val="none" w:sz="0" w:space="0" w:color="auto"/>
        <w:bottom w:val="none" w:sz="0" w:space="0" w:color="auto"/>
        <w:right w:val="none" w:sz="0" w:space="0" w:color="auto"/>
      </w:divBdr>
    </w:div>
    <w:div w:id="1980377041">
      <w:bodyDiv w:val="1"/>
      <w:marLeft w:val="0"/>
      <w:marRight w:val="0"/>
      <w:marTop w:val="0"/>
      <w:marBottom w:val="0"/>
      <w:divBdr>
        <w:top w:val="none" w:sz="0" w:space="0" w:color="auto"/>
        <w:left w:val="none" w:sz="0" w:space="0" w:color="auto"/>
        <w:bottom w:val="none" w:sz="0" w:space="0" w:color="auto"/>
        <w:right w:val="none" w:sz="0" w:space="0" w:color="auto"/>
      </w:divBdr>
    </w:div>
    <w:div w:id="1981615162">
      <w:bodyDiv w:val="1"/>
      <w:marLeft w:val="0"/>
      <w:marRight w:val="0"/>
      <w:marTop w:val="0"/>
      <w:marBottom w:val="0"/>
      <w:divBdr>
        <w:top w:val="none" w:sz="0" w:space="0" w:color="auto"/>
        <w:left w:val="none" w:sz="0" w:space="0" w:color="auto"/>
        <w:bottom w:val="none" w:sz="0" w:space="0" w:color="auto"/>
        <w:right w:val="none" w:sz="0" w:space="0" w:color="auto"/>
      </w:divBdr>
    </w:div>
    <w:div w:id="1982732259">
      <w:bodyDiv w:val="1"/>
      <w:marLeft w:val="0"/>
      <w:marRight w:val="0"/>
      <w:marTop w:val="0"/>
      <w:marBottom w:val="0"/>
      <w:divBdr>
        <w:top w:val="none" w:sz="0" w:space="0" w:color="auto"/>
        <w:left w:val="none" w:sz="0" w:space="0" w:color="auto"/>
        <w:bottom w:val="none" w:sz="0" w:space="0" w:color="auto"/>
        <w:right w:val="none" w:sz="0" w:space="0" w:color="auto"/>
      </w:divBdr>
    </w:div>
    <w:div w:id="1983802367">
      <w:bodyDiv w:val="1"/>
      <w:marLeft w:val="0"/>
      <w:marRight w:val="0"/>
      <w:marTop w:val="0"/>
      <w:marBottom w:val="0"/>
      <w:divBdr>
        <w:top w:val="none" w:sz="0" w:space="0" w:color="auto"/>
        <w:left w:val="none" w:sz="0" w:space="0" w:color="auto"/>
        <w:bottom w:val="none" w:sz="0" w:space="0" w:color="auto"/>
        <w:right w:val="none" w:sz="0" w:space="0" w:color="auto"/>
      </w:divBdr>
    </w:div>
    <w:div w:id="1986467411">
      <w:bodyDiv w:val="1"/>
      <w:marLeft w:val="0"/>
      <w:marRight w:val="0"/>
      <w:marTop w:val="0"/>
      <w:marBottom w:val="0"/>
      <w:divBdr>
        <w:top w:val="none" w:sz="0" w:space="0" w:color="auto"/>
        <w:left w:val="none" w:sz="0" w:space="0" w:color="auto"/>
        <w:bottom w:val="none" w:sz="0" w:space="0" w:color="auto"/>
        <w:right w:val="none" w:sz="0" w:space="0" w:color="auto"/>
      </w:divBdr>
    </w:div>
    <w:div w:id="1987776255">
      <w:bodyDiv w:val="1"/>
      <w:marLeft w:val="0"/>
      <w:marRight w:val="0"/>
      <w:marTop w:val="0"/>
      <w:marBottom w:val="0"/>
      <w:divBdr>
        <w:top w:val="none" w:sz="0" w:space="0" w:color="auto"/>
        <w:left w:val="none" w:sz="0" w:space="0" w:color="auto"/>
        <w:bottom w:val="none" w:sz="0" w:space="0" w:color="auto"/>
        <w:right w:val="none" w:sz="0" w:space="0" w:color="auto"/>
      </w:divBdr>
    </w:div>
    <w:div w:id="1988852124">
      <w:bodyDiv w:val="1"/>
      <w:marLeft w:val="0"/>
      <w:marRight w:val="0"/>
      <w:marTop w:val="0"/>
      <w:marBottom w:val="0"/>
      <w:divBdr>
        <w:top w:val="none" w:sz="0" w:space="0" w:color="auto"/>
        <w:left w:val="none" w:sz="0" w:space="0" w:color="auto"/>
        <w:bottom w:val="none" w:sz="0" w:space="0" w:color="auto"/>
        <w:right w:val="none" w:sz="0" w:space="0" w:color="auto"/>
      </w:divBdr>
    </w:div>
    <w:div w:id="1989821599">
      <w:bodyDiv w:val="1"/>
      <w:marLeft w:val="0"/>
      <w:marRight w:val="0"/>
      <w:marTop w:val="0"/>
      <w:marBottom w:val="0"/>
      <w:divBdr>
        <w:top w:val="none" w:sz="0" w:space="0" w:color="auto"/>
        <w:left w:val="none" w:sz="0" w:space="0" w:color="auto"/>
        <w:bottom w:val="none" w:sz="0" w:space="0" w:color="auto"/>
        <w:right w:val="none" w:sz="0" w:space="0" w:color="auto"/>
      </w:divBdr>
    </w:div>
    <w:div w:id="1995640247">
      <w:bodyDiv w:val="1"/>
      <w:marLeft w:val="0"/>
      <w:marRight w:val="0"/>
      <w:marTop w:val="0"/>
      <w:marBottom w:val="0"/>
      <w:divBdr>
        <w:top w:val="none" w:sz="0" w:space="0" w:color="auto"/>
        <w:left w:val="none" w:sz="0" w:space="0" w:color="auto"/>
        <w:bottom w:val="none" w:sz="0" w:space="0" w:color="auto"/>
        <w:right w:val="none" w:sz="0" w:space="0" w:color="auto"/>
      </w:divBdr>
    </w:div>
    <w:div w:id="1999187754">
      <w:bodyDiv w:val="1"/>
      <w:marLeft w:val="0"/>
      <w:marRight w:val="0"/>
      <w:marTop w:val="0"/>
      <w:marBottom w:val="0"/>
      <w:divBdr>
        <w:top w:val="none" w:sz="0" w:space="0" w:color="auto"/>
        <w:left w:val="none" w:sz="0" w:space="0" w:color="auto"/>
        <w:bottom w:val="none" w:sz="0" w:space="0" w:color="auto"/>
        <w:right w:val="none" w:sz="0" w:space="0" w:color="auto"/>
      </w:divBdr>
    </w:div>
    <w:div w:id="1999915374">
      <w:bodyDiv w:val="1"/>
      <w:marLeft w:val="0"/>
      <w:marRight w:val="0"/>
      <w:marTop w:val="0"/>
      <w:marBottom w:val="0"/>
      <w:divBdr>
        <w:top w:val="none" w:sz="0" w:space="0" w:color="auto"/>
        <w:left w:val="none" w:sz="0" w:space="0" w:color="auto"/>
        <w:bottom w:val="none" w:sz="0" w:space="0" w:color="auto"/>
        <w:right w:val="none" w:sz="0" w:space="0" w:color="auto"/>
      </w:divBdr>
    </w:div>
    <w:div w:id="2000689474">
      <w:bodyDiv w:val="1"/>
      <w:marLeft w:val="0"/>
      <w:marRight w:val="0"/>
      <w:marTop w:val="0"/>
      <w:marBottom w:val="0"/>
      <w:divBdr>
        <w:top w:val="none" w:sz="0" w:space="0" w:color="auto"/>
        <w:left w:val="none" w:sz="0" w:space="0" w:color="auto"/>
        <w:bottom w:val="none" w:sz="0" w:space="0" w:color="auto"/>
        <w:right w:val="none" w:sz="0" w:space="0" w:color="auto"/>
      </w:divBdr>
    </w:div>
    <w:div w:id="2001881703">
      <w:bodyDiv w:val="1"/>
      <w:marLeft w:val="0"/>
      <w:marRight w:val="0"/>
      <w:marTop w:val="0"/>
      <w:marBottom w:val="0"/>
      <w:divBdr>
        <w:top w:val="none" w:sz="0" w:space="0" w:color="auto"/>
        <w:left w:val="none" w:sz="0" w:space="0" w:color="auto"/>
        <w:bottom w:val="none" w:sz="0" w:space="0" w:color="auto"/>
        <w:right w:val="none" w:sz="0" w:space="0" w:color="auto"/>
      </w:divBdr>
    </w:div>
    <w:div w:id="2002390445">
      <w:bodyDiv w:val="1"/>
      <w:marLeft w:val="0"/>
      <w:marRight w:val="0"/>
      <w:marTop w:val="0"/>
      <w:marBottom w:val="0"/>
      <w:divBdr>
        <w:top w:val="none" w:sz="0" w:space="0" w:color="auto"/>
        <w:left w:val="none" w:sz="0" w:space="0" w:color="auto"/>
        <w:bottom w:val="none" w:sz="0" w:space="0" w:color="auto"/>
        <w:right w:val="none" w:sz="0" w:space="0" w:color="auto"/>
      </w:divBdr>
    </w:div>
    <w:div w:id="2004308749">
      <w:bodyDiv w:val="1"/>
      <w:marLeft w:val="0"/>
      <w:marRight w:val="0"/>
      <w:marTop w:val="0"/>
      <w:marBottom w:val="0"/>
      <w:divBdr>
        <w:top w:val="none" w:sz="0" w:space="0" w:color="auto"/>
        <w:left w:val="none" w:sz="0" w:space="0" w:color="auto"/>
        <w:bottom w:val="none" w:sz="0" w:space="0" w:color="auto"/>
        <w:right w:val="none" w:sz="0" w:space="0" w:color="auto"/>
      </w:divBdr>
    </w:div>
    <w:div w:id="2010331501">
      <w:bodyDiv w:val="1"/>
      <w:marLeft w:val="0"/>
      <w:marRight w:val="0"/>
      <w:marTop w:val="0"/>
      <w:marBottom w:val="0"/>
      <w:divBdr>
        <w:top w:val="none" w:sz="0" w:space="0" w:color="auto"/>
        <w:left w:val="none" w:sz="0" w:space="0" w:color="auto"/>
        <w:bottom w:val="none" w:sz="0" w:space="0" w:color="auto"/>
        <w:right w:val="none" w:sz="0" w:space="0" w:color="auto"/>
      </w:divBdr>
    </w:div>
    <w:div w:id="2012831671">
      <w:bodyDiv w:val="1"/>
      <w:marLeft w:val="0"/>
      <w:marRight w:val="0"/>
      <w:marTop w:val="0"/>
      <w:marBottom w:val="0"/>
      <w:divBdr>
        <w:top w:val="none" w:sz="0" w:space="0" w:color="auto"/>
        <w:left w:val="none" w:sz="0" w:space="0" w:color="auto"/>
        <w:bottom w:val="none" w:sz="0" w:space="0" w:color="auto"/>
        <w:right w:val="none" w:sz="0" w:space="0" w:color="auto"/>
      </w:divBdr>
    </w:div>
    <w:div w:id="2016876312">
      <w:bodyDiv w:val="1"/>
      <w:marLeft w:val="0"/>
      <w:marRight w:val="0"/>
      <w:marTop w:val="0"/>
      <w:marBottom w:val="0"/>
      <w:divBdr>
        <w:top w:val="none" w:sz="0" w:space="0" w:color="auto"/>
        <w:left w:val="none" w:sz="0" w:space="0" w:color="auto"/>
        <w:bottom w:val="none" w:sz="0" w:space="0" w:color="auto"/>
        <w:right w:val="none" w:sz="0" w:space="0" w:color="auto"/>
      </w:divBdr>
    </w:div>
    <w:div w:id="2018340700">
      <w:bodyDiv w:val="1"/>
      <w:marLeft w:val="0"/>
      <w:marRight w:val="0"/>
      <w:marTop w:val="0"/>
      <w:marBottom w:val="0"/>
      <w:divBdr>
        <w:top w:val="none" w:sz="0" w:space="0" w:color="auto"/>
        <w:left w:val="none" w:sz="0" w:space="0" w:color="auto"/>
        <w:bottom w:val="none" w:sz="0" w:space="0" w:color="auto"/>
        <w:right w:val="none" w:sz="0" w:space="0" w:color="auto"/>
      </w:divBdr>
    </w:div>
    <w:div w:id="2023241949">
      <w:bodyDiv w:val="1"/>
      <w:marLeft w:val="0"/>
      <w:marRight w:val="0"/>
      <w:marTop w:val="0"/>
      <w:marBottom w:val="0"/>
      <w:divBdr>
        <w:top w:val="none" w:sz="0" w:space="0" w:color="auto"/>
        <w:left w:val="none" w:sz="0" w:space="0" w:color="auto"/>
        <w:bottom w:val="none" w:sz="0" w:space="0" w:color="auto"/>
        <w:right w:val="none" w:sz="0" w:space="0" w:color="auto"/>
      </w:divBdr>
    </w:div>
    <w:div w:id="2024739595">
      <w:bodyDiv w:val="1"/>
      <w:marLeft w:val="0"/>
      <w:marRight w:val="0"/>
      <w:marTop w:val="0"/>
      <w:marBottom w:val="0"/>
      <w:divBdr>
        <w:top w:val="none" w:sz="0" w:space="0" w:color="auto"/>
        <w:left w:val="none" w:sz="0" w:space="0" w:color="auto"/>
        <w:bottom w:val="none" w:sz="0" w:space="0" w:color="auto"/>
        <w:right w:val="none" w:sz="0" w:space="0" w:color="auto"/>
      </w:divBdr>
    </w:div>
    <w:div w:id="2030911112">
      <w:bodyDiv w:val="1"/>
      <w:marLeft w:val="0"/>
      <w:marRight w:val="0"/>
      <w:marTop w:val="0"/>
      <w:marBottom w:val="0"/>
      <w:divBdr>
        <w:top w:val="none" w:sz="0" w:space="0" w:color="auto"/>
        <w:left w:val="none" w:sz="0" w:space="0" w:color="auto"/>
        <w:bottom w:val="none" w:sz="0" w:space="0" w:color="auto"/>
        <w:right w:val="none" w:sz="0" w:space="0" w:color="auto"/>
      </w:divBdr>
    </w:div>
    <w:div w:id="2033333202">
      <w:bodyDiv w:val="1"/>
      <w:marLeft w:val="0"/>
      <w:marRight w:val="0"/>
      <w:marTop w:val="0"/>
      <w:marBottom w:val="0"/>
      <w:divBdr>
        <w:top w:val="none" w:sz="0" w:space="0" w:color="auto"/>
        <w:left w:val="none" w:sz="0" w:space="0" w:color="auto"/>
        <w:bottom w:val="none" w:sz="0" w:space="0" w:color="auto"/>
        <w:right w:val="none" w:sz="0" w:space="0" w:color="auto"/>
      </w:divBdr>
    </w:div>
    <w:div w:id="2038039532">
      <w:bodyDiv w:val="1"/>
      <w:marLeft w:val="0"/>
      <w:marRight w:val="0"/>
      <w:marTop w:val="0"/>
      <w:marBottom w:val="0"/>
      <w:divBdr>
        <w:top w:val="none" w:sz="0" w:space="0" w:color="auto"/>
        <w:left w:val="none" w:sz="0" w:space="0" w:color="auto"/>
        <w:bottom w:val="none" w:sz="0" w:space="0" w:color="auto"/>
        <w:right w:val="none" w:sz="0" w:space="0" w:color="auto"/>
      </w:divBdr>
    </w:div>
    <w:div w:id="2038576268">
      <w:bodyDiv w:val="1"/>
      <w:marLeft w:val="0"/>
      <w:marRight w:val="0"/>
      <w:marTop w:val="0"/>
      <w:marBottom w:val="0"/>
      <w:divBdr>
        <w:top w:val="none" w:sz="0" w:space="0" w:color="auto"/>
        <w:left w:val="none" w:sz="0" w:space="0" w:color="auto"/>
        <w:bottom w:val="none" w:sz="0" w:space="0" w:color="auto"/>
        <w:right w:val="none" w:sz="0" w:space="0" w:color="auto"/>
      </w:divBdr>
    </w:div>
    <w:div w:id="2041316673">
      <w:bodyDiv w:val="1"/>
      <w:marLeft w:val="0"/>
      <w:marRight w:val="0"/>
      <w:marTop w:val="0"/>
      <w:marBottom w:val="0"/>
      <w:divBdr>
        <w:top w:val="none" w:sz="0" w:space="0" w:color="auto"/>
        <w:left w:val="none" w:sz="0" w:space="0" w:color="auto"/>
        <w:bottom w:val="none" w:sz="0" w:space="0" w:color="auto"/>
        <w:right w:val="none" w:sz="0" w:space="0" w:color="auto"/>
      </w:divBdr>
    </w:div>
    <w:div w:id="2044743595">
      <w:bodyDiv w:val="1"/>
      <w:marLeft w:val="0"/>
      <w:marRight w:val="0"/>
      <w:marTop w:val="0"/>
      <w:marBottom w:val="0"/>
      <w:divBdr>
        <w:top w:val="none" w:sz="0" w:space="0" w:color="auto"/>
        <w:left w:val="none" w:sz="0" w:space="0" w:color="auto"/>
        <w:bottom w:val="none" w:sz="0" w:space="0" w:color="auto"/>
        <w:right w:val="none" w:sz="0" w:space="0" w:color="auto"/>
      </w:divBdr>
    </w:div>
    <w:div w:id="2049529792">
      <w:bodyDiv w:val="1"/>
      <w:marLeft w:val="0"/>
      <w:marRight w:val="0"/>
      <w:marTop w:val="0"/>
      <w:marBottom w:val="0"/>
      <w:divBdr>
        <w:top w:val="none" w:sz="0" w:space="0" w:color="auto"/>
        <w:left w:val="none" w:sz="0" w:space="0" w:color="auto"/>
        <w:bottom w:val="none" w:sz="0" w:space="0" w:color="auto"/>
        <w:right w:val="none" w:sz="0" w:space="0" w:color="auto"/>
      </w:divBdr>
    </w:div>
    <w:div w:id="2051564977">
      <w:bodyDiv w:val="1"/>
      <w:marLeft w:val="0"/>
      <w:marRight w:val="0"/>
      <w:marTop w:val="0"/>
      <w:marBottom w:val="0"/>
      <w:divBdr>
        <w:top w:val="none" w:sz="0" w:space="0" w:color="auto"/>
        <w:left w:val="none" w:sz="0" w:space="0" w:color="auto"/>
        <w:bottom w:val="none" w:sz="0" w:space="0" w:color="auto"/>
        <w:right w:val="none" w:sz="0" w:space="0" w:color="auto"/>
      </w:divBdr>
    </w:div>
    <w:div w:id="2051605434">
      <w:bodyDiv w:val="1"/>
      <w:marLeft w:val="0"/>
      <w:marRight w:val="0"/>
      <w:marTop w:val="0"/>
      <w:marBottom w:val="0"/>
      <w:divBdr>
        <w:top w:val="none" w:sz="0" w:space="0" w:color="auto"/>
        <w:left w:val="none" w:sz="0" w:space="0" w:color="auto"/>
        <w:bottom w:val="none" w:sz="0" w:space="0" w:color="auto"/>
        <w:right w:val="none" w:sz="0" w:space="0" w:color="auto"/>
      </w:divBdr>
    </w:div>
    <w:div w:id="2054113232">
      <w:bodyDiv w:val="1"/>
      <w:marLeft w:val="0"/>
      <w:marRight w:val="0"/>
      <w:marTop w:val="0"/>
      <w:marBottom w:val="0"/>
      <w:divBdr>
        <w:top w:val="none" w:sz="0" w:space="0" w:color="auto"/>
        <w:left w:val="none" w:sz="0" w:space="0" w:color="auto"/>
        <w:bottom w:val="none" w:sz="0" w:space="0" w:color="auto"/>
        <w:right w:val="none" w:sz="0" w:space="0" w:color="auto"/>
      </w:divBdr>
    </w:div>
    <w:div w:id="2057391923">
      <w:bodyDiv w:val="1"/>
      <w:marLeft w:val="0"/>
      <w:marRight w:val="0"/>
      <w:marTop w:val="0"/>
      <w:marBottom w:val="0"/>
      <w:divBdr>
        <w:top w:val="none" w:sz="0" w:space="0" w:color="auto"/>
        <w:left w:val="none" w:sz="0" w:space="0" w:color="auto"/>
        <w:bottom w:val="none" w:sz="0" w:space="0" w:color="auto"/>
        <w:right w:val="none" w:sz="0" w:space="0" w:color="auto"/>
      </w:divBdr>
    </w:div>
    <w:div w:id="2061593330">
      <w:bodyDiv w:val="1"/>
      <w:marLeft w:val="0"/>
      <w:marRight w:val="0"/>
      <w:marTop w:val="0"/>
      <w:marBottom w:val="0"/>
      <w:divBdr>
        <w:top w:val="none" w:sz="0" w:space="0" w:color="auto"/>
        <w:left w:val="none" w:sz="0" w:space="0" w:color="auto"/>
        <w:bottom w:val="none" w:sz="0" w:space="0" w:color="auto"/>
        <w:right w:val="none" w:sz="0" w:space="0" w:color="auto"/>
      </w:divBdr>
    </w:div>
    <w:div w:id="2061782083">
      <w:bodyDiv w:val="1"/>
      <w:marLeft w:val="0"/>
      <w:marRight w:val="0"/>
      <w:marTop w:val="0"/>
      <w:marBottom w:val="0"/>
      <w:divBdr>
        <w:top w:val="none" w:sz="0" w:space="0" w:color="auto"/>
        <w:left w:val="none" w:sz="0" w:space="0" w:color="auto"/>
        <w:bottom w:val="none" w:sz="0" w:space="0" w:color="auto"/>
        <w:right w:val="none" w:sz="0" w:space="0" w:color="auto"/>
      </w:divBdr>
    </w:div>
    <w:div w:id="2066492672">
      <w:bodyDiv w:val="1"/>
      <w:marLeft w:val="0"/>
      <w:marRight w:val="0"/>
      <w:marTop w:val="0"/>
      <w:marBottom w:val="0"/>
      <w:divBdr>
        <w:top w:val="none" w:sz="0" w:space="0" w:color="auto"/>
        <w:left w:val="none" w:sz="0" w:space="0" w:color="auto"/>
        <w:bottom w:val="none" w:sz="0" w:space="0" w:color="auto"/>
        <w:right w:val="none" w:sz="0" w:space="0" w:color="auto"/>
      </w:divBdr>
    </w:div>
    <w:div w:id="2069840622">
      <w:bodyDiv w:val="1"/>
      <w:marLeft w:val="0"/>
      <w:marRight w:val="0"/>
      <w:marTop w:val="0"/>
      <w:marBottom w:val="0"/>
      <w:divBdr>
        <w:top w:val="none" w:sz="0" w:space="0" w:color="auto"/>
        <w:left w:val="none" w:sz="0" w:space="0" w:color="auto"/>
        <w:bottom w:val="none" w:sz="0" w:space="0" w:color="auto"/>
        <w:right w:val="none" w:sz="0" w:space="0" w:color="auto"/>
      </w:divBdr>
    </w:div>
    <w:div w:id="2070422243">
      <w:bodyDiv w:val="1"/>
      <w:marLeft w:val="0"/>
      <w:marRight w:val="0"/>
      <w:marTop w:val="0"/>
      <w:marBottom w:val="0"/>
      <w:divBdr>
        <w:top w:val="none" w:sz="0" w:space="0" w:color="auto"/>
        <w:left w:val="none" w:sz="0" w:space="0" w:color="auto"/>
        <w:bottom w:val="none" w:sz="0" w:space="0" w:color="auto"/>
        <w:right w:val="none" w:sz="0" w:space="0" w:color="auto"/>
      </w:divBdr>
    </w:div>
    <w:div w:id="2070572563">
      <w:bodyDiv w:val="1"/>
      <w:marLeft w:val="0"/>
      <w:marRight w:val="0"/>
      <w:marTop w:val="0"/>
      <w:marBottom w:val="0"/>
      <w:divBdr>
        <w:top w:val="none" w:sz="0" w:space="0" w:color="auto"/>
        <w:left w:val="none" w:sz="0" w:space="0" w:color="auto"/>
        <w:bottom w:val="none" w:sz="0" w:space="0" w:color="auto"/>
        <w:right w:val="none" w:sz="0" w:space="0" w:color="auto"/>
      </w:divBdr>
    </w:div>
    <w:div w:id="2071610727">
      <w:bodyDiv w:val="1"/>
      <w:marLeft w:val="0"/>
      <w:marRight w:val="0"/>
      <w:marTop w:val="0"/>
      <w:marBottom w:val="0"/>
      <w:divBdr>
        <w:top w:val="none" w:sz="0" w:space="0" w:color="auto"/>
        <w:left w:val="none" w:sz="0" w:space="0" w:color="auto"/>
        <w:bottom w:val="none" w:sz="0" w:space="0" w:color="auto"/>
        <w:right w:val="none" w:sz="0" w:space="0" w:color="auto"/>
      </w:divBdr>
    </w:div>
    <w:div w:id="2073768254">
      <w:bodyDiv w:val="1"/>
      <w:marLeft w:val="0"/>
      <w:marRight w:val="0"/>
      <w:marTop w:val="0"/>
      <w:marBottom w:val="0"/>
      <w:divBdr>
        <w:top w:val="none" w:sz="0" w:space="0" w:color="auto"/>
        <w:left w:val="none" w:sz="0" w:space="0" w:color="auto"/>
        <w:bottom w:val="none" w:sz="0" w:space="0" w:color="auto"/>
        <w:right w:val="none" w:sz="0" w:space="0" w:color="auto"/>
      </w:divBdr>
    </w:div>
    <w:div w:id="2073848790">
      <w:bodyDiv w:val="1"/>
      <w:marLeft w:val="0"/>
      <w:marRight w:val="0"/>
      <w:marTop w:val="0"/>
      <w:marBottom w:val="0"/>
      <w:divBdr>
        <w:top w:val="none" w:sz="0" w:space="0" w:color="auto"/>
        <w:left w:val="none" w:sz="0" w:space="0" w:color="auto"/>
        <w:bottom w:val="none" w:sz="0" w:space="0" w:color="auto"/>
        <w:right w:val="none" w:sz="0" w:space="0" w:color="auto"/>
      </w:divBdr>
    </w:div>
    <w:div w:id="2074964173">
      <w:bodyDiv w:val="1"/>
      <w:marLeft w:val="0"/>
      <w:marRight w:val="0"/>
      <w:marTop w:val="0"/>
      <w:marBottom w:val="0"/>
      <w:divBdr>
        <w:top w:val="none" w:sz="0" w:space="0" w:color="auto"/>
        <w:left w:val="none" w:sz="0" w:space="0" w:color="auto"/>
        <w:bottom w:val="none" w:sz="0" w:space="0" w:color="auto"/>
        <w:right w:val="none" w:sz="0" w:space="0" w:color="auto"/>
      </w:divBdr>
    </w:div>
    <w:div w:id="2086217296">
      <w:bodyDiv w:val="1"/>
      <w:marLeft w:val="0"/>
      <w:marRight w:val="0"/>
      <w:marTop w:val="0"/>
      <w:marBottom w:val="0"/>
      <w:divBdr>
        <w:top w:val="none" w:sz="0" w:space="0" w:color="auto"/>
        <w:left w:val="none" w:sz="0" w:space="0" w:color="auto"/>
        <w:bottom w:val="none" w:sz="0" w:space="0" w:color="auto"/>
        <w:right w:val="none" w:sz="0" w:space="0" w:color="auto"/>
      </w:divBdr>
    </w:div>
    <w:div w:id="2090420235">
      <w:bodyDiv w:val="1"/>
      <w:marLeft w:val="0"/>
      <w:marRight w:val="0"/>
      <w:marTop w:val="0"/>
      <w:marBottom w:val="0"/>
      <w:divBdr>
        <w:top w:val="none" w:sz="0" w:space="0" w:color="auto"/>
        <w:left w:val="none" w:sz="0" w:space="0" w:color="auto"/>
        <w:bottom w:val="none" w:sz="0" w:space="0" w:color="auto"/>
        <w:right w:val="none" w:sz="0" w:space="0" w:color="auto"/>
      </w:divBdr>
    </w:div>
    <w:div w:id="2093502100">
      <w:bodyDiv w:val="1"/>
      <w:marLeft w:val="0"/>
      <w:marRight w:val="0"/>
      <w:marTop w:val="0"/>
      <w:marBottom w:val="0"/>
      <w:divBdr>
        <w:top w:val="none" w:sz="0" w:space="0" w:color="auto"/>
        <w:left w:val="none" w:sz="0" w:space="0" w:color="auto"/>
        <w:bottom w:val="none" w:sz="0" w:space="0" w:color="auto"/>
        <w:right w:val="none" w:sz="0" w:space="0" w:color="auto"/>
      </w:divBdr>
    </w:div>
    <w:div w:id="2094429827">
      <w:bodyDiv w:val="1"/>
      <w:marLeft w:val="0"/>
      <w:marRight w:val="0"/>
      <w:marTop w:val="0"/>
      <w:marBottom w:val="0"/>
      <w:divBdr>
        <w:top w:val="none" w:sz="0" w:space="0" w:color="auto"/>
        <w:left w:val="none" w:sz="0" w:space="0" w:color="auto"/>
        <w:bottom w:val="none" w:sz="0" w:space="0" w:color="auto"/>
        <w:right w:val="none" w:sz="0" w:space="0" w:color="auto"/>
      </w:divBdr>
    </w:div>
    <w:div w:id="2095198540">
      <w:bodyDiv w:val="1"/>
      <w:marLeft w:val="0"/>
      <w:marRight w:val="0"/>
      <w:marTop w:val="0"/>
      <w:marBottom w:val="0"/>
      <w:divBdr>
        <w:top w:val="none" w:sz="0" w:space="0" w:color="auto"/>
        <w:left w:val="none" w:sz="0" w:space="0" w:color="auto"/>
        <w:bottom w:val="none" w:sz="0" w:space="0" w:color="auto"/>
        <w:right w:val="none" w:sz="0" w:space="0" w:color="auto"/>
      </w:divBdr>
    </w:div>
    <w:div w:id="2097707915">
      <w:bodyDiv w:val="1"/>
      <w:marLeft w:val="0"/>
      <w:marRight w:val="0"/>
      <w:marTop w:val="0"/>
      <w:marBottom w:val="0"/>
      <w:divBdr>
        <w:top w:val="none" w:sz="0" w:space="0" w:color="auto"/>
        <w:left w:val="none" w:sz="0" w:space="0" w:color="auto"/>
        <w:bottom w:val="none" w:sz="0" w:space="0" w:color="auto"/>
        <w:right w:val="none" w:sz="0" w:space="0" w:color="auto"/>
      </w:divBdr>
    </w:div>
    <w:div w:id="2100908473">
      <w:bodyDiv w:val="1"/>
      <w:marLeft w:val="0"/>
      <w:marRight w:val="0"/>
      <w:marTop w:val="0"/>
      <w:marBottom w:val="0"/>
      <w:divBdr>
        <w:top w:val="none" w:sz="0" w:space="0" w:color="auto"/>
        <w:left w:val="none" w:sz="0" w:space="0" w:color="auto"/>
        <w:bottom w:val="none" w:sz="0" w:space="0" w:color="auto"/>
        <w:right w:val="none" w:sz="0" w:space="0" w:color="auto"/>
      </w:divBdr>
    </w:div>
    <w:div w:id="2101094823">
      <w:bodyDiv w:val="1"/>
      <w:marLeft w:val="0"/>
      <w:marRight w:val="0"/>
      <w:marTop w:val="0"/>
      <w:marBottom w:val="0"/>
      <w:divBdr>
        <w:top w:val="none" w:sz="0" w:space="0" w:color="auto"/>
        <w:left w:val="none" w:sz="0" w:space="0" w:color="auto"/>
        <w:bottom w:val="none" w:sz="0" w:space="0" w:color="auto"/>
        <w:right w:val="none" w:sz="0" w:space="0" w:color="auto"/>
      </w:divBdr>
    </w:div>
    <w:div w:id="2102751287">
      <w:bodyDiv w:val="1"/>
      <w:marLeft w:val="0"/>
      <w:marRight w:val="0"/>
      <w:marTop w:val="0"/>
      <w:marBottom w:val="0"/>
      <w:divBdr>
        <w:top w:val="none" w:sz="0" w:space="0" w:color="auto"/>
        <w:left w:val="none" w:sz="0" w:space="0" w:color="auto"/>
        <w:bottom w:val="none" w:sz="0" w:space="0" w:color="auto"/>
        <w:right w:val="none" w:sz="0" w:space="0" w:color="auto"/>
      </w:divBdr>
    </w:div>
    <w:div w:id="2107845598">
      <w:bodyDiv w:val="1"/>
      <w:marLeft w:val="0"/>
      <w:marRight w:val="0"/>
      <w:marTop w:val="0"/>
      <w:marBottom w:val="0"/>
      <w:divBdr>
        <w:top w:val="none" w:sz="0" w:space="0" w:color="auto"/>
        <w:left w:val="none" w:sz="0" w:space="0" w:color="auto"/>
        <w:bottom w:val="none" w:sz="0" w:space="0" w:color="auto"/>
        <w:right w:val="none" w:sz="0" w:space="0" w:color="auto"/>
      </w:divBdr>
    </w:div>
    <w:div w:id="2112846770">
      <w:bodyDiv w:val="1"/>
      <w:marLeft w:val="0"/>
      <w:marRight w:val="0"/>
      <w:marTop w:val="0"/>
      <w:marBottom w:val="0"/>
      <w:divBdr>
        <w:top w:val="none" w:sz="0" w:space="0" w:color="auto"/>
        <w:left w:val="none" w:sz="0" w:space="0" w:color="auto"/>
        <w:bottom w:val="none" w:sz="0" w:space="0" w:color="auto"/>
        <w:right w:val="none" w:sz="0" w:space="0" w:color="auto"/>
      </w:divBdr>
    </w:div>
    <w:div w:id="2116435578">
      <w:bodyDiv w:val="1"/>
      <w:marLeft w:val="0"/>
      <w:marRight w:val="0"/>
      <w:marTop w:val="0"/>
      <w:marBottom w:val="0"/>
      <w:divBdr>
        <w:top w:val="none" w:sz="0" w:space="0" w:color="auto"/>
        <w:left w:val="none" w:sz="0" w:space="0" w:color="auto"/>
        <w:bottom w:val="none" w:sz="0" w:space="0" w:color="auto"/>
        <w:right w:val="none" w:sz="0" w:space="0" w:color="auto"/>
      </w:divBdr>
    </w:div>
    <w:div w:id="2118140828">
      <w:bodyDiv w:val="1"/>
      <w:marLeft w:val="0"/>
      <w:marRight w:val="0"/>
      <w:marTop w:val="0"/>
      <w:marBottom w:val="0"/>
      <w:divBdr>
        <w:top w:val="none" w:sz="0" w:space="0" w:color="auto"/>
        <w:left w:val="none" w:sz="0" w:space="0" w:color="auto"/>
        <w:bottom w:val="none" w:sz="0" w:space="0" w:color="auto"/>
        <w:right w:val="none" w:sz="0" w:space="0" w:color="auto"/>
      </w:divBdr>
    </w:div>
    <w:div w:id="2122527675">
      <w:bodyDiv w:val="1"/>
      <w:marLeft w:val="0"/>
      <w:marRight w:val="0"/>
      <w:marTop w:val="0"/>
      <w:marBottom w:val="0"/>
      <w:divBdr>
        <w:top w:val="none" w:sz="0" w:space="0" w:color="auto"/>
        <w:left w:val="none" w:sz="0" w:space="0" w:color="auto"/>
        <w:bottom w:val="none" w:sz="0" w:space="0" w:color="auto"/>
        <w:right w:val="none" w:sz="0" w:space="0" w:color="auto"/>
      </w:divBdr>
    </w:div>
    <w:div w:id="2123842887">
      <w:bodyDiv w:val="1"/>
      <w:marLeft w:val="0"/>
      <w:marRight w:val="0"/>
      <w:marTop w:val="0"/>
      <w:marBottom w:val="0"/>
      <w:divBdr>
        <w:top w:val="none" w:sz="0" w:space="0" w:color="auto"/>
        <w:left w:val="none" w:sz="0" w:space="0" w:color="auto"/>
        <w:bottom w:val="none" w:sz="0" w:space="0" w:color="auto"/>
        <w:right w:val="none" w:sz="0" w:space="0" w:color="auto"/>
      </w:divBdr>
    </w:div>
    <w:div w:id="2124379045">
      <w:bodyDiv w:val="1"/>
      <w:marLeft w:val="0"/>
      <w:marRight w:val="0"/>
      <w:marTop w:val="0"/>
      <w:marBottom w:val="0"/>
      <w:divBdr>
        <w:top w:val="none" w:sz="0" w:space="0" w:color="auto"/>
        <w:left w:val="none" w:sz="0" w:space="0" w:color="auto"/>
        <w:bottom w:val="none" w:sz="0" w:space="0" w:color="auto"/>
        <w:right w:val="none" w:sz="0" w:space="0" w:color="auto"/>
      </w:divBdr>
    </w:div>
    <w:div w:id="2125689277">
      <w:bodyDiv w:val="1"/>
      <w:marLeft w:val="0"/>
      <w:marRight w:val="0"/>
      <w:marTop w:val="0"/>
      <w:marBottom w:val="0"/>
      <w:divBdr>
        <w:top w:val="none" w:sz="0" w:space="0" w:color="auto"/>
        <w:left w:val="none" w:sz="0" w:space="0" w:color="auto"/>
        <w:bottom w:val="none" w:sz="0" w:space="0" w:color="auto"/>
        <w:right w:val="none" w:sz="0" w:space="0" w:color="auto"/>
      </w:divBdr>
    </w:div>
    <w:div w:id="2127657785">
      <w:bodyDiv w:val="1"/>
      <w:marLeft w:val="0"/>
      <w:marRight w:val="0"/>
      <w:marTop w:val="0"/>
      <w:marBottom w:val="0"/>
      <w:divBdr>
        <w:top w:val="none" w:sz="0" w:space="0" w:color="auto"/>
        <w:left w:val="none" w:sz="0" w:space="0" w:color="auto"/>
        <w:bottom w:val="none" w:sz="0" w:space="0" w:color="auto"/>
        <w:right w:val="none" w:sz="0" w:space="0" w:color="auto"/>
      </w:divBdr>
    </w:div>
    <w:div w:id="2128965491">
      <w:bodyDiv w:val="1"/>
      <w:marLeft w:val="0"/>
      <w:marRight w:val="0"/>
      <w:marTop w:val="0"/>
      <w:marBottom w:val="0"/>
      <w:divBdr>
        <w:top w:val="none" w:sz="0" w:space="0" w:color="auto"/>
        <w:left w:val="none" w:sz="0" w:space="0" w:color="auto"/>
        <w:bottom w:val="none" w:sz="0" w:space="0" w:color="auto"/>
        <w:right w:val="none" w:sz="0" w:space="0" w:color="auto"/>
      </w:divBdr>
    </w:div>
    <w:div w:id="2133748830">
      <w:bodyDiv w:val="1"/>
      <w:marLeft w:val="0"/>
      <w:marRight w:val="0"/>
      <w:marTop w:val="0"/>
      <w:marBottom w:val="0"/>
      <w:divBdr>
        <w:top w:val="none" w:sz="0" w:space="0" w:color="auto"/>
        <w:left w:val="none" w:sz="0" w:space="0" w:color="auto"/>
        <w:bottom w:val="none" w:sz="0" w:space="0" w:color="auto"/>
        <w:right w:val="none" w:sz="0" w:space="0" w:color="auto"/>
      </w:divBdr>
    </w:div>
    <w:div w:id="2136287455">
      <w:bodyDiv w:val="1"/>
      <w:marLeft w:val="0"/>
      <w:marRight w:val="0"/>
      <w:marTop w:val="0"/>
      <w:marBottom w:val="0"/>
      <w:divBdr>
        <w:top w:val="none" w:sz="0" w:space="0" w:color="auto"/>
        <w:left w:val="none" w:sz="0" w:space="0" w:color="auto"/>
        <w:bottom w:val="none" w:sz="0" w:space="0" w:color="auto"/>
        <w:right w:val="none" w:sz="0" w:space="0" w:color="auto"/>
      </w:divBdr>
    </w:div>
    <w:div w:id="2136681426">
      <w:bodyDiv w:val="1"/>
      <w:marLeft w:val="0"/>
      <w:marRight w:val="0"/>
      <w:marTop w:val="0"/>
      <w:marBottom w:val="0"/>
      <w:divBdr>
        <w:top w:val="none" w:sz="0" w:space="0" w:color="auto"/>
        <w:left w:val="none" w:sz="0" w:space="0" w:color="auto"/>
        <w:bottom w:val="none" w:sz="0" w:space="0" w:color="auto"/>
        <w:right w:val="none" w:sz="0" w:space="0" w:color="auto"/>
      </w:divBdr>
    </w:div>
    <w:div w:id="2138379010">
      <w:bodyDiv w:val="1"/>
      <w:marLeft w:val="0"/>
      <w:marRight w:val="0"/>
      <w:marTop w:val="0"/>
      <w:marBottom w:val="0"/>
      <w:divBdr>
        <w:top w:val="none" w:sz="0" w:space="0" w:color="auto"/>
        <w:left w:val="none" w:sz="0" w:space="0" w:color="auto"/>
        <w:bottom w:val="none" w:sz="0" w:space="0" w:color="auto"/>
        <w:right w:val="none" w:sz="0" w:space="0" w:color="auto"/>
      </w:divBdr>
    </w:div>
    <w:div w:id="2139255152">
      <w:bodyDiv w:val="1"/>
      <w:marLeft w:val="0"/>
      <w:marRight w:val="0"/>
      <w:marTop w:val="0"/>
      <w:marBottom w:val="0"/>
      <w:divBdr>
        <w:top w:val="none" w:sz="0" w:space="0" w:color="auto"/>
        <w:left w:val="none" w:sz="0" w:space="0" w:color="auto"/>
        <w:bottom w:val="none" w:sz="0" w:space="0" w:color="auto"/>
        <w:right w:val="none" w:sz="0" w:space="0" w:color="auto"/>
      </w:divBdr>
    </w:div>
    <w:div w:id="2139519396">
      <w:bodyDiv w:val="1"/>
      <w:marLeft w:val="0"/>
      <w:marRight w:val="0"/>
      <w:marTop w:val="0"/>
      <w:marBottom w:val="0"/>
      <w:divBdr>
        <w:top w:val="none" w:sz="0" w:space="0" w:color="auto"/>
        <w:left w:val="none" w:sz="0" w:space="0" w:color="auto"/>
        <w:bottom w:val="none" w:sz="0" w:space="0" w:color="auto"/>
        <w:right w:val="none" w:sz="0" w:space="0" w:color="auto"/>
      </w:divBdr>
    </w:div>
    <w:div w:id="2140802397">
      <w:bodyDiv w:val="1"/>
      <w:marLeft w:val="0"/>
      <w:marRight w:val="0"/>
      <w:marTop w:val="0"/>
      <w:marBottom w:val="0"/>
      <w:divBdr>
        <w:top w:val="none" w:sz="0" w:space="0" w:color="auto"/>
        <w:left w:val="none" w:sz="0" w:space="0" w:color="auto"/>
        <w:bottom w:val="none" w:sz="0" w:space="0" w:color="auto"/>
        <w:right w:val="none" w:sz="0" w:space="0" w:color="auto"/>
      </w:divBdr>
    </w:div>
    <w:div w:id="2143225399">
      <w:bodyDiv w:val="1"/>
      <w:marLeft w:val="0"/>
      <w:marRight w:val="0"/>
      <w:marTop w:val="0"/>
      <w:marBottom w:val="0"/>
      <w:divBdr>
        <w:top w:val="none" w:sz="0" w:space="0" w:color="auto"/>
        <w:left w:val="none" w:sz="0" w:space="0" w:color="auto"/>
        <w:bottom w:val="none" w:sz="0" w:space="0" w:color="auto"/>
        <w:right w:val="none" w:sz="0" w:space="0" w:color="auto"/>
      </w:divBdr>
    </w:div>
    <w:div w:id="2144958803">
      <w:bodyDiv w:val="1"/>
      <w:marLeft w:val="0"/>
      <w:marRight w:val="0"/>
      <w:marTop w:val="0"/>
      <w:marBottom w:val="0"/>
      <w:divBdr>
        <w:top w:val="none" w:sz="0" w:space="0" w:color="auto"/>
        <w:left w:val="none" w:sz="0" w:space="0" w:color="auto"/>
        <w:bottom w:val="none" w:sz="0" w:space="0" w:color="auto"/>
        <w:right w:val="none" w:sz="0" w:space="0" w:color="auto"/>
      </w:divBdr>
    </w:div>
    <w:div w:id="214696803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85.png"/><Relationship Id="rId21" Type="http://schemas.openxmlformats.org/officeDocument/2006/relationships/footer" Target="footer2.xml"/><Relationship Id="rId42" Type="http://schemas.openxmlformats.org/officeDocument/2006/relationships/image" Target="media/image21.png"/><Relationship Id="rId63" Type="http://schemas.openxmlformats.org/officeDocument/2006/relationships/image" Target="media/image41.jpeg"/><Relationship Id="rId84" Type="http://schemas.openxmlformats.org/officeDocument/2006/relationships/hyperlink" Target="https://www.alcaldiabogota.gov.co/sisjur/normas/Norma1.jsp?dt=S&amp;i=82830" TargetMode="External"/><Relationship Id="rId138" Type="http://schemas.openxmlformats.org/officeDocument/2006/relationships/chart" Target="charts/chart4.xml"/><Relationship Id="rId159" Type="http://schemas.openxmlformats.org/officeDocument/2006/relationships/image" Target="media/image123.png"/><Relationship Id="rId170" Type="http://schemas.openxmlformats.org/officeDocument/2006/relationships/image" Target="media/image134.png"/><Relationship Id="rId191" Type="http://schemas.openxmlformats.org/officeDocument/2006/relationships/image" Target="media/image155.png"/><Relationship Id="rId205" Type="http://schemas.openxmlformats.org/officeDocument/2006/relationships/image" Target="media/image169.jpeg"/><Relationship Id="rId226" Type="http://schemas.openxmlformats.org/officeDocument/2006/relationships/image" Target="media/image189.png"/><Relationship Id="rId107" Type="http://schemas.openxmlformats.org/officeDocument/2006/relationships/image" Target="media/image75.png"/><Relationship Id="rId11" Type="http://schemas.openxmlformats.org/officeDocument/2006/relationships/endnotes" Target="endnotes.xml"/><Relationship Id="rId32" Type="http://schemas.openxmlformats.org/officeDocument/2006/relationships/image" Target="media/image16.jpeg"/><Relationship Id="rId53" Type="http://schemas.openxmlformats.org/officeDocument/2006/relationships/image" Target="media/image31.jpeg"/><Relationship Id="rId74" Type="http://schemas.openxmlformats.org/officeDocument/2006/relationships/image" Target="media/image52.png"/><Relationship Id="rId128" Type="http://schemas.openxmlformats.org/officeDocument/2006/relationships/image" Target="media/image93.jpeg"/><Relationship Id="rId149" Type="http://schemas.openxmlformats.org/officeDocument/2006/relationships/image" Target="media/image113.png"/><Relationship Id="rId5" Type="http://schemas.openxmlformats.org/officeDocument/2006/relationships/customXml" Target="../customXml/item5.xml"/><Relationship Id="rId95" Type="http://schemas.openxmlformats.org/officeDocument/2006/relationships/diagramLayout" Target="diagrams/layout2.xml"/><Relationship Id="rId160" Type="http://schemas.openxmlformats.org/officeDocument/2006/relationships/image" Target="media/image124.png"/><Relationship Id="rId181" Type="http://schemas.openxmlformats.org/officeDocument/2006/relationships/image" Target="media/image145.png"/><Relationship Id="rId216" Type="http://schemas.openxmlformats.org/officeDocument/2006/relationships/image" Target="media/image179.jpeg"/><Relationship Id="rId22" Type="http://schemas.openxmlformats.org/officeDocument/2006/relationships/header" Target="header3.xml"/><Relationship Id="rId43" Type="http://schemas.openxmlformats.org/officeDocument/2006/relationships/image" Target="media/image22.png"/><Relationship Id="rId64" Type="http://schemas.openxmlformats.org/officeDocument/2006/relationships/image" Target="media/image42.png"/><Relationship Id="rId118" Type="http://schemas.openxmlformats.org/officeDocument/2006/relationships/image" Target="media/image86.png"/><Relationship Id="rId139" Type="http://schemas.openxmlformats.org/officeDocument/2006/relationships/image" Target="media/image103.png"/><Relationship Id="rId85" Type="http://schemas.openxmlformats.org/officeDocument/2006/relationships/hyperlink" Target="https://www.alcaldiabogota.gov.co/sisjur/normas/Norma1.jsp?dt=S&amp;i=9202" TargetMode="External"/><Relationship Id="rId150" Type="http://schemas.openxmlformats.org/officeDocument/2006/relationships/image" Target="media/image114.png"/><Relationship Id="rId171" Type="http://schemas.openxmlformats.org/officeDocument/2006/relationships/image" Target="media/image135.png"/><Relationship Id="rId192" Type="http://schemas.openxmlformats.org/officeDocument/2006/relationships/image" Target="media/image156.jpeg"/><Relationship Id="rId206" Type="http://schemas.openxmlformats.org/officeDocument/2006/relationships/image" Target="media/image170.jpeg"/><Relationship Id="rId227" Type="http://schemas.openxmlformats.org/officeDocument/2006/relationships/image" Target="media/image190.png"/><Relationship Id="rId12" Type="http://schemas.openxmlformats.org/officeDocument/2006/relationships/image" Target="media/image1.jpeg"/><Relationship Id="rId33" Type="http://schemas.openxmlformats.org/officeDocument/2006/relationships/image" Target="media/image17.jpeg"/><Relationship Id="rId108" Type="http://schemas.openxmlformats.org/officeDocument/2006/relationships/image" Target="media/image76.png"/><Relationship Id="rId129" Type="http://schemas.openxmlformats.org/officeDocument/2006/relationships/image" Target="media/image94.jpeg"/><Relationship Id="rId54" Type="http://schemas.openxmlformats.org/officeDocument/2006/relationships/image" Target="media/image32.jpeg"/><Relationship Id="rId75" Type="http://schemas.openxmlformats.org/officeDocument/2006/relationships/image" Target="media/image53.png"/><Relationship Id="rId96" Type="http://schemas.openxmlformats.org/officeDocument/2006/relationships/diagramQuickStyle" Target="diagrams/quickStyle2.xml"/><Relationship Id="rId140" Type="http://schemas.openxmlformats.org/officeDocument/2006/relationships/image" Target="media/image104.png"/><Relationship Id="rId161" Type="http://schemas.openxmlformats.org/officeDocument/2006/relationships/image" Target="media/image125.png"/><Relationship Id="rId182" Type="http://schemas.openxmlformats.org/officeDocument/2006/relationships/image" Target="media/image146.png"/><Relationship Id="rId217" Type="http://schemas.openxmlformats.org/officeDocument/2006/relationships/image" Target="media/image180.jpeg"/><Relationship Id="rId6" Type="http://schemas.openxmlformats.org/officeDocument/2006/relationships/numbering" Target="numbering.xml"/><Relationship Id="rId23" Type="http://schemas.openxmlformats.org/officeDocument/2006/relationships/footer" Target="footer3.xml"/><Relationship Id="rId119" Type="http://schemas.openxmlformats.org/officeDocument/2006/relationships/image" Target="media/image87.jpeg"/><Relationship Id="rId44" Type="http://schemas.openxmlformats.org/officeDocument/2006/relationships/hyperlink" Target="https://www.minambiente.gov.co/wp-content/uploads/2025/06/20250616_CARTILLA-6_DETERMINANTES-AMBIENTALES-2024.pdf" TargetMode="External"/><Relationship Id="rId65" Type="http://schemas.openxmlformats.org/officeDocument/2006/relationships/image" Target="media/image43.png"/><Relationship Id="rId86" Type="http://schemas.openxmlformats.org/officeDocument/2006/relationships/hyperlink" Target="https://www.alcaldiabogota.gov.co/sisjur/normas/Norma1.jsp?dt=S&amp;i=297" TargetMode="External"/><Relationship Id="rId130" Type="http://schemas.openxmlformats.org/officeDocument/2006/relationships/image" Target="media/image95.jpeg"/><Relationship Id="rId151" Type="http://schemas.openxmlformats.org/officeDocument/2006/relationships/image" Target="media/image115.png"/><Relationship Id="rId172" Type="http://schemas.openxmlformats.org/officeDocument/2006/relationships/image" Target="media/image136.png"/><Relationship Id="rId193" Type="http://schemas.openxmlformats.org/officeDocument/2006/relationships/image" Target="media/image157.jpeg"/><Relationship Id="rId207" Type="http://schemas.openxmlformats.org/officeDocument/2006/relationships/image" Target="media/image171.jpeg"/><Relationship Id="rId228" Type="http://schemas.openxmlformats.org/officeDocument/2006/relationships/image" Target="media/image191.png"/><Relationship Id="rId13" Type="http://schemas.openxmlformats.org/officeDocument/2006/relationships/image" Target="media/image2.png"/><Relationship Id="rId109" Type="http://schemas.openxmlformats.org/officeDocument/2006/relationships/image" Target="media/image77.png"/><Relationship Id="rId34" Type="http://schemas.openxmlformats.org/officeDocument/2006/relationships/diagramData" Target="diagrams/data1.xml"/><Relationship Id="rId55" Type="http://schemas.openxmlformats.org/officeDocument/2006/relationships/image" Target="media/image33.png"/><Relationship Id="rId76" Type="http://schemas.openxmlformats.org/officeDocument/2006/relationships/image" Target="media/image54.png"/><Relationship Id="rId97" Type="http://schemas.openxmlformats.org/officeDocument/2006/relationships/diagramColors" Target="diagrams/colors2.xml"/><Relationship Id="rId120" Type="http://schemas.openxmlformats.org/officeDocument/2006/relationships/image" Target="media/image88.png"/><Relationship Id="rId141" Type="http://schemas.openxmlformats.org/officeDocument/2006/relationships/image" Target="media/image105.png"/><Relationship Id="rId7" Type="http://schemas.openxmlformats.org/officeDocument/2006/relationships/styles" Target="styles.xml"/><Relationship Id="rId162" Type="http://schemas.openxmlformats.org/officeDocument/2006/relationships/image" Target="media/image126.jpeg"/><Relationship Id="rId183" Type="http://schemas.openxmlformats.org/officeDocument/2006/relationships/image" Target="media/image147.jpeg"/><Relationship Id="rId218" Type="http://schemas.openxmlformats.org/officeDocument/2006/relationships/image" Target="media/image181.jpeg"/><Relationship Id="rId24" Type="http://schemas.openxmlformats.org/officeDocument/2006/relationships/image" Target="media/image8.png"/><Relationship Id="rId45" Type="http://schemas.openxmlformats.org/officeDocument/2006/relationships/image" Target="media/image23.png"/><Relationship Id="rId66" Type="http://schemas.openxmlformats.org/officeDocument/2006/relationships/image" Target="media/image44.jpeg"/><Relationship Id="rId87" Type="http://schemas.openxmlformats.org/officeDocument/2006/relationships/image" Target="media/image60.png"/><Relationship Id="rId110" Type="http://schemas.openxmlformats.org/officeDocument/2006/relationships/image" Target="media/image78.png"/><Relationship Id="rId131" Type="http://schemas.openxmlformats.org/officeDocument/2006/relationships/image" Target="media/image96.jpeg"/><Relationship Id="rId152" Type="http://schemas.openxmlformats.org/officeDocument/2006/relationships/image" Target="media/image116.png"/><Relationship Id="rId173" Type="http://schemas.openxmlformats.org/officeDocument/2006/relationships/image" Target="media/image137.png"/><Relationship Id="rId194" Type="http://schemas.openxmlformats.org/officeDocument/2006/relationships/image" Target="media/image158.jpeg"/><Relationship Id="rId208" Type="http://schemas.openxmlformats.org/officeDocument/2006/relationships/image" Target="media/image172.jpeg"/><Relationship Id="rId229" Type="http://schemas.openxmlformats.org/officeDocument/2006/relationships/image" Target="media/image192.jpeg"/><Relationship Id="rId14" Type="http://schemas.openxmlformats.org/officeDocument/2006/relationships/image" Target="media/image3.png"/><Relationship Id="rId35" Type="http://schemas.openxmlformats.org/officeDocument/2006/relationships/diagramLayout" Target="diagrams/layout1.xml"/><Relationship Id="rId56" Type="http://schemas.openxmlformats.org/officeDocument/2006/relationships/image" Target="media/image34.png"/><Relationship Id="rId77" Type="http://schemas.openxmlformats.org/officeDocument/2006/relationships/image" Target="media/image55.png"/><Relationship Id="rId100" Type="http://schemas.openxmlformats.org/officeDocument/2006/relationships/image" Target="media/image68.jpeg"/><Relationship Id="rId8" Type="http://schemas.openxmlformats.org/officeDocument/2006/relationships/settings" Target="settings.xml"/><Relationship Id="rId98" Type="http://schemas.microsoft.com/office/2007/relationships/diagramDrawing" Target="diagrams/drawing2.xml"/><Relationship Id="rId121" Type="http://schemas.openxmlformats.org/officeDocument/2006/relationships/chart" Target="charts/chart1.xml"/><Relationship Id="rId142" Type="http://schemas.openxmlformats.org/officeDocument/2006/relationships/image" Target="media/image106.png"/><Relationship Id="rId163" Type="http://schemas.openxmlformats.org/officeDocument/2006/relationships/image" Target="media/image127.png"/><Relationship Id="rId184" Type="http://schemas.openxmlformats.org/officeDocument/2006/relationships/image" Target="media/image148.png"/><Relationship Id="rId219" Type="http://schemas.openxmlformats.org/officeDocument/2006/relationships/image" Target="media/image182.jpeg"/><Relationship Id="rId230" Type="http://schemas.openxmlformats.org/officeDocument/2006/relationships/image" Target="media/image193.png"/><Relationship Id="rId25" Type="http://schemas.openxmlformats.org/officeDocument/2006/relationships/image" Target="media/image9.jpeg"/><Relationship Id="rId46" Type="http://schemas.openxmlformats.org/officeDocument/2006/relationships/image" Target="media/image24.jpeg"/><Relationship Id="rId67" Type="http://schemas.openxmlformats.org/officeDocument/2006/relationships/image" Target="media/image45.png"/><Relationship Id="rId20" Type="http://schemas.openxmlformats.org/officeDocument/2006/relationships/footer" Target="footer1.xml"/><Relationship Id="rId41" Type="http://schemas.openxmlformats.org/officeDocument/2006/relationships/image" Target="media/image20.png"/><Relationship Id="rId62" Type="http://schemas.openxmlformats.org/officeDocument/2006/relationships/image" Target="media/image40.jpeg"/><Relationship Id="rId83" Type="http://schemas.openxmlformats.org/officeDocument/2006/relationships/hyperlink" Target="https://alphasig.metropol.gov.co/normograma/compilacion/docs/decreto_2811_1974.htm" TargetMode="External"/><Relationship Id="rId88" Type="http://schemas.openxmlformats.org/officeDocument/2006/relationships/image" Target="media/image61.png"/><Relationship Id="rId111" Type="http://schemas.openxmlformats.org/officeDocument/2006/relationships/image" Target="media/image79.jpeg"/><Relationship Id="rId132" Type="http://schemas.openxmlformats.org/officeDocument/2006/relationships/image" Target="media/image97.jpeg"/><Relationship Id="rId153" Type="http://schemas.openxmlformats.org/officeDocument/2006/relationships/image" Target="media/image117.png"/><Relationship Id="rId174" Type="http://schemas.openxmlformats.org/officeDocument/2006/relationships/image" Target="media/image138.png"/><Relationship Id="rId179" Type="http://schemas.openxmlformats.org/officeDocument/2006/relationships/image" Target="media/image143.png"/><Relationship Id="rId195" Type="http://schemas.openxmlformats.org/officeDocument/2006/relationships/image" Target="media/image159.jpeg"/><Relationship Id="rId209" Type="http://schemas.openxmlformats.org/officeDocument/2006/relationships/image" Target="media/image173.jpeg"/><Relationship Id="rId190" Type="http://schemas.openxmlformats.org/officeDocument/2006/relationships/image" Target="media/image154.png"/><Relationship Id="rId204" Type="http://schemas.openxmlformats.org/officeDocument/2006/relationships/image" Target="media/image168.jpeg"/><Relationship Id="rId220" Type="http://schemas.openxmlformats.org/officeDocument/2006/relationships/image" Target="media/image183.png"/><Relationship Id="rId225" Type="http://schemas.openxmlformats.org/officeDocument/2006/relationships/image" Target="media/image188.jpeg"/><Relationship Id="rId15" Type="http://schemas.openxmlformats.org/officeDocument/2006/relationships/image" Target="media/image4.png"/><Relationship Id="rId36" Type="http://schemas.openxmlformats.org/officeDocument/2006/relationships/diagramQuickStyle" Target="diagrams/quickStyle1.xml"/><Relationship Id="rId57" Type="http://schemas.openxmlformats.org/officeDocument/2006/relationships/image" Target="media/image35.png"/><Relationship Id="rId106" Type="http://schemas.openxmlformats.org/officeDocument/2006/relationships/image" Target="media/image74.png"/><Relationship Id="rId127" Type="http://schemas.openxmlformats.org/officeDocument/2006/relationships/image" Target="media/image92.jpeg"/><Relationship Id="rId10" Type="http://schemas.openxmlformats.org/officeDocument/2006/relationships/footnotes" Target="footnotes.xml"/><Relationship Id="rId31" Type="http://schemas.openxmlformats.org/officeDocument/2006/relationships/image" Target="media/image15.jpeg"/><Relationship Id="rId52" Type="http://schemas.openxmlformats.org/officeDocument/2006/relationships/image" Target="media/image30.jpeg"/><Relationship Id="rId73" Type="http://schemas.openxmlformats.org/officeDocument/2006/relationships/image" Target="media/image51.png"/><Relationship Id="rId78" Type="http://schemas.openxmlformats.org/officeDocument/2006/relationships/image" Target="media/image56.png"/><Relationship Id="rId94" Type="http://schemas.openxmlformats.org/officeDocument/2006/relationships/diagramData" Target="diagrams/data2.xml"/><Relationship Id="rId99" Type="http://schemas.openxmlformats.org/officeDocument/2006/relationships/image" Target="media/image67.jpeg"/><Relationship Id="rId101" Type="http://schemas.openxmlformats.org/officeDocument/2006/relationships/image" Target="media/image69.jpeg"/><Relationship Id="rId122" Type="http://schemas.openxmlformats.org/officeDocument/2006/relationships/image" Target="media/image89.png"/><Relationship Id="rId143" Type="http://schemas.openxmlformats.org/officeDocument/2006/relationships/image" Target="media/image107.png"/><Relationship Id="rId148" Type="http://schemas.openxmlformats.org/officeDocument/2006/relationships/image" Target="media/image112.png"/><Relationship Id="rId164" Type="http://schemas.openxmlformats.org/officeDocument/2006/relationships/image" Target="media/image128.png"/><Relationship Id="rId169" Type="http://schemas.openxmlformats.org/officeDocument/2006/relationships/image" Target="media/image133.png"/><Relationship Id="rId185" Type="http://schemas.openxmlformats.org/officeDocument/2006/relationships/image" Target="media/image149.png"/><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144.png"/><Relationship Id="rId210" Type="http://schemas.openxmlformats.org/officeDocument/2006/relationships/image" Target="media/image174.png"/><Relationship Id="rId215" Type="http://schemas.openxmlformats.org/officeDocument/2006/relationships/image" Target="media/image178.jpeg"/><Relationship Id="rId26" Type="http://schemas.openxmlformats.org/officeDocument/2006/relationships/image" Target="media/image10.jpeg"/><Relationship Id="rId231" Type="http://schemas.openxmlformats.org/officeDocument/2006/relationships/image" Target="media/image194.png"/><Relationship Id="rId47" Type="http://schemas.openxmlformats.org/officeDocument/2006/relationships/image" Target="media/image25.png"/><Relationship Id="rId68" Type="http://schemas.openxmlformats.org/officeDocument/2006/relationships/image" Target="media/image46.png"/><Relationship Id="rId89" Type="http://schemas.openxmlformats.org/officeDocument/2006/relationships/image" Target="media/image62.png"/><Relationship Id="rId112" Type="http://schemas.openxmlformats.org/officeDocument/2006/relationships/image" Target="media/image80.jpeg"/><Relationship Id="rId133" Type="http://schemas.openxmlformats.org/officeDocument/2006/relationships/image" Target="media/image98.jpeg"/><Relationship Id="rId154" Type="http://schemas.openxmlformats.org/officeDocument/2006/relationships/image" Target="media/image118.jpeg"/><Relationship Id="rId175" Type="http://schemas.openxmlformats.org/officeDocument/2006/relationships/image" Target="media/image139.png"/><Relationship Id="rId196" Type="http://schemas.openxmlformats.org/officeDocument/2006/relationships/image" Target="media/image160.jpeg"/><Relationship Id="rId200" Type="http://schemas.openxmlformats.org/officeDocument/2006/relationships/image" Target="media/image164.jpeg"/><Relationship Id="rId16" Type="http://schemas.openxmlformats.org/officeDocument/2006/relationships/image" Target="media/image5.png"/><Relationship Id="rId221" Type="http://schemas.openxmlformats.org/officeDocument/2006/relationships/image" Target="media/image184.png"/><Relationship Id="rId37" Type="http://schemas.openxmlformats.org/officeDocument/2006/relationships/diagramColors" Target="diagrams/colors1.xml"/><Relationship Id="rId58" Type="http://schemas.openxmlformats.org/officeDocument/2006/relationships/image" Target="media/image36.jpeg"/><Relationship Id="rId79" Type="http://schemas.openxmlformats.org/officeDocument/2006/relationships/image" Target="media/image57.png"/><Relationship Id="rId102" Type="http://schemas.openxmlformats.org/officeDocument/2006/relationships/image" Target="media/image70.jpeg"/><Relationship Id="rId123" Type="http://schemas.openxmlformats.org/officeDocument/2006/relationships/image" Target="media/image90.png"/><Relationship Id="rId144" Type="http://schemas.openxmlformats.org/officeDocument/2006/relationships/image" Target="media/image108.png"/><Relationship Id="rId90" Type="http://schemas.openxmlformats.org/officeDocument/2006/relationships/image" Target="media/image63.png"/><Relationship Id="rId165" Type="http://schemas.openxmlformats.org/officeDocument/2006/relationships/image" Target="media/image129.png"/><Relationship Id="rId186" Type="http://schemas.openxmlformats.org/officeDocument/2006/relationships/image" Target="media/image150.png"/><Relationship Id="rId211" Type="http://schemas.openxmlformats.org/officeDocument/2006/relationships/image" Target="media/image175.png"/><Relationship Id="rId232" Type="http://schemas.openxmlformats.org/officeDocument/2006/relationships/fontTable" Target="fontTable.xml"/><Relationship Id="rId27" Type="http://schemas.openxmlformats.org/officeDocument/2006/relationships/image" Target="media/image11.jpeg"/><Relationship Id="rId48" Type="http://schemas.openxmlformats.org/officeDocument/2006/relationships/image" Target="media/image26.png"/><Relationship Id="rId69" Type="http://schemas.openxmlformats.org/officeDocument/2006/relationships/image" Target="media/image47.jpeg"/><Relationship Id="rId113" Type="http://schemas.openxmlformats.org/officeDocument/2006/relationships/image" Target="media/image81.jpeg"/><Relationship Id="rId134" Type="http://schemas.openxmlformats.org/officeDocument/2006/relationships/image" Target="media/image99.jpeg"/><Relationship Id="rId80" Type="http://schemas.openxmlformats.org/officeDocument/2006/relationships/image" Target="media/image58.png"/><Relationship Id="rId155" Type="http://schemas.openxmlformats.org/officeDocument/2006/relationships/image" Target="media/image119.png"/><Relationship Id="rId176" Type="http://schemas.openxmlformats.org/officeDocument/2006/relationships/image" Target="media/image140.png"/><Relationship Id="rId197" Type="http://schemas.openxmlformats.org/officeDocument/2006/relationships/image" Target="media/image161.png"/><Relationship Id="rId201" Type="http://schemas.openxmlformats.org/officeDocument/2006/relationships/image" Target="media/image165.jpeg"/><Relationship Id="rId222" Type="http://schemas.openxmlformats.org/officeDocument/2006/relationships/image" Target="media/image185.jpeg"/><Relationship Id="rId17" Type="http://schemas.openxmlformats.org/officeDocument/2006/relationships/image" Target="media/image6.png"/><Relationship Id="rId38" Type="http://schemas.microsoft.com/office/2007/relationships/diagramDrawing" Target="diagrams/drawing1.xml"/><Relationship Id="rId59" Type="http://schemas.openxmlformats.org/officeDocument/2006/relationships/image" Target="media/image37.jpeg"/><Relationship Id="rId103" Type="http://schemas.openxmlformats.org/officeDocument/2006/relationships/image" Target="media/image71.jpeg"/><Relationship Id="rId124" Type="http://schemas.openxmlformats.org/officeDocument/2006/relationships/chart" Target="charts/chart2.xml"/><Relationship Id="rId70" Type="http://schemas.openxmlformats.org/officeDocument/2006/relationships/image" Target="media/image48.png"/><Relationship Id="rId91" Type="http://schemas.openxmlformats.org/officeDocument/2006/relationships/image" Target="media/image64.png"/><Relationship Id="rId145" Type="http://schemas.openxmlformats.org/officeDocument/2006/relationships/image" Target="media/image109.png"/><Relationship Id="rId166" Type="http://schemas.openxmlformats.org/officeDocument/2006/relationships/image" Target="media/image130.jpeg"/><Relationship Id="rId187" Type="http://schemas.openxmlformats.org/officeDocument/2006/relationships/image" Target="media/image151.png"/><Relationship Id="rId1" Type="http://schemas.openxmlformats.org/officeDocument/2006/relationships/customXml" Target="../customXml/item1.xml"/><Relationship Id="rId212" Type="http://schemas.openxmlformats.org/officeDocument/2006/relationships/hyperlink" Target="https://www.minambiente.gov.co/gestion-integral-del-recurso-hidrico/agua-lluvia/" TargetMode="External"/><Relationship Id="rId233" Type="http://schemas.openxmlformats.org/officeDocument/2006/relationships/glossaryDocument" Target="glossary/document.xml"/><Relationship Id="rId28" Type="http://schemas.openxmlformats.org/officeDocument/2006/relationships/image" Target="media/image12.jpeg"/><Relationship Id="rId49" Type="http://schemas.openxmlformats.org/officeDocument/2006/relationships/image" Target="media/image27.png"/><Relationship Id="rId114" Type="http://schemas.openxmlformats.org/officeDocument/2006/relationships/image" Target="media/image82.png"/><Relationship Id="rId60" Type="http://schemas.openxmlformats.org/officeDocument/2006/relationships/image" Target="media/image38.jpeg"/><Relationship Id="rId81" Type="http://schemas.openxmlformats.org/officeDocument/2006/relationships/image" Target="media/image59.png"/><Relationship Id="rId135" Type="http://schemas.openxmlformats.org/officeDocument/2006/relationships/image" Target="media/image100.jpeg"/><Relationship Id="rId156" Type="http://schemas.openxmlformats.org/officeDocument/2006/relationships/image" Target="media/image120.png"/><Relationship Id="rId177" Type="http://schemas.openxmlformats.org/officeDocument/2006/relationships/image" Target="media/image141.png"/><Relationship Id="rId198" Type="http://schemas.openxmlformats.org/officeDocument/2006/relationships/image" Target="media/image162.png"/><Relationship Id="rId202" Type="http://schemas.openxmlformats.org/officeDocument/2006/relationships/image" Target="media/image166.jpeg"/><Relationship Id="rId223" Type="http://schemas.openxmlformats.org/officeDocument/2006/relationships/image" Target="media/image186.jpeg"/><Relationship Id="rId18" Type="http://schemas.openxmlformats.org/officeDocument/2006/relationships/header" Target="header1.xml"/><Relationship Id="rId39" Type="http://schemas.openxmlformats.org/officeDocument/2006/relationships/image" Target="media/image18.png"/><Relationship Id="rId50" Type="http://schemas.openxmlformats.org/officeDocument/2006/relationships/image" Target="media/image28.jpeg"/><Relationship Id="rId104" Type="http://schemas.openxmlformats.org/officeDocument/2006/relationships/image" Target="media/image72.jpeg"/><Relationship Id="rId125" Type="http://schemas.openxmlformats.org/officeDocument/2006/relationships/chart" Target="charts/chart3.xml"/><Relationship Id="rId146" Type="http://schemas.openxmlformats.org/officeDocument/2006/relationships/image" Target="media/image110.png"/><Relationship Id="rId167" Type="http://schemas.openxmlformats.org/officeDocument/2006/relationships/image" Target="media/image131.png"/><Relationship Id="rId188" Type="http://schemas.openxmlformats.org/officeDocument/2006/relationships/image" Target="media/image152.png"/><Relationship Id="rId71" Type="http://schemas.openxmlformats.org/officeDocument/2006/relationships/image" Target="media/image49.jpeg"/><Relationship Id="rId92" Type="http://schemas.openxmlformats.org/officeDocument/2006/relationships/image" Target="media/image65.png"/><Relationship Id="rId213" Type="http://schemas.openxmlformats.org/officeDocument/2006/relationships/image" Target="media/image176.jpeg"/><Relationship Id="rId234"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13.jpeg"/><Relationship Id="rId40" Type="http://schemas.openxmlformats.org/officeDocument/2006/relationships/image" Target="media/image19.png"/><Relationship Id="rId115" Type="http://schemas.openxmlformats.org/officeDocument/2006/relationships/image" Target="media/image83.png"/><Relationship Id="rId136" Type="http://schemas.openxmlformats.org/officeDocument/2006/relationships/image" Target="media/image101.png"/><Relationship Id="rId157" Type="http://schemas.openxmlformats.org/officeDocument/2006/relationships/image" Target="media/image121.png"/><Relationship Id="rId178" Type="http://schemas.openxmlformats.org/officeDocument/2006/relationships/image" Target="media/image142.png"/><Relationship Id="rId61" Type="http://schemas.openxmlformats.org/officeDocument/2006/relationships/image" Target="media/image39.jpeg"/><Relationship Id="rId82" Type="http://schemas.openxmlformats.org/officeDocument/2006/relationships/hyperlink" Target="https://alphasig.metropol.gov.co/normograma/compilacion/docs/decreto_2811_1974.htm" TargetMode="External"/><Relationship Id="rId199" Type="http://schemas.openxmlformats.org/officeDocument/2006/relationships/image" Target="media/image163.png"/><Relationship Id="rId203" Type="http://schemas.openxmlformats.org/officeDocument/2006/relationships/image" Target="media/image167.jpeg"/><Relationship Id="rId19" Type="http://schemas.openxmlformats.org/officeDocument/2006/relationships/header" Target="header2.xml"/><Relationship Id="rId224" Type="http://schemas.openxmlformats.org/officeDocument/2006/relationships/image" Target="media/image187.png"/><Relationship Id="rId30" Type="http://schemas.openxmlformats.org/officeDocument/2006/relationships/image" Target="media/image14.jpeg"/><Relationship Id="rId105" Type="http://schemas.openxmlformats.org/officeDocument/2006/relationships/image" Target="media/image73.jpeg"/><Relationship Id="rId126" Type="http://schemas.openxmlformats.org/officeDocument/2006/relationships/image" Target="media/image91.jpeg"/><Relationship Id="rId147" Type="http://schemas.openxmlformats.org/officeDocument/2006/relationships/image" Target="media/image111.png"/><Relationship Id="rId168" Type="http://schemas.openxmlformats.org/officeDocument/2006/relationships/image" Target="media/image132.png"/><Relationship Id="rId51" Type="http://schemas.openxmlformats.org/officeDocument/2006/relationships/image" Target="media/image29.jpeg"/><Relationship Id="rId72" Type="http://schemas.openxmlformats.org/officeDocument/2006/relationships/image" Target="media/image50.png"/><Relationship Id="rId93" Type="http://schemas.openxmlformats.org/officeDocument/2006/relationships/image" Target="media/image66.png"/><Relationship Id="rId189" Type="http://schemas.openxmlformats.org/officeDocument/2006/relationships/image" Target="media/image153.png"/><Relationship Id="rId3" Type="http://schemas.openxmlformats.org/officeDocument/2006/relationships/customXml" Target="../customXml/item3.xml"/><Relationship Id="rId214" Type="http://schemas.openxmlformats.org/officeDocument/2006/relationships/image" Target="media/image177.jpeg"/><Relationship Id="rId235" Type="http://schemas.microsoft.com/office/2019/05/relationships/documenttasks" Target="documenttasks/documenttasks1.xml"/><Relationship Id="rId116" Type="http://schemas.openxmlformats.org/officeDocument/2006/relationships/image" Target="media/image84.png"/><Relationship Id="rId137" Type="http://schemas.openxmlformats.org/officeDocument/2006/relationships/image" Target="media/image102.png"/><Relationship Id="rId158" Type="http://schemas.openxmlformats.org/officeDocument/2006/relationships/image" Target="media/image122.png"/></Relationships>
</file>

<file path=word/_rels/fontTable.xml.rels><?xml version="1.0" encoding="UTF-8" standalone="yes"?>
<Relationships xmlns="http://schemas.openxmlformats.org/package/2006/relationships"><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34" Type="http://schemas.openxmlformats.org/officeDocument/2006/relationships/font" Target="fonts/font34.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33" Type="http://schemas.openxmlformats.org/officeDocument/2006/relationships/font" Target="fonts/font33.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32" Type="http://schemas.openxmlformats.org/officeDocument/2006/relationships/font" Target="fonts/font32.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36" Type="http://schemas.openxmlformats.org/officeDocument/2006/relationships/font" Target="fonts/font36.odttf"/><Relationship Id="rId10" Type="http://schemas.openxmlformats.org/officeDocument/2006/relationships/font" Target="fonts/font10.odttf"/><Relationship Id="rId19" Type="http://schemas.openxmlformats.org/officeDocument/2006/relationships/font" Target="fonts/font19.odttf"/><Relationship Id="rId31" Type="http://schemas.openxmlformats.org/officeDocument/2006/relationships/font" Target="fonts/font31.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 Id="rId35" Type="http://schemas.openxmlformats.org/officeDocument/2006/relationships/font" Target="fonts/font35.odttf"/><Relationship Id="rId8" Type="http://schemas.openxmlformats.org/officeDocument/2006/relationships/font" Target="fonts/font8.odttf"/></Relationships>
</file>

<file path=word/_rels/footnotes.xml.rels><?xml version="1.0" encoding="UTF-8" standalone="yes"?>
<Relationships xmlns="http://schemas.openxmlformats.org/package/2006/relationships"><Relationship Id="rId3" Type="http://schemas.openxmlformats.org/officeDocument/2006/relationships/hyperlink" Target="https://economiacircular.minambiente.gov.co/wp-content/uploads/2022/06/Politica-para-la-gestion-sostenible-del-suelo-minambiente.pdf" TargetMode="External"/><Relationship Id="rId2" Type="http://schemas.openxmlformats.org/officeDocument/2006/relationships/hyperlink" Target="https://geo.anm.gov.co/webgis/services/ANM/ServiciosANM/MapServer/WFSServer?" TargetMode="External"/><Relationship Id="rId1" Type="http://schemas.openxmlformats.org/officeDocument/2006/relationships/hyperlink" Target="https://geo.anm.gov.co/webgis/services/ANM/ServiciosANM/MapServer/WMSServer?"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heinn\Documents\MINA\Notas%20Normatividad\Metodologia%20Alcaldes%20Sabana\MyProject\Mancha%20Urbana\Area_Construida_MunicipiosHas.xls"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heinn\Documents\MINA\Notas%20Normatividad\Metodologia%20Alcaldes%20Sabana\MyProject\Mancha%20Urbana\Area_Construida_MunicipiosHas.xls"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heinn\Documents\MINA\Notas%20Normatividad\Metodologia%20Alcaldes%20Sabana\MyProject\Mancha%20Urbana\Area_Construida_MunicipiosHas.xls"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heinn\Documents\MINA\SUBURBANO%20CAR\Analisis%20Poblacion%20DANE%202042.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79032032760609"/>
          <c:y val="4.6320058157357694E-2"/>
          <c:w val="0.83716226648139569"/>
          <c:h val="0.76520835340521254"/>
        </c:manualLayout>
      </c:layout>
      <c:scatterChart>
        <c:scatterStyle val="lineMarker"/>
        <c:varyColors val="0"/>
        <c:ser>
          <c:idx val="0"/>
          <c:order val="0"/>
          <c:tx>
            <c:strRef>
              <c:f>Graficos!$J$1</c:f>
              <c:strCache>
                <c:ptCount val="1"/>
                <c:pt idx="0">
                  <c:v>Tasa de Incremento Anual</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xVal>
            <c:numRef>
              <c:f>Graficos!$G$2:$G$13</c:f>
              <c:numCache>
                <c:formatCode>0</c:formatCode>
                <c:ptCount val="12"/>
                <c:pt idx="0">
                  <c:v>1975</c:v>
                </c:pt>
                <c:pt idx="1">
                  <c:v>1980</c:v>
                </c:pt>
                <c:pt idx="2">
                  <c:v>1985</c:v>
                </c:pt>
                <c:pt idx="3">
                  <c:v>1990</c:v>
                </c:pt>
                <c:pt idx="4">
                  <c:v>1995</c:v>
                </c:pt>
                <c:pt idx="5">
                  <c:v>2000</c:v>
                </c:pt>
                <c:pt idx="6">
                  <c:v>2005</c:v>
                </c:pt>
                <c:pt idx="7">
                  <c:v>2010</c:v>
                </c:pt>
                <c:pt idx="8">
                  <c:v>2015</c:v>
                </c:pt>
                <c:pt idx="9">
                  <c:v>2020</c:v>
                </c:pt>
                <c:pt idx="10">
                  <c:v>2025</c:v>
                </c:pt>
                <c:pt idx="11">
                  <c:v>2030</c:v>
                </c:pt>
              </c:numCache>
            </c:numRef>
          </c:xVal>
          <c:yVal>
            <c:numRef>
              <c:f>Graficos!$J$2:$J$13</c:f>
              <c:numCache>
                <c:formatCode>0.00%</c:formatCode>
                <c:ptCount val="12"/>
                <c:pt idx="0" formatCode="General">
                  <c:v>0</c:v>
                </c:pt>
                <c:pt idx="1">
                  <c:v>4.6012033869545443E-2</c:v>
                </c:pt>
                <c:pt idx="2">
                  <c:v>4.6570599400668877E-2</c:v>
                </c:pt>
                <c:pt idx="3">
                  <c:v>4.6348575411375381E-2</c:v>
                </c:pt>
                <c:pt idx="4">
                  <c:v>5.3701042870500815E-2</c:v>
                </c:pt>
                <c:pt idx="5">
                  <c:v>5.4234518745129745E-2</c:v>
                </c:pt>
                <c:pt idx="6">
                  <c:v>4.3230995233698666E-2</c:v>
                </c:pt>
                <c:pt idx="7">
                  <c:v>4.4222293496476439E-2</c:v>
                </c:pt>
                <c:pt idx="8">
                  <c:v>4.4232417690336034E-2</c:v>
                </c:pt>
                <c:pt idx="9">
                  <c:v>4.6979804518806345E-2</c:v>
                </c:pt>
                <c:pt idx="10">
                  <c:v>9.9247785075819994E-3</c:v>
                </c:pt>
                <c:pt idx="11">
                  <c:v>1.0756147530304072E-2</c:v>
                </c:pt>
              </c:numCache>
            </c:numRef>
          </c:yVal>
          <c:smooth val="0"/>
          <c:extLst>
            <c:ext xmlns:c16="http://schemas.microsoft.com/office/drawing/2014/chart" uri="{C3380CC4-5D6E-409C-BE32-E72D297353CC}">
              <c16:uniqueId val="{00000001-DF13-5742-AF0C-CC627AFD605D}"/>
            </c:ext>
          </c:extLst>
        </c:ser>
        <c:dLbls>
          <c:showLegendKey val="0"/>
          <c:showVal val="0"/>
          <c:showCatName val="0"/>
          <c:showSerName val="0"/>
          <c:showPercent val="0"/>
          <c:showBubbleSize val="0"/>
        </c:dLbls>
        <c:axId val="132532383"/>
        <c:axId val="132519423"/>
      </c:scatterChart>
      <c:valAx>
        <c:axId val="132532383"/>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Año</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32519423"/>
        <c:crosses val="autoZero"/>
        <c:crossBetween val="midCat"/>
      </c:valAx>
      <c:valAx>
        <c:axId val="132519423"/>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Tasa de Incremento Anual</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32532383"/>
        <c:crosses val="autoZero"/>
        <c:crossBetween val="midCat"/>
      </c:valAx>
      <c:spPr>
        <a:noFill/>
        <a:ln>
          <a:noFill/>
        </a:ln>
        <a:effectLst/>
      </c:spPr>
    </c:plotArea>
    <c:legend>
      <c:legendPos val="r"/>
      <c:layout>
        <c:manualLayout>
          <c:xMode val="edge"/>
          <c:yMode val="edge"/>
          <c:x val="6.4879757677349145E-2"/>
          <c:y val="0.91875897048816613"/>
          <c:w val="0.8674264981583184"/>
          <c:h val="7.716335294689470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kern="1200" spc="0" baseline="0">
                <a:solidFill>
                  <a:sysClr val="windowText" lastClr="000000">
                    <a:lumMod val="65000"/>
                    <a:lumOff val="35000"/>
                  </a:sysClr>
                </a:solidFill>
              </a:rPr>
              <a:t>Municipios de </a:t>
            </a:r>
            <a:r>
              <a:rPr lang="es-CO" sz="1400" b="0" i="0" u="none" strike="noStrike" kern="1200" spc="0" baseline="0">
                <a:solidFill>
                  <a:sysClr val="windowText" lastClr="000000">
                    <a:lumMod val="65000"/>
                    <a:lumOff val="35000"/>
                  </a:sysClr>
                </a:solidFill>
                <a:effectLst/>
              </a:rPr>
              <a:t>mayor área construida (km</a:t>
            </a:r>
            <a:r>
              <a:rPr lang="es-CO" sz="1400" b="0" i="0" u="none" strike="noStrike" kern="1200" spc="0" baseline="30000">
                <a:solidFill>
                  <a:sysClr val="windowText" lastClr="000000">
                    <a:lumMod val="65000"/>
                    <a:lumOff val="35000"/>
                  </a:sysClr>
                </a:solidFill>
                <a:effectLst/>
              </a:rPr>
              <a:t>2</a:t>
            </a:r>
            <a:r>
              <a:rPr lang="es-CO" sz="1400" b="0" i="0" u="none" strike="noStrike" kern="1200" spc="0" baseline="0">
                <a:solidFill>
                  <a:sysClr val="windowText" lastClr="000000">
                    <a:lumMod val="65000"/>
                    <a:lumOff val="35000"/>
                  </a:sysClr>
                </a:solidFill>
                <a:effectLst/>
              </a:rPr>
              <a:t>)</a:t>
            </a:r>
            <a:endParaRPr lang="en-US" sz="14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Graficos!$A$85</c:f>
              <c:strCache>
                <c:ptCount val="1"/>
                <c:pt idx="0">
                  <c:v>Soacha</c:v>
                </c:pt>
              </c:strCache>
            </c:strRef>
          </c:tx>
          <c:spPr>
            <a:ln w="28575" cap="rnd">
              <a:solidFill>
                <a:schemeClr val="accent1"/>
              </a:solidFill>
              <a:round/>
            </a:ln>
            <a:effectLst/>
          </c:spPr>
          <c:marker>
            <c:symbol val="none"/>
          </c:marker>
          <c:cat>
            <c:numRef>
              <c:f>Graficos!$B$83:$M$83</c:f>
              <c:numCache>
                <c:formatCode>General</c:formatCode>
                <c:ptCount val="12"/>
                <c:pt idx="0">
                  <c:v>1975</c:v>
                </c:pt>
                <c:pt idx="1">
                  <c:v>1980</c:v>
                </c:pt>
                <c:pt idx="2">
                  <c:v>1985</c:v>
                </c:pt>
                <c:pt idx="3">
                  <c:v>1990</c:v>
                </c:pt>
                <c:pt idx="4">
                  <c:v>1995</c:v>
                </c:pt>
                <c:pt idx="5">
                  <c:v>2000</c:v>
                </c:pt>
                <c:pt idx="6">
                  <c:v>2005</c:v>
                </c:pt>
                <c:pt idx="7">
                  <c:v>2010</c:v>
                </c:pt>
                <c:pt idx="8">
                  <c:v>2015</c:v>
                </c:pt>
                <c:pt idx="9">
                  <c:v>2020</c:v>
                </c:pt>
                <c:pt idx="10">
                  <c:v>2025</c:v>
                </c:pt>
                <c:pt idx="11">
                  <c:v>2030</c:v>
                </c:pt>
              </c:numCache>
            </c:numRef>
          </c:cat>
          <c:val>
            <c:numRef>
              <c:f>Graficos!$B$85:$M$85</c:f>
              <c:numCache>
                <c:formatCode>0.00</c:formatCode>
                <c:ptCount val="12"/>
                <c:pt idx="0">
                  <c:v>6.3127678039215596</c:v>
                </c:pt>
                <c:pt idx="1">
                  <c:v>6.4436540745097997</c:v>
                </c:pt>
                <c:pt idx="2">
                  <c:v>6.5817740235294098</c:v>
                </c:pt>
                <c:pt idx="3">
                  <c:v>6.7240480901960797</c:v>
                </c:pt>
                <c:pt idx="4">
                  <c:v>6.9362255019607799</c:v>
                </c:pt>
                <c:pt idx="5">
                  <c:v>7.1553086823529402</c:v>
                </c:pt>
                <c:pt idx="6">
                  <c:v>7.4748757019607899</c:v>
                </c:pt>
                <c:pt idx="7">
                  <c:v>7.8365432431372604</c:v>
                </c:pt>
                <c:pt idx="8">
                  <c:v>8.30758322745098</c:v>
                </c:pt>
                <c:pt idx="9">
                  <c:v>9.2259801686274496</c:v>
                </c:pt>
                <c:pt idx="10">
                  <c:v>9.3302765411764703</c:v>
                </c:pt>
                <c:pt idx="11">
                  <c:v>9.3961874862745098</c:v>
                </c:pt>
              </c:numCache>
            </c:numRef>
          </c:val>
          <c:smooth val="0"/>
          <c:extLst>
            <c:ext xmlns:c16="http://schemas.microsoft.com/office/drawing/2014/chart" uri="{C3380CC4-5D6E-409C-BE32-E72D297353CC}">
              <c16:uniqueId val="{00000000-C237-6D42-8995-ED4E5CB715F4}"/>
            </c:ext>
          </c:extLst>
        </c:ser>
        <c:ser>
          <c:idx val="1"/>
          <c:order val="1"/>
          <c:tx>
            <c:strRef>
              <c:f>Graficos!$A$86</c:f>
              <c:strCache>
                <c:ptCount val="1"/>
                <c:pt idx="0">
                  <c:v>Madrid</c:v>
                </c:pt>
              </c:strCache>
            </c:strRef>
          </c:tx>
          <c:spPr>
            <a:ln w="28575" cap="rnd">
              <a:solidFill>
                <a:schemeClr val="accent2"/>
              </a:solidFill>
              <a:round/>
            </a:ln>
            <a:effectLst/>
          </c:spPr>
          <c:marker>
            <c:symbol val="none"/>
          </c:marker>
          <c:cat>
            <c:numRef>
              <c:f>Graficos!$B$83:$M$83</c:f>
              <c:numCache>
                <c:formatCode>General</c:formatCode>
                <c:ptCount val="12"/>
                <c:pt idx="0">
                  <c:v>1975</c:v>
                </c:pt>
                <c:pt idx="1">
                  <c:v>1980</c:v>
                </c:pt>
                <c:pt idx="2">
                  <c:v>1985</c:v>
                </c:pt>
                <c:pt idx="3">
                  <c:v>1990</c:v>
                </c:pt>
                <c:pt idx="4">
                  <c:v>1995</c:v>
                </c:pt>
                <c:pt idx="5">
                  <c:v>2000</c:v>
                </c:pt>
                <c:pt idx="6">
                  <c:v>2005</c:v>
                </c:pt>
                <c:pt idx="7">
                  <c:v>2010</c:v>
                </c:pt>
                <c:pt idx="8">
                  <c:v>2015</c:v>
                </c:pt>
                <c:pt idx="9">
                  <c:v>2020</c:v>
                </c:pt>
                <c:pt idx="10">
                  <c:v>2025</c:v>
                </c:pt>
                <c:pt idx="11">
                  <c:v>2030</c:v>
                </c:pt>
              </c:numCache>
            </c:numRef>
          </c:cat>
          <c:val>
            <c:numRef>
              <c:f>Graficos!$B$86:$M$86</c:f>
              <c:numCache>
                <c:formatCode>0.00</c:formatCode>
                <c:ptCount val="12"/>
                <c:pt idx="0">
                  <c:v>4.35379175294117</c:v>
                </c:pt>
                <c:pt idx="1">
                  <c:v>5.3960055137254903</c:v>
                </c:pt>
                <c:pt idx="2">
                  <c:v>6.5016718549019599</c:v>
                </c:pt>
                <c:pt idx="3">
                  <c:v>7.6405992666666602</c:v>
                </c:pt>
                <c:pt idx="4">
                  <c:v>7.81202614117647</c:v>
                </c:pt>
                <c:pt idx="5">
                  <c:v>7.99122089019607</c:v>
                </c:pt>
                <c:pt idx="6">
                  <c:v>8.4889219647058791</c:v>
                </c:pt>
                <c:pt idx="7">
                  <c:v>9.0071067058823502</c:v>
                </c:pt>
                <c:pt idx="8">
                  <c:v>9.5880374470588201</c:v>
                </c:pt>
                <c:pt idx="9">
                  <c:v>10.374728172549</c:v>
                </c:pt>
                <c:pt idx="10">
                  <c:v>10.5356824823529</c:v>
                </c:pt>
                <c:pt idx="11">
                  <c:v>10.695804588235299</c:v>
                </c:pt>
              </c:numCache>
            </c:numRef>
          </c:val>
          <c:smooth val="0"/>
          <c:extLst>
            <c:ext xmlns:c16="http://schemas.microsoft.com/office/drawing/2014/chart" uri="{C3380CC4-5D6E-409C-BE32-E72D297353CC}">
              <c16:uniqueId val="{00000001-C237-6D42-8995-ED4E5CB715F4}"/>
            </c:ext>
          </c:extLst>
        </c:ser>
        <c:ser>
          <c:idx val="2"/>
          <c:order val="2"/>
          <c:tx>
            <c:strRef>
              <c:f>Graficos!$A$87</c:f>
              <c:strCache>
                <c:ptCount val="1"/>
                <c:pt idx="0">
                  <c:v>Chía</c:v>
                </c:pt>
              </c:strCache>
            </c:strRef>
          </c:tx>
          <c:spPr>
            <a:ln w="28575" cap="rnd">
              <a:solidFill>
                <a:schemeClr val="accent3"/>
              </a:solidFill>
              <a:round/>
            </a:ln>
            <a:effectLst/>
          </c:spPr>
          <c:marker>
            <c:symbol val="none"/>
          </c:marker>
          <c:cat>
            <c:numRef>
              <c:f>Graficos!$B$83:$M$83</c:f>
              <c:numCache>
                <c:formatCode>General</c:formatCode>
                <c:ptCount val="12"/>
                <c:pt idx="0">
                  <c:v>1975</c:v>
                </c:pt>
                <c:pt idx="1">
                  <c:v>1980</c:v>
                </c:pt>
                <c:pt idx="2">
                  <c:v>1985</c:v>
                </c:pt>
                <c:pt idx="3">
                  <c:v>1990</c:v>
                </c:pt>
                <c:pt idx="4">
                  <c:v>1995</c:v>
                </c:pt>
                <c:pt idx="5">
                  <c:v>2000</c:v>
                </c:pt>
                <c:pt idx="6">
                  <c:v>2005</c:v>
                </c:pt>
                <c:pt idx="7">
                  <c:v>2010</c:v>
                </c:pt>
                <c:pt idx="8">
                  <c:v>2015</c:v>
                </c:pt>
                <c:pt idx="9">
                  <c:v>2020</c:v>
                </c:pt>
                <c:pt idx="10">
                  <c:v>2025</c:v>
                </c:pt>
                <c:pt idx="11">
                  <c:v>2030</c:v>
                </c:pt>
              </c:numCache>
            </c:numRef>
          </c:cat>
          <c:val>
            <c:numRef>
              <c:f>Graficos!$B$87:$M$87</c:f>
              <c:numCache>
                <c:formatCode>0.00</c:formatCode>
                <c:ptCount val="12"/>
                <c:pt idx="0">
                  <c:v>3.6920017372549001</c:v>
                </c:pt>
                <c:pt idx="1">
                  <c:v>4.2413847294117604</c:v>
                </c:pt>
                <c:pt idx="2">
                  <c:v>4.8237485764705799</c:v>
                </c:pt>
                <c:pt idx="3">
                  <c:v>5.4273737450980297</c:v>
                </c:pt>
                <c:pt idx="4">
                  <c:v>5.9540123960784301</c:v>
                </c:pt>
                <c:pt idx="5">
                  <c:v>6.5171862313725404</c:v>
                </c:pt>
                <c:pt idx="6">
                  <c:v>7.1258901411764697</c:v>
                </c:pt>
                <c:pt idx="7">
                  <c:v>7.7695114784313697</c:v>
                </c:pt>
                <c:pt idx="8">
                  <c:v>8.3891546941176394</c:v>
                </c:pt>
                <c:pt idx="9">
                  <c:v>8.9028021490195997</c:v>
                </c:pt>
                <c:pt idx="10">
                  <c:v>8.9422416235294104</c:v>
                </c:pt>
                <c:pt idx="11">
                  <c:v>9.0767185686274505</c:v>
                </c:pt>
              </c:numCache>
            </c:numRef>
          </c:val>
          <c:smooth val="0"/>
          <c:extLst>
            <c:ext xmlns:c16="http://schemas.microsoft.com/office/drawing/2014/chart" uri="{C3380CC4-5D6E-409C-BE32-E72D297353CC}">
              <c16:uniqueId val="{00000002-C237-6D42-8995-ED4E5CB715F4}"/>
            </c:ext>
          </c:extLst>
        </c:ser>
        <c:ser>
          <c:idx val="3"/>
          <c:order val="3"/>
          <c:tx>
            <c:strRef>
              <c:f>Graficos!$A$88</c:f>
              <c:strCache>
                <c:ptCount val="1"/>
                <c:pt idx="0">
                  <c:v>Facatativá</c:v>
                </c:pt>
              </c:strCache>
            </c:strRef>
          </c:tx>
          <c:spPr>
            <a:ln w="28575" cap="rnd">
              <a:solidFill>
                <a:schemeClr val="accent4"/>
              </a:solidFill>
              <a:round/>
            </a:ln>
            <a:effectLst/>
          </c:spPr>
          <c:marker>
            <c:symbol val="none"/>
          </c:marker>
          <c:cat>
            <c:numRef>
              <c:f>Graficos!$B$83:$M$83</c:f>
              <c:numCache>
                <c:formatCode>General</c:formatCode>
                <c:ptCount val="12"/>
                <c:pt idx="0">
                  <c:v>1975</c:v>
                </c:pt>
                <c:pt idx="1">
                  <c:v>1980</c:v>
                </c:pt>
                <c:pt idx="2">
                  <c:v>1985</c:v>
                </c:pt>
                <c:pt idx="3">
                  <c:v>1990</c:v>
                </c:pt>
                <c:pt idx="4">
                  <c:v>1995</c:v>
                </c:pt>
                <c:pt idx="5">
                  <c:v>2000</c:v>
                </c:pt>
                <c:pt idx="6">
                  <c:v>2005</c:v>
                </c:pt>
                <c:pt idx="7">
                  <c:v>2010</c:v>
                </c:pt>
                <c:pt idx="8">
                  <c:v>2015</c:v>
                </c:pt>
                <c:pt idx="9">
                  <c:v>2020</c:v>
                </c:pt>
                <c:pt idx="10">
                  <c:v>2025</c:v>
                </c:pt>
                <c:pt idx="11">
                  <c:v>2030</c:v>
                </c:pt>
              </c:numCache>
            </c:numRef>
          </c:cat>
          <c:val>
            <c:numRef>
              <c:f>Graficos!$B$88:$M$88</c:f>
              <c:numCache>
                <c:formatCode>0.00</c:formatCode>
                <c:ptCount val="12"/>
                <c:pt idx="0">
                  <c:v>2.4146472627450901</c:v>
                </c:pt>
                <c:pt idx="1">
                  <c:v>2.7900604313725501</c:v>
                </c:pt>
                <c:pt idx="2">
                  <c:v>3.1853720156862702</c:v>
                </c:pt>
                <c:pt idx="3">
                  <c:v>3.6005588549019598</c:v>
                </c:pt>
                <c:pt idx="4">
                  <c:v>3.8182712862745101</c:v>
                </c:pt>
                <c:pt idx="5">
                  <c:v>4.0470878352941098</c:v>
                </c:pt>
                <c:pt idx="6">
                  <c:v>4.2853883294117603</c:v>
                </c:pt>
                <c:pt idx="7">
                  <c:v>4.5335453607843101</c:v>
                </c:pt>
                <c:pt idx="8">
                  <c:v>4.7827804941176399</c:v>
                </c:pt>
                <c:pt idx="9">
                  <c:v>5.0019343372548999</c:v>
                </c:pt>
                <c:pt idx="10">
                  <c:v>5.0901237686274499</c:v>
                </c:pt>
                <c:pt idx="11">
                  <c:v>5.1935182235294102</c:v>
                </c:pt>
              </c:numCache>
            </c:numRef>
          </c:val>
          <c:smooth val="0"/>
          <c:extLst>
            <c:ext xmlns:c16="http://schemas.microsoft.com/office/drawing/2014/chart" uri="{C3380CC4-5D6E-409C-BE32-E72D297353CC}">
              <c16:uniqueId val="{00000003-C237-6D42-8995-ED4E5CB715F4}"/>
            </c:ext>
          </c:extLst>
        </c:ser>
        <c:dLbls>
          <c:showLegendKey val="0"/>
          <c:showVal val="0"/>
          <c:showCatName val="0"/>
          <c:showSerName val="0"/>
          <c:showPercent val="0"/>
          <c:showBubbleSize val="0"/>
        </c:dLbls>
        <c:smooth val="0"/>
        <c:axId val="531113055"/>
        <c:axId val="531113535"/>
      </c:lineChart>
      <c:catAx>
        <c:axId val="5311130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31113535"/>
        <c:crosses val="autoZero"/>
        <c:auto val="1"/>
        <c:lblAlgn val="ctr"/>
        <c:lblOffset val="100"/>
        <c:noMultiLvlLbl val="0"/>
      </c:catAx>
      <c:valAx>
        <c:axId val="531113535"/>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3111305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 de Crecimiento (1975 al 2025) y (2025</a:t>
            </a:r>
            <a:r>
              <a:rPr lang="en-US" baseline="0"/>
              <a:t> al 2030)</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stacked"/>
        <c:varyColors val="0"/>
        <c:ser>
          <c:idx val="0"/>
          <c:order val="0"/>
          <c:tx>
            <c:strRef>
              <c:f>Graficos!$H$111</c:f>
              <c:strCache>
                <c:ptCount val="1"/>
                <c:pt idx="0">
                  <c:v>% de Crecimiento (1975 al 2025)</c:v>
                </c:pt>
              </c:strCache>
            </c:strRef>
          </c:tx>
          <c:spPr>
            <a:solidFill>
              <a:schemeClr val="accent1"/>
            </a:solidFill>
            <a:ln>
              <a:noFill/>
            </a:ln>
            <a:effectLst/>
          </c:spPr>
          <c:invertIfNegative val="0"/>
          <c:cat>
            <c:strRef>
              <c:f>Graficos!$I$110:$M$110</c:f>
              <c:strCache>
                <c:ptCount val="5"/>
                <c:pt idx="0">
                  <c:v>Bogotá, D.C.</c:v>
                </c:pt>
                <c:pt idx="1">
                  <c:v>Soacha</c:v>
                </c:pt>
                <c:pt idx="2">
                  <c:v>Madrid</c:v>
                </c:pt>
                <c:pt idx="3">
                  <c:v>Chía</c:v>
                </c:pt>
                <c:pt idx="4">
                  <c:v>Facatativá</c:v>
                </c:pt>
              </c:strCache>
            </c:strRef>
          </c:cat>
          <c:val>
            <c:numRef>
              <c:f>Graficos!$I$111:$M$111</c:f>
              <c:numCache>
                <c:formatCode>0.00%</c:formatCode>
                <c:ptCount val="5"/>
                <c:pt idx="0">
                  <c:v>0.22250915048269326</c:v>
                </c:pt>
                <c:pt idx="1">
                  <c:v>0.32341042882684246</c:v>
                </c:pt>
                <c:pt idx="2">
                  <c:v>0.58675750144960226</c:v>
                </c:pt>
                <c:pt idx="3">
                  <c:v>0.58712793808430941</c:v>
                </c:pt>
                <c:pt idx="4">
                  <c:v>0.5256211101137529</c:v>
                </c:pt>
              </c:numCache>
            </c:numRef>
          </c:val>
          <c:extLst>
            <c:ext xmlns:c16="http://schemas.microsoft.com/office/drawing/2014/chart" uri="{C3380CC4-5D6E-409C-BE32-E72D297353CC}">
              <c16:uniqueId val="{00000000-8E3F-B24E-94F9-9FBD04D8EFA3}"/>
            </c:ext>
          </c:extLst>
        </c:ser>
        <c:ser>
          <c:idx val="1"/>
          <c:order val="1"/>
          <c:tx>
            <c:strRef>
              <c:f>Graficos!$H$112</c:f>
              <c:strCache>
                <c:ptCount val="1"/>
                <c:pt idx="0">
                  <c:v>% de Crecimiento (2025 al 2030)</c:v>
                </c:pt>
              </c:strCache>
            </c:strRef>
          </c:tx>
          <c:spPr>
            <a:solidFill>
              <a:schemeClr val="accent2"/>
            </a:solidFill>
            <a:ln>
              <a:noFill/>
            </a:ln>
            <a:effectLst/>
          </c:spPr>
          <c:invertIfNegative val="0"/>
          <c:cat>
            <c:strRef>
              <c:f>Graficos!$I$110:$M$110</c:f>
              <c:strCache>
                <c:ptCount val="5"/>
                <c:pt idx="0">
                  <c:v>Bogotá, D.C.</c:v>
                </c:pt>
                <c:pt idx="1">
                  <c:v>Soacha</c:v>
                </c:pt>
                <c:pt idx="2">
                  <c:v>Madrid</c:v>
                </c:pt>
                <c:pt idx="3">
                  <c:v>Chía</c:v>
                </c:pt>
                <c:pt idx="4">
                  <c:v>Facatativá</c:v>
                </c:pt>
              </c:strCache>
            </c:strRef>
          </c:cat>
          <c:val>
            <c:numRef>
              <c:f>Graficos!$I$112:$M$112</c:f>
              <c:numCache>
                <c:formatCode>0.00%</c:formatCode>
                <c:ptCount val="5"/>
                <c:pt idx="0">
                  <c:v>3.2730922214748714E-3</c:v>
                </c:pt>
                <c:pt idx="1">
                  <c:v>7.0146477168872012E-3</c:v>
                </c:pt>
                <c:pt idx="2">
                  <c:v>1.4970552664969494E-2</c:v>
                </c:pt>
                <c:pt idx="3">
                  <c:v>1.4815590467114781E-2</c:v>
                </c:pt>
                <c:pt idx="4">
                  <c:v>1.9908364706130888E-2</c:v>
                </c:pt>
              </c:numCache>
            </c:numRef>
          </c:val>
          <c:extLst>
            <c:ext xmlns:c16="http://schemas.microsoft.com/office/drawing/2014/chart" uri="{C3380CC4-5D6E-409C-BE32-E72D297353CC}">
              <c16:uniqueId val="{00000001-8E3F-B24E-94F9-9FBD04D8EFA3}"/>
            </c:ext>
          </c:extLst>
        </c:ser>
        <c:dLbls>
          <c:showLegendKey val="0"/>
          <c:showVal val="0"/>
          <c:showCatName val="0"/>
          <c:showSerName val="0"/>
          <c:showPercent val="0"/>
          <c:showBubbleSize val="0"/>
        </c:dLbls>
        <c:gapWidth val="150"/>
        <c:overlap val="100"/>
        <c:axId val="531089535"/>
        <c:axId val="531078975"/>
      </c:barChart>
      <c:catAx>
        <c:axId val="53108953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31078975"/>
        <c:crosses val="autoZero"/>
        <c:auto val="1"/>
        <c:lblAlgn val="ctr"/>
        <c:lblOffset val="100"/>
        <c:noMultiLvlLbl val="0"/>
      </c:catAx>
      <c:valAx>
        <c:axId val="531078975"/>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3108953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Población</a:t>
            </a:r>
            <a:r>
              <a:rPr lang="en-US" baseline="0"/>
              <a:t> Total Proyectada</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spPr>
            <a:solidFill>
              <a:schemeClr val="accent1"/>
            </a:solidFill>
            <a:ln>
              <a:noFill/>
            </a:ln>
            <a:effectLst/>
          </c:spPr>
          <c:invertIfNegative val="0"/>
          <c:cat>
            <c:strRef>
              <c:f>Sheet2!$H$7:$H$9</c:f>
              <c:strCache>
                <c:ptCount val="3"/>
                <c:pt idx="0">
                  <c:v>Año 2042</c:v>
                </c:pt>
                <c:pt idx="1">
                  <c:v>Año 2035</c:v>
                </c:pt>
                <c:pt idx="2">
                  <c:v>Año 2025</c:v>
                </c:pt>
              </c:strCache>
            </c:strRef>
          </c:cat>
          <c:val>
            <c:numRef>
              <c:f>Sheet2!$I$7:$I$9</c:f>
              <c:numCache>
                <c:formatCode>0</c:formatCode>
                <c:ptCount val="3"/>
                <c:pt idx="0">
                  <c:v>10754812</c:v>
                </c:pt>
                <c:pt idx="1">
                  <c:v>10695181</c:v>
                </c:pt>
                <c:pt idx="2">
                  <c:v>10390853</c:v>
                </c:pt>
              </c:numCache>
            </c:numRef>
          </c:val>
          <c:extLst>
            <c:ext xmlns:c16="http://schemas.microsoft.com/office/drawing/2014/chart" uri="{C3380CC4-5D6E-409C-BE32-E72D297353CC}">
              <c16:uniqueId val="{00000000-48C8-4042-8992-C3C73E486DBF}"/>
            </c:ext>
          </c:extLst>
        </c:ser>
        <c:dLbls>
          <c:showLegendKey val="0"/>
          <c:showVal val="0"/>
          <c:showCatName val="0"/>
          <c:showSerName val="0"/>
          <c:showPercent val="0"/>
          <c:showBubbleSize val="0"/>
        </c:dLbls>
        <c:gapWidth val="182"/>
        <c:axId val="408534176"/>
        <c:axId val="408537056"/>
      </c:barChart>
      <c:catAx>
        <c:axId val="4085341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408537056"/>
        <c:crosses val="autoZero"/>
        <c:auto val="1"/>
        <c:lblAlgn val="ctr"/>
        <c:lblOffset val="100"/>
        <c:noMultiLvlLbl val="0"/>
      </c:catAx>
      <c:valAx>
        <c:axId val="40853705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4085341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C5EC6A9-13E3-4A43-8927-517E78A9F41A}" type="doc">
      <dgm:prSet loTypeId="urn:microsoft.com/office/officeart/2005/8/layout/radial6" loCatId="cycle" qsTypeId="urn:microsoft.com/office/officeart/2005/8/quickstyle/simple1" qsCatId="simple" csTypeId="urn:microsoft.com/office/officeart/2005/8/colors/accent1_1" csCatId="accent1" phldr="1"/>
      <dgm:spPr/>
      <dgm:t>
        <a:bodyPr/>
        <a:lstStyle/>
        <a:p>
          <a:endParaRPr lang="en-US"/>
        </a:p>
      </dgm:t>
    </dgm:pt>
    <dgm:pt modelId="{61292187-6DAA-4803-9972-AC2E2ACF72A7}">
      <dgm:prSet phldrT="[Text]"/>
      <dgm:spPr/>
      <dgm:t>
        <a:bodyPr/>
        <a:lstStyle/>
        <a:p>
          <a:r>
            <a:rPr lang="en-US"/>
            <a:t>Ámbito de la Sabana </a:t>
          </a:r>
        </a:p>
      </dgm:t>
    </dgm:pt>
    <dgm:pt modelId="{2A2973BE-5383-48D4-995C-CDBE332FEB91}" type="parTrans" cxnId="{9E225245-584E-4D1E-9313-AC98DC8107D6}">
      <dgm:prSet/>
      <dgm:spPr/>
      <dgm:t>
        <a:bodyPr/>
        <a:lstStyle/>
        <a:p>
          <a:endParaRPr lang="en-US"/>
        </a:p>
      </dgm:t>
    </dgm:pt>
    <dgm:pt modelId="{981D3205-9877-4570-B344-A5F0A1E68511}" type="sibTrans" cxnId="{9E225245-584E-4D1E-9313-AC98DC8107D6}">
      <dgm:prSet/>
      <dgm:spPr/>
      <dgm:t>
        <a:bodyPr/>
        <a:lstStyle/>
        <a:p>
          <a:endParaRPr lang="en-US"/>
        </a:p>
      </dgm:t>
    </dgm:pt>
    <dgm:pt modelId="{EC2529D5-1DBF-43A8-AE69-6B328DA7F577}">
      <dgm:prSet phldrT="[Text]"/>
      <dgm:spPr/>
      <dgm:t>
        <a:bodyPr/>
        <a:lstStyle/>
        <a:p>
          <a:r>
            <a:rPr lang="en-US"/>
            <a:t>Ámbtio Res 2001 del 2016</a:t>
          </a:r>
        </a:p>
      </dgm:t>
    </dgm:pt>
    <dgm:pt modelId="{5912BC58-59C0-4E0D-9C2B-9F642FD7FCDF}" type="parTrans" cxnId="{191532D1-03A2-4BEB-A2F3-F55A5B0393BF}">
      <dgm:prSet/>
      <dgm:spPr/>
      <dgm:t>
        <a:bodyPr/>
        <a:lstStyle/>
        <a:p>
          <a:endParaRPr lang="en-US"/>
        </a:p>
      </dgm:t>
    </dgm:pt>
    <dgm:pt modelId="{397B27D5-84E0-4906-BA0D-5972E04BD4F7}" type="sibTrans" cxnId="{191532D1-03A2-4BEB-A2F3-F55A5B0393BF}">
      <dgm:prSet/>
      <dgm:spPr/>
      <dgm:t>
        <a:bodyPr/>
        <a:lstStyle/>
        <a:p>
          <a:endParaRPr lang="en-US"/>
        </a:p>
      </dgm:t>
    </dgm:pt>
    <dgm:pt modelId="{E6A09195-EA67-4230-B9D7-0F901FD8A0F6}">
      <dgm:prSet phldrT="[Text]"/>
      <dgm:spPr/>
      <dgm:t>
        <a:bodyPr/>
        <a:lstStyle/>
        <a:p>
          <a:r>
            <a:rPr lang="en-US"/>
            <a:t>Cuenca Alta y Media POMCA 2019</a:t>
          </a:r>
        </a:p>
      </dgm:t>
    </dgm:pt>
    <dgm:pt modelId="{AF1F4E59-5CF7-4B9A-AC50-EB431150001B}" type="parTrans" cxnId="{FB97FE37-0B69-45B2-9CC4-6DDEC7F587BB}">
      <dgm:prSet/>
      <dgm:spPr/>
      <dgm:t>
        <a:bodyPr/>
        <a:lstStyle/>
        <a:p>
          <a:endParaRPr lang="en-US"/>
        </a:p>
      </dgm:t>
    </dgm:pt>
    <dgm:pt modelId="{A4C29923-3F79-47BF-8882-74ABFCCE5084}" type="sibTrans" cxnId="{FB97FE37-0B69-45B2-9CC4-6DDEC7F587BB}">
      <dgm:prSet/>
      <dgm:spPr/>
      <dgm:t>
        <a:bodyPr/>
        <a:lstStyle/>
        <a:p>
          <a:endParaRPr lang="en-US"/>
        </a:p>
      </dgm:t>
    </dgm:pt>
    <dgm:pt modelId="{5D02981C-66D0-4A98-8130-40F128D97827}">
      <dgm:prSet phldrT="[Text]"/>
      <dgm:spPr/>
      <dgm:t>
        <a:bodyPr/>
        <a:lstStyle/>
        <a:p>
          <a:r>
            <a:rPr lang="en-US"/>
            <a:t>Poligonos compatibles con minería Res 2001 de 2016</a:t>
          </a:r>
        </a:p>
      </dgm:t>
    </dgm:pt>
    <dgm:pt modelId="{A0DE35CE-9CDD-4B34-972E-D89B8A855FCE}" type="parTrans" cxnId="{F8FD2BB6-6713-456C-A50D-6D3EAC353B2F}">
      <dgm:prSet/>
      <dgm:spPr/>
      <dgm:t>
        <a:bodyPr/>
        <a:lstStyle/>
        <a:p>
          <a:endParaRPr lang="en-US"/>
        </a:p>
      </dgm:t>
    </dgm:pt>
    <dgm:pt modelId="{35501DB7-7659-4BE0-A04E-C3697306D99A}" type="sibTrans" cxnId="{F8FD2BB6-6713-456C-A50D-6D3EAC353B2F}">
      <dgm:prSet/>
      <dgm:spPr/>
      <dgm:t>
        <a:bodyPr/>
        <a:lstStyle/>
        <a:p>
          <a:endParaRPr lang="en-US"/>
        </a:p>
      </dgm:t>
    </dgm:pt>
    <dgm:pt modelId="{80EFFAC8-491A-405B-97F4-9A02DCFD7F7B}">
      <dgm:prSet phldrT="[Text]"/>
      <dgm:spPr/>
      <dgm:t>
        <a:bodyPr/>
        <a:lstStyle/>
        <a:p>
          <a:r>
            <a:rPr lang="en-US"/>
            <a:t>Criterios verificadores</a:t>
          </a:r>
        </a:p>
      </dgm:t>
    </dgm:pt>
    <dgm:pt modelId="{707503A6-0DCC-4EF2-8D43-DBBA014EF54F}" type="parTrans" cxnId="{65575EE9-EEA0-4319-B87A-AC235F660B64}">
      <dgm:prSet/>
      <dgm:spPr/>
      <dgm:t>
        <a:bodyPr/>
        <a:lstStyle/>
        <a:p>
          <a:endParaRPr lang="en-US"/>
        </a:p>
      </dgm:t>
    </dgm:pt>
    <dgm:pt modelId="{5623148D-AD87-4977-9FA7-7669CD888627}" type="sibTrans" cxnId="{65575EE9-EEA0-4319-B87A-AC235F660B64}">
      <dgm:prSet/>
      <dgm:spPr/>
      <dgm:t>
        <a:bodyPr/>
        <a:lstStyle/>
        <a:p>
          <a:endParaRPr lang="en-US"/>
        </a:p>
      </dgm:t>
    </dgm:pt>
    <dgm:pt modelId="{42FBE8F0-8C9A-4DED-960B-6919EC0EF044}" type="pres">
      <dgm:prSet presAssocID="{2C5EC6A9-13E3-4A43-8927-517E78A9F41A}" presName="Name0" presStyleCnt="0">
        <dgm:presLayoutVars>
          <dgm:chMax val="1"/>
          <dgm:dir/>
          <dgm:animLvl val="ctr"/>
          <dgm:resizeHandles val="exact"/>
        </dgm:presLayoutVars>
      </dgm:prSet>
      <dgm:spPr/>
    </dgm:pt>
    <dgm:pt modelId="{1A45F930-4C46-44F2-90C1-9851DE3618B7}" type="pres">
      <dgm:prSet presAssocID="{61292187-6DAA-4803-9972-AC2E2ACF72A7}" presName="centerShape" presStyleLbl="node0" presStyleIdx="0" presStyleCnt="1"/>
      <dgm:spPr/>
    </dgm:pt>
    <dgm:pt modelId="{CE5A26F0-7807-48A5-8F03-139FEC8275CA}" type="pres">
      <dgm:prSet presAssocID="{EC2529D5-1DBF-43A8-AE69-6B328DA7F577}" presName="node" presStyleLbl="node1" presStyleIdx="0" presStyleCnt="4">
        <dgm:presLayoutVars>
          <dgm:bulletEnabled val="1"/>
        </dgm:presLayoutVars>
      </dgm:prSet>
      <dgm:spPr/>
    </dgm:pt>
    <dgm:pt modelId="{A40A3674-B378-4224-8525-AD953AB11B00}" type="pres">
      <dgm:prSet presAssocID="{EC2529D5-1DBF-43A8-AE69-6B328DA7F577}" presName="dummy" presStyleCnt="0"/>
      <dgm:spPr/>
    </dgm:pt>
    <dgm:pt modelId="{D5D0D945-9AF7-4645-B55B-90C52923645C}" type="pres">
      <dgm:prSet presAssocID="{397B27D5-84E0-4906-BA0D-5972E04BD4F7}" presName="sibTrans" presStyleLbl="sibTrans2D1" presStyleIdx="0" presStyleCnt="4"/>
      <dgm:spPr/>
    </dgm:pt>
    <dgm:pt modelId="{F32F2EFB-F3CC-468A-B261-459C574A3548}" type="pres">
      <dgm:prSet presAssocID="{E6A09195-EA67-4230-B9D7-0F901FD8A0F6}" presName="node" presStyleLbl="node1" presStyleIdx="1" presStyleCnt="4">
        <dgm:presLayoutVars>
          <dgm:bulletEnabled val="1"/>
        </dgm:presLayoutVars>
      </dgm:prSet>
      <dgm:spPr/>
    </dgm:pt>
    <dgm:pt modelId="{FE767DB8-D2DD-4E1B-A63B-4BB765B4EF01}" type="pres">
      <dgm:prSet presAssocID="{E6A09195-EA67-4230-B9D7-0F901FD8A0F6}" presName="dummy" presStyleCnt="0"/>
      <dgm:spPr/>
    </dgm:pt>
    <dgm:pt modelId="{22B3FB0D-B8B6-4F3B-9E74-9CE6A9EBDDEB}" type="pres">
      <dgm:prSet presAssocID="{A4C29923-3F79-47BF-8882-74ABFCCE5084}" presName="sibTrans" presStyleLbl="sibTrans2D1" presStyleIdx="1" presStyleCnt="4"/>
      <dgm:spPr/>
    </dgm:pt>
    <dgm:pt modelId="{D853BB38-3B6E-4550-B773-BEE66E649B7E}" type="pres">
      <dgm:prSet presAssocID="{5D02981C-66D0-4A98-8130-40F128D97827}" presName="node" presStyleLbl="node1" presStyleIdx="2" presStyleCnt="4">
        <dgm:presLayoutVars>
          <dgm:bulletEnabled val="1"/>
        </dgm:presLayoutVars>
      </dgm:prSet>
      <dgm:spPr/>
    </dgm:pt>
    <dgm:pt modelId="{D8E52E40-36A0-4B5E-9DC7-6914D2A1743A}" type="pres">
      <dgm:prSet presAssocID="{5D02981C-66D0-4A98-8130-40F128D97827}" presName="dummy" presStyleCnt="0"/>
      <dgm:spPr/>
    </dgm:pt>
    <dgm:pt modelId="{5D7E4316-B16E-4A79-AEB4-6DD6CC69C2DE}" type="pres">
      <dgm:prSet presAssocID="{35501DB7-7659-4BE0-A04E-C3697306D99A}" presName="sibTrans" presStyleLbl="sibTrans2D1" presStyleIdx="2" presStyleCnt="4"/>
      <dgm:spPr/>
    </dgm:pt>
    <dgm:pt modelId="{30B8E03D-E538-47FC-8C1D-6C17E4C5F6CB}" type="pres">
      <dgm:prSet presAssocID="{80EFFAC8-491A-405B-97F4-9A02DCFD7F7B}" presName="node" presStyleLbl="node1" presStyleIdx="3" presStyleCnt="4">
        <dgm:presLayoutVars>
          <dgm:bulletEnabled val="1"/>
        </dgm:presLayoutVars>
      </dgm:prSet>
      <dgm:spPr/>
    </dgm:pt>
    <dgm:pt modelId="{BAE13EBF-42F7-45B3-A396-9435EC8CB5EB}" type="pres">
      <dgm:prSet presAssocID="{80EFFAC8-491A-405B-97F4-9A02DCFD7F7B}" presName="dummy" presStyleCnt="0"/>
      <dgm:spPr/>
    </dgm:pt>
    <dgm:pt modelId="{211022AB-C46F-486B-A7D6-05A4F19FBF8F}" type="pres">
      <dgm:prSet presAssocID="{5623148D-AD87-4977-9FA7-7669CD888627}" presName="sibTrans" presStyleLbl="sibTrans2D1" presStyleIdx="3" presStyleCnt="4"/>
      <dgm:spPr/>
    </dgm:pt>
  </dgm:ptLst>
  <dgm:cxnLst>
    <dgm:cxn modelId="{FEA69C25-D0B4-4F41-BEE9-91E0456810D3}" type="presOf" srcId="{61292187-6DAA-4803-9972-AC2E2ACF72A7}" destId="{1A45F930-4C46-44F2-90C1-9851DE3618B7}" srcOrd="0" destOrd="0" presId="urn:microsoft.com/office/officeart/2005/8/layout/radial6"/>
    <dgm:cxn modelId="{FB97FE37-0B69-45B2-9CC4-6DDEC7F587BB}" srcId="{61292187-6DAA-4803-9972-AC2E2ACF72A7}" destId="{E6A09195-EA67-4230-B9D7-0F901FD8A0F6}" srcOrd="1" destOrd="0" parTransId="{AF1F4E59-5CF7-4B9A-AC50-EB431150001B}" sibTransId="{A4C29923-3F79-47BF-8882-74ABFCCE5084}"/>
    <dgm:cxn modelId="{776E7B38-CE4E-433D-8B34-492DE7E645F6}" type="presOf" srcId="{5623148D-AD87-4977-9FA7-7669CD888627}" destId="{211022AB-C46F-486B-A7D6-05A4F19FBF8F}" srcOrd="0" destOrd="0" presId="urn:microsoft.com/office/officeart/2005/8/layout/radial6"/>
    <dgm:cxn modelId="{9E225245-584E-4D1E-9313-AC98DC8107D6}" srcId="{2C5EC6A9-13E3-4A43-8927-517E78A9F41A}" destId="{61292187-6DAA-4803-9972-AC2E2ACF72A7}" srcOrd="0" destOrd="0" parTransId="{2A2973BE-5383-48D4-995C-CDBE332FEB91}" sibTransId="{981D3205-9877-4570-B344-A5F0A1E68511}"/>
    <dgm:cxn modelId="{397CD048-2074-4C0D-AB58-B10945A8A338}" type="presOf" srcId="{A4C29923-3F79-47BF-8882-74ABFCCE5084}" destId="{22B3FB0D-B8B6-4F3B-9E74-9CE6A9EBDDEB}" srcOrd="0" destOrd="0" presId="urn:microsoft.com/office/officeart/2005/8/layout/radial6"/>
    <dgm:cxn modelId="{7002E155-AF97-4B2B-841C-4F21DFD2B8CC}" type="presOf" srcId="{80EFFAC8-491A-405B-97F4-9A02DCFD7F7B}" destId="{30B8E03D-E538-47FC-8C1D-6C17E4C5F6CB}" srcOrd="0" destOrd="0" presId="urn:microsoft.com/office/officeart/2005/8/layout/radial6"/>
    <dgm:cxn modelId="{91128299-B04E-49B9-A169-B8E364CE17C9}" type="presOf" srcId="{5D02981C-66D0-4A98-8130-40F128D97827}" destId="{D853BB38-3B6E-4550-B773-BEE66E649B7E}" srcOrd="0" destOrd="0" presId="urn:microsoft.com/office/officeart/2005/8/layout/radial6"/>
    <dgm:cxn modelId="{6B8643B2-0588-4536-9A42-911B0624AFFA}" type="presOf" srcId="{E6A09195-EA67-4230-B9D7-0F901FD8A0F6}" destId="{F32F2EFB-F3CC-468A-B261-459C574A3548}" srcOrd="0" destOrd="0" presId="urn:microsoft.com/office/officeart/2005/8/layout/radial6"/>
    <dgm:cxn modelId="{F8FD2BB6-6713-456C-A50D-6D3EAC353B2F}" srcId="{61292187-6DAA-4803-9972-AC2E2ACF72A7}" destId="{5D02981C-66D0-4A98-8130-40F128D97827}" srcOrd="2" destOrd="0" parTransId="{A0DE35CE-9CDD-4B34-972E-D89B8A855FCE}" sibTransId="{35501DB7-7659-4BE0-A04E-C3697306D99A}"/>
    <dgm:cxn modelId="{191532D1-03A2-4BEB-A2F3-F55A5B0393BF}" srcId="{61292187-6DAA-4803-9972-AC2E2ACF72A7}" destId="{EC2529D5-1DBF-43A8-AE69-6B328DA7F577}" srcOrd="0" destOrd="0" parTransId="{5912BC58-59C0-4E0D-9C2B-9F642FD7FCDF}" sibTransId="{397B27D5-84E0-4906-BA0D-5972E04BD4F7}"/>
    <dgm:cxn modelId="{FAB1F1DC-12C7-479B-A155-F2D18B88BF44}" type="presOf" srcId="{397B27D5-84E0-4906-BA0D-5972E04BD4F7}" destId="{D5D0D945-9AF7-4645-B55B-90C52923645C}" srcOrd="0" destOrd="0" presId="urn:microsoft.com/office/officeart/2005/8/layout/radial6"/>
    <dgm:cxn modelId="{8EBB8DE4-846C-40E1-8772-21B14B396903}" type="presOf" srcId="{EC2529D5-1DBF-43A8-AE69-6B328DA7F577}" destId="{CE5A26F0-7807-48A5-8F03-139FEC8275CA}" srcOrd="0" destOrd="0" presId="urn:microsoft.com/office/officeart/2005/8/layout/radial6"/>
    <dgm:cxn modelId="{7DBAE4E4-23F7-4A6F-B6AB-5D5F6DD9FA20}" type="presOf" srcId="{35501DB7-7659-4BE0-A04E-C3697306D99A}" destId="{5D7E4316-B16E-4A79-AEB4-6DD6CC69C2DE}" srcOrd="0" destOrd="0" presId="urn:microsoft.com/office/officeart/2005/8/layout/radial6"/>
    <dgm:cxn modelId="{65575EE9-EEA0-4319-B87A-AC235F660B64}" srcId="{61292187-6DAA-4803-9972-AC2E2ACF72A7}" destId="{80EFFAC8-491A-405B-97F4-9A02DCFD7F7B}" srcOrd="3" destOrd="0" parTransId="{707503A6-0DCC-4EF2-8D43-DBBA014EF54F}" sibTransId="{5623148D-AD87-4977-9FA7-7669CD888627}"/>
    <dgm:cxn modelId="{F64AADF2-9CAC-4DDC-A094-7867E216456E}" type="presOf" srcId="{2C5EC6A9-13E3-4A43-8927-517E78A9F41A}" destId="{42FBE8F0-8C9A-4DED-960B-6919EC0EF044}" srcOrd="0" destOrd="0" presId="urn:microsoft.com/office/officeart/2005/8/layout/radial6"/>
    <dgm:cxn modelId="{C64092E5-E475-4A77-832A-20029A1DDD4D}" type="presParOf" srcId="{42FBE8F0-8C9A-4DED-960B-6919EC0EF044}" destId="{1A45F930-4C46-44F2-90C1-9851DE3618B7}" srcOrd="0" destOrd="0" presId="urn:microsoft.com/office/officeart/2005/8/layout/radial6"/>
    <dgm:cxn modelId="{13E50292-0545-4FF2-84E9-CF8AC1FF4F21}" type="presParOf" srcId="{42FBE8F0-8C9A-4DED-960B-6919EC0EF044}" destId="{CE5A26F0-7807-48A5-8F03-139FEC8275CA}" srcOrd="1" destOrd="0" presId="urn:microsoft.com/office/officeart/2005/8/layout/radial6"/>
    <dgm:cxn modelId="{D82BDF95-2D85-4D5B-A3F5-46EA56F04709}" type="presParOf" srcId="{42FBE8F0-8C9A-4DED-960B-6919EC0EF044}" destId="{A40A3674-B378-4224-8525-AD953AB11B00}" srcOrd="2" destOrd="0" presId="urn:microsoft.com/office/officeart/2005/8/layout/radial6"/>
    <dgm:cxn modelId="{9DAB7B38-045F-46B0-AEC2-E273921D4A94}" type="presParOf" srcId="{42FBE8F0-8C9A-4DED-960B-6919EC0EF044}" destId="{D5D0D945-9AF7-4645-B55B-90C52923645C}" srcOrd="3" destOrd="0" presId="urn:microsoft.com/office/officeart/2005/8/layout/radial6"/>
    <dgm:cxn modelId="{83B41FA1-ADF2-4D5A-A054-8F545CDCD1DD}" type="presParOf" srcId="{42FBE8F0-8C9A-4DED-960B-6919EC0EF044}" destId="{F32F2EFB-F3CC-468A-B261-459C574A3548}" srcOrd="4" destOrd="0" presId="urn:microsoft.com/office/officeart/2005/8/layout/radial6"/>
    <dgm:cxn modelId="{3A9C9623-AC7E-4B66-BF16-50E1088B7146}" type="presParOf" srcId="{42FBE8F0-8C9A-4DED-960B-6919EC0EF044}" destId="{FE767DB8-D2DD-4E1B-A63B-4BB765B4EF01}" srcOrd="5" destOrd="0" presId="urn:microsoft.com/office/officeart/2005/8/layout/radial6"/>
    <dgm:cxn modelId="{79D3BE8F-6A95-40DF-A64F-D7561A4D5DD0}" type="presParOf" srcId="{42FBE8F0-8C9A-4DED-960B-6919EC0EF044}" destId="{22B3FB0D-B8B6-4F3B-9E74-9CE6A9EBDDEB}" srcOrd="6" destOrd="0" presId="urn:microsoft.com/office/officeart/2005/8/layout/radial6"/>
    <dgm:cxn modelId="{44C7FE63-8018-4B26-9D28-B479CF968B5A}" type="presParOf" srcId="{42FBE8F0-8C9A-4DED-960B-6919EC0EF044}" destId="{D853BB38-3B6E-4550-B773-BEE66E649B7E}" srcOrd="7" destOrd="0" presId="urn:microsoft.com/office/officeart/2005/8/layout/radial6"/>
    <dgm:cxn modelId="{A63BCC1D-38E5-4FEC-9539-31D3DD5A8219}" type="presParOf" srcId="{42FBE8F0-8C9A-4DED-960B-6919EC0EF044}" destId="{D8E52E40-36A0-4B5E-9DC7-6914D2A1743A}" srcOrd="8" destOrd="0" presId="urn:microsoft.com/office/officeart/2005/8/layout/radial6"/>
    <dgm:cxn modelId="{C19363A0-7297-4205-8DC7-25A583AC0CCD}" type="presParOf" srcId="{42FBE8F0-8C9A-4DED-960B-6919EC0EF044}" destId="{5D7E4316-B16E-4A79-AEB4-6DD6CC69C2DE}" srcOrd="9" destOrd="0" presId="urn:microsoft.com/office/officeart/2005/8/layout/radial6"/>
    <dgm:cxn modelId="{2CABF616-F125-4B7A-888B-47EB7E74B825}" type="presParOf" srcId="{42FBE8F0-8C9A-4DED-960B-6919EC0EF044}" destId="{30B8E03D-E538-47FC-8C1D-6C17E4C5F6CB}" srcOrd="10" destOrd="0" presId="urn:microsoft.com/office/officeart/2005/8/layout/radial6"/>
    <dgm:cxn modelId="{098DE346-3FAE-4BF5-8652-07FDC2D0C553}" type="presParOf" srcId="{42FBE8F0-8C9A-4DED-960B-6919EC0EF044}" destId="{BAE13EBF-42F7-45B3-A396-9435EC8CB5EB}" srcOrd="11" destOrd="0" presId="urn:microsoft.com/office/officeart/2005/8/layout/radial6"/>
    <dgm:cxn modelId="{59E1E4CC-4897-4B48-A4A2-96308C313FEB}" type="presParOf" srcId="{42FBE8F0-8C9A-4DED-960B-6919EC0EF044}" destId="{211022AB-C46F-486B-A7D6-05A4F19FBF8F}" srcOrd="12" destOrd="0" presId="urn:microsoft.com/office/officeart/2005/8/layout/radial6"/>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637FC42C-96BF-4880-9758-2E065B963EA9}" type="doc">
      <dgm:prSet loTypeId="urn:microsoft.com/office/officeart/2008/layout/HorizontalMultiLevelHierarchy" loCatId="hierarchy" qsTypeId="urn:microsoft.com/office/officeart/2005/8/quickstyle/simple1" qsCatId="simple" csTypeId="urn:microsoft.com/office/officeart/2005/8/colors/colorful5" csCatId="colorful" phldr="1"/>
      <dgm:spPr/>
      <dgm:t>
        <a:bodyPr/>
        <a:lstStyle/>
        <a:p>
          <a:endParaRPr lang="es-ES"/>
        </a:p>
      </dgm:t>
    </dgm:pt>
    <dgm:pt modelId="{E931634D-B668-4E24-86A7-3C9B660359A1}">
      <dgm:prSet phldrT="[Texto]"/>
      <dgm:spPr/>
      <dgm:t>
        <a:bodyPr/>
        <a:lstStyle/>
        <a:p>
          <a:r>
            <a:rPr lang="es-ES" dirty="0"/>
            <a:t>Áreas protegidas </a:t>
          </a:r>
        </a:p>
      </dgm:t>
    </dgm:pt>
    <dgm:pt modelId="{F72D6A17-77F6-4535-A2F6-79199CB06157}" type="parTrans" cxnId="{4CF80F85-EF31-4553-A2EA-1F7E1421142C}">
      <dgm:prSet/>
      <dgm:spPr/>
      <dgm:t>
        <a:bodyPr/>
        <a:lstStyle/>
        <a:p>
          <a:endParaRPr lang="es-ES"/>
        </a:p>
      </dgm:t>
    </dgm:pt>
    <dgm:pt modelId="{7D66CBC6-D442-486E-BF13-E3E1F3BF82D3}" type="sibTrans" cxnId="{4CF80F85-EF31-4553-A2EA-1F7E1421142C}">
      <dgm:prSet/>
      <dgm:spPr/>
      <dgm:t>
        <a:bodyPr/>
        <a:lstStyle/>
        <a:p>
          <a:endParaRPr lang="es-ES"/>
        </a:p>
      </dgm:t>
    </dgm:pt>
    <dgm:pt modelId="{FA214B4E-6E3E-4FD0-BAB9-C6A60394D859}">
      <dgm:prSet phldrT="[Texto]"/>
      <dgm:spPr/>
      <dgm:t>
        <a:bodyPr/>
        <a:lstStyle/>
        <a:p>
          <a:r>
            <a:rPr lang="es-ES" dirty="0"/>
            <a:t>Iniciativas de conservación in situ</a:t>
          </a:r>
        </a:p>
      </dgm:t>
    </dgm:pt>
    <dgm:pt modelId="{BEC96218-DF50-4260-B0EE-DC17A4CBE343}" type="parTrans" cxnId="{A03E68D5-D045-47D7-B2DE-ECCAD5FDB101}">
      <dgm:prSet/>
      <dgm:spPr/>
      <dgm:t>
        <a:bodyPr/>
        <a:lstStyle/>
        <a:p>
          <a:endParaRPr lang="es-ES"/>
        </a:p>
      </dgm:t>
    </dgm:pt>
    <dgm:pt modelId="{B96D435B-22F3-49B5-90EE-992C8172ECCB}" type="sibTrans" cxnId="{A03E68D5-D045-47D7-B2DE-ECCAD5FDB101}">
      <dgm:prSet/>
      <dgm:spPr/>
      <dgm:t>
        <a:bodyPr/>
        <a:lstStyle/>
        <a:p>
          <a:endParaRPr lang="es-ES"/>
        </a:p>
      </dgm:t>
    </dgm:pt>
    <dgm:pt modelId="{71C48210-B9E4-490B-8C80-596D35C948C4}">
      <dgm:prSet phldrT="[Texto]"/>
      <dgm:spPr/>
      <dgm:t>
        <a:bodyPr/>
        <a:lstStyle/>
        <a:p>
          <a:r>
            <a:rPr lang="es-ES" dirty="0"/>
            <a:t>Ecosistemas estratégicos: páramos, humedales, </a:t>
          </a:r>
          <a:r>
            <a:rPr lang="es-ES" dirty="0" err="1"/>
            <a:t>Subxerofitia</a:t>
          </a:r>
          <a:endParaRPr lang="es-ES" dirty="0"/>
        </a:p>
      </dgm:t>
    </dgm:pt>
    <dgm:pt modelId="{9DBA0772-2321-47FB-A694-A0B096248446}" type="parTrans" cxnId="{1A75DD82-FDD0-48AF-B98E-12E91B925F64}">
      <dgm:prSet/>
      <dgm:spPr/>
      <dgm:t>
        <a:bodyPr/>
        <a:lstStyle/>
        <a:p>
          <a:endParaRPr lang="es-ES"/>
        </a:p>
      </dgm:t>
    </dgm:pt>
    <dgm:pt modelId="{C446BE9A-7AEB-4417-8022-3672E27C3A0B}" type="sibTrans" cxnId="{1A75DD82-FDD0-48AF-B98E-12E91B925F64}">
      <dgm:prSet/>
      <dgm:spPr/>
      <dgm:t>
        <a:bodyPr/>
        <a:lstStyle/>
        <a:p>
          <a:endParaRPr lang="es-ES"/>
        </a:p>
      </dgm:t>
    </dgm:pt>
    <dgm:pt modelId="{B4598836-98B7-4708-AAB3-70AE74022C3C}">
      <dgm:prSet phldrT="[Texto]"/>
      <dgm:spPr/>
      <dgm:t>
        <a:bodyPr/>
        <a:lstStyle/>
        <a:p>
          <a:r>
            <a:rPr lang="es-ES" dirty="0" err="1"/>
            <a:t>Areas</a:t>
          </a:r>
          <a:r>
            <a:rPr lang="es-ES" dirty="0"/>
            <a:t> de importancia estratégica para el recurso hídrico</a:t>
          </a:r>
        </a:p>
      </dgm:t>
    </dgm:pt>
    <dgm:pt modelId="{DB09DC64-3A2A-41F8-86D5-8AC1006865A8}" type="parTrans" cxnId="{A94CF3C5-93DF-4CC1-900B-DBD75B9E532C}">
      <dgm:prSet/>
      <dgm:spPr/>
      <dgm:t>
        <a:bodyPr/>
        <a:lstStyle/>
        <a:p>
          <a:endParaRPr lang="es-ES"/>
        </a:p>
      </dgm:t>
    </dgm:pt>
    <dgm:pt modelId="{FFE09974-095E-4F68-A94F-3C40572C39C8}" type="sibTrans" cxnId="{A94CF3C5-93DF-4CC1-900B-DBD75B9E532C}">
      <dgm:prSet/>
      <dgm:spPr/>
      <dgm:t>
        <a:bodyPr/>
        <a:lstStyle/>
        <a:p>
          <a:endParaRPr lang="es-ES"/>
        </a:p>
      </dgm:t>
    </dgm:pt>
    <dgm:pt modelId="{DF07F6C9-B3E0-414B-AD8F-C73929259227}">
      <dgm:prSet phldrT="[Texto]"/>
      <dgm:spPr/>
      <dgm:t>
        <a:bodyPr/>
        <a:lstStyle/>
        <a:p>
          <a:r>
            <a:rPr lang="es-ES" dirty="0"/>
            <a:t>Nodos de restauración RFPP CAR</a:t>
          </a:r>
        </a:p>
      </dgm:t>
    </dgm:pt>
    <dgm:pt modelId="{7BFC9CBD-9D12-4BCE-AF9B-193A2CD32EE8}" type="parTrans" cxnId="{DC2DEA18-4838-4C30-9192-64C78227B97E}">
      <dgm:prSet/>
      <dgm:spPr/>
      <dgm:t>
        <a:bodyPr/>
        <a:lstStyle/>
        <a:p>
          <a:endParaRPr lang="es-ES"/>
        </a:p>
      </dgm:t>
    </dgm:pt>
    <dgm:pt modelId="{ED8E27FD-BE17-4C32-A04E-B5BECDF7FDA7}" type="sibTrans" cxnId="{DC2DEA18-4838-4C30-9192-64C78227B97E}">
      <dgm:prSet/>
      <dgm:spPr/>
      <dgm:t>
        <a:bodyPr/>
        <a:lstStyle/>
        <a:p>
          <a:endParaRPr lang="es-ES"/>
        </a:p>
      </dgm:t>
    </dgm:pt>
    <dgm:pt modelId="{08124EB4-A715-44AF-9077-914A2E341D78}">
      <dgm:prSet phldrT="[Texto]"/>
      <dgm:spPr/>
      <dgm:t>
        <a:bodyPr/>
        <a:lstStyle/>
        <a:p>
          <a:r>
            <a:rPr lang="es-ES" dirty="0"/>
            <a:t>Corredores de aves</a:t>
          </a:r>
        </a:p>
      </dgm:t>
    </dgm:pt>
    <dgm:pt modelId="{83E130D4-742B-4AC8-80F2-7F6F915E2C39}" type="parTrans" cxnId="{86DAB24E-CDA0-4B3E-A5F8-173B0132359A}">
      <dgm:prSet/>
      <dgm:spPr/>
      <dgm:t>
        <a:bodyPr/>
        <a:lstStyle/>
        <a:p>
          <a:endParaRPr lang="es-ES"/>
        </a:p>
      </dgm:t>
    </dgm:pt>
    <dgm:pt modelId="{78840598-4613-460E-91BC-8CB3C24A8BB9}" type="sibTrans" cxnId="{86DAB24E-CDA0-4B3E-A5F8-173B0132359A}">
      <dgm:prSet/>
      <dgm:spPr/>
      <dgm:t>
        <a:bodyPr/>
        <a:lstStyle/>
        <a:p>
          <a:endParaRPr lang="es-ES"/>
        </a:p>
      </dgm:t>
    </dgm:pt>
    <dgm:pt modelId="{FB19541E-D4EB-4DD6-81B5-76733A20E3DD}">
      <dgm:prSet phldrT="[Texto]"/>
      <dgm:spPr/>
      <dgm:t>
        <a:bodyPr/>
        <a:lstStyle/>
        <a:p>
          <a:r>
            <a:rPr lang="es-ES" dirty="0"/>
            <a:t>Definición áreas</a:t>
          </a:r>
        </a:p>
        <a:p>
          <a:r>
            <a:rPr lang="es-ES" dirty="0"/>
            <a:t>Prioritarias de </a:t>
          </a:r>
          <a:r>
            <a:rPr lang="es-ES"/>
            <a:t>restauración ecológica </a:t>
          </a:r>
          <a:endParaRPr lang="es-ES" dirty="0"/>
        </a:p>
      </dgm:t>
    </dgm:pt>
    <dgm:pt modelId="{BDF2EDB0-32EC-46B7-8730-96EF90D9CD21}" type="sibTrans" cxnId="{163134D2-E075-44A6-B3C2-F58D8AD68DCF}">
      <dgm:prSet/>
      <dgm:spPr/>
      <dgm:t>
        <a:bodyPr/>
        <a:lstStyle/>
        <a:p>
          <a:endParaRPr lang="es-ES"/>
        </a:p>
      </dgm:t>
    </dgm:pt>
    <dgm:pt modelId="{59EA830F-DCED-443C-B252-76A3D3041D8C}" type="parTrans" cxnId="{163134D2-E075-44A6-B3C2-F58D8AD68DCF}">
      <dgm:prSet/>
      <dgm:spPr/>
      <dgm:t>
        <a:bodyPr/>
        <a:lstStyle/>
        <a:p>
          <a:endParaRPr lang="es-ES"/>
        </a:p>
      </dgm:t>
    </dgm:pt>
    <dgm:pt modelId="{F01BE810-0448-4215-8693-14DC94911FB6}">
      <dgm:prSet phldrT="[Texto]"/>
      <dgm:spPr/>
      <dgm:t>
        <a:bodyPr/>
        <a:lstStyle/>
        <a:p>
          <a:r>
            <a:rPr lang="es-ES" dirty="0"/>
            <a:t>Fuente: RUNAP</a:t>
          </a:r>
        </a:p>
      </dgm:t>
    </dgm:pt>
    <dgm:pt modelId="{6DE3D69C-401E-415E-9F78-8F6709C79AB3}" type="parTrans" cxnId="{47680876-1116-4757-AC31-8FAA2A9D8E81}">
      <dgm:prSet/>
      <dgm:spPr/>
      <dgm:t>
        <a:bodyPr/>
        <a:lstStyle/>
        <a:p>
          <a:endParaRPr lang="es-ES"/>
        </a:p>
      </dgm:t>
    </dgm:pt>
    <dgm:pt modelId="{8565F365-6D17-4D53-8E59-1966985300C2}" type="sibTrans" cxnId="{47680876-1116-4757-AC31-8FAA2A9D8E81}">
      <dgm:prSet/>
      <dgm:spPr/>
      <dgm:t>
        <a:bodyPr/>
        <a:lstStyle/>
        <a:p>
          <a:endParaRPr lang="es-ES"/>
        </a:p>
      </dgm:t>
    </dgm:pt>
    <dgm:pt modelId="{7949FDB4-9EAC-4D85-A7B7-3BDC89D0ECD0}">
      <dgm:prSet phldrT="[Texto]"/>
      <dgm:spPr/>
      <dgm:t>
        <a:bodyPr/>
        <a:lstStyle/>
        <a:p>
          <a:r>
            <a:rPr lang="es-ES" dirty="0"/>
            <a:t>Fuente: </a:t>
          </a:r>
          <a:r>
            <a:rPr lang="es-ES" dirty="0" err="1"/>
            <a:t>MinAmbiente</a:t>
          </a:r>
          <a:endParaRPr lang="es-ES" dirty="0"/>
        </a:p>
      </dgm:t>
    </dgm:pt>
    <dgm:pt modelId="{FE8B9B02-4D64-47ED-ABDA-389CA9A0379D}" type="parTrans" cxnId="{3DA5D5FA-1572-493D-8E8E-65EA8A60E6E2}">
      <dgm:prSet/>
      <dgm:spPr/>
      <dgm:t>
        <a:bodyPr/>
        <a:lstStyle/>
        <a:p>
          <a:endParaRPr lang="es-ES"/>
        </a:p>
      </dgm:t>
    </dgm:pt>
    <dgm:pt modelId="{D5DF2832-64F6-407D-8DEB-F3F65AD94F25}" type="sibTrans" cxnId="{3DA5D5FA-1572-493D-8E8E-65EA8A60E6E2}">
      <dgm:prSet/>
      <dgm:spPr/>
      <dgm:t>
        <a:bodyPr/>
        <a:lstStyle/>
        <a:p>
          <a:endParaRPr lang="es-ES"/>
        </a:p>
      </dgm:t>
    </dgm:pt>
    <dgm:pt modelId="{744E8C43-8547-47F7-9142-646A2BE2A966}">
      <dgm:prSet phldrT="[Texto]"/>
      <dgm:spPr/>
      <dgm:t>
        <a:bodyPr/>
        <a:lstStyle/>
        <a:p>
          <a:r>
            <a:rPr lang="es-ES" dirty="0"/>
            <a:t>Fuente: </a:t>
          </a:r>
          <a:r>
            <a:rPr lang="es-ES" dirty="0" err="1"/>
            <a:t>MinAmbiente</a:t>
          </a:r>
          <a:r>
            <a:rPr lang="es-ES" dirty="0"/>
            <a:t> e IDEAM</a:t>
          </a:r>
        </a:p>
      </dgm:t>
    </dgm:pt>
    <dgm:pt modelId="{53B913B6-6A33-427E-8D65-CDCDF4E9C7AE}" type="parTrans" cxnId="{4B68F11B-B8D7-43D4-A4F1-2D8312D4DE6D}">
      <dgm:prSet/>
      <dgm:spPr/>
      <dgm:t>
        <a:bodyPr/>
        <a:lstStyle/>
        <a:p>
          <a:endParaRPr lang="es-ES"/>
        </a:p>
      </dgm:t>
    </dgm:pt>
    <dgm:pt modelId="{C63A0649-CF4E-47EE-B86C-8D21FBC01814}" type="sibTrans" cxnId="{4B68F11B-B8D7-43D4-A4F1-2D8312D4DE6D}">
      <dgm:prSet/>
      <dgm:spPr/>
      <dgm:t>
        <a:bodyPr/>
        <a:lstStyle/>
        <a:p>
          <a:endParaRPr lang="es-ES"/>
        </a:p>
      </dgm:t>
    </dgm:pt>
    <dgm:pt modelId="{C03234F6-F3B0-4E48-B79B-1402D9798B99}">
      <dgm:prSet phldrT="[Texto]"/>
      <dgm:spPr/>
      <dgm:t>
        <a:bodyPr/>
        <a:lstStyle/>
        <a:p>
          <a:r>
            <a:rPr lang="es-ES" dirty="0"/>
            <a:t>Fuente: Resoluciones CAR y SDA</a:t>
          </a:r>
        </a:p>
      </dgm:t>
    </dgm:pt>
    <dgm:pt modelId="{8F248669-B57E-45AA-A06B-ACDB5EE57841}" type="parTrans" cxnId="{9DE421AF-23CB-4675-A666-0678687F7800}">
      <dgm:prSet/>
      <dgm:spPr/>
      <dgm:t>
        <a:bodyPr/>
        <a:lstStyle/>
        <a:p>
          <a:endParaRPr lang="es-ES"/>
        </a:p>
      </dgm:t>
    </dgm:pt>
    <dgm:pt modelId="{83B40881-B664-4E55-A937-7F7045928E05}" type="sibTrans" cxnId="{9DE421AF-23CB-4675-A666-0678687F7800}">
      <dgm:prSet/>
      <dgm:spPr/>
      <dgm:t>
        <a:bodyPr/>
        <a:lstStyle/>
        <a:p>
          <a:endParaRPr lang="es-ES"/>
        </a:p>
      </dgm:t>
    </dgm:pt>
    <dgm:pt modelId="{E57505C4-308F-4641-9EE4-5BC94E8DE960}">
      <dgm:prSet phldrT="[Texto]"/>
      <dgm:spPr/>
      <dgm:t>
        <a:bodyPr/>
        <a:lstStyle/>
        <a:p>
          <a:r>
            <a:rPr lang="es-ES" dirty="0"/>
            <a:t>Fuente: Documento plan de manejo Reserva</a:t>
          </a:r>
        </a:p>
      </dgm:t>
    </dgm:pt>
    <dgm:pt modelId="{3E1D0794-B752-4E5B-99BD-DDB86938D5ED}" type="parTrans" cxnId="{86FBAED0-5685-40DD-BA23-F3A61E4D0698}">
      <dgm:prSet/>
      <dgm:spPr/>
      <dgm:t>
        <a:bodyPr/>
        <a:lstStyle/>
        <a:p>
          <a:endParaRPr lang="es-ES"/>
        </a:p>
      </dgm:t>
    </dgm:pt>
    <dgm:pt modelId="{20C49AB5-7DD8-42C2-9D1C-AC1CBC45EA70}" type="sibTrans" cxnId="{86FBAED0-5685-40DD-BA23-F3A61E4D0698}">
      <dgm:prSet/>
      <dgm:spPr/>
      <dgm:t>
        <a:bodyPr/>
        <a:lstStyle/>
        <a:p>
          <a:endParaRPr lang="es-ES"/>
        </a:p>
      </dgm:t>
    </dgm:pt>
    <dgm:pt modelId="{D4492CB7-A311-4A4B-814D-10058233C46C}">
      <dgm:prSet phldrT="[Texto]"/>
      <dgm:spPr/>
      <dgm:t>
        <a:bodyPr/>
        <a:lstStyle/>
        <a:p>
          <a:r>
            <a:rPr lang="es-ES" dirty="0"/>
            <a:t>Fuente: Estudio  corredores de aves</a:t>
          </a:r>
        </a:p>
        <a:p>
          <a:endParaRPr lang="es-ES" dirty="0"/>
        </a:p>
      </dgm:t>
    </dgm:pt>
    <dgm:pt modelId="{CC0F2B0C-1970-4D94-8A82-62136873FACD}" type="parTrans" cxnId="{9990C062-D460-415D-9AD1-B8104A278A3A}">
      <dgm:prSet/>
      <dgm:spPr/>
      <dgm:t>
        <a:bodyPr/>
        <a:lstStyle/>
        <a:p>
          <a:endParaRPr lang="es-ES"/>
        </a:p>
      </dgm:t>
    </dgm:pt>
    <dgm:pt modelId="{5A4FFE0D-6189-40BB-9B36-9AD2C89B11D5}" type="sibTrans" cxnId="{9990C062-D460-415D-9AD1-B8104A278A3A}">
      <dgm:prSet/>
      <dgm:spPr/>
      <dgm:t>
        <a:bodyPr/>
        <a:lstStyle/>
        <a:p>
          <a:endParaRPr lang="es-ES"/>
        </a:p>
      </dgm:t>
    </dgm:pt>
    <dgm:pt modelId="{69F20EA0-1FCB-434E-9829-16BF1941555C}" type="pres">
      <dgm:prSet presAssocID="{637FC42C-96BF-4880-9758-2E065B963EA9}" presName="Name0" presStyleCnt="0">
        <dgm:presLayoutVars>
          <dgm:chPref val="1"/>
          <dgm:dir/>
          <dgm:animOne val="branch"/>
          <dgm:animLvl val="lvl"/>
          <dgm:resizeHandles val="exact"/>
        </dgm:presLayoutVars>
      </dgm:prSet>
      <dgm:spPr/>
    </dgm:pt>
    <dgm:pt modelId="{0581FD74-EA80-4889-BA60-23B6804F9BA4}" type="pres">
      <dgm:prSet presAssocID="{FB19541E-D4EB-4DD6-81B5-76733A20E3DD}" presName="root1" presStyleCnt="0"/>
      <dgm:spPr/>
    </dgm:pt>
    <dgm:pt modelId="{468836F6-6C6B-499F-859D-AC213F42ADF3}" type="pres">
      <dgm:prSet presAssocID="{FB19541E-D4EB-4DD6-81B5-76733A20E3DD}" presName="LevelOneTextNode" presStyleLbl="node0" presStyleIdx="0" presStyleCnt="1">
        <dgm:presLayoutVars>
          <dgm:chPref val="3"/>
        </dgm:presLayoutVars>
      </dgm:prSet>
      <dgm:spPr/>
    </dgm:pt>
    <dgm:pt modelId="{3C9F52AC-1FBB-434D-9451-0AF8DDA3B2F2}" type="pres">
      <dgm:prSet presAssocID="{FB19541E-D4EB-4DD6-81B5-76733A20E3DD}" presName="level2hierChild" presStyleCnt="0"/>
      <dgm:spPr/>
    </dgm:pt>
    <dgm:pt modelId="{1BF5066B-85F6-49A0-B6B5-B79C7FD31721}" type="pres">
      <dgm:prSet presAssocID="{F72D6A17-77F6-4535-A2F6-79199CB06157}" presName="conn2-1" presStyleLbl="parChTrans1D2" presStyleIdx="0" presStyleCnt="6"/>
      <dgm:spPr/>
    </dgm:pt>
    <dgm:pt modelId="{B858B9CA-8D17-4314-BEB5-3D744D7ACCF8}" type="pres">
      <dgm:prSet presAssocID="{F72D6A17-77F6-4535-A2F6-79199CB06157}" presName="connTx" presStyleLbl="parChTrans1D2" presStyleIdx="0" presStyleCnt="6"/>
      <dgm:spPr/>
    </dgm:pt>
    <dgm:pt modelId="{E2A62B3C-160D-4ADB-AD98-06924E06E15B}" type="pres">
      <dgm:prSet presAssocID="{E931634D-B668-4E24-86A7-3C9B660359A1}" presName="root2" presStyleCnt="0"/>
      <dgm:spPr/>
    </dgm:pt>
    <dgm:pt modelId="{7FC68484-FCB6-4556-9723-6B1CD44BE9AA}" type="pres">
      <dgm:prSet presAssocID="{E931634D-B668-4E24-86A7-3C9B660359A1}" presName="LevelTwoTextNode" presStyleLbl="node2" presStyleIdx="0" presStyleCnt="6">
        <dgm:presLayoutVars>
          <dgm:chPref val="3"/>
        </dgm:presLayoutVars>
      </dgm:prSet>
      <dgm:spPr/>
    </dgm:pt>
    <dgm:pt modelId="{CB13EA70-E53E-4B15-931D-CEF1146927DE}" type="pres">
      <dgm:prSet presAssocID="{E931634D-B668-4E24-86A7-3C9B660359A1}" presName="level3hierChild" presStyleCnt="0"/>
      <dgm:spPr/>
    </dgm:pt>
    <dgm:pt modelId="{94DD58E9-7D08-4F52-83F9-93D72A36A12D}" type="pres">
      <dgm:prSet presAssocID="{6DE3D69C-401E-415E-9F78-8F6709C79AB3}" presName="conn2-1" presStyleLbl="parChTrans1D3" presStyleIdx="0" presStyleCnt="6"/>
      <dgm:spPr/>
    </dgm:pt>
    <dgm:pt modelId="{8DBCEE26-5C0C-4842-A509-D6BB3BC18BE2}" type="pres">
      <dgm:prSet presAssocID="{6DE3D69C-401E-415E-9F78-8F6709C79AB3}" presName="connTx" presStyleLbl="parChTrans1D3" presStyleIdx="0" presStyleCnt="6"/>
      <dgm:spPr/>
    </dgm:pt>
    <dgm:pt modelId="{63E9EF9B-C4B8-4F77-A117-BCE0DFD15DDE}" type="pres">
      <dgm:prSet presAssocID="{F01BE810-0448-4215-8693-14DC94911FB6}" presName="root2" presStyleCnt="0"/>
      <dgm:spPr/>
    </dgm:pt>
    <dgm:pt modelId="{D379C072-4C18-48D2-91FD-CB75821FECD6}" type="pres">
      <dgm:prSet presAssocID="{F01BE810-0448-4215-8693-14DC94911FB6}" presName="LevelTwoTextNode" presStyleLbl="node3" presStyleIdx="0" presStyleCnt="6">
        <dgm:presLayoutVars>
          <dgm:chPref val="3"/>
        </dgm:presLayoutVars>
      </dgm:prSet>
      <dgm:spPr/>
    </dgm:pt>
    <dgm:pt modelId="{DB5B2310-FCAC-45FA-91D7-37A563B50593}" type="pres">
      <dgm:prSet presAssocID="{F01BE810-0448-4215-8693-14DC94911FB6}" presName="level3hierChild" presStyleCnt="0"/>
      <dgm:spPr/>
    </dgm:pt>
    <dgm:pt modelId="{CA52C601-1945-4B05-BE76-DEB5693C80FB}" type="pres">
      <dgm:prSet presAssocID="{BEC96218-DF50-4260-B0EE-DC17A4CBE343}" presName="conn2-1" presStyleLbl="parChTrans1D2" presStyleIdx="1" presStyleCnt="6"/>
      <dgm:spPr/>
    </dgm:pt>
    <dgm:pt modelId="{ECF47E31-6B0E-466B-BC68-CBD3B233078D}" type="pres">
      <dgm:prSet presAssocID="{BEC96218-DF50-4260-B0EE-DC17A4CBE343}" presName="connTx" presStyleLbl="parChTrans1D2" presStyleIdx="1" presStyleCnt="6"/>
      <dgm:spPr/>
    </dgm:pt>
    <dgm:pt modelId="{339B11EB-1FFF-4D1D-8293-1A9468AC523B}" type="pres">
      <dgm:prSet presAssocID="{FA214B4E-6E3E-4FD0-BAB9-C6A60394D859}" presName="root2" presStyleCnt="0"/>
      <dgm:spPr/>
    </dgm:pt>
    <dgm:pt modelId="{97514B3C-D275-43FD-82B3-B9267D382F2B}" type="pres">
      <dgm:prSet presAssocID="{FA214B4E-6E3E-4FD0-BAB9-C6A60394D859}" presName="LevelTwoTextNode" presStyleLbl="node2" presStyleIdx="1" presStyleCnt="6">
        <dgm:presLayoutVars>
          <dgm:chPref val="3"/>
        </dgm:presLayoutVars>
      </dgm:prSet>
      <dgm:spPr/>
    </dgm:pt>
    <dgm:pt modelId="{3E4EDEDA-9632-49B8-A86F-E69BFAEDDEA3}" type="pres">
      <dgm:prSet presAssocID="{FA214B4E-6E3E-4FD0-BAB9-C6A60394D859}" presName="level3hierChild" presStyleCnt="0"/>
      <dgm:spPr/>
    </dgm:pt>
    <dgm:pt modelId="{CA18B555-CA9B-47F6-AF2E-C9AE23C40487}" type="pres">
      <dgm:prSet presAssocID="{FE8B9B02-4D64-47ED-ABDA-389CA9A0379D}" presName="conn2-1" presStyleLbl="parChTrans1D3" presStyleIdx="1" presStyleCnt="6"/>
      <dgm:spPr/>
    </dgm:pt>
    <dgm:pt modelId="{66A55DBC-32D1-489E-9286-E42D343BD982}" type="pres">
      <dgm:prSet presAssocID="{FE8B9B02-4D64-47ED-ABDA-389CA9A0379D}" presName="connTx" presStyleLbl="parChTrans1D3" presStyleIdx="1" presStyleCnt="6"/>
      <dgm:spPr/>
    </dgm:pt>
    <dgm:pt modelId="{F6DF434A-CBF8-4326-8A35-E83B59038FDE}" type="pres">
      <dgm:prSet presAssocID="{7949FDB4-9EAC-4D85-A7B7-3BDC89D0ECD0}" presName="root2" presStyleCnt="0"/>
      <dgm:spPr/>
    </dgm:pt>
    <dgm:pt modelId="{B886868D-EB31-44B6-B380-1A1F03F8A25B}" type="pres">
      <dgm:prSet presAssocID="{7949FDB4-9EAC-4D85-A7B7-3BDC89D0ECD0}" presName="LevelTwoTextNode" presStyleLbl="node3" presStyleIdx="1" presStyleCnt="6">
        <dgm:presLayoutVars>
          <dgm:chPref val="3"/>
        </dgm:presLayoutVars>
      </dgm:prSet>
      <dgm:spPr/>
    </dgm:pt>
    <dgm:pt modelId="{9314B3A1-C050-4BFD-9ED5-0143E073D6E3}" type="pres">
      <dgm:prSet presAssocID="{7949FDB4-9EAC-4D85-A7B7-3BDC89D0ECD0}" presName="level3hierChild" presStyleCnt="0"/>
      <dgm:spPr/>
    </dgm:pt>
    <dgm:pt modelId="{0C8D2A2F-CE8B-41DF-9D91-0399AED21D8A}" type="pres">
      <dgm:prSet presAssocID="{9DBA0772-2321-47FB-A694-A0B096248446}" presName="conn2-1" presStyleLbl="parChTrans1D2" presStyleIdx="2" presStyleCnt="6"/>
      <dgm:spPr/>
    </dgm:pt>
    <dgm:pt modelId="{CC09EB7C-5537-4FE2-A43B-FF0F11659DBD}" type="pres">
      <dgm:prSet presAssocID="{9DBA0772-2321-47FB-A694-A0B096248446}" presName="connTx" presStyleLbl="parChTrans1D2" presStyleIdx="2" presStyleCnt="6"/>
      <dgm:spPr/>
    </dgm:pt>
    <dgm:pt modelId="{D784CEB1-4ADE-40D6-9FFC-4D95B735EFB2}" type="pres">
      <dgm:prSet presAssocID="{71C48210-B9E4-490B-8C80-596D35C948C4}" presName="root2" presStyleCnt="0"/>
      <dgm:spPr/>
    </dgm:pt>
    <dgm:pt modelId="{0E90DCDA-4CE2-40D9-BAE0-A63F66ADDF96}" type="pres">
      <dgm:prSet presAssocID="{71C48210-B9E4-490B-8C80-596D35C948C4}" presName="LevelTwoTextNode" presStyleLbl="node2" presStyleIdx="2" presStyleCnt="6">
        <dgm:presLayoutVars>
          <dgm:chPref val="3"/>
        </dgm:presLayoutVars>
      </dgm:prSet>
      <dgm:spPr/>
    </dgm:pt>
    <dgm:pt modelId="{90BF10A1-0C35-4321-8202-753B50D50340}" type="pres">
      <dgm:prSet presAssocID="{71C48210-B9E4-490B-8C80-596D35C948C4}" presName="level3hierChild" presStyleCnt="0"/>
      <dgm:spPr/>
    </dgm:pt>
    <dgm:pt modelId="{CBD9CC20-76EC-43D4-A6DF-F52E00D312A1}" type="pres">
      <dgm:prSet presAssocID="{53B913B6-6A33-427E-8D65-CDCDF4E9C7AE}" presName="conn2-1" presStyleLbl="parChTrans1D3" presStyleIdx="2" presStyleCnt="6"/>
      <dgm:spPr/>
    </dgm:pt>
    <dgm:pt modelId="{50F33A40-4707-442A-8899-C01D93B315C0}" type="pres">
      <dgm:prSet presAssocID="{53B913B6-6A33-427E-8D65-CDCDF4E9C7AE}" presName="connTx" presStyleLbl="parChTrans1D3" presStyleIdx="2" presStyleCnt="6"/>
      <dgm:spPr/>
    </dgm:pt>
    <dgm:pt modelId="{23C0825B-FE6E-49FF-B72E-E3DA13C34088}" type="pres">
      <dgm:prSet presAssocID="{744E8C43-8547-47F7-9142-646A2BE2A966}" presName="root2" presStyleCnt="0"/>
      <dgm:spPr/>
    </dgm:pt>
    <dgm:pt modelId="{828E95DD-2742-4A79-8562-5E6E48A1CC1B}" type="pres">
      <dgm:prSet presAssocID="{744E8C43-8547-47F7-9142-646A2BE2A966}" presName="LevelTwoTextNode" presStyleLbl="node3" presStyleIdx="2" presStyleCnt="6">
        <dgm:presLayoutVars>
          <dgm:chPref val="3"/>
        </dgm:presLayoutVars>
      </dgm:prSet>
      <dgm:spPr/>
    </dgm:pt>
    <dgm:pt modelId="{858E228E-7CB3-41A5-9CA3-0E46EE9B7E7A}" type="pres">
      <dgm:prSet presAssocID="{744E8C43-8547-47F7-9142-646A2BE2A966}" presName="level3hierChild" presStyleCnt="0"/>
      <dgm:spPr/>
    </dgm:pt>
    <dgm:pt modelId="{3562C788-2495-4461-B52E-15E2EC0C3317}" type="pres">
      <dgm:prSet presAssocID="{DB09DC64-3A2A-41F8-86D5-8AC1006865A8}" presName="conn2-1" presStyleLbl="parChTrans1D2" presStyleIdx="3" presStyleCnt="6"/>
      <dgm:spPr/>
    </dgm:pt>
    <dgm:pt modelId="{B2EE53BF-512D-476E-80F9-AA8EB6AAA3FB}" type="pres">
      <dgm:prSet presAssocID="{DB09DC64-3A2A-41F8-86D5-8AC1006865A8}" presName="connTx" presStyleLbl="parChTrans1D2" presStyleIdx="3" presStyleCnt="6"/>
      <dgm:spPr/>
    </dgm:pt>
    <dgm:pt modelId="{66B57006-B09C-4C02-B134-6102EE6FD8E2}" type="pres">
      <dgm:prSet presAssocID="{B4598836-98B7-4708-AAB3-70AE74022C3C}" presName="root2" presStyleCnt="0"/>
      <dgm:spPr/>
    </dgm:pt>
    <dgm:pt modelId="{05D8DACC-88FC-4A9A-8248-AD353D08AA6B}" type="pres">
      <dgm:prSet presAssocID="{B4598836-98B7-4708-AAB3-70AE74022C3C}" presName="LevelTwoTextNode" presStyleLbl="node2" presStyleIdx="3" presStyleCnt="6">
        <dgm:presLayoutVars>
          <dgm:chPref val="3"/>
        </dgm:presLayoutVars>
      </dgm:prSet>
      <dgm:spPr/>
    </dgm:pt>
    <dgm:pt modelId="{66FE3FDA-8328-4491-AE91-A7886CE922E7}" type="pres">
      <dgm:prSet presAssocID="{B4598836-98B7-4708-AAB3-70AE74022C3C}" presName="level3hierChild" presStyleCnt="0"/>
      <dgm:spPr/>
    </dgm:pt>
    <dgm:pt modelId="{D285EC34-4449-480F-BB42-AC5936A71CAB}" type="pres">
      <dgm:prSet presAssocID="{8F248669-B57E-45AA-A06B-ACDB5EE57841}" presName="conn2-1" presStyleLbl="parChTrans1D3" presStyleIdx="3" presStyleCnt="6"/>
      <dgm:spPr/>
    </dgm:pt>
    <dgm:pt modelId="{672439EC-AB5C-459E-A6F8-BF14D8396BEE}" type="pres">
      <dgm:prSet presAssocID="{8F248669-B57E-45AA-A06B-ACDB5EE57841}" presName="connTx" presStyleLbl="parChTrans1D3" presStyleIdx="3" presStyleCnt="6"/>
      <dgm:spPr/>
    </dgm:pt>
    <dgm:pt modelId="{00EB4A3A-FC2D-43E0-BDE3-7728E20D541D}" type="pres">
      <dgm:prSet presAssocID="{C03234F6-F3B0-4E48-B79B-1402D9798B99}" presName="root2" presStyleCnt="0"/>
      <dgm:spPr/>
    </dgm:pt>
    <dgm:pt modelId="{F87056F1-ABE2-4A23-9DE0-D160EC2A0771}" type="pres">
      <dgm:prSet presAssocID="{C03234F6-F3B0-4E48-B79B-1402D9798B99}" presName="LevelTwoTextNode" presStyleLbl="node3" presStyleIdx="3" presStyleCnt="6">
        <dgm:presLayoutVars>
          <dgm:chPref val="3"/>
        </dgm:presLayoutVars>
      </dgm:prSet>
      <dgm:spPr/>
    </dgm:pt>
    <dgm:pt modelId="{E667CB45-916D-48E4-A3FD-00F1A05B934D}" type="pres">
      <dgm:prSet presAssocID="{C03234F6-F3B0-4E48-B79B-1402D9798B99}" presName="level3hierChild" presStyleCnt="0"/>
      <dgm:spPr/>
    </dgm:pt>
    <dgm:pt modelId="{617E72C1-BB7A-4656-8667-5955BA81E764}" type="pres">
      <dgm:prSet presAssocID="{7BFC9CBD-9D12-4BCE-AF9B-193A2CD32EE8}" presName="conn2-1" presStyleLbl="parChTrans1D2" presStyleIdx="4" presStyleCnt="6"/>
      <dgm:spPr/>
    </dgm:pt>
    <dgm:pt modelId="{6C5E5E52-8B11-4C8E-8C1A-3F9D962C76B7}" type="pres">
      <dgm:prSet presAssocID="{7BFC9CBD-9D12-4BCE-AF9B-193A2CD32EE8}" presName="connTx" presStyleLbl="parChTrans1D2" presStyleIdx="4" presStyleCnt="6"/>
      <dgm:spPr/>
    </dgm:pt>
    <dgm:pt modelId="{60773319-86C9-460A-9759-F1D6594BCF65}" type="pres">
      <dgm:prSet presAssocID="{DF07F6C9-B3E0-414B-AD8F-C73929259227}" presName="root2" presStyleCnt="0"/>
      <dgm:spPr/>
    </dgm:pt>
    <dgm:pt modelId="{EE20EB8F-A744-40E2-AC21-4BCF757B265F}" type="pres">
      <dgm:prSet presAssocID="{DF07F6C9-B3E0-414B-AD8F-C73929259227}" presName="LevelTwoTextNode" presStyleLbl="node2" presStyleIdx="4" presStyleCnt="6">
        <dgm:presLayoutVars>
          <dgm:chPref val="3"/>
        </dgm:presLayoutVars>
      </dgm:prSet>
      <dgm:spPr/>
    </dgm:pt>
    <dgm:pt modelId="{036B6C18-9FF9-47A1-919D-C92A91C17354}" type="pres">
      <dgm:prSet presAssocID="{DF07F6C9-B3E0-414B-AD8F-C73929259227}" presName="level3hierChild" presStyleCnt="0"/>
      <dgm:spPr/>
    </dgm:pt>
    <dgm:pt modelId="{DB732FE3-1365-40AB-B9F0-9B83061377D9}" type="pres">
      <dgm:prSet presAssocID="{3E1D0794-B752-4E5B-99BD-DDB86938D5ED}" presName="conn2-1" presStyleLbl="parChTrans1D3" presStyleIdx="4" presStyleCnt="6"/>
      <dgm:spPr/>
    </dgm:pt>
    <dgm:pt modelId="{036E57C1-3099-411D-9232-568D0CDC6A7B}" type="pres">
      <dgm:prSet presAssocID="{3E1D0794-B752-4E5B-99BD-DDB86938D5ED}" presName="connTx" presStyleLbl="parChTrans1D3" presStyleIdx="4" presStyleCnt="6"/>
      <dgm:spPr/>
    </dgm:pt>
    <dgm:pt modelId="{E3013781-7358-4328-AFE9-0432CA462DAD}" type="pres">
      <dgm:prSet presAssocID="{E57505C4-308F-4641-9EE4-5BC94E8DE960}" presName="root2" presStyleCnt="0"/>
      <dgm:spPr/>
    </dgm:pt>
    <dgm:pt modelId="{98532D0D-CBF8-4AE5-B598-9A336BFFFF40}" type="pres">
      <dgm:prSet presAssocID="{E57505C4-308F-4641-9EE4-5BC94E8DE960}" presName="LevelTwoTextNode" presStyleLbl="node3" presStyleIdx="4" presStyleCnt="6">
        <dgm:presLayoutVars>
          <dgm:chPref val="3"/>
        </dgm:presLayoutVars>
      </dgm:prSet>
      <dgm:spPr/>
    </dgm:pt>
    <dgm:pt modelId="{B40AD100-5A3E-4F1A-B684-9741A7DACC2C}" type="pres">
      <dgm:prSet presAssocID="{E57505C4-308F-4641-9EE4-5BC94E8DE960}" presName="level3hierChild" presStyleCnt="0"/>
      <dgm:spPr/>
    </dgm:pt>
    <dgm:pt modelId="{55E1379D-6F7C-442D-AB2B-913F4A8F24B7}" type="pres">
      <dgm:prSet presAssocID="{83E130D4-742B-4AC8-80F2-7F6F915E2C39}" presName="conn2-1" presStyleLbl="parChTrans1D2" presStyleIdx="5" presStyleCnt="6"/>
      <dgm:spPr/>
    </dgm:pt>
    <dgm:pt modelId="{78B3CB64-8B73-49FB-939C-957C837C80BB}" type="pres">
      <dgm:prSet presAssocID="{83E130D4-742B-4AC8-80F2-7F6F915E2C39}" presName="connTx" presStyleLbl="parChTrans1D2" presStyleIdx="5" presStyleCnt="6"/>
      <dgm:spPr/>
    </dgm:pt>
    <dgm:pt modelId="{F68389D9-CE54-408B-AEA7-5A5AA8AB854F}" type="pres">
      <dgm:prSet presAssocID="{08124EB4-A715-44AF-9077-914A2E341D78}" presName="root2" presStyleCnt="0"/>
      <dgm:spPr/>
    </dgm:pt>
    <dgm:pt modelId="{11BDD38D-AD40-4C07-98CC-F664530203C7}" type="pres">
      <dgm:prSet presAssocID="{08124EB4-A715-44AF-9077-914A2E341D78}" presName="LevelTwoTextNode" presStyleLbl="node2" presStyleIdx="5" presStyleCnt="6">
        <dgm:presLayoutVars>
          <dgm:chPref val="3"/>
        </dgm:presLayoutVars>
      </dgm:prSet>
      <dgm:spPr/>
    </dgm:pt>
    <dgm:pt modelId="{B44C7D91-FFF4-49A5-B95D-13BB6DB92CDF}" type="pres">
      <dgm:prSet presAssocID="{08124EB4-A715-44AF-9077-914A2E341D78}" presName="level3hierChild" presStyleCnt="0"/>
      <dgm:spPr/>
    </dgm:pt>
    <dgm:pt modelId="{ADCE532D-8BE6-4E8F-998B-9DDDD844F06B}" type="pres">
      <dgm:prSet presAssocID="{CC0F2B0C-1970-4D94-8A82-62136873FACD}" presName="conn2-1" presStyleLbl="parChTrans1D3" presStyleIdx="5" presStyleCnt="6"/>
      <dgm:spPr/>
    </dgm:pt>
    <dgm:pt modelId="{57662307-DB32-4748-A19C-FF9E96F5C8B9}" type="pres">
      <dgm:prSet presAssocID="{CC0F2B0C-1970-4D94-8A82-62136873FACD}" presName="connTx" presStyleLbl="parChTrans1D3" presStyleIdx="5" presStyleCnt="6"/>
      <dgm:spPr/>
    </dgm:pt>
    <dgm:pt modelId="{14A2FF10-1BD0-49F0-B8F8-A2280DAF73CC}" type="pres">
      <dgm:prSet presAssocID="{D4492CB7-A311-4A4B-814D-10058233C46C}" presName="root2" presStyleCnt="0"/>
      <dgm:spPr/>
    </dgm:pt>
    <dgm:pt modelId="{E7DC369E-BB06-4C69-BF28-AFF4C4B8776B}" type="pres">
      <dgm:prSet presAssocID="{D4492CB7-A311-4A4B-814D-10058233C46C}" presName="LevelTwoTextNode" presStyleLbl="node3" presStyleIdx="5" presStyleCnt="6">
        <dgm:presLayoutVars>
          <dgm:chPref val="3"/>
        </dgm:presLayoutVars>
      </dgm:prSet>
      <dgm:spPr/>
    </dgm:pt>
    <dgm:pt modelId="{046B4E5B-431D-42BB-9950-10F94D9E5D0C}" type="pres">
      <dgm:prSet presAssocID="{D4492CB7-A311-4A4B-814D-10058233C46C}" presName="level3hierChild" presStyleCnt="0"/>
      <dgm:spPr/>
    </dgm:pt>
  </dgm:ptLst>
  <dgm:cxnLst>
    <dgm:cxn modelId="{B79F240B-AC39-415F-BEFC-68B9456A4F2C}" type="presOf" srcId="{D4492CB7-A311-4A4B-814D-10058233C46C}" destId="{E7DC369E-BB06-4C69-BF28-AFF4C4B8776B}" srcOrd="0" destOrd="0" presId="urn:microsoft.com/office/officeart/2008/layout/HorizontalMultiLevelHierarchy"/>
    <dgm:cxn modelId="{DC2DEA18-4838-4C30-9192-64C78227B97E}" srcId="{FB19541E-D4EB-4DD6-81B5-76733A20E3DD}" destId="{DF07F6C9-B3E0-414B-AD8F-C73929259227}" srcOrd="4" destOrd="0" parTransId="{7BFC9CBD-9D12-4BCE-AF9B-193A2CD32EE8}" sibTransId="{ED8E27FD-BE17-4C32-A04E-B5BECDF7FDA7}"/>
    <dgm:cxn modelId="{4B68F11B-B8D7-43D4-A4F1-2D8312D4DE6D}" srcId="{71C48210-B9E4-490B-8C80-596D35C948C4}" destId="{744E8C43-8547-47F7-9142-646A2BE2A966}" srcOrd="0" destOrd="0" parTransId="{53B913B6-6A33-427E-8D65-CDCDF4E9C7AE}" sibTransId="{C63A0649-CF4E-47EE-B86C-8D21FBC01814}"/>
    <dgm:cxn modelId="{EAE86E1F-D4F9-40EC-A881-39FE692E30AE}" type="presOf" srcId="{CC0F2B0C-1970-4D94-8A82-62136873FACD}" destId="{57662307-DB32-4748-A19C-FF9E96F5C8B9}" srcOrd="1" destOrd="0" presId="urn:microsoft.com/office/officeart/2008/layout/HorizontalMultiLevelHierarchy"/>
    <dgm:cxn modelId="{7D79A222-0429-44B7-ABEE-AABB4A36B930}" type="presOf" srcId="{8F248669-B57E-45AA-A06B-ACDB5EE57841}" destId="{D285EC34-4449-480F-BB42-AC5936A71CAB}" srcOrd="0" destOrd="0" presId="urn:microsoft.com/office/officeart/2008/layout/HorizontalMultiLevelHierarchy"/>
    <dgm:cxn modelId="{50002C24-F560-423F-97A2-7CA60BDC0AB6}" type="presOf" srcId="{71C48210-B9E4-490B-8C80-596D35C948C4}" destId="{0E90DCDA-4CE2-40D9-BAE0-A63F66ADDF96}" srcOrd="0" destOrd="0" presId="urn:microsoft.com/office/officeart/2008/layout/HorizontalMultiLevelHierarchy"/>
    <dgm:cxn modelId="{1323CC24-DA4A-4C2C-B75C-3A83F55EB04F}" type="presOf" srcId="{C03234F6-F3B0-4E48-B79B-1402D9798B99}" destId="{F87056F1-ABE2-4A23-9DE0-D160EC2A0771}" srcOrd="0" destOrd="0" presId="urn:microsoft.com/office/officeart/2008/layout/HorizontalMultiLevelHierarchy"/>
    <dgm:cxn modelId="{D9234025-5B38-4140-A838-ADB821E51F3D}" type="presOf" srcId="{DF07F6C9-B3E0-414B-AD8F-C73929259227}" destId="{EE20EB8F-A744-40E2-AC21-4BCF757B265F}" srcOrd="0" destOrd="0" presId="urn:microsoft.com/office/officeart/2008/layout/HorizontalMultiLevelHierarchy"/>
    <dgm:cxn modelId="{83DC9633-467E-4B6C-A295-F7683E81FDF1}" type="presOf" srcId="{3E1D0794-B752-4E5B-99BD-DDB86938D5ED}" destId="{DB732FE3-1365-40AB-B9F0-9B83061377D9}" srcOrd="0" destOrd="0" presId="urn:microsoft.com/office/officeart/2008/layout/HorizontalMultiLevelHierarchy"/>
    <dgm:cxn modelId="{84336534-070F-424A-A60B-6E325C39A374}" type="presOf" srcId="{83E130D4-742B-4AC8-80F2-7F6F915E2C39}" destId="{55E1379D-6F7C-442D-AB2B-913F4A8F24B7}" srcOrd="0" destOrd="0" presId="urn:microsoft.com/office/officeart/2008/layout/HorizontalMultiLevelHierarchy"/>
    <dgm:cxn modelId="{A4BB6D35-841E-4A42-8F17-B17B857A9273}" type="presOf" srcId="{53B913B6-6A33-427E-8D65-CDCDF4E9C7AE}" destId="{CBD9CC20-76EC-43D4-A6DF-F52E00D312A1}" srcOrd="0" destOrd="0" presId="urn:microsoft.com/office/officeart/2008/layout/HorizontalMultiLevelHierarchy"/>
    <dgm:cxn modelId="{C6A88F3B-9387-4884-943F-EDBA7EA3A269}" type="presOf" srcId="{6DE3D69C-401E-415E-9F78-8F6709C79AB3}" destId="{8DBCEE26-5C0C-4842-A509-D6BB3BC18BE2}" srcOrd="1" destOrd="0" presId="urn:microsoft.com/office/officeart/2008/layout/HorizontalMultiLevelHierarchy"/>
    <dgm:cxn modelId="{2A5B795B-D434-4C32-9719-F4595DA39D42}" type="presOf" srcId="{F72D6A17-77F6-4535-A2F6-79199CB06157}" destId="{B858B9CA-8D17-4314-BEB5-3D744D7ACCF8}" srcOrd="1" destOrd="0" presId="urn:microsoft.com/office/officeart/2008/layout/HorizontalMultiLevelHierarchy"/>
    <dgm:cxn modelId="{1BDE4F60-28BE-4B31-8381-3680D839C663}" type="presOf" srcId="{FE8B9B02-4D64-47ED-ABDA-389CA9A0379D}" destId="{66A55DBC-32D1-489E-9286-E42D343BD982}" srcOrd="1" destOrd="0" presId="urn:microsoft.com/office/officeart/2008/layout/HorizontalMultiLevelHierarchy"/>
    <dgm:cxn modelId="{4A315860-74A6-4BA3-AE09-61C3EC434AB9}" type="presOf" srcId="{3E1D0794-B752-4E5B-99BD-DDB86938D5ED}" destId="{036E57C1-3099-411D-9232-568D0CDC6A7B}" srcOrd="1" destOrd="0" presId="urn:microsoft.com/office/officeart/2008/layout/HorizontalMultiLevelHierarchy"/>
    <dgm:cxn modelId="{9990C062-D460-415D-9AD1-B8104A278A3A}" srcId="{08124EB4-A715-44AF-9077-914A2E341D78}" destId="{D4492CB7-A311-4A4B-814D-10058233C46C}" srcOrd="0" destOrd="0" parTransId="{CC0F2B0C-1970-4D94-8A82-62136873FACD}" sibTransId="{5A4FFE0D-6189-40BB-9B36-9AD2C89B11D5}"/>
    <dgm:cxn modelId="{AB580945-407E-47A2-84EF-DD0A57E588FD}" type="presOf" srcId="{BEC96218-DF50-4260-B0EE-DC17A4CBE343}" destId="{ECF47E31-6B0E-466B-BC68-CBD3B233078D}" srcOrd="1" destOrd="0" presId="urn:microsoft.com/office/officeart/2008/layout/HorizontalMultiLevelHierarchy"/>
    <dgm:cxn modelId="{0ABB1A65-4C42-420B-A36E-8C94C6714D6E}" type="presOf" srcId="{BEC96218-DF50-4260-B0EE-DC17A4CBE343}" destId="{CA52C601-1945-4B05-BE76-DEB5693C80FB}" srcOrd="0" destOrd="0" presId="urn:microsoft.com/office/officeart/2008/layout/HorizontalMultiLevelHierarchy"/>
    <dgm:cxn modelId="{389B304A-A9E6-48D7-B380-FAE50FA2817F}" type="presOf" srcId="{8F248669-B57E-45AA-A06B-ACDB5EE57841}" destId="{672439EC-AB5C-459E-A6F8-BF14D8396BEE}" srcOrd="1" destOrd="0" presId="urn:microsoft.com/office/officeart/2008/layout/HorizontalMultiLevelHierarchy"/>
    <dgm:cxn modelId="{86DAB24E-CDA0-4B3E-A5F8-173B0132359A}" srcId="{FB19541E-D4EB-4DD6-81B5-76733A20E3DD}" destId="{08124EB4-A715-44AF-9077-914A2E341D78}" srcOrd="5" destOrd="0" parTransId="{83E130D4-742B-4AC8-80F2-7F6F915E2C39}" sibTransId="{78840598-4613-460E-91BC-8CB3C24A8BB9}"/>
    <dgm:cxn modelId="{18722A70-E0BC-4D40-8EE4-3CC26B0F4F22}" type="presOf" srcId="{08124EB4-A715-44AF-9077-914A2E341D78}" destId="{11BDD38D-AD40-4C07-98CC-F664530203C7}" srcOrd="0" destOrd="0" presId="urn:microsoft.com/office/officeart/2008/layout/HorizontalMultiLevelHierarchy"/>
    <dgm:cxn modelId="{47680876-1116-4757-AC31-8FAA2A9D8E81}" srcId="{E931634D-B668-4E24-86A7-3C9B660359A1}" destId="{F01BE810-0448-4215-8693-14DC94911FB6}" srcOrd="0" destOrd="0" parTransId="{6DE3D69C-401E-415E-9F78-8F6709C79AB3}" sibTransId="{8565F365-6D17-4D53-8E59-1966985300C2}"/>
    <dgm:cxn modelId="{1A75DD82-FDD0-48AF-B98E-12E91B925F64}" srcId="{FB19541E-D4EB-4DD6-81B5-76733A20E3DD}" destId="{71C48210-B9E4-490B-8C80-596D35C948C4}" srcOrd="2" destOrd="0" parTransId="{9DBA0772-2321-47FB-A694-A0B096248446}" sibTransId="{C446BE9A-7AEB-4417-8022-3672E27C3A0B}"/>
    <dgm:cxn modelId="{4CF80F85-EF31-4553-A2EA-1F7E1421142C}" srcId="{FB19541E-D4EB-4DD6-81B5-76733A20E3DD}" destId="{E931634D-B668-4E24-86A7-3C9B660359A1}" srcOrd="0" destOrd="0" parTransId="{F72D6A17-77F6-4535-A2F6-79199CB06157}" sibTransId="{7D66CBC6-D442-486E-BF13-E3E1F3BF82D3}"/>
    <dgm:cxn modelId="{B77D1E87-D79D-4480-A251-AFB030F98DB5}" type="presOf" srcId="{CC0F2B0C-1970-4D94-8A82-62136873FACD}" destId="{ADCE532D-8BE6-4E8F-998B-9DDDD844F06B}" srcOrd="0" destOrd="0" presId="urn:microsoft.com/office/officeart/2008/layout/HorizontalMultiLevelHierarchy"/>
    <dgm:cxn modelId="{10972F8A-B97C-42E6-B47A-31FFA2D0F21B}" type="presOf" srcId="{7949FDB4-9EAC-4D85-A7B7-3BDC89D0ECD0}" destId="{B886868D-EB31-44B6-B380-1A1F03F8A25B}" srcOrd="0" destOrd="0" presId="urn:microsoft.com/office/officeart/2008/layout/HorizontalMultiLevelHierarchy"/>
    <dgm:cxn modelId="{CDAEEB8F-3B09-456E-A8DF-ECAAB921DBE3}" type="presOf" srcId="{E931634D-B668-4E24-86A7-3C9B660359A1}" destId="{7FC68484-FCB6-4556-9723-6B1CD44BE9AA}" srcOrd="0" destOrd="0" presId="urn:microsoft.com/office/officeart/2008/layout/HorizontalMultiLevelHierarchy"/>
    <dgm:cxn modelId="{05DAE391-27BF-46A6-AB27-396556BF9272}" type="presOf" srcId="{637FC42C-96BF-4880-9758-2E065B963EA9}" destId="{69F20EA0-1FCB-434E-9829-16BF1941555C}" srcOrd="0" destOrd="0" presId="urn:microsoft.com/office/officeart/2008/layout/HorizontalMultiLevelHierarchy"/>
    <dgm:cxn modelId="{00532992-CAA0-4DDC-8C95-3E1DBE6CF042}" type="presOf" srcId="{7BFC9CBD-9D12-4BCE-AF9B-193A2CD32EE8}" destId="{617E72C1-BB7A-4656-8667-5955BA81E764}" srcOrd="0" destOrd="0" presId="urn:microsoft.com/office/officeart/2008/layout/HorizontalMultiLevelHierarchy"/>
    <dgm:cxn modelId="{55509DA6-1189-4CED-9AE4-4834A0758401}" type="presOf" srcId="{DB09DC64-3A2A-41F8-86D5-8AC1006865A8}" destId="{3562C788-2495-4461-B52E-15E2EC0C3317}" srcOrd="0" destOrd="0" presId="urn:microsoft.com/office/officeart/2008/layout/HorizontalMultiLevelHierarchy"/>
    <dgm:cxn modelId="{EBA7D7AC-02D5-440C-9FB3-904C989E2C6C}" type="presOf" srcId="{FB19541E-D4EB-4DD6-81B5-76733A20E3DD}" destId="{468836F6-6C6B-499F-859D-AC213F42ADF3}" srcOrd="0" destOrd="0" presId="urn:microsoft.com/office/officeart/2008/layout/HorizontalMultiLevelHierarchy"/>
    <dgm:cxn modelId="{9DE421AF-23CB-4675-A666-0678687F7800}" srcId="{B4598836-98B7-4708-AAB3-70AE74022C3C}" destId="{C03234F6-F3B0-4E48-B79B-1402D9798B99}" srcOrd="0" destOrd="0" parTransId="{8F248669-B57E-45AA-A06B-ACDB5EE57841}" sibTransId="{83B40881-B664-4E55-A937-7F7045928E05}"/>
    <dgm:cxn modelId="{623D80B6-FC44-457D-9D7B-2D4F923D472A}" type="presOf" srcId="{DB09DC64-3A2A-41F8-86D5-8AC1006865A8}" destId="{B2EE53BF-512D-476E-80F9-AA8EB6AAA3FB}" srcOrd="1" destOrd="0" presId="urn:microsoft.com/office/officeart/2008/layout/HorizontalMultiLevelHierarchy"/>
    <dgm:cxn modelId="{1257CDB7-4022-4A4E-AD18-DF39C70235B8}" type="presOf" srcId="{FE8B9B02-4D64-47ED-ABDA-389CA9A0379D}" destId="{CA18B555-CA9B-47F6-AF2E-C9AE23C40487}" srcOrd="0" destOrd="0" presId="urn:microsoft.com/office/officeart/2008/layout/HorizontalMultiLevelHierarchy"/>
    <dgm:cxn modelId="{D0601FBC-9B30-4CC5-AACE-228B70E4723E}" type="presOf" srcId="{9DBA0772-2321-47FB-A694-A0B096248446}" destId="{CC09EB7C-5537-4FE2-A43B-FF0F11659DBD}" srcOrd="1" destOrd="0" presId="urn:microsoft.com/office/officeart/2008/layout/HorizontalMultiLevelHierarchy"/>
    <dgm:cxn modelId="{93280EBE-B68D-4DDA-9419-2D1882259E3D}" type="presOf" srcId="{E57505C4-308F-4641-9EE4-5BC94E8DE960}" destId="{98532D0D-CBF8-4AE5-B598-9A336BFFFF40}" srcOrd="0" destOrd="0" presId="urn:microsoft.com/office/officeart/2008/layout/HorizontalMultiLevelHierarchy"/>
    <dgm:cxn modelId="{A94CF3C5-93DF-4CC1-900B-DBD75B9E532C}" srcId="{FB19541E-D4EB-4DD6-81B5-76733A20E3DD}" destId="{B4598836-98B7-4708-AAB3-70AE74022C3C}" srcOrd="3" destOrd="0" parTransId="{DB09DC64-3A2A-41F8-86D5-8AC1006865A8}" sibTransId="{FFE09974-095E-4F68-A94F-3C40572C39C8}"/>
    <dgm:cxn modelId="{EE293CCA-3589-41B6-B44F-B768DEF221B2}" type="presOf" srcId="{83E130D4-742B-4AC8-80F2-7F6F915E2C39}" destId="{78B3CB64-8B73-49FB-939C-957C837C80BB}" srcOrd="1" destOrd="0" presId="urn:microsoft.com/office/officeart/2008/layout/HorizontalMultiLevelHierarchy"/>
    <dgm:cxn modelId="{E848C1CB-073C-477E-8404-51672E990890}" type="presOf" srcId="{FA214B4E-6E3E-4FD0-BAB9-C6A60394D859}" destId="{97514B3C-D275-43FD-82B3-B9267D382F2B}" srcOrd="0" destOrd="0" presId="urn:microsoft.com/office/officeart/2008/layout/HorizontalMultiLevelHierarchy"/>
    <dgm:cxn modelId="{C391F7CB-0101-4692-8B6A-ED1637369802}" type="presOf" srcId="{7BFC9CBD-9D12-4BCE-AF9B-193A2CD32EE8}" destId="{6C5E5E52-8B11-4C8E-8C1A-3F9D962C76B7}" srcOrd="1" destOrd="0" presId="urn:microsoft.com/office/officeart/2008/layout/HorizontalMultiLevelHierarchy"/>
    <dgm:cxn modelId="{DAE287CF-6F8F-4C58-965A-4C45927D5DBC}" type="presOf" srcId="{9DBA0772-2321-47FB-A694-A0B096248446}" destId="{0C8D2A2F-CE8B-41DF-9D91-0399AED21D8A}" srcOrd="0" destOrd="0" presId="urn:microsoft.com/office/officeart/2008/layout/HorizontalMultiLevelHierarchy"/>
    <dgm:cxn modelId="{86FBAED0-5685-40DD-BA23-F3A61E4D0698}" srcId="{DF07F6C9-B3E0-414B-AD8F-C73929259227}" destId="{E57505C4-308F-4641-9EE4-5BC94E8DE960}" srcOrd="0" destOrd="0" parTransId="{3E1D0794-B752-4E5B-99BD-DDB86938D5ED}" sibTransId="{20C49AB5-7DD8-42C2-9D1C-AC1CBC45EA70}"/>
    <dgm:cxn modelId="{163134D2-E075-44A6-B3C2-F58D8AD68DCF}" srcId="{637FC42C-96BF-4880-9758-2E065B963EA9}" destId="{FB19541E-D4EB-4DD6-81B5-76733A20E3DD}" srcOrd="0" destOrd="0" parTransId="{59EA830F-DCED-443C-B252-76A3D3041D8C}" sibTransId="{BDF2EDB0-32EC-46B7-8730-96EF90D9CD21}"/>
    <dgm:cxn modelId="{A03E68D5-D045-47D7-B2DE-ECCAD5FDB101}" srcId="{FB19541E-D4EB-4DD6-81B5-76733A20E3DD}" destId="{FA214B4E-6E3E-4FD0-BAB9-C6A60394D859}" srcOrd="1" destOrd="0" parTransId="{BEC96218-DF50-4260-B0EE-DC17A4CBE343}" sibTransId="{B96D435B-22F3-49B5-90EE-992C8172ECCB}"/>
    <dgm:cxn modelId="{1F6580DE-0CBA-4280-B490-159384864C74}" type="presOf" srcId="{B4598836-98B7-4708-AAB3-70AE74022C3C}" destId="{05D8DACC-88FC-4A9A-8248-AD353D08AA6B}" srcOrd="0" destOrd="0" presId="urn:microsoft.com/office/officeart/2008/layout/HorizontalMultiLevelHierarchy"/>
    <dgm:cxn modelId="{E47A70E2-886D-48F9-BF02-53E855DBD5CF}" type="presOf" srcId="{F72D6A17-77F6-4535-A2F6-79199CB06157}" destId="{1BF5066B-85F6-49A0-B6B5-B79C7FD31721}" srcOrd="0" destOrd="0" presId="urn:microsoft.com/office/officeart/2008/layout/HorizontalMultiLevelHierarchy"/>
    <dgm:cxn modelId="{847054E4-C3CA-404F-B06B-F3A4D5E8BE23}" type="presOf" srcId="{744E8C43-8547-47F7-9142-646A2BE2A966}" destId="{828E95DD-2742-4A79-8562-5E6E48A1CC1B}" srcOrd="0" destOrd="0" presId="urn:microsoft.com/office/officeart/2008/layout/HorizontalMultiLevelHierarchy"/>
    <dgm:cxn modelId="{FF1805E7-1287-4127-A81A-2D346EF211A6}" type="presOf" srcId="{6DE3D69C-401E-415E-9F78-8F6709C79AB3}" destId="{94DD58E9-7D08-4F52-83F9-93D72A36A12D}" srcOrd="0" destOrd="0" presId="urn:microsoft.com/office/officeart/2008/layout/HorizontalMultiLevelHierarchy"/>
    <dgm:cxn modelId="{A604C0F0-38A2-4D48-AEB8-91B101D0E8F2}" type="presOf" srcId="{F01BE810-0448-4215-8693-14DC94911FB6}" destId="{D379C072-4C18-48D2-91FD-CB75821FECD6}" srcOrd="0" destOrd="0" presId="urn:microsoft.com/office/officeart/2008/layout/HorizontalMultiLevelHierarchy"/>
    <dgm:cxn modelId="{74992FF7-EF9A-406B-9F97-9E29F0B61188}" type="presOf" srcId="{53B913B6-6A33-427E-8D65-CDCDF4E9C7AE}" destId="{50F33A40-4707-442A-8899-C01D93B315C0}" srcOrd="1" destOrd="0" presId="urn:microsoft.com/office/officeart/2008/layout/HorizontalMultiLevelHierarchy"/>
    <dgm:cxn modelId="{3DA5D5FA-1572-493D-8E8E-65EA8A60E6E2}" srcId="{FA214B4E-6E3E-4FD0-BAB9-C6A60394D859}" destId="{7949FDB4-9EAC-4D85-A7B7-3BDC89D0ECD0}" srcOrd="0" destOrd="0" parTransId="{FE8B9B02-4D64-47ED-ABDA-389CA9A0379D}" sibTransId="{D5DF2832-64F6-407D-8DEB-F3F65AD94F25}"/>
    <dgm:cxn modelId="{9A31F008-2642-4316-90FD-95F23834C073}" type="presParOf" srcId="{69F20EA0-1FCB-434E-9829-16BF1941555C}" destId="{0581FD74-EA80-4889-BA60-23B6804F9BA4}" srcOrd="0" destOrd="0" presId="urn:microsoft.com/office/officeart/2008/layout/HorizontalMultiLevelHierarchy"/>
    <dgm:cxn modelId="{BAF54347-090C-4108-818D-669FED61F8AF}" type="presParOf" srcId="{0581FD74-EA80-4889-BA60-23B6804F9BA4}" destId="{468836F6-6C6B-499F-859D-AC213F42ADF3}" srcOrd="0" destOrd="0" presId="urn:microsoft.com/office/officeart/2008/layout/HorizontalMultiLevelHierarchy"/>
    <dgm:cxn modelId="{88311593-F59F-4A1D-AD80-238AE494DD8B}" type="presParOf" srcId="{0581FD74-EA80-4889-BA60-23B6804F9BA4}" destId="{3C9F52AC-1FBB-434D-9451-0AF8DDA3B2F2}" srcOrd="1" destOrd="0" presId="urn:microsoft.com/office/officeart/2008/layout/HorizontalMultiLevelHierarchy"/>
    <dgm:cxn modelId="{626F3472-48EA-45E5-A934-F0F234C73FDD}" type="presParOf" srcId="{3C9F52AC-1FBB-434D-9451-0AF8DDA3B2F2}" destId="{1BF5066B-85F6-49A0-B6B5-B79C7FD31721}" srcOrd="0" destOrd="0" presId="urn:microsoft.com/office/officeart/2008/layout/HorizontalMultiLevelHierarchy"/>
    <dgm:cxn modelId="{310E11B5-DABF-48CD-B05F-C5E80D2AC8FA}" type="presParOf" srcId="{1BF5066B-85F6-49A0-B6B5-B79C7FD31721}" destId="{B858B9CA-8D17-4314-BEB5-3D744D7ACCF8}" srcOrd="0" destOrd="0" presId="urn:microsoft.com/office/officeart/2008/layout/HorizontalMultiLevelHierarchy"/>
    <dgm:cxn modelId="{47BA9FFD-481F-496C-B1A0-D8737E7E075E}" type="presParOf" srcId="{3C9F52AC-1FBB-434D-9451-0AF8DDA3B2F2}" destId="{E2A62B3C-160D-4ADB-AD98-06924E06E15B}" srcOrd="1" destOrd="0" presId="urn:microsoft.com/office/officeart/2008/layout/HorizontalMultiLevelHierarchy"/>
    <dgm:cxn modelId="{5EA5481D-D8F5-4684-B556-483B5037EC1E}" type="presParOf" srcId="{E2A62B3C-160D-4ADB-AD98-06924E06E15B}" destId="{7FC68484-FCB6-4556-9723-6B1CD44BE9AA}" srcOrd="0" destOrd="0" presId="urn:microsoft.com/office/officeart/2008/layout/HorizontalMultiLevelHierarchy"/>
    <dgm:cxn modelId="{D4CC0AED-7E0D-4494-A299-353D924E72CD}" type="presParOf" srcId="{E2A62B3C-160D-4ADB-AD98-06924E06E15B}" destId="{CB13EA70-E53E-4B15-931D-CEF1146927DE}" srcOrd="1" destOrd="0" presId="urn:microsoft.com/office/officeart/2008/layout/HorizontalMultiLevelHierarchy"/>
    <dgm:cxn modelId="{18E66CA3-50F3-4843-98FD-FFCF98F872FE}" type="presParOf" srcId="{CB13EA70-E53E-4B15-931D-CEF1146927DE}" destId="{94DD58E9-7D08-4F52-83F9-93D72A36A12D}" srcOrd="0" destOrd="0" presId="urn:microsoft.com/office/officeart/2008/layout/HorizontalMultiLevelHierarchy"/>
    <dgm:cxn modelId="{6DD398FC-D146-43CD-8EF6-3D008C2513B2}" type="presParOf" srcId="{94DD58E9-7D08-4F52-83F9-93D72A36A12D}" destId="{8DBCEE26-5C0C-4842-A509-D6BB3BC18BE2}" srcOrd="0" destOrd="0" presId="urn:microsoft.com/office/officeart/2008/layout/HorizontalMultiLevelHierarchy"/>
    <dgm:cxn modelId="{CA385CA6-A23D-4CA5-BE84-563E33D4E40A}" type="presParOf" srcId="{CB13EA70-E53E-4B15-931D-CEF1146927DE}" destId="{63E9EF9B-C4B8-4F77-A117-BCE0DFD15DDE}" srcOrd="1" destOrd="0" presId="urn:microsoft.com/office/officeart/2008/layout/HorizontalMultiLevelHierarchy"/>
    <dgm:cxn modelId="{E48E91B3-6C64-472B-B820-3DC8CA3A554B}" type="presParOf" srcId="{63E9EF9B-C4B8-4F77-A117-BCE0DFD15DDE}" destId="{D379C072-4C18-48D2-91FD-CB75821FECD6}" srcOrd="0" destOrd="0" presId="urn:microsoft.com/office/officeart/2008/layout/HorizontalMultiLevelHierarchy"/>
    <dgm:cxn modelId="{D4F5F4F5-48AC-4C41-867A-90F1FA676ED7}" type="presParOf" srcId="{63E9EF9B-C4B8-4F77-A117-BCE0DFD15DDE}" destId="{DB5B2310-FCAC-45FA-91D7-37A563B50593}" srcOrd="1" destOrd="0" presId="urn:microsoft.com/office/officeart/2008/layout/HorizontalMultiLevelHierarchy"/>
    <dgm:cxn modelId="{C3EB7F90-D7BA-43FC-827A-2E1E543C0384}" type="presParOf" srcId="{3C9F52AC-1FBB-434D-9451-0AF8DDA3B2F2}" destId="{CA52C601-1945-4B05-BE76-DEB5693C80FB}" srcOrd="2" destOrd="0" presId="urn:microsoft.com/office/officeart/2008/layout/HorizontalMultiLevelHierarchy"/>
    <dgm:cxn modelId="{58835092-2C25-4093-BFBB-3061522837D7}" type="presParOf" srcId="{CA52C601-1945-4B05-BE76-DEB5693C80FB}" destId="{ECF47E31-6B0E-466B-BC68-CBD3B233078D}" srcOrd="0" destOrd="0" presId="urn:microsoft.com/office/officeart/2008/layout/HorizontalMultiLevelHierarchy"/>
    <dgm:cxn modelId="{3D52B86D-622A-408F-8BE2-C949A3B7A62A}" type="presParOf" srcId="{3C9F52AC-1FBB-434D-9451-0AF8DDA3B2F2}" destId="{339B11EB-1FFF-4D1D-8293-1A9468AC523B}" srcOrd="3" destOrd="0" presId="urn:microsoft.com/office/officeart/2008/layout/HorizontalMultiLevelHierarchy"/>
    <dgm:cxn modelId="{0E53B921-F45F-4038-9D20-13CDB15FFA85}" type="presParOf" srcId="{339B11EB-1FFF-4D1D-8293-1A9468AC523B}" destId="{97514B3C-D275-43FD-82B3-B9267D382F2B}" srcOrd="0" destOrd="0" presId="urn:microsoft.com/office/officeart/2008/layout/HorizontalMultiLevelHierarchy"/>
    <dgm:cxn modelId="{AC4A59C4-34C0-4E9E-809F-900EBFD778CF}" type="presParOf" srcId="{339B11EB-1FFF-4D1D-8293-1A9468AC523B}" destId="{3E4EDEDA-9632-49B8-A86F-E69BFAEDDEA3}" srcOrd="1" destOrd="0" presId="urn:microsoft.com/office/officeart/2008/layout/HorizontalMultiLevelHierarchy"/>
    <dgm:cxn modelId="{7CF4F806-A6BD-4C7F-A35B-6868179F8AB1}" type="presParOf" srcId="{3E4EDEDA-9632-49B8-A86F-E69BFAEDDEA3}" destId="{CA18B555-CA9B-47F6-AF2E-C9AE23C40487}" srcOrd="0" destOrd="0" presId="urn:microsoft.com/office/officeart/2008/layout/HorizontalMultiLevelHierarchy"/>
    <dgm:cxn modelId="{A43AAA0A-7AAB-4B07-B25E-0F58B97E03B5}" type="presParOf" srcId="{CA18B555-CA9B-47F6-AF2E-C9AE23C40487}" destId="{66A55DBC-32D1-489E-9286-E42D343BD982}" srcOrd="0" destOrd="0" presId="urn:microsoft.com/office/officeart/2008/layout/HorizontalMultiLevelHierarchy"/>
    <dgm:cxn modelId="{D34D0ABA-514E-493F-8B36-8DCACA240D60}" type="presParOf" srcId="{3E4EDEDA-9632-49B8-A86F-E69BFAEDDEA3}" destId="{F6DF434A-CBF8-4326-8A35-E83B59038FDE}" srcOrd="1" destOrd="0" presId="urn:microsoft.com/office/officeart/2008/layout/HorizontalMultiLevelHierarchy"/>
    <dgm:cxn modelId="{F380144C-1E36-4AED-B552-B84C7045AE6E}" type="presParOf" srcId="{F6DF434A-CBF8-4326-8A35-E83B59038FDE}" destId="{B886868D-EB31-44B6-B380-1A1F03F8A25B}" srcOrd="0" destOrd="0" presId="urn:microsoft.com/office/officeart/2008/layout/HorizontalMultiLevelHierarchy"/>
    <dgm:cxn modelId="{CE9085D4-8454-47E9-8483-5E51AA05F19E}" type="presParOf" srcId="{F6DF434A-CBF8-4326-8A35-E83B59038FDE}" destId="{9314B3A1-C050-4BFD-9ED5-0143E073D6E3}" srcOrd="1" destOrd="0" presId="urn:microsoft.com/office/officeart/2008/layout/HorizontalMultiLevelHierarchy"/>
    <dgm:cxn modelId="{64C818E0-327E-447B-8236-4310C644A322}" type="presParOf" srcId="{3C9F52AC-1FBB-434D-9451-0AF8DDA3B2F2}" destId="{0C8D2A2F-CE8B-41DF-9D91-0399AED21D8A}" srcOrd="4" destOrd="0" presId="urn:microsoft.com/office/officeart/2008/layout/HorizontalMultiLevelHierarchy"/>
    <dgm:cxn modelId="{D0DFD8F7-EA65-4C05-9744-7E06DA33468B}" type="presParOf" srcId="{0C8D2A2F-CE8B-41DF-9D91-0399AED21D8A}" destId="{CC09EB7C-5537-4FE2-A43B-FF0F11659DBD}" srcOrd="0" destOrd="0" presId="urn:microsoft.com/office/officeart/2008/layout/HorizontalMultiLevelHierarchy"/>
    <dgm:cxn modelId="{29C60A4A-920D-46D1-BFCD-AD910D8F8A16}" type="presParOf" srcId="{3C9F52AC-1FBB-434D-9451-0AF8DDA3B2F2}" destId="{D784CEB1-4ADE-40D6-9FFC-4D95B735EFB2}" srcOrd="5" destOrd="0" presId="urn:microsoft.com/office/officeart/2008/layout/HorizontalMultiLevelHierarchy"/>
    <dgm:cxn modelId="{5BA58CF0-1BA1-4A48-8364-A5AF6D213FE6}" type="presParOf" srcId="{D784CEB1-4ADE-40D6-9FFC-4D95B735EFB2}" destId="{0E90DCDA-4CE2-40D9-BAE0-A63F66ADDF96}" srcOrd="0" destOrd="0" presId="urn:microsoft.com/office/officeart/2008/layout/HorizontalMultiLevelHierarchy"/>
    <dgm:cxn modelId="{D6F68940-2FF9-45B5-89EE-B41E9B2FB49E}" type="presParOf" srcId="{D784CEB1-4ADE-40D6-9FFC-4D95B735EFB2}" destId="{90BF10A1-0C35-4321-8202-753B50D50340}" srcOrd="1" destOrd="0" presId="urn:microsoft.com/office/officeart/2008/layout/HorizontalMultiLevelHierarchy"/>
    <dgm:cxn modelId="{E9534C0D-68B6-4874-BC95-19AF9D922236}" type="presParOf" srcId="{90BF10A1-0C35-4321-8202-753B50D50340}" destId="{CBD9CC20-76EC-43D4-A6DF-F52E00D312A1}" srcOrd="0" destOrd="0" presId="urn:microsoft.com/office/officeart/2008/layout/HorizontalMultiLevelHierarchy"/>
    <dgm:cxn modelId="{4D1819BE-597F-4E62-9E26-7937C8ED6B97}" type="presParOf" srcId="{CBD9CC20-76EC-43D4-A6DF-F52E00D312A1}" destId="{50F33A40-4707-442A-8899-C01D93B315C0}" srcOrd="0" destOrd="0" presId="urn:microsoft.com/office/officeart/2008/layout/HorizontalMultiLevelHierarchy"/>
    <dgm:cxn modelId="{94323772-B0A3-495D-BB65-133F443F644F}" type="presParOf" srcId="{90BF10A1-0C35-4321-8202-753B50D50340}" destId="{23C0825B-FE6E-49FF-B72E-E3DA13C34088}" srcOrd="1" destOrd="0" presId="urn:microsoft.com/office/officeart/2008/layout/HorizontalMultiLevelHierarchy"/>
    <dgm:cxn modelId="{936506F7-9DF7-45C8-B8B6-6CA11A0688C2}" type="presParOf" srcId="{23C0825B-FE6E-49FF-B72E-E3DA13C34088}" destId="{828E95DD-2742-4A79-8562-5E6E48A1CC1B}" srcOrd="0" destOrd="0" presId="urn:microsoft.com/office/officeart/2008/layout/HorizontalMultiLevelHierarchy"/>
    <dgm:cxn modelId="{B7AB46CF-78C9-4ABE-92E0-1724DAB64C88}" type="presParOf" srcId="{23C0825B-FE6E-49FF-B72E-E3DA13C34088}" destId="{858E228E-7CB3-41A5-9CA3-0E46EE9B7E7A}" srcOrd="1" destOrd="0" presId="urn:microsoft.com/office/officeart/2008/layout/HorizontalMultiLevelHierarchy"/>
    <dgm:cxn modelId="{F7EEEAC9-2112-4493-BDA2-76338EF96ED1}" type="presParOf" srcId="{3C9F52AC-1FBB-434D-9451-0AF8DDA3B2F2}" destId="{3562C788-2495-4461-B52E-15E2EC0C3317}" srcOrd="6" destOrd="0" presId="urn:microsoft.com/office/officeart/2008/layout/HorizontalMultiLevelHierarchy"/>
    <dgm:cxn modelId="{7CEDA9CB-0C94-4564-BA44-1FBB68CE9EB6}" type="presParOf" srcId="{3562C788-2495-4461-B52E-15E2EC0C3317}" destId="{B2EE53BF-512D-476E-80F9-AA8EB6AAA3FB}" srcOrd="0" destOrd="0" presId="urn:microsoft.com/office/officeart/2008/layout/HorizontalMultiLevelHierarchy"/>
    <dgm:cxn modelId="{ACD0DA2B-DF97-4333-B7E6-B3596421BCA5}" type="presParOf" srcId="{3C9F52AC-1FBB-434D-9451-0AF8DDA3B2F2}" destId="{66B57006-B09C-4C02-B134-6102EE6FD8E2}" srcOrd="7" destOrd="0" presId="urn:microsoft.com/office/officeart/2008/layout/HorizontalMultiLevelHierarchy"/>
    <dgm:cxn modelId="{06E26A8F-9F31-4EE3-93CF-3319194DC2A7}" type="presParOf" srcId="{66B57006-B09C-4C02-B134-6102EE6FD8E2}" destId="{05D8DACC-88FC-4A9A-8248-AD353D08AA6B}" srcOrd="0" destOrd="0" presId="urn:microsoft.com/office/officeart/2008/layout/HorizontalMultiLevelHierarchy"/>
    <dgm:cxn modelId="{7E53EA0B-D9C5-448E-88C0-C5962356C279}" type="presParOf" srcId="{66B57006-B09C-4C02-B134-6102EE6FD8E2}" destId="{66FE3FDA-8328-4491-AE91-A7886CE922E7}" srcOrd="1" destOrd="0" presId="urn:microsoft.com/office/officeart/2008/layout/HorizontalMultiLevelHierarchy"/>
    <dgm:cxn modelId="{950D6526-655C-441E-B1BD-6365CBF02C32}" type="presParOf" srcId="{66FE3FDA-8328-4491-AE91-A7886CE922E7}" destId="{D285EC34-4449-480F-BB42-AC5936A71CAB}" srcOrd="0" destOrd="0" presId="urn:microsoft.com/office/officeart/2008/layout/HorizontalMultiLevelHierarchy"/>
    <dgm:cxn modelId="{4247BEA9-7283-45C4-9889-9561D00F9B6B}" type="presParOf" srcId="{D285EC34-4449-480F-BB42-AC5936A71CAB}" destId="{672439EC-AB5C-459E-A6F8-BF14D8396BEE}" srcOrd="0" destOrd="0" presId="urn:microsoft.com/office/officeart/2008/layout/HorizontalMultiLevelHierarchy"/>
    <dgm:cxn modelId="{02D15263-86A2-43A1-A25A-BD6ED9B00A70}" type="presParOf" srcId="{66FE3FDA-8328-4491-AE91-A7886CE922E7}" destId="{00EB4A3A-FC2D-43E0-BDE3-7728E20D541D}" srcOrd="1" destOrd="0" presId="urn:microsoft.com/office/officeart/2008/layout/HorizontalMultiLevelHierarchy"/>
    <dgm:cxn modelId="{16B7E8F8-D561-4923-A0F9-022A99148CBD}" type="presParOf" srcId="{00EB4A3A-FC2D-43E0-BDE3-7728E20D541D}" destId="{F87056F1-ABE2-4A23-9DE0-D160EC2A0771}" srcOrd="0" destOrd="0" presId="urn:microsoft.com/office/officeart/2008/layout/HorizontalMultiLevelHierarchy"/>
    <dgm:cxn modelId="{E7CD9CB6-42A1-4892-A825-F9885373ED97}" type="presParOf" srcId="{00EB4A3A-FC2D-43E0-BDE3-7728E20D541D}" destId="{E667CB45-916D-48E4-A3FD-00F1A05B934D}" srcOrd="1" destOrd="0" presId="urn:microsoft.com/office/officeart/2008/layout/HorizontalMultiLevelHierarchy"/>
    <dgm:cxn modelId="{B39EA898-7422-43FF-833B-F3136A916979}" type="presParOf" srcId="{3C9F52AC-1FBB-434D-9451-0AF8DDA3B2F2}" destId="{617E72C1-BB7A-4656-8667-5955BA81E764}" srcOrd="8" destOrd="0" presId="urn:microsoft.com/office/officeart/2008/layout/HorizontalMultiLevelHierarchy"/>
    <dgm:cxn modelId="{F374FB00-4ADD-4A3E-83F6-BB1BDE556002}" type="presParOf" srcId="{617E72C1-BB7A-4656-8667-5955BA81E764}" destId="{6C5E5E52-8B11-4C8E-8C1A-3F9D962C76B7}" srcOrd="0" destOrd="0" presId="urn:microsoft.com/office/officeart/2008/layout/HorizontalMultiLevelHierarchy"/>
    <dgm:cxn modelId="{CC60BDEF-732E-4850-8F4A-110A58520AFC}" type="presParOf" srcId="{3C9F52AC-1FBB-434D-9451-0AF8DDA3B2F2}" destId="{60773319-86C9-460A-9759-F1D6594BCF65}" srcOrd="9" destOrd="0" presId="urn:microsoft.com/office/officeart/2008/layout/HorizontalMultiLevelHierarchy"/>
    <dgm:cxn modelId="{66E40A66-63A5-416E-8E0C-DD5C2D9AC259}" type="presParOf" srcId="{60773319-86C9-460A-9759-F1D6594BCF65}" destId="{EE20EB8F-A744-40E2-AC21-4BCF757B265F}" srcOrd="0" destOrd="0" presId="urn:microsoft.com/office/officeart/2008/layout/HorizontalMultiLevelHierarchy"/>
    <dgm:cxn modelId="{39B9702A-718A-46CB-8C17-7B92919CCD66}" type="presParOf" srcId="{60773319-86C9-460A-9759-F1D6594BCF65}" destId="{036B6C18-9FF9-47A1-919D-C92A91C17354}" srcOrd="1" destOrd="0" presId="urn:microsoft.com/office/officeart/2008/layout/HorizontalMultiLevelHierarchy"/>
    <dgm:cxn modelId="{2C6F54AF-DE99-41E4-9FDA-899CD321A29B}" type="presParOf" srcId="{036B6C18-9FF9-47A1-919D-C92A91C17354}" destId="{DB732FE3-1365-40AB-B9F0-9B83061377D9}" srcOrd="0" destOrd="0" presId="urn:microsoft.com/office/officeart/2008/layout/HorizontalMultiLevelHierarchy"/>
    <dgm:cxn modelId="{2C6763A0-7F8A-43D9-9714-AD62F937625C}" type="presParOf" srcId="{DB732FE3-1365-40AB-B9F0-9B83061377D9}" destId="{036E57C1-3099-411D-9232-568D0CDC6A7B}" srcOrd="0" destOrd="0" presId="urn:microsoft.com/office/officeart/2008/layout/HorizontalMultiLevelHierarchy"/>
    <dgm:cxn modelId="{D63ED74D-24CB-4170-822B-E120DD9A32BA}" type="presParOf" srcId="{036B6C18-9FF9-47A1-919D-C92A91C17354}" destId="{E3013781-7358-4328-AFE9-0432CA462DAD}" srcOrd="1" destOrd="0" presId="urn:microsoft.com/office/officeart/2008/layout/HorizontalMultiLevelHierarchy"/>
    <dgm:cxn modelId="{4177B5E1-98E3-4E11-AC05-431D16EA8313}" type="presParOf" srcId="{E3013781-7358-4328-AFE9-0432CA462DAD}" destId="{98532D0D-CBF8-4AE5-B598-9A336BFFFF40}" srcOrd="0" destOrd="0" presId="urn:microsoft.com/office/officeart/2008/layout/HorizontalMultiLevelHierarchy"/>
    <dgm:cxn modelId="{E8013A77-703F-4111-A22F-DEDFAA141497}" type="presParOf" srcId="{E3013781-7358-4328-AFE9-0432CA462DAD}" destId="{B40AD100-5A3E-4F1A-B684-9741A7DACC2C}" srcOrd="1" destOrd="0" presId="urn:microsoft.com/office/officeart/2008/layout/HorizontalMultiLevelHierarchy"/>
    <dgm:cxn modelId="{23AD8DA7-6BEC-496F-A08F-9B10E6C0F63D}" type="presParOf" srcId="{3C9F52AC-1FBB-434D-9451-0AF8DDA3B2F2}" destId="{55E1379D-6F7C-442D-AB2B-913F4A8F24B7}" srcOrd="10" destOrd="0" presId="urn:microsoft.com/office/officeart/2008/layout/HorizontalMultiLevelHierarchy"/>
    <dgm:cxn modelId="{931870DD-9404-4704-B622-965C7BD4E2C8}" type="presParOf" srcId="{55E1379D-6F7C-442D-AB2B-913F4A8F24B7}" destId="{78B3CB64-8B73-49FB-939C-957C837C80BB}" srcOrd="0" destOrd="0" presId="urn:microsoft.com/office/officeart/2008/layout/HorizontalMultiLevelHierarchy"/>
    <dgm:cxn modelId="{EE5334B7-226D-45D5-9A72-CA391FA7585D}" type="presParOf" srcId="{3C9F52AC-1FBB-434D-9451-0AF8DDA3B2F2}" destId="{F68389D9-CE54-408B-AEA7-5A5AA8AB854F}" srcOrd="11" destOrd="0" presId="urn:microsoft.com/office/officeart/2008/layout/HorizontalMultiLevelHierarchy"/>
    <dgm:cxn modelId="{D476ED15-3848-4BE0-8116-7FF07DFA737E}" type="presParOf" srcId="{F68389D9-CE54-408B-AEA7-5A5AA8AB854F}" destId="{11BDD38D-AD40-4C07-98CC-F664530203C7}" srcOrd="0" destOrd="0" presId="urn:microsoft.com/office/officeart/2008/layout/HorizontalMultiLevelHierarchy"/>
    <dgm:cxn modelId="{1FA26E3A-603A-40B7-90F1-A3772272C5AE}" type="presParOf" srcId="{F68389D9-CE54-408B-AEA7-5A5AA8AB854F}" destId="{B44C7D91-FFF4-49A5-B95D-13BB6DB92CDF}" srcOrd="1" destOrd="0" presId="urn:microsoft.com/office/officeart/2008/layout/HorizontalMultiLevelHierarchy"/>
    <dgm:cxn modelId="{3F438557-9489-4F57-94A4-70825882B2A8}" type="presParOf" srcId="{B44C7D91-FFF4-49A5-B95D-13BB6DB92CDF}" destId="{ADCE532D-8BE6-4E8F-998B-9DDDD844F06B}" srcOrd="0" destOrd="0" presId="urn:microsoft.com/office/officeart/2008/layout/HorizontalMultiLevelHierarchy"/>
    <dgm:cxn modelId="{C37E8BFF-90F0-4C2E-BDA5-6FA6253DD2B2}" type="presParOf" srcId="{ADCE532D-8BE6-4E8F-998B-9DDDD844F06B}" destId="{57662307-DB32-4748-A19C-FF9E96F5C8B9}" srcOrd="0" destOrd="0" presId="urn:microsoft.com/office/officeart/2008/layout/HorizontalMultiLevelHierarchy"/>
    <dgm:cxn modelId="{FBD32185-6746-41D5-9C5E-98F3A8E4C4DA}" type="presParOf" srcId="{B44C7D91-FFF4-49A5-B95D-13BB6DB92CDF}" destId="{14A2FF10-1BD0-49F0-B8F8-A2280DAF73CC}" srcOrd="1" destOrd="0" presId="urn:microsoft.com/office/officeart/2008/layout/HorizontalMultiLevelHierarchy"/>
    <dgm:cxn modelId="{82D5D748-DF05-4036-B2D7-06B92B85759F}" type="presParOf" srcId="{14A2FF10-1BD0-49F0-B8F8-A2280DAF73CC}" destId="{E7DC369E-BB06-4C69-BF28-AFF4C4B8776B}" srcOrd="0" destOrd="0" presId="urn:microsoft.com/office/officeart/2008/layout/HorizontalMultiLevelHierarchy"/>
    <dgm:cxn modelId="{69F08E06-5A81-4542-B6A0-EF158D78EE4C}" type="presParOf" srcId="{14A2FF10-1BD0-49F0-B8F8-A2280DAF73CC}" destId="{046B4E5B-431D-42BB-9950-10F94D9E5D0C}" srcOrd="1" destOrd="0" presId="urn:microsoft.com/office/officeart/2008/layout/HorizontalMultiLevelHierarchy"/>
  </dgm:cxnLst>
  <dgm:bg/>
  <dgm:whole/>
  <dgm:extLst>
    <a:ext uri="http://schemas.microsoft.com/office/drawing/2008/diagram">
      <dsp:dataModelExt xmlns:dsp="http://schemas.microsoft.com/office/drawing/2008/diagram" relId="rId9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11022AB-C46F-486B-A7D6-05A4F19FBF8F}">
      <dsp:nvSpPr>
        <dsp:cNvPr id="0" name=""/>
        <dsp:cNvSpPr/>
      </dsp:nvSpPr>
      <dsp:spPr>
        <a:xfrm>
          <a:off x="1511940" y="368940"/>
          <a:ext cx="2462518" cy="2462518"/>
        </a:xfrm>
        <a:prstGeom prst="blockArc">
          <a:avLst>
            <a:gd name="adj1" fmla="val 10800000"/>
            <a:gd name="adj2" fmla="val 16200000"/>
            <a:gd name="adj3" fmla="val 4639"/>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D7E4316-B16E-4A79-AEB4-6DD6CC69C2DE}">
      <dsp:nvSpPr>
        <dsp:cNvPr id="0" name=""/>
        <dsp:cNvSpPr/>
      </dsp:nvSpPr>
      <dsp:spPr>
        <a:xfrm>
          <a:off x="1511940" y="368940"/>
          <a:ext cx="2462518" cy="2462518"/>
        </a:xfrm>
        <a:prstGeom prst="blockArc">
          <a:avLst>
            <a:gd name="adj1" fmla="val 5400000"/>
            <a:gd name="adj2" fmla="val 10800000"/>
            <a:gd name="adj3" fmla="val 4639"/>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22B3FB0D-B8B6-4F3B-9E74-9CE6A9EBDDEB}">
      <dsp:nvSpPr>
        <dsp:cNvPr id="0" name=""/>
        <dsp:cNvSpPr/>
      </dsp:nvSpPr>
      <dsp:spPr>
        <a:xfrm>
          <a:off x="1511940" y="368940"/>
          <a:ext cx="2462518" cy="2462518"/>
        </a:xfrm>
        <a:prstGeom prst="blockArc">
          <a:avLst>
            <a:gd name="adj1" fmla="val 0"/>
            <a:gd name="adj2" fmla="val 5400000"/>
            <a:gd name="adj3" fmla="val 4639"/>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D5D0D945-9AF7-4645-B55B-90C52923645C}">
      <dsp:nvSpPr>
        <dsp:cNvPr id="0" name=""/>
        <dsp:cNvSpPr/>
      </dsp:nvSpPr>
      <dsp:spPr>
        <a:xfrm>
          <a:off x="1511940" y="368940"/>
          <a:ext cx="2462518" cy="2462518"/>
        </a:xfrm>
        <a:prstGeom prst="blockArc">
          <a:avLst>
            <a:gd name="adj1" fmla="val 16200000"/>
            <a:gd name="adj2" fmla="val 0"/>
            <a:gd name="adj3" fmla="val 4639"/>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1A45F930-4C46-44F2-90C1-9851DE3618B7}">
      <dsp:nvSpPr>
        <dsp:cNvPr id="0" name=""/>
        <dsp:cNvSpPr/>
      </dsp:nvSpPr>
      <dsp:spPr>
        <a:xfrm>
          <a:off x="2176611" y="1033611"/>
          <a:ext cx="1133177" cy="1133177"/>
        </a:xfrm>
        <a:prstGeom prst="ellipse">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r>
            <a:rPr lang="en-US" sz="1800" kern="1200"/>
            <a:t>Ámbito de la Sabana </a:t>
          </a:r>
        </a:p>
      </dsp:txBody>
      <dsp:txXfrm>
        <a:off x="2342561" y="1199561"/>
        <a:ext cx="801277" cy="801277"/>
      </dsp:txXfrm>
    </dsp:sp>
    <dsp:sp modelId="{CE5A26F0-7807-48A5-8F03-139FEC8275CA}">
      <dsp:nvSpPr>
        <dsp:cNvPr id="0" name=""/>
        <dsp:cNvSpPr/>
      </dsp:nvSpPr>
      <dsp:spPr>
        <a:xfrm>
          <a:off x="2346587" y="884"/>
          <a:ext cx="793224" cy="793224"/>
        </a:xfrm>
        <a:prstGeom prst="ellipse">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en-US" sz="700" kern="1200"/>
            <a:t>Ámbtio Res 2001 del 2016</a:t>
          </a:r>
        </a:p>
      </dsp:txBody>
      <dsp:txXfrm>
        <a:off x="2462752" y="117049"/>
        <a:ext cx="560894" cy="560894"/>
      </dsp:txXfrm>
    </dsp:sp>
    <dsp:sp modelId="{F32F2EFB-F3CC-468A-B261-459C574A3548}">
      <dsp:nvSpPr>
        <dsp:cNvPr id="0" name=""/>
        <dsp:cNvSpPr/>
      </dsp:nvSpPr>
      <dsp:spPr>
        <a:xfrm>
          <a:off x="3549290" y="1203587"/>
          <a:ext cx="793224" cy="793224"/>
        </a:xfrm>
        <a:prstGeom prst="ellipse">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en-US" sz="700" kern="1200"/>
            <a:t>Cuenca Alta y Media POMCA 2019</a:t>
          </a:r>
        </a:p>
      </dsp:txBody>
      <dsp:txXfrm>
        <a:off x="3665455" y="1319752"/>
        <a:ext cx="560894" cy="560894"/>
      </dsp:txXfrm>
    </dsp:sp>
    <dsp:sp modelId="{D853BB38-3B6E-4550-B773-BEE66E649B7E}">
      <dsp:nvSpPr>
        <dsp:cNvPr id="0" name=""/>
        <dsp:cNvSpPr/>
      </dsp:nvSpPr>
      <dsp:spPr>
        <a:xfrm>
          <a:off x="2346587" y="2406290"/>
          <a:ext cx="793224" cy="793224"/>
        </a:xfrm>
        <a:prstGeom prst="ellipse">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en-US" sz="700" kern="1200"/>
            <a:t>Poligonos compatibles con minería Res 2001 de 2016</a:t>
          </a:r>
        </a:p>
      </dsp:txBody>
      <dsp:txXfrm>
        <a:off x="2462752" y="2522455"/>
        <a:ext cx="560894" cy="560894"/>
      </dsp:txXfrm>
    </dsp:sp>
    <dsp:sp modelId="{30B8E03D-E538-47FC-8C1D-6C17E4C5F6CB}">
      <dsp:nvSpPr>
        <dsp:cNvPr id="0" name=""/>
        <dsp:cNvSpPr/>
      </dsp:nvSpPr>
      <dsp:spPr>
        <a:xfrm>
          <a:off x="1143884" y="1203587"/>
          <a:ext cx="793224" cy="793224"/>
        </a:xfrm>
        <a:prstGeom prst="ellipse">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en-US" sz="700" kern="1200"/>
            <a:t>Criterios verificadores</a:t>
          </a:r>
        </a:p>
      </dsp:txBody>
      <dsp:txXfrm>
        <a:off x="1260049" y="1319752"/>
        <a:ext cx="560894" cy="56089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DCE532D-8BE6-4E8F-998B-9DDDD844F06B}">
      <dsp:nvSpPr>
        <dsp:cNvPr id="0" name=""/>
        <dsp:cNvSpPr/>
      </dsp:nvSpPr>
      <dsp:spPr>
        <a:xfrm>
          <a:off x="3043610" y="3162009"/>
          <a:ext cx="311659" cy="91440"/>
        </a:xfrm>
        <a:custGeom>
          <a:avLst/>
          <a:gdLst/>
          <a:ahLst/>
          <a:cxnLst/>
          <a:rect l="0" t="0" r="0" b="0"/>
          <a:pathLst>
            <a:path>
              <a:moveTo>
                <a:pt x="0" y="45720"/>
              </a:moveTo>
              <a:lnTo>
                <a:pt x="311659" y="45720"/>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3191648" y="3199937"/>
        <a:ext cx="15582" cy="15582"/>
      </dsp:txXfrm>
    </dsp:sp>
    <dsp:sp modelId="{55E1379D-6F7C-442D-AB2B-913F4A8F24B7}">
      <dsp:nvSpPr>
        <dsp:cNvPr id="0" name=""/>
        <dsp:cNvSpPr/>
      </dsp:nvSpPr>
      <dsp:spPr>
        <a:xfrm>
          <a:off x="1173655" y="1723072"/>
          <a:ext cx="311659" cy="1484656"/>
        </a:xfrm>
        <a:custGeom>
          <a:avLst/>
          <a:gdLst/>
          <a:ahLst/>
          <a:cxnLst/>
          <a:rect l="0" t="0" r="0" b="0"/>
          <a:pathLst>
            <a:path>
              <a:moveTo>
                <a:pt x="0" y="0"/>
              </a:moveTo>
              <a:lnTo>
                <a:pt x="155829" y="0"/>
              </a:lnTo>
              <a:lnTo>
                <a:pt x="155829" y="1484656"/>
              </a:lnTo>
              <a:lnTo>
                <a:pt x="311659" y="1484656"/>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1291559" y="2427475"/>
        <a:ext cx="75850" cy="75850"/>
      </dsp:txXfrm>
    </dsp:sp>
    <dsp:sp modelId="{DB732FE3-1365-40AB-B9F0-9B83061377D9}">
      <dsp:nvSpPr>
        <dsp:cNvPr id="0" name=""/>
        <dsp:cNvSpPr/>
      </dsp:nvSpPr>
      <dsp:spPr>
        <a:xfrm>
          <a:off x="3043610" y="2568146"/>
          <a:ext cx="311659" cy="91440"/>
        </a:xfrm>
        <a:custGeom>
          <a:avLst/>
          <a:gdLst/>
          <a:ahLst/>
          <a:cxnLst/>
          <a:rect l="0" t="0" r="0" b="0"/>
          <a:pathLst>
            <a:path>
              <a:moveTo>
                <a:pt x="0" y="45720"/>
              </a:moveTo>
              <a:lnTo>
                <a:pt x="311659" y="45720"/>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3191648" y="2606075"/>
        <a:ext cx="15582" cy="15582"/>
      </dsp:txXfrm>
    </dsp:sp>
    <dsp:sp modelId="{617E72C1-BB7A-4656-8667-5955BA81E764}">
      <dsp:nvSpPr>
        <dsp:cNvPr id="0" name=""/>
        <dsp:cNvSpPr/>
      </dsp:nvSpPr>
      <dsp:spPr>
        <a:xfrm>
          <a:off x="1173655" y="1723072"/>
          <a:ext cx="311659" cy="890793"/>
        </a:xfrm>
        <a:custGeom>
          <a:avLst/>
          <a:gdLst/>
          <a:ahLst/>
          <a:cxnLst/>
          <a:rect l="0" t="0" r="0" b="0"/>
          <a:pathLst>
            <a:path>
              <a:moveTo>
                <a:pt x="0" y="0"/>
              </a:moveTo>
              <a:lnTo>
                <a:pt x="155829" y="0"/>
              </a:lnTo>
              <a:lnTo>
                <a:pt x="155829" y="890793"/>
              </a:lnTo>
              <a:lnTo>
                <a:pt x="311659" y="890793"/>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1305891" y="2144875"/>
        <a:ext cx="47187" cy="47187"/>
      </dsp:txXfrm>
    </dsp:sp>
    <dsp:sp modelId="{D285EC34-4449-480F-BB42-AC5936A71CAB}">
      <dsp:nvSpPr>
        <dsp:cNvPr id="0" name=""/>
        <dsp:cNvSpPr/>
      </dsp:nvSpPr>
      <dsp:spPr>
        <a:xfrm>
          <a:off x="3043610" y="1974283"/>
          <a:ext cx="311659" cy="91440"/>
        </a:xfrm>
        <a:custGeom>
          <a:avLst/>
          <a:gdLst/>
          <a:ahLst/>
          <a:cxnLst/>
          <a:rect l="0" t="0" r="0" b="0"/>
          <a:pathLst>
            <a:path>
              <a:moveTo>
                <a:pt x="0" y="45720"/>
              </a:moveTo>
              <a:lnTo>
                <a:pt x="311659" y="45720"/>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3191648" y="2012212"/>
        <a:ext cx="15582" cy="15582"/>
      </dsp:txXfrm>
    </dsp:sp>
    <dsp:sp modelId="{3562C788-2495-4461-B52E-15E2EC0C3317}">
      <dsp:nvSpPr>
        <dsp:cNvPr id="0" name=""/>
        <dsp:cNvSpPr/>
      </dsp:nvSpPr>
      <dsp:spPr>
        <a:xfrm>
          <a:off x="1173655" y="1723072"/>
          <a:ext cx="311659" cy="296931"/>
        </a:xfrm>
        <a:custGeom>
          <a:avLst/>
          <a:gdLst/>
          <a:ahLst/>
          <a:cxnLst/>
          <a:rect l="0" t="0" r="0" b="0"/>
          <a:pathLst>
            <a:path>
              <a:moveTo>
                <a:pt x="0" y="0"/>
              </a:moveTo>
              <a:lnTo>
                <a:pt x="155829" y="0"/>
              </a:lnTo>
              <a:lnTo>
                <a:pt x="155829" y="296931"/>
              </a:lnTo>
              <a:lnTo>
                <a:pt x="311659" y="296931"/>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1318723" y="1860776"/>
        <a:ext cx="21523" cy="21523"/>
      </dsp:txXfrm>
    </dsp:sp>
    <dsp:sp modelId="{CBD9CC20-76EC-43D4-A6DF-F52E00D312A1}">
      <dsp:nvSpPr>
        <dsp:cNvPr id="0" name=""/>
        <dsp:cNvSpPr/>
      </dsp:nvSpPr>
      <dsp:spPr>
        <a:xfrm>
          <a:off x="3043610" y="1380421"/>
          <a:ext cx="311659" cy="91440"/>
        </a:xfrm>
        <a:custGeom>
          <a:avLst/>
          <a:gdLst/>
          <a:ahLst/>
          <a:cxnLst/>
          <a:rect l="0" t="0" r="0" b="0"/>
          <a:pathLst>
            <a:path>
              <a:moveTo>
                <a:pt x="0" y="45720"/>
              </a:moveTo>
              <a:lnTo>
                <a:pt x="311659" y="45720"/>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3191648" y="1418349"/>
        <a:ext cx="15582" cy="15582"/>
      </dsp:txXfrm>
    </dsp:sp>
    <dsp:sp modelId="{0C8D2A2F-CE8B-41DF-9D91-0399AED21D8A}">
      <dsp:nvSpPr>
        <dsp:cNvPr id="0" name=""/>
        <dsp:cNvSpPr/>
      </dsp:nvSpPr>
      <dsp:spPr>
        <a:xfrm>
          <a:off x="1173655" y="1426141"/>
          <a:ext cx="311659" cy="296931"/>
        </a:xfrm>
        <a:custGeom>
          <a:avLst/>
          <a:gdLst/>
          <a:ahLst/>
          <a:cxnLst/>
          <a:rect l="0" t="0" r="0" b="0"/>
          <a:pathLst>
            <a:path>
              <a:moveTo>
                <a:pt x="0" y="296931"/>
              </a:moveTo>
              <a:lnTo>
                <a:pt x="155829" y="296931"/>
              </a:lnTo>
              <a:lnTo>
                <a:pt x="155829" y="0"/>
              </a:lnTo>
              <a:lnTo>
                <a:pt x="311659" y="0"/>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1318723" y="1563845"/>
        <a:ext cx="21523" cy="21523"/>
      </dsp:txXfrm>
    </dsp:sp>
    <dsp:sp modelId="{CA18B555-CA9B-47F6-AF2E-C9AE23C40487}">
      <dsp:nvSpPr>
        <dsp:cNvPr id="0" name=""/>
        <dsp:cNvSpPr/>
      </dsp:nvSpPr>
      <dsp:spPr>
        <a:xfrm>
          <a:off x="3043610" y="786558"/>
          <a:ext cx="311659" cy="91440"/>
        </a:xfrm>
        <a:custGeom>
          <a:avLst/>
          <a:gdLst/>
          <a:ahLst/>
          <a:cxnLst/>
          <a:rect l="0" t="0" r="0" b="0"/>
          <a:pathLst>
            <a:path>
              <a:moveTo>
                <a:pt x="0" y="45720"/>
              </a:moveTo>
              <a:lnTo>
                <a:pt x="311659" y="45720"/>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3191648" y="824487"/>
        <a:ext cx="15582" cy="15582"/>
      </dsp:txXfrm>
    </dsp:sp>
    <dsp:sp modelId="{CA52C601-1945-4B05-BE76-DEB5693C80FB}">
      <dsp:nvSpPr>
        <dsp:cNvPr id="0" name=""/>
        <dsp:cNvSpPr/>
      </dsp:nvSpPr>
      <dsp:spPr>
        <a:xfrm>
          <a:off x="1173655" y="832278"/>
          <a:ext cx="311659" cy="890793"/>
        </a:xfrm>
        <a:custGeom>
          <a:avLst/>
          <a:gdLst/>
          <a:ahLst/>
          <a:cxnLst/>
          <a:rect l="0" t="0" r="0" b="0"/>
          <a:pathLst>
            <a:path>
              <a:moveTo>
                <a:pt x="0" y="890793"/>
              </a:moveTo>
              <a:lnTo>
                <a:pt x="155829" y="890793"/>
              </a:lnTo>
              <a:lnTo>
                <a:pt x="155829" y="0"/>
              </a:lnTo>
              <a:lnTo>
                <a:pt x="311659" y="0"/>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1305891" y="1254082"/>
        <a:ext cx="47187" cy="47187"/>
      </dsp:txXfrm>
    </dsp:sp>
    <dsp:sp modelId="{94DD58E9-7D08-4F52-83F9-93D72A36A12D}">
      <dsp:nvSpPr>
        <dsp:cNvPr id="0" name=""/>
        <dsp:cNvSpPr/>
      </dsp:nvSpPr>
      <dsp:spPr>
        <a:xfrm>
          <a:off x="3043610" y="192695"/>
          <a:ext cx="311659" cy="91440"/>
        </a:xfrm>
        <a:custGeom>
          <a:avLst/>
          <a:gdLst/>
          <a:ahLst/>
          <a:cxnLst/>
          <a:rect l="0" t="0" r="0" b="0"/>
          <a:pathLst>
            <a:path>
              <a:moveTo>
                <a:pt x="0" y="45720"/>
              </a:moveTo>
              <a:lnTo>
                <a:pt x="311659" y="45720"/>
              </a:lnTo>
            </a:path>
          </a:pathLst>
        </a:custGeom>
        <a:noFill/>
        <a:ln w="12700" cap="flat" cmpd="sng" algn="ctr">
          <a:solidFill>
            <a:schemeClr val="accent1">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3191648" y="230624"/>
        <a:ext cx="15582" cy="15582"/>
      </dsp:txXfrm>
    </dsp:sp>
    <dsp:sp modelId="{1BF5066B-85F6-49A0-B6B5-B79C7FD31721}">
      <dsp:nvSpPr>
        <dsp:cNvPr id="0" name=""/>
        <dsp:cNvSpPr/>
      </dsp:nvSpPr>
      <dsp:spPr>
        <a:xfrm>
          <a:off x="1173655" y="238415"/>
          <a:ext cx="311659" cy="1484656"/>
        </a:xfrm>
        <a:custGeom>
          <a:avLst/>
          <a:gdLst/>
          <a:ahLst/>
          <a:cxnLst/>
          <a:rect l="0" t="0" r="0" b="0"/>
          <a:pathLst>
            <a:path>
              <a:moveTo>
                <a:pt x="0" y="1484656"/>
              </a:moveTo>
              <a:lnTo>
                <a:pt x="155829" y="1484656"/>
              </a:lnTo>
              <a:lnTo>
                <a:pt x="155829" y="0"/>
              </a:lnTo>
              <a:lnTo>
                <a:pt x="311659" y="0"/>
              </a:lnTo>
            </a:path>
          </a:pathLst>
        </a:cu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ES" sz="500" kern="1200"/>
        </a:p>
      </dsp:txBody>
      <dsp:txXfrm>
        <a:off x="1291559" y="942818"/>
        <a:ext cx="75850" cy="75850"/>
      </dsp:txXfrm>
    </dsp:sp>
    <dsp:sp modelId="{468836F6-6C6B-499F-859D-AC213F42ADF3}">
      <dsp:nvSpPr>
        <dsp:cNvPr id="0" name=""/>
        <dsp:cNvSpPr/>
      </dsp:nvSpPr>
      <dsp:spPr>
        <a:xfrm rot="16200000">
          <a:off x="-314126" y="1485527"/>
          <a:ext cx="2500474" cy="475090"/>
        </a:xfrm>
        <a:prstGeom prst="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L="0" lvl="0" indent="0" algn="ctr" defTabSz="577850">
            <a:lnSpc>
              <a:spcPct val="90000"/>
            </a:lnSpc>
            <a:spcBef>
              <a:spcPct val="0"/>
            </a:spcBef>
            <a:spcAft>
              <a:spcPct val="35000"/>
            </a:spcAft>
            <a:buNone/>
          </a:pPr>
          <a:r>
            <a:rPr lang="es-ES" sz="1300" kern="1200" dirty="0"/>
            <a:t>Definición áreas</a:t>
          </a:r>
        </a:p>
        <a:p>
          <a:pPr marL="0" lvl="0" indent="0" algn="ctr" defTabSz="577850">
            <a:lnSpc>
              <a:spcPct val="90000"/>
            </a:lnSpc>
            <a:spcBef>
              <a:spcPct val="0"/>
            </a:spcBef>
            <a:spcAft>
              <a:spcPct val="35000"/>
            </a:spcAft>
            <a:buNone/>
          </a:pPr>
          <a:r>
            <a:rPr lang="es-ES" sz="1300" kern="1200" dirty="0"/>
            <a:t>Prioritarias de </a:t>
          </a:r>
          <a:r>
            <a:rPr lang="es-ES" sz="1300" kern="1200"/>
            <a:t>restauración ecológica </a:t>
          </a:r>
          <a:endParaRPr lang="es-ES" sz="1300" kern="1200" dirty="0"/>
        </a:p>
      </dsp:txBody>
      <dsp:txXfrm>
        <a:off x="-314126" y="1485527"/>
        <a:ext cx="2500474" cy="475090"/>
      </dsp:txXfrm>
    </dsp:sp>
    <dsp:sp modelId="{7FC68484-FCB6-4556-9723-6B1CD44BE9AA}">
      <dsp:nvSpPr>
        <dsp:cNvPr id="0" name=""/>
        <dsp:cNvSpPr/>
      </dsp:nvSpPr>
      <dsp:spPr>
        <a:xfrm>
          <a:off x="1485314" y="870"/>
          <a:ext cx="1558295" cy="475090"/>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t>Áreas protegidas </a:t>
          </a:r>
        </a:p>
      </dsp:txBody>
      <dsp:txXfrm>
        <a:off x="1485314" y="870"/>
        <a:ext cx="1558295" cy="475090"/>
      </dsp:txXfrm>
    </dsp:sp>
    <dsp:sp modelId="{D379C072-4C18-48D2-91FD-CB75821FECD6}">
      <dsp:nvSpPr>
        <dsp:cNvPr id="0" name=""/>
        <dsp:cNvSpPr/>
      </dsp:nvSpPr>
      <dsp:spPr>
        <a:xfrm>
          <a:off x="3355269" y="870"/>
          <a:ext cx="1558295" cy="47509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t>Fuente: RUNAP</a:t>
          </a:r>
        </a:p>
      </dsp:txBody>
      <dsp:txXfrm>
        <a:off x="3355269" y="870"/>
        <a:ext cx="1558295" cy="475090"/>
      </dsp:txXfrm>
    </dsp:sp>
    <dsp:sp modelId="{97514B3C-D275-43FD-82B3-B9267D382F2B}">
      <dsp:nvSpPr>
        <dsp:cNvPr id="0" name=""/>
        <dsp:cNvSpPr/>
      </dsp:nvSpPr>
      <dsp:spPr>
        <a:xfrm>
          <a:off x="1485314" y="594733"/>
          <a:ext cx="1558295" cy="475090"/>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t>Iniciativas de conservación in situ</a:t>
          </a:r>
        </a:p>
      </dsp:txBody>
      <dsp:txXfrm>
        <a:off x="1485314" y="594733"/>
        <a:ext cx="1558295" cy="475090"/>
      </dsp:txXfrm>
    </dsp:sp>
    <dsp:sp modelId="{B886868D-EB31-44B6-B380-1A1F03F8A25B}">
      <dsp:nvSpPr>
        <dsp:cNvPr id="0" name=""/>
        <dsp:cNvSpPr/>
      </dsp:nvSpPr>
      <dsp:spPr>
        <a:xfrm>
          <a:off x="3355269" y="594733"/>
          <a:ext cx="1558295" cy="47509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t>Fuente: </a:t>
          </a:r>
          <a:r>
            <a:rPr lang="es-ES" sz="900" kern="1200" dirty="0" err="1"/>
            <a:t>MinAmbiente</a:t>
          </a:r>
          <a:endParaRPr lang="es-ES" sz="900" kern="1200" dirty="0"/>
        </a:p>
      </dsp:txBody>
      <dsp:txXfrm>
        <a:off x="3355269" y="594733"/>
        <a:ext cx="1558295" cy="475090"/>
      </dsp:txXfrm>
    </dsp:sp>
    <dsp:sp modelId="{0E90DCDA-4CE2-40D9-BAE0-A63F66ADDF96}">
      <dsp:nvSpPr>
        <dsp:cNvPr id="0" name=""/>
        <dsp:cNvSpPr/>
      </dsp:nvSpPr>
      <dsp:spPr>
        <a:xfrm>
          <a:off x="1485314" y="1188596"/>
          <a:ext cx="1558295" cy="475090"/>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t>Ecosistemas estratégicos: páramos, humedales, </a:t>
          </a:r>
          <a:r>
            <a:rPr lang="es-ES" sz="900" kern="1200" dirty="0" err="1"/>
            <a:t>Subxerofitia</a:t>
          </a:r>
          <a:endParaRPr lang="es-ES" sz="900" kern="1200" dirty="0"/>
        </a:p>
      </dsp:txBody>
      <dsp:txXfrm>
        <a:off x="1485314" y="1188596"/>
        <a:ext cx="1558295" cy="475090"/>
      </dsp:txXfrm>
    </dsp:sp>
    <dsp:sp modelId="{828E95DD-2742-4A79-8562-5E6E48A1CC1B}">
      <dsp:nvSpPr>
        <dsp:cNvPr id="0" name=""/>
        <dsp:cNvSpPr/>
      </dsp:nvSpPr>
      <dsp:spPr>
        <a:xfrm>
          <a:off x="3355269" y="1188596"/>
          <a:ext cx="1558295" cy="47509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t>Fuente: </a:t>
          </a:r>
          <a:r>
            <a:rPr lang="es-ES" sz="900" kern="1200" dirty="0" err="1"/>
            <a:t>MinAmbiente</a:t>
          </a:r>
          <a:r>
            <a:rPr lang="es-ES" sz="900" kern="1200" dirty="0"/>
            <a:t> e IDEAM</a:t>
          </a:r>
        </a:p>
      </dsp:txBody>
      <dsp:txXfrm>
        <a:off x="3355269" y="1188596"/>
        <a:ext cx="1558295" cy="475090"/>
      </dsp:txXfrm>
    </dsp:sp>
    <dsp:sp modelId="{05D8DACC-88FC-4A9A-8248-AD353D08AA6B}">
      <dsp:nvSpPr>
        <dsp:cNvPr id="0" name=""/>
        <dsp:cNvSpPr/>
      </dsp:nvSpPr>
      <dsp:spPr>
        <a:xfrm>
          <a:off x="1485314" y="1782458"/>
          <a:ext cx="1558295" cy="475090"/>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err="1"/>
            <a:t>Areas</a:t>
          </a:r>
          <a:r>
            <a:rPr lang="es-ES" sz="900" kern="1200" dirty="0"/>
            <a:t> de importancia estratégica para el recurso hídrico</a:t>
          </a:r>
        </a:p>
      </dsp:txBody>
      <dsp:txXfrm>
        <a:off x="1485314" y="1782458"/>
        <a:ext cx="1558295" cy="475090"/>
      </dsp:txXfrm>
    </dsp:sp>
    <dsp:sp modelId="{F87056F1-ABE2-4A23-9DE0-D160EC2A0771}">
      <dsp:nvSpPr>
        <dsp:cNvPr id="0" name=""/>
        <dsp:cNvSpPr/>
      </dsp:nvSpPr>
      <dsp:spPr>
        <a:xfrm>
          <a:off x="3355269" y="1782458"/>
          <a:ext cx="1558295" cy="47509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t>Fuente: Resoluciones CAR y SDA</a:t>
          </a:r>
        </a:p>
      </dsp:txBody>
      <dsp:txXfrm>
        <a:off x="3355269" y="1782458"/>
        <a:ext cx="1558295" cy="475090"/>
      </dsp:txXfrm>
    </dsp:sp>
    <dsp:sp modelId="{EE20EB8F-A744-40E2-AC21-4BCF757B265F}">
      <dsp:nvSpPr>
        <dsp:cNvPr id="0" name=""/>
        <dsp:cNvSpPr/>
      </dsp:nvSpPr>
      <dsp:spPr>
        <a:xfrm>
          <a:off x="1485314" y="2376321"/>
          <a:ext cx="1558295" cy="475090"/>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t>Nodos de restauración RFPP CAR</a:t>
          </a:r>
        </a:p>
      </dsp:txBody>
      <dsp:txXfrm>
        <a:off x="1485314" y="2376321"/>
        <a:ext cx="1558295" cy="475090"/>
      </dsp:txXfrm>
    </dsp:sp>
    <dsp:sp modelId="{98532D0D-CBF8-4AE5-B598-9A336BFFFF40}">
      <dsp:nvSpPr>
        <dsp:cNvPr id="0" name=""/>
        <dsp:cNvSpPr/>
      </dsp:nvSpPr>
      <dsp:spPr>
        <a:xfrm>
          <a:off x="3355269" y="2376321"/>
          <a:ext cx="1558295" cy="47509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t>Fuente: Documento plan de manejo Reserva</a:t>
          </a:r>
        </a:p>
      </dsp:txBody>
      <dsp:txXfrm>
        <a:off x="3355269" y="2376321"/>
        <a:ext cx="1558295" cy="475090"/>
      </dsp:txXfrm>
    </dsp:sp>
    <dsp:sp modelId="{11BDD38D-AD40-4C07-98CC-F664530203C7}">
      <dsp:nvSpPr>
        <dsp:cNvPr id="0" name=""/>
        <dsp:cNvSpPr/>
      </dsp:nvSpPr>
      <dsp:spPr>
        <a:xfrm>
          <a:off x="1485314" y="2970184"/>
          <a:ext cx="1558295" cy="475090"/>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t>Corredores de aves</a:t>
          </a:r>
        </a:p>
      </dsp:txBody>
      <dsp:txXfrm>
        <a:off x="1485314" y="2970184"/>
        <a:ext cx="1558295" cy="475090"/>
      </dsp:txXfrm>
    </dsp:sp>
    <dsp:sp modelId="{E7DC369E-BB06-4C69-BF28-AFF4C4B8776B}">
      <dsp:nvSpPr>
        <dsp:cNvPr id="0" name=""/>
        <dsp:cNvSpPr/>
      </dsp:nvSpPr>
      <dsp:spPr>
        <a:xfrm>
          <a:off x="3355269" y="2970184"/>
          <a:ext cx="1558295" cy="47509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s-ES" sz="900" kern="1200" dirty="0"/>
            <a:t>Fuente: Estudio  corredores de aves</a:t>
          </a:r>
        </a:p>
        <a:p>
          <a:pPr marL="0" lvl="0" indent="0" algn="ctr" defTabSz="400050">
            <a:lnSpc>
              <a:spcPct val="90000"/>
            </a:lnSpc>
            <a:spcBef>
              <a:spcPct val="0"/>
            </a:spcBef>
            <a:spcAft>
              <a:spcPct val="35000"/>
            </a:spcAft>
            <a:buNone/>
          </a:pPr>
          <a:endParaRPr lang="es-ES" sz="900" kern="1200" dirty="0"/>
        </a:p>
      </dsp:txBody>
      <dsp:txXfrm>
        <a:off x="3355269" y="2970184"/>
        <a:ext cx="1558295" cy="475090"/>
      </dsp:txXfrm>
    </dsp:sp>
  </dsp:spTree>
</dsp:drawing>
</file>

<file path=word/diagrams/layout1.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ocumenttasks/documenttasks1.xml><?xml version="1.0" encoding="utf-8"?>
<t:Tasks xmlns:t="http://schemas.microsoft.com/office/tasks/2019/documenttasks" xmlns:oel="http://schemas.microsoft.com/office/2019/extlst">
  <t:Task id="{7D28D508-557B-1C42-8D5C-AD06ACA49933}">
    <t:Anchor>
      <t:Comment id="747616432"/>
    </t:Anchor>
    <t:History>
      <t:Event id="{37970DCF-837A-6E4C-9D67-5230F2EA525D}" time="2025-10-08T15:06:02.148Z">
        <t:Attribution userId="S::HRamirezh@minambiente.gov.co::5b4b3623-2100-4b34-9099-da5245e1a621" userProvider="AD" userName="Hector Andres Ramirez Hernandez"/>
        <t:Anchor>
          <t:Comment id="240970738"/>
        </t:Anchor>
        <t:Create/>
      </t:Event>
      <t:Event id="{0F0FAF66-C6C5-8A4A-A520-84484DAB6802}" time="2025-10-08T15:06:02.148Z">
        <t:Attribution userId="S::HRamirezh@minambiente.gov.co::5b4b3623-2100-4b34-9099-da5245e1a621" userProvider="AD" userName="Hector Andres Ramirez Hernandez"/>
        <t:Anchor>
          <t:Comment id="240970738"/>
        </t:Anchor>
        <t:Assign userId="S::HSSuarez@minambiente.gov.co::ca47c5bb-ac92-4c5d-a5ed-c564810e0457" userProvider="AD" userName="Heinner Santiago Suarez Prada"/>
      </t:Event>
      <t:Event id="{5462E909-CD0E-3F41-B1CF-2398A47FDC3C}" time="2025-10-08T15:06:02.148Z">
        <t:Attribution userId="S::HRamirezh@minambiente.gov.co::5b4b3623-2100-4b34-9099-da5245e1a621" userProvider="AD" userName="Hector Andres Ramirez Hernandez"/>
        <t:Anchor>
          <t:Comment id="240970738"/>
        </t:Anchor>
        <t:SetTitle title="@Heinner Santiago Suarez Prada"/>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183208E844A4E2E8FEDB0C1711AE2BB"/>
        <w:category>
          <w:name w:val="General"/>
          <w:gallery w:val="placeholder"/>
        </w:category>
        <w:types>
          <w:type w:val="bbPlcHdr"/>
        </w:types>
        <w:behaviors>
          <w:behavior w:val="content"/>
        </w:behaviors>
        <w:guid w:val="{35389282-6C17-4160-ACB4-A7E16CA95351}"/>
      </w:docPartPr>
      <w:docPartBody>
        <w:p w:rsidR="00BE68F1" w:rsidRDefault="00BE68F1">
          <w:pPr>
            <w:pStyle w:val="B183208E844A4E2E8FEDB0C1711AE2BB"/>
          </w:pPr>
          <w:r w:rsidRPr="0074501E">
            <w:t>Appellate courts</w:t>
          </w:r>
        </w:p>
      </w:docPartBody>
    </w:docPart>
    <w:docPart>
      <w:docPartPr>
        <w:name w:val="F6C486E3E7C94FFFB4C85AAA4050FC3A"/>
        <w:category>
          <w:name w:val="General"/>
          <w:gallery w:val="placeholder"/>
        </w:category>
        <w:types>
          <w:type w:val="bbPlcHdr"/>
        </w:types>
        <w:behaviors>
          <w:behavior w:val="content"/>
        </w:behaviors>
        <w:guid w:val="{1A456A64-540D-43D2-B3E9-607866AB57D8}"/>
      </w:docPartPr>
      <w:docPartBody>
        <w:p w:rsidR="00BE68F1" w:rsidRDefault="00BE68F1">
          <w:pPr>
            <w:pStyle w:val="F6C486E3E7C94FFFB4C85AAA4050FC3A"/>
          </w:pPr>
          <w:r w:rsidRPr="0074501E">
            <w:t xml:space="preserve">Supreme Court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skerville Old Face">
    <w:panose1 w:val="02020602080505020303"/>
    <w:charset w:val="00"/>
    <w:family w:val="roman"/>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DejaVu LGC Sans">
    <w:altName w:val="Times New Roman"/>
    <w:charset w:val="00"/>
    <w:family w:val="auto"/>
    <w:pitch w:val="variable"/>
  </w:font>
  <w:font w:name="Yu Gothic Light">
    <w:panose1 w:val="020B0300000000000000"/>
    <w:charset w:val="80"/>
    <w:family w:val="swiss"/>
    <w:pitch w:val="variable"/>
    <w:sig w:usb0="E00002FF" w:usb1="2AC7FDFF" w:usb2="00000016" w:usb3="00000000" w:csb0="0002009F" w:csb1="00000000"/>
  </w:font>
  <w:font w:name="Baskerville">
    <w:altName w:val="Cambria Math"/>
    <w:charset w:val="00"/>
    <w:family w:val="roman"/>
    <w:pitch w:val="variable"/>
    <w:sig w:usb0="80000067" w:usb1="02000000" w:usb2="00000000" w:usb3="00000000" w:csb0="0000019F" w:csb1="00000000"/>
  </w:font>
  <w:font w:name="Verdana">
    <w:panose1 w:val="020B0604030504040204"/>
    <w:charset w:val="00"/>
    <w:family w:val="swiss"/>
    <w:pitch w:val="variable"/>
    <w:sig w:usb0="A00006FF" w:usb1="4000205B" w:usb2="00000010" w:usb3="00000000" w:csb0="0000019F" w:csb1="00000000"/>
  </w:font>
  <w:font w:name="Helvetica">
    <w:altName w:val="Arial"/>
    <w:panose1 w:val="020B0604020202020204"/>
    <w:charset w:val="00"/>
    <w:family w:val="auto"/>
    <w:pitch w:val="variable"/>
    <w:sig w:usb0="E00002FF" w:usb1="5000785B" w:usb2="00000000" w:usb3="00000000" w:csb0="0000019F" w:csb1="00000000"/>
  </w:font>
  <w:font w:name="Yu Mincho">
    <w:charset w:val="80"/>
    <w:family w:val="roman"/>
    <w:pitch w:val="variable"/>
    <w:sig w:usb0="800002E7" w:usb1="2AC7FCFF" w:usb2="00000012" w:usb3="00000000" w:csb0="0002009F" w:csb1="00000000"/>
  </w:font>
  <w:font w:name="system-ui">
    <w:altName w:val="Cambria"/>
    <w:charset w:val="00"/>
    <w:family w:val="roman"/>
    <w:pitch w:val="default"/>
  </w:font>
  <w:font w:name="Aptos">
    <w:charset w:val="00"/>
    <w:family w:val="swiss"/>
    <w:pitch w:val="variable"/>
    <w:sig w:usb0="20000287" w:usb1="00000003" w:usb2="00000000" w:usb3="00000000" w:csb0="0000019F" w:csb1="00000000"/>
  </w:font>
  <w:font w:name="Aptos Narrow">
    <w:charset w:val="00"/>
    <w:family w:val="swiss"/>
    <w:pitch w:val="variable"/>
    <w:sig w:usb0="20000287" w:usb1="00000003" w:usb2="00000000" w:usb3="00000000" w:csb0="0000019F" w:csb1="00000000"/>
  </w:font>
  <w:font w:name="Utsaah">
    <w:charset w:val="00"/>
    <w:family w:val="swiss"/>
    <w:pitch w:val="variable"/>
    <w:sig w:usb0="00008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2F9E"/>
    <w:rsid w:val="00036D8B"/>
    <w:rsid w:val="00102F3D"/>
    <w:rsid w:val="00117490"/>
    <w:rsid w:val="00127343"/>
    <w:rsid w:val="00170EC4"/>
    <w:rsid w:val="001A3107"/>
    <w:rsid w:val="001F3457"/>
    <w:rsid w:val="002D669B"/>
    <w:rsid w:val="0030598E"/>
    <w:rsid w:val="003246BD"/>
    <w:rsid w:val="00435B66"/>
    <w:rsid w:val="0043772C"/>
    <w:rsid w:val="004620CF"/>
    <w:rsid w:val="00580758"/>
    <w:rsid w:val="005A69AF"/>
    <w:rsid w:val="00653F45"/>
    <w:rsid w:val="00654840"/>
    <w:rsid w:val="00682444"/>
    <w:rsid w:val="006B5F64"/>
    <w:rsid w:val="006D7006"/>
    <w:rsid w:val="00722230"/>
    <w:rsid w:val="00724522"/>
    <w:rsid w:val="007C313E"/>
    <w:rsid w:val="007E0F30"/>
    <w:rsid w:val="007E17F9"/>
    <w:rsid w:val="00831A44"/>
    <w:rsid w:val="008B0F41"/>
    <w:rsid w:val="008D4213"/>
    <w:rsid w:val="00901C05"/>
    <w:rsid w:val="00952DC4"/>
    <w:rsid w:val="00990F5F"/>
    <w:rsid w:val="009A1EF6"/>
    <w:rsid w:val="009D2F9E"/>
    <w:rsid w:val="009E54B0"/>
    <w:rsid w:val="009F2AF4"/>
    <w:rsid w:val="00A01539"/>
    <w:rsid w:val="00A16B82"/>
    <w:rsid w:val="00AD3306"/>
    <w:rsid w:val="00B57EE2"/>
    <w:rsid w:val="00BE68F1"/>
    <w:rsid w:val="00BF37E8"/>
    <w:rsid w:val="00C0204C"/>
    <w:rsid w:val="00C7370E"/>
    <w:rsid w:val="00C91868"/>
    <w:rsid w:val="00C9655D"/>
    <w:rsid w:val="00D15A9E"/>
    <w:rsid w:val="00D212FE"/>
    <w:rsid w:val="00D9426A"/>
    <w:rsid w:val="00E71865"/>
    <w:rsid w:val="00F45D0B"/>
    <w:rsid w:val="00F86AF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83208E844A4E2E8FEDB0C1711AE2BB">
    <w:name w:val="B183208E844A4E2E8FEDB0C1711AE2BB"/>
  </w:style>
  <w:style w:type="paragraph" w:customStyle="1" w:styleId="F6C486E3E7C94FFFB4C85AAA4050FC3A">
    <w:name w:val="F6C486E3E7C94FFFB4C85AAA4050FC3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Ins10</b:Tag>
    <b:SourceType>Book</b:SourceType>
    <b:Guid>{76D15B59-7993-4FB6-BA76-12313DBCE727}</b:Guid>
    <b:Author>
      <b:Author>
        <b:Corporate>IGAC</b:Corporate>
      </b:Author>
    </b:Author>
    <b:Title>Leyenda Nacional de Coberturas de la Tierra. Metodología Corine Land Cover</b:Title>
    <b:Year>2010</b:Year>
    <b:City>Bogotá</b:City>
    <b:Publisher>IGAC</b:Publisher>
    <b:RefOrder>29</b:RefOrder>
  </b:Source>
  <b:Source>
    <b:Tag>DAN19</b:Tag>
    <b:SourceType>Book</b:SourceType>
    <b:Guid>{DE1CEE3A-6298-4408-AC06-DB4C5982DDD3}</b:Guid>
    <b:Author>
      <b:Author>
        <b:NameList>
          <b:Person>
            <b:Last>DANE</b:Last>
          </b:Person>
        </b:NameList>
      </b:Author>
    </b:Author>
    <b:Title>Guía de descarga y visualización. Marco Geoestadístico Nacional</b:Title>
    <b:Year>2019</b:Year>
    <b:City>Bogotá</b:City>
    <b:Publisher>DANE</b:Publisher>
    <b:RefOrder>61</b:RefOrder>
  </b:Source>
  <b:Source>
    <b:Tag>SDP21</b:Tag>
    <b:SourceType>Book</b:SourceType>
    <b:Guid>{17C3A7F6-F78F-43B8-B27A-B1B70315AF41}</b:Guid>
    <b:Author>
      <b:Author>
        <b:Corporate>SDP</b:Corporate>
      </b:Author>
    </b:Author>
    <b:Title>DTS Componente Urbano - POT de Bogotá</b:Title>
    <b:Year>2021</b:Year>
    <b:City>Bogotá</b:City>
    <b:Publisher>Alcaldía Mayor de Bogotá</b:Publisher>
    <b:RefOrder>27</b:RefOrder>
  </b:Source>
  <b:Source>
    <b:Tag>Sec20</b:Tag>
    <b:SourceType>Book</b:SourceType>
    <b:Guid>{410CF5A4-2BFB-4400-9D2F-712D45134EED}</b:Guid>
    <b:Author>
      <b:Author>
        <b:Corporate>Secretaría del Hábitat</b:Corporate>
      </b:Author>
    </b:Author>
    <b:Title>Disponibilidad de suelo urbanizable para Bogotá y la Región 2020.</b:Title>
    <b:Year>2020</b:Year>
    <b:City>Bogotá</b:City>
    <b:Publisher>Secretaría del Hábitat</b:Publisher>
    <b:RefOrder>28</b:RefOrder>
  </b:Source>
  <b:Source>
    <b:Tag>Rom20</b:Tag>
    <b:SourceType>Book</b:SourceType>
    <b:Guid>{F8D6B7E4-1205-490C-8A7F-7894EE4F54B9}</b:Guid>
    <b:Author>
      <b:Author>
        <b:NameList>
          <b:Person>
            <b:Last>Romero Mejía</b:Last>
            <b:First>Mauricio</b:First>
          </b:Person>
        </b:NameList>
      </b:Author>
    </b:Author>
    <b:Title>Territorios híbridos metropolitanos: transformaciones urbanizadoras en el sector central de la Sabana de Bogotá</b:Title>
    <b:Year>2020</b:Year>
    <b:City>Barcelona</b:City>
    <b:RefOrder>24</b:RefOrder>
  </b:Source>
  <b:Source>
    <b:Tag>Min1</b:Tag>
    <b:SourceType>InternetSite</b:SourceType>
    <b:Guid>{14E9D9AA-B3F4-43CB-A0E1-DCAFF5FAC34E}</b:Guid>
    <b:Author>
      <b:Author>
        <b:Corporate>Ministerio de Ambiente y Desarrollo Sostenible</b:Corporate>
      </b:Author>
    </b:Author>
    <b:Title>Páramos</b:Title>
    <b:URL>https://www.minambiente.gov.co/direccion-de-bosques-biodiversidad-y-servicios-ecosistemicos/paramos/</b:URL>
    <b:RefOrder>15</b:RefOrder>
  </b:Source>
  <b:Source>
    <b:Tag>Par</b:Tag>
    <b:SourceType>InternetSite</b:SourceType>
    <b:Guid>{6FC0A7AE-111A-491B-93C5-884329C3F613}</b:Guid>
    <b:Author>
      <b:Author>
        <b:Corporate>Parques Nacionales Naturales de Colombia</b:Corporate>
      </b:Author>
    </b:Author>
    <b:Title>Sistema Nacional de Áreas Protegidas</b:Title>
    <b:URL>https://www.parquesnacionales.gov.co/entidad/sistema-nacional-de-areas-protegidas/</b:URL>
    <b:RefOrder>17</b:RefOrder>
  </b:Source>
  <b:Source>
    <b:Tag>Con71</b:Tag>
    <b:SourceType>ConferenceProceedings</b:SourceType>
    <b:Guid>{5BCB68D4-5D72-483A-94E6-B3C6EB4782A0}</b:Guid>
    <b:Title>¿Qué son los humedales?</b:Title>
    <b:Year>1971</b:Year>
    <b:Author>
      <b:Author>
        <b:Corporate>Convención de Ramsar</b:Corporate>
      </b:Author>
    </b:Author>
    <b:City>Ramsar</b:City>
    <b:RefOrder>16</b:RefOrder>
  </b:Source>
  <b:Source>
    <b:Tag>CAT09</b:Tag>
    <b:SourceType>Book</b:SourceType>
    <b:Guid>{6BFFC75A-D0F6-4FE0-A225-CD45BB416498}</b:Guid>
    <b:Title>Guía para la identificación participativa de zonas con potencial de recarga hídrica Aplicación práctica en la subcuenca del río Jucuapa, Nicaragua</b:Title>
    <b:Year>2009</b:Year>
    <b:Author>
      <b:Author>
        <b:Corporate>CATIE</b:Corporate>
      </b:Author>
    </b:Author>
    <b:RefOrder>19</b:RefOrder>
  </b:Source>
  <b:Source>
    <b:Tag>Con17</b:Tag>
    <b:SourceType>Book</b:SourceType>
    <b:Guid>{91F50420-2588-4574-A35B-C75573EC8066}</b:Guid>
    <b:Title>AJUSTE DEL PLAN DE ORDENACIÓN Y MANEJO DE LA CUENCA DEL RÍO BOGOTÁ</b:Title>
    <b:Year>2017</b:Year>
    <b:Author>
      <b:Author>
        <b:Corporate>Consorcio Huitaca</b:Corporate>
      </b:Author>
    </b:Author>
    <b:RefOrder>20</b:RefOrder>
  </b:Source>
  <b:Source>
    <b:Tag>Ser171</b:Tag>
    <b:SourceType>Book</b:SourceType>
    <b:Guid>{65792B8F-7AD8-4DF4-92C6-4DD694B6FFB9}</b:Guid>
    <b:Author>
      <b:Author>
        <b:Corporate>Servicio Geológico Colombiano</b:Corporate>
      </b:Author>
    </b:Author>
    <b:Title>GUÍA METODOLÓGICA PARA LA ZONIFICACIÓN DE AMENAZA POR MOVIMIENTOS EN MASA ESCALA 1: 25.000</b:Title>
    <b:Year>2017</b:Year>
    <b:City>Bogotá</b:City>
    <b:RefOrder>62</b:RefOrder>
  </b:Source>
  <b:Source>
    <b:Tag>Ser21</b:Tag>
    <b:SourceType>Book</b:SourceType>
    <b:Guid>{115F9150-B475-498D-9D24-441297A6BB61}</b:Guid>
    <b:Author>
      <b:Author>
        <b:Corporate>Servicio Geológico Colombiano y Universidad Pontificia Javeriana</b:Corporate>
      </b:Author>
    </b:Author>
    <b:Title>Guía metodológica para zonificación de amenaza por avenidas torrenciales</b:Title>
    <b:Year>2021</b:Year>
    <b:RefOrder>63</b:RefOrder>
  </b:Source>
  <b:Source>
    <b:Tag>IDE1</b:Tag>
    <b:SourceType>InternetSite</b:SourceType>
    <b:Guid>{E6EB5742-7708-4A7A-9A55-99F40F6C1B33}</b:Guid>
    <b:Title>AMENAZAS INUNDACIÓN</b:Title>
    <b:Author>
      <b:Author>
        <b:Corporate>IDEAM</b:Corporate>
      </b:Author>
    </b:Author>
    <b:URL>http://www.ideam.gov.co/web/agua/amenazas-inundacion</b:URL>
    <b:RefOrder>64</b:RefOrder>
  </b:Source>
  <b:Source>
    <b:Tag>Riv15</b:Tag>
    <b:SourceType>Book</b:SourceType>
    <b:Guid>{1757D162-CB0E-47A0-B4FF-8A6CCD79A71C}</b:Guid>
    <b:Title>Efecto de las eliminaciones sucesivas de la vegetación en pie sobre el reclutamiento de Ulex europaeus, en matorrales de diferentes edades en Bogotá D.C. en Colombia ﻿</b:Title>
    <b:Year>2015</b:Year>
    <b:Publisher>Tesis de maestría en Ciencias Biológicas, Pontificia Universidad Javeriana</b:Publisher>
    <b:City>Bogotá, D.C</b:City>
    <b:Author>
      <b:Author>
        <b:NameList>
          <b:Person>
            <b:Last>Rivera</b:Last>
            <b:First>A.</b:First>
          </b:Person>
        </b:NameList>
      </b:Author>
    </b:Author>
    <b:RefOrder>9</b:RefOrder>
  </b:Source>
  <b:Source>
    <b:Tag>Bel12</b:Tag>
    <b:SourceType>Book</b:SourceType>
    <b:Guid>{7EA9D1AE-5471-4F40-B1E0-B761E56ED8CD}</b:Guid>
    <b:Author>
      <b:Author>
        <b:NameList>
          <b:Person>
            <b:Last>Beltrán</b:Last>
            <b:First>E.</b:First>
          </b:Person>
        </b:NameList>
      </b:Author>
    </b:Author>
    <b:Title>Evaluación de matorrales y bancos de semillas en invasiones de Ulex europaeus de diferente edad al  sur de Bogotá D. C - Colombia</b:Title>
    <b:Year>2012</b:Year>
    <b:City>Bogotá</b:City>
    <b:Publisher>Tesis de Maestría en Ciencias Biológicas Pontificia Universidad Javeriana</b:Publisher>
    <b:RefOrder>10</b:RefOrder>
  </b:Source>
  <b:Source>
    <b:Tag>Cam15</b:Tag>
    <b:SourceType>Book</b:SourceType>
    <b:Guid>{26C5CDC9-07AC-4683-9912-E939BB2F37F7}</b:Guid>
    <b:Author>
      <b:Author>
        <b:NameList>
          <b:Person>
            <b:Last>Camelo</b:Last>
            <b:First>D.</b:First>
          </b:Person>
        </b:NameList>
      </b:Author>
    </b:Author>
    <b:Title>Evaluación del estado sucesional actual de las áreas restauradas y con invasión previa de Ulex europaeus L. en los Cerros Orientales de Bogotá </b:Title>
    <b:Year>2015</b:Year>
    <b:City>Bogotá, D.C.</b:City>
    <b:Publisher>Tesis de Maestría Pontificia Universidad Javeriana</b:Publisher>
    <b:RefOrder>11</b:RefOrder>
  </b:Source>
  <b:Source>
    <b:Tag>IDE23</b:Tag>
    <b:SourceType>DocumentFromInternetSite</b:SourceType>
    <b:Guid>{03DD34A0-A889-4031-8243-2C360BD8A2D1}</b:Guid>
    <b:Author>
      <b:Author>
        <b:NameList>
          <b:Person>
            <b:Last>IDEAM</b:Last>
            <b:First>Instituto</b:First>
            <b:Middle>de Hidrología, Meteorología y Estudios Ambientales</b:Middle>
          </b:Person>
        </b:NameList>
      </b:Author>
    </b:Author>
    <b:Title>El ciclo hidrológico</b:Title>
    <b:Year>2013</b:Year>
    <b:URL>http://www.ideam.gov.co/web/siac/aguaques</b:URL>
    <b:RefOrder>35</b:RefOrder>
  </b:Source>
  <b:Source>
    <b:Tag>IDE10</b:Tag>
    <b:SourceType>DocumentFromInternetSite</b:SourceType>
    <b:Guid>{F30D5865-9745-491D-8003-3BD10B208058}</b:Guid>
    <b:Author>
      <b:Author>
        <b:NameList>
          <b:Person>
            <b:Last>IDEAM</b:Last>
            <b:First>Instituto</b:First>
            <b:Middle>de Hidrología, Meteorología y Estudios Ambientales</b:Middle>
          </b:Person>
        </b:NameList>
      </b:Author>
    </b:Author>
    <b:Title>Marco conceptual</b:Title>
    <b:InternetSiteTitle>Índice de vulnerabilidad hídrica por desabastecimiento</b:InternetSiteTitle>
    <b:Year>2010</b:Year>
    <b:URL>chrome-extension://efaidnbmnnnibpcajpcglclefindmkaj/http://bart.ideam.gov.co/indiecosistemas/ind/agua/hm/HM_IVH.pdf</b:URL>
    <b:RefOrder>36</b:RefOrder>
  </b:Source>
  <b:Source>
    <b:Tag>IAV14</b:Tag>
    <b:SourceType>DocumentFromInternetSite</b:SourceType>
    <b:Guid>{9FD8F040-06E4-479F-B604-E0EE0FD1D515}</b:Guid>
    <b:Author>
      <b:Author>
        <b:NameList>
          <b:Person>
            <b:Last>IAVH</b:Last>
            <b:First>Instituto</b:First>
            <b:Middle>Alexander Von Humboldt</b:Middle>
          </b:Person>
        </b:NameList>
      </b:Author>
    </b:Author>
    <b:Title>Qué es eun ecosistema?</b:Title>
    <b:Year>2014</b:Year>
    <b:URL>http://www.humboldt.org.co/es/biodiversidad/que-es-la-biodiversidad</b:URL>
    <b:RefOrder>37</b:RefOrder>
  </b:Source>
  <b:Source>
    <b:Tag>ald02</b:Tag>
    <b:SourceType>JournalArticle</b:SourceType>
    <b:Guid>{C272616D-CCFE-4B0D-AFCD-436D4DB4059F}</b:Guid>
    <b:Author>
      <b:Author>
        <b:NameList>
          <b:Person>
            <b:Last>al</b:Last>
            <b:First>de</b:First>
            <b:Middle>Groot et</b:Middle>
          </b:Person>
        </b:NameList>
      </b:Author>
    </b:Author>
    <b:Title>Una tipología para la clasificación, descripción y valoración.de las funciones, bienes y servicios del ecosistema</b:Title>
    <b:Year>2002</b:Year>
    <b:JournalName>Ecological Economics 41</b:JournalName>
    <b:Pages>393-408</b:Pages>
    <b:RefOrder>65</b:RefOrder>
  </b:Source>
  <b:Source>
    <b:Tag>MEA05</b:Tag>
    <b:SourceType>InternetSite</b:SourceType>
    <b:Guid>{E3F07994-6D72-45EC-9C7C-07976A819F4B}</b:Guid>
    <b:Author>
      <b:Author>
        <b:NameList>
          <b:Person>
            <b:Last>MEA</b:Last>
          </b:Person>
        </b:NameList>
      </b:Author>
    </b:Author>
    <b:Title>Evaluación de Ecosistemas del Milenio</b:Title>
    <b:InternetSiteTitle>Ecosystems and human wellbeing: synthesis Island Press, Washington, DC.</b:InternetSiteTitle>
    <b:Year>2005</b:Year>
    <b:URL>www.millenniumassessment.org/</b:URL>
    <b:RefOrder>38</b:RefOrder>
  </b:Source>
  <b:Source>
    <b:Tag>Cor12</b:Tag>
    <b:SourceType>JournalArticle</b:SourceType>
    <b:Guid>{B71237A1-E2DA-4263-9600-5F27F7932A22}</b:Guid>
    <b:Title>Los servicios ecosistémicos de regulación: tendencias e impacto en el bienestar humano</b:Title>
    <b:Year>2012</b:Year>
    <b:Author>
      <b:Author>
        <b:Corporate>Corredor et al.</b:Corporate>
      </b:Author>
    </b:Author>
    <b:JournalName>Revista Universidad Nacional Abierta y a Distancia (UNAD) Vol 3</b:JournalName>
    <b:Pages>77-83</b:Pages>
    <b:RefOrder>39</b:RefOrder>
  </b:Source>
  <b:Source>
    <b:Tag>GWP19</b:Tag>
    <b:SourceType>InternetSite</b:SourceType>
    <b:Guid>{10B31AEC-267F-40BB-973D-770C9E895499}</b:Guid>
    <b:Title>Principales desafios de la GIRH</b:Title>
    <b:Year>2019</b:Year>
    <b:Author>
      <b:Author>
        <b:NameList>
          <b:Person>
            <b:Last>GWP</b:Last>
            <b:First>Global</b:First>
            <b:Middle>Water Partnership</b:Middle>
          </b:Person>
        </b:NameList>
      </b:Author>
    </b:Author>
    <b:URL>https://www.gwp.org/es/GWP-Sud-America/ACERCA/por-que/PRINCIPALES-DESAFIOS/Que-es-la-GIRH/</b:URL>
    <b:RefOrder>40</b:RefOrder>
  </b:Source>
  <b:Source>
    <b:Tag>IDE0p</b:Tag>
    <b:SourceType>Report</b:SourceType>
    <b:Guid>{9DBC3163-D4DF-4158-9C3A-B69225A123A1}</b:Guid>
    <b:Author>
      <b:Author>
        <b:NameList>
          <b:Person>
            <b:Last>IDEAM</b:Last>
            <b:First>Instituto</b:First>
            <b:Middle>de Hidrología, Meteorología y Estudios Ambientales</b:Middle>
          </b:Person>
        </b:NameList>
      </b:Author>
    </b:Author>
    <b:Title>Hoja metodológica del indicador Índice de calidad del agua (Versión 1,00). Sistema de Indicadores Ambientales de Colombia - Indicadores de Calidad del agua superficial. 10 p.</b:Title>
    <b:Year>2011</b:Year>
    <b:RefOrder>41</b:RefOrder>
  </b:Source>
  <b:Source>
    <b:Tag>IDE13</b:Tag>
    <b:SourceType>InternetSite</b:SourceType>
    <b:Guid>{AA73B133-66F4-4696-BA73-B2A6FABF30B7}</b:Guid>
    <b:Title>Índice del Uso del Agua - IUA</b:Title>
    <b:Year>2013</b:Year>
    <b:Author>
      <b:Author>
        <b:NameList>
          <b:Person>
            <b:Last>IDEAM</b:Last>
            <b:First>Instituto</b:First>
            <b:Middle>de Hidrología, Meteorología y Estudios Ambientales</b:Middle>
          </b:Person>
        </b:NameList>
      </b:Author>
    </b:Author>
    <b:InternetSiteTitle>Indicadores</b:InternetSiteTitle>
    <b:URL>http://www.ideam.gov.co/web/agua/iua</b:URL>
    <b:RefOrder>42</b:RefOrder>
  </b:Source>
  <b:Source>
    <b:Tag>IDE131</b:Tag>
    <b:SourceType>Report</b:SourceType>
    <b:Guid>{DC3682EA-95EC-46FB-B6C2-96409BB360D4}</b:Guid>
    <b:Title>Hoja metodológica del indicador Índice de Vulnerabilidad Hídrica por Desabastecimiento (IVH) (Versión 1,3). Sistema de Indicadores Ambientales de Colombia - Indicadores de Calidad del agua superficial. 15 p.</b:Title>
    <b:Year>2013</b:Year>
    <b:Author>
      <b:Author>
        <b:NameList>
          <b:Person>
            <b:Last>IDEAM</b:Last>
            <b:First>Instituto</b:First>
            <b:Middle>de Hidrología, Meteorología y Estudios Ambientales</b:Middle>
          </b:Person>
        </b:NameList>
      </b:Author>
    </b:Author>
    <b:RefOrder>43</b:RefOrder>
  </b:Source>
  <b:Source>
    <b:Tag>IDE20</b:Tag>
    <b:SourceType>Report</b:SourceType>
    <b:Guid>{B96B967D-C058-4EF2-B134-C5392648CBB2}</b:Guid>
    <b:Author>
      <b:Author>
        <b:NameList>
          <b:Person>
            <b:Last>IDEAM</b:Last>
            <b:First>Instituto</b:First>
            <b:Middle>de Hidrología, Meteorología y Estudios Ambientales</b:Middle>
          </b:Person>
        </b:NameList>
      </b:Author>
    </b:Author>
    <b:Title>Hoja metodológica del Índice de alteración potencial de la calidad del agua (Versión 1,1). 16 p</b:Title>
    <b:Year>2020</b:Year>
    <b:RefOrder>44</b:RefOrder>
  </b:Source>
  <b:Source>
    <b:Tag>Bol21</b:Tag>
    <b:SourceType>JournalArticle</b:SourceType>
    <b:Guid>{5878D4E2-E8F2-463A-BC55-9F068E876445}</b:Guid>
    <b:Title>El sistema tecnológico ampliado hídrico del Área Metropolitana Funcional de Bogotá: un análisis desde la gobernanza del agua</b:Title>
    <b:Year>2021</b:Year>
    <b:Author>
      <b:Author>
        <b:NameList>
          <b:Person>
            <b:Last>Bolívar</b:Last>
            <b:First>V. </b:First>
          </b:Person>
          <b:Person>
            <b:Last>Montoya</b:Last>
            <b:First>J.</b:First>
          </b:Person>
        </b:NameList>
      </b:Author>
    </b:Author>
    <b:JournalName>Revista Colombiana de Geografía, Facultad de Ciencias Humanas de la Universidad Nacional de Colombia</b:JournalName>
    <b:RefOrder>45</b:RefOrder>
  </b:Source>
  <b:Source>
    <b:Tag>EAA23</b:Tag>
    <b:SourceType>InternetSite</b:SourceType>
    <b:Guid>{F6766D85-1875-4772-BC50-2FD887063ACB}</b:Guid>
    <b:Author>
      <b:Author>
        <b:NameList>
          <b:Person>
            <b:Last>EAAB- ESP</b:Last>
            <b:First>Empresa</b:First>
            <b:Middle>de Acueducto Agua y Alcanatarillado de Bogotá</b:Middle>
          </b:Person>
        </b:NameList>
      </b:Author>
    </b:Author>
    <b:Title>Descripción de los sistemas de abastecimiento</b:Title>
    <b:Year>2023</b:Year>
    <b:URL>https://www.acueducto.com.co/wps/portal/EAB2/Home/acueducto-y-alcantarillado/la-infraestructuraAcueducto/plan-maestro-de-abastecimiento/descripcion-del-sistema-de-abastecimiento</b:URL>
    <b:RefOrder>46</b:RefOrder>
  </b:Source>
  <b:Source>
    <b:Tag>Res18</b:Tag>
    <b:SourceType>InternetSite</b:SourceType>
    <b:Guid>{101E0CE3-A2DC-4A94-8935-A40F3D97FAF7}</b:Guid>
    <b:Author>
      <b:Author>
        <b:NameList>
          <b:Person>
            <b:Last>SIC</b:Last>
            <b:First>Resolución</b:First>
            <b:Middle>14305 de 2018 [Syperintentencia de Indrustria y Comercio]</b:Middle>
          </b:Person>
        </b:NameList>
      </b:Author>
    </b:Author>
    <b:Title>Por la cual se imponen sanciones por infracciones del régimen de protección de la competencia</b:Title>
    <b:Year>2018</b:Year>
    <b:Month>Febrero</b:Month>
    <b:Day>28</b:Day>
    <b:URL>https://www.sic.gov.co/sites/default/files/files/Proteccion_Competencia/Ordenes_de_Publicaciones/Resoluciones_Sancion/RESOLUCI%C3%93N%2014305%20DEL%2028-02-2018.pdf</b:URL>
    <b:RefOrder>47</b:RefOrder>
  </b:Source>
  <b:Source>
    <b:Tag>CAR21</b:Tag>
    <b:SourceType>DocumentFromInternetSite</b:SourceType>
    <b:Guid>{73F213CA-4E11-4E77-A916-01755C3EFB8F}</b:Guid>
    <b:Author>
      <b:Author>
        <b:NameList>
          <b:Person>
            <b:Last>CAR</b:Last>
            <b:First>Corporación</b:First>
            <b:Middle>Autónoma Regional de Cundinamarca</b:Middle>
          </b:Person>
        </b:NameList>
      </b:Author>
    </b:Author>
    <b:Title>Evaluación Regional del Agua - ERA Cuenca del río Bogotá</b:Title>
    <b:Year>2021</b:Year>
    <b:URL>https://www.car.gov.co/uploads/files/648b601fc1a45.pdf</b:URL>
    <b:RefOrder>48</b:RefOrder>
  </b:Source>
  <b:Source>
    <b:Tag>Rom22</b:Tag>
    <b:SourceType>DocumentFromInternetSite</b:SourceType>
    <b:Guid>{F98FA414-461D-4B83-AE26-9D79BF725828}</b:Guid>
    <b:Title>Efectos ambientales de presas y embalses de las presas y embalses</b:Title>
    <b:InternetSiteTitle>Universidad Politécnica de Valencia</b:InternetSiteTitle>
    <b:Year>2022</b:Year>
    <b:URL>chrome-extension://efaidnbmnnnibpcajpcglclefindmkaj/https://riunet.upv.es/bitstream/handle/10251/167775/Romero%20-%20Efectos%20ambentales%20de%20presas%20y%20embalses.pdf?sequence=1</b:URL>
    <b:Author>
      <b:Author>
        <b:NameList>
          <b:Person>
            <b:Last>Romero</b:Last>
            <b:First>Inmaculada</b:First>
          </b:Person>
        </b:NameList>
      </b:Author>
    </b:Author>
    <b:RefOrder>49</b:RefOrder>
  </b:Source>
  <b:Source>
    <b:Tag>CAR08</b:Tag>
    <b:SourceType>DocumentFromInternetSite</b:SourceType>
    <b:Guid>{091949FB-A2BA-4DE0-BD3C-58ACD7472D35}</b:Guid>
    <b:Title>Plan de manejo ambiental de aguas subterráneas en la Sabana de Bogotá y Zona Crítica</b:Title>
    <b:Year>2008</b:Year>
    <b:URL>https://www.car.gov.co/vercontenido/2517</b:URL>
    <b:Author>
      <b:Author>
        <b:NameList>
          <b:Person>
            <b:Last>CAR</b:Last>
            <b:First>Corporación</b:First>
            <b:Middle>Autónoma Regional de Cundinamarca</b:Middle>
          </b:Person>
        </b:NameList>
      </b:Author>
    </b:Author>
    <b:RefOrder>50</b:RefOrder>
  </b:Source>
  <b:Source>
    <b:Tag>CAR</b:Tag>
    <b:SourceType>DocumentFromInternetSite</b:SourceType>
    <b:Guid>{8711DBDE-3A59-4F0E-83E7-3CA6494146AD}</b:Guid>
    <b:Author>
      <b:Author>
        <b:NameList>
          <b:Person>
            <b:Last>CAR</b:Last>
            <b:First>Corporación</b:First>
            <b:Middle>Autónoma Regional de Cundinamarca</b:Middle>
          </b:Person>
        </b:NameList>
      </b:Author>
    </b:Author>
    <b:Title>Plan de Gestión Ambiental Regional PGAR 2012-2023</b:Title>
    <b:URL>chrome-extension://efaidnbmnnnibpcajpcglclefindmkaj/https://www.car.gov.co/uploads/files/5ac22faf27f5a.pdf</b:URL>
    <b:Year>2012</b:Year>
    <b:RefOrder>51</b:RefOrder>
  </b:Source>
  <b:Source>
    <b:Tag>ORA</b:Tag>
    <b:SourceType>InternetSite</b:SourceType>
    <b:Guid>{B39DBD75-0E5E-4FB1-A525-8F46D6FAED2D}</b:Guid>
    <b:Author>
      <b:Author>
        <b:NameList>
          <b:Person>
            <b:Last>ORARBO</b:Last>
          </b:Person>
        </b:NameList>
      </b:Author>
    </b:Author>
    <b:URL>https://orarbo.gov.co/es/todos-los-indicadores</b:URL>
    <b:Title>Observatorio Regional Ambiental y de Desarrollo Sostenible del Río Bogotá</b:Title>
    <b:Year>2023</b:Year>
    <b:RefOrder>52</b:RefOrder>
  </b:Source>
  <b:Source>
    <b:Tag>MAV10</b:Tag>
    <b:SourceType>DocumentFromInternetSite</b:SourceType>
    <b:Guid>{0E9BF235-B676-41C0-BF8F-25D5C3000553}</b:Guid>
    <b:Author>
      <b:Author>
        <b:NameList>
          <b:Person>
            <b:Last>MAVDT</b:Last>
            <b:First>Ministerio</b:First>
            <b:Middle>de Ambiente Vivienda y Desarrollo Territorial</b:Middle>
          </b:Person>
        </b:NameList>
      </b:Author>
    </b:Author>
    <b:Title>Política Nacional para la Gestión Integral del Recurso Hídrico</b:Title>
    <b:Year>2010</b:Year>
    <b:URL>chrome-extension://efaidnbmnnnibpcajpcglclefindmkaj/https://www.minambiente.gov.co/wp-content/uploads/2021/10/Politica-nacional-Gestion-integral-de-recurso-Hidrico-web.pdf</b:URL>
    <b:RefOrder>53</b:RefOrder>
  </b:Source>
  <b:Source>
    <b:Tag>Guh13</b:Tag>
    <b:SourceType>DocumentFromInternetSite</b:SourceType>
    <b:Guid>{796C7416-361B-4228-B696-879B699AA807}</b:Guid>
    <b:Title>La Región Hídrica de Bogotá</b:Title>
    <b:Year>2013</b:Year>
    <b:URL>http://scielo.org.co/scielo.php?script=sci_arttext&amp;pid=S0370-39082013000300005</b:URL>
    <b:Author>
      <b:Author>
        <b:NameList>
          <b:Person>
            <b:Last>Guhl</b:Last>
            <b:First>Ernesto </b:First>
          </b:Person>
        </b:NameList>
      </b:Author>
    </b:Author>
    <b:RefOrder>54</b:RefOrder>
  </b:Source>
  <b:Source>
    <b:Tag>Mor22</b:Tag>
    <b:SourceType>DocumentFromInternetSite</b:SourceType>
    <b:Guid>{315A52C4-DA77-4A97-9DC5-5D29E30A95DC}</b:Guid>
    <b:Title>Descripción General de los Humedales de Bogotá D.C</b:Title>
    <b:Year>2022</b:Year>
    <b:URL>chrome-extension://efaidnbmnnnibpcajpcglclefindmkaj/https://www.sogeocol.edu.co/documentos/humed.pdf</b:URL>
    <b:Author>
      <b:Author>
        <b:Corporate>Moreno et al </b:Corporate>
      </b:Author>
    </b:Author>
    <b:RefOrder>55</b:RefOrder>
  </b:Source>
  <b:Source>
    <b:Tag>CAR19</b:Tag>
    <b:SourceType>DocumentFromInternetSite</b:SourceType>
    <b:Guid>{63D2BE8E-7402-4897-BBF1-310534E9981F}</b:Guid>
    <b:Author>
      <b:Author>
        <b:NameList>
          <b:Person>
            <b:Last>CAR</b:Last>
            <b:First>Corporación</b:First>
            <b:Middle>Autónoma Regional de Cundinamarca</b:Middle>
          </b:Person>
        </b:NameList>
      </b:Author>
    </b:Author>
    <b:Title>En el Día Mundial de los Humedales, la CAR reitera el llamado a su conservación</b:Title>
    <b:Year>2019</b:Year>
    <b:URL>https://www.car.gov.co/saladeprensa/en-el-dia-mundial-de-los-humedales-la-car-reitera-el-llamado-a-su-conservacion</b:URL>
    <b:RefOrder>56</b:RefOrder>
  </b:Source>
  <b:Source>
    <b:Tag>CAR22</b:Tag>
    <b:SourceType>InternetSite</b:SourceType>
    <b:Guid>{4D8C1C36-1192-4250-BD94-399CC6FE5D68}</b:Guid>
    <b:Title>Boletines de Calidad Hídrica</b:Title>
    <b:Year>2022</b:Year>
    <b:Author>
      <b:Author>
        <b:NameList>
          <b:Person>
            <b:Last>CAR</b:Last>
            <b:First>Corporación</b:First>
            <b:Middle>Autónoma Regional de Cundinamarca</b:Middle>
          </b:Person>
        </b:NameList>
      </b:Author>
    </b:Author>
    <b:URL>https://www.car.gov.co/vercontenido/2314</b:URL>
    <b:RefOrder>57</b:RefOrder>
  </b:Source>
  <b:Source>
    <b:Tag>MarcadorDePosición1</b:Tag>
    <b:SourceType>InternetSite</b:SourceType>
    <b:Guid>{BBEF8DCE-0091-4497-B60B-C26C7A61C0A9}</b:Guid>
    <b:Author>
      <b:Author>
        <b:NameList>
          <b:Person>
            <b:Last>ORARBO</b:Last>
          </b:Person>
        </b:NameList>
      </b:Author>
    </b:Author>
    <b:URL>https://orarbo.gov.co/es/todos-los-indicadores</b:URL>
    <b:Title>Observatorio Regional Ambiental y de Desarrollo Sostenible del río Bogotá</b:Title>
    <b:Year>2023</b:Year>
    <b:RefOrder>58</b:RefOrder>
  </b:Source>
  <b:Source>
    <b:Tag>DAN18</b:Tag>
    <b:SourceType>Report</b:SourceType>
    <b:Guid>{D02F27AA-2EFD-4C41-8EFC-4A263B78B810}</b:Guid>
    <b:Author>
      <b:Author>
        <b:NameList>
          <b:Person>
            <b:Last>DANE</b:Last>
            <b:First>Departamento</b:First>
            <b:Middle>Administrativo Nacional de Estadística</b:Middle>
          </b:Person>
        </b:NameList>
      </b:Author>
    </b:Author>
    <b:Title>Proyecciones De Población Municipal Por Área Y Pertenencia Étnico-Racial 2018 - 2035</b:Title>
    <b:Year>2018</b:Year>
    <b:City>Bogotá</b:City>
    <b:RefOrder>59</b:RefOrder>
  </b:Source>
  <b:Source>
    <b:Tag>MarcadorDePosición2</b:Tag>
    <b:SourceType>InternetSite</b:SourceType>
    <b:Guid>{EBACE9FD-B25F-4608-B92E-143FFCCCDB57}</b:Guid>
    <b:Author>
      <b:Author>
        <b:NameList>
          <b:Person>
            <b:Last>CAR</b:Last>
            <b:First>Cundinamarca,</b:First>
            <b:Middle>Corporación Autónoma Regional de</b:Middle>
          </b:Person>
        </b:NameList>
      </b:Author>
    </b:Author>
    <b:Title>Boletín de Calidad Hídrica</b:Title>
    <b:InternetSiteTitle>Informe sobre el cumplimiento de Objetivos de Calidad en las ocho subzonas hidrográficas y dos niveles subsiguientes de la jurisdicción CAR</b:InternetSiteTitle>
    <b:Year>2022</b:Year>
    <b:URL>www.car.gov.co/uploads/files/644706513c2bb.pdf</b:URL>
    <b:RefOrder>60</b:RefOrder>
  </b:Source>
  <b:Source>
    <b:Tag>IDE15</b:Tag>
    <b:SourceType>DocumentFromInternetSite</b:SourceType>
    <b:Guid>{6AB52158-EA91-400B-88F1-D23E05A3A30A}</b:Guid>
    <b:Author>
      <b:Author>
        <b:Corporate>IDEAM, Instituto de Hidrología, Meteorología y Estudios Ambientales</b:Corporate>
      </b:Author>
    </b:Author>
    <b:Title>Oferta Hídrica Total Superficial (OHTS) Histórica </b:Title>
    <b:Year>2015</b:Year>
    <b:URL>chrome-extension://efaidnbmnnnibpcajpcglclefindmkaj/http://bart.ideam.gov.co/indiecosistemas/ind/agua/hm/HM%20OHTS_Historica.pdf</b:URL>
    <b:RefOrder>66</b:RefOrder>
  </b:Source>
  <b:Source>
    <b:Tag>Sec16</b:Tag>
    <b:SourceType>Book</b:SourceType>
    <b:Guid>{10B3A052-66BB-4C28-BF42-830E2F5249B6}</b:Guid>
    <b:Author>
      <b:Author>
        <b:NameList>
          <b:Person>
            <b:Last>SDP</b:Last>
          </b:Person>
        </b:NameList>
      </b:Author>
    </b:Author>
    <b:Title>Región Metropolitana de Bogotá: Una visión de ocupación del suelo</b:Title>
    <b:Year>2016</b:Year>
    <b:City>Bogotá</b:City>
    <b:Publisher>SDP</b:Publisher>
    <b:RefOrder>22</b:RefOrder>
  </b:Source>
  <b:Source>
    <b:Tag>IDO19</b:Tag>
    <b:SourceType>Book</b:SourceType>
    <b:Guid>{596A1779-63DE-4F8D-B330-9BC9BAC5ABBE}</b:Guid>
    <b:Author>
      <b:Author>
        <b:NameList>
          <b:Person>
            <b:Last>IDOM</b:Last>
          </b:Person>
        </b:NameList>
      </b:Author>
    </b:Author>
    <b:Title>ESTUDIO DE CRECIMIENTO Y EVOLUCIÓN DE LA HUELLA URBANA PARA LOS MUNICIPIOS QUE CONFORMAN EL ÁREA BOGOTÁ REGIÓN</b:Title>
    <b:Year>2019</b:Year>
    <b:City>BOGOTA </b:City>
    <b:RefOrder>23</b:RefOrder>
  </b:Source>
  <b:Source>
    <b:Tag>Cus98</b:Tag>
    <b:SourceType>JournalArticle</b:SourceType>
    <b:Guid>{2C56AEDA-7041-443B-A48A-D5310E3D6CED}</b:Guid>
    <b:Title>Recarga de los acuíferos: Aspectos generales sobre el proceso, la evaluación y la incertidumbre</b:Title>
    <b:Year>1998</b:Year>
    <b:Author>
      <b:Author>
        <b:NameList>
          <b:Person>
            <b:Last>Custodio</b:Last>
            <b:First>Emilio</b:First>
          </b:Person>
        </b:NameList>
      </b:Author>
    </b:Author>
    <b:JournalName>Boletín Geológico y Minero</b:JournalName>
    <b:Pages>13-29</b:Pages>
    <b:RefOrder>18</b:RefOrder>
  </b:Source>
  <b:Source>
    <b:Tag>Ins14</b:Tag>
    <b:SourceType>Report</b:SourceType>
    <b:Guid>{12478D05-140E-457F-BAFD-BE3CF12B2865}</b:Guid>
    <b:Author>
      <b:Author>
        <b:Corporate>Instituto Universidario de Formosa</b:Corporate>
      </b:Author>
    </b:Author>
    <b:Title>Boletín Técnico Agríloca</b:Title>
    <b:Year>2014</b:Year>
    <b:Publisher>Gobierno de la Provincia de Formosa</b:Publisher>
    <b:City>Formosa, Argentina</b:City>
    <b:RefOrder>30</b:RefOrder>
  </b:Source>
  <b:Source>
    <b:Tag>Cor23</b:Tag>
    <b:SourceType>Book</b:SourceType>
    <b:Guid>{FFADDF53-92E1-484E-99C1-CA96590F3B30}</b:Guid>
    <b:Author>
      <b:Author>
        <b:Corporate>Corporación Colombiana de Investigación Agropecuaria</b:Corporate>
      </b:Author>
    </b:Author>
    <b:Title>Estrategias de adaptación y mitigación al cambio climático en sistemas de producción agrícola</b:Title>
    <b:Year>2023</b:Year>
    <b:Publisher>AGROSAVIA</b:Publisher>
    <b:City>Bogotá</b:City>
    <b:RefOrder>31</b:RefOrder>
  </b:Source>
  <b:Source>
    <b:Tag>Min21</b:Tag>
    <b:SourceType>Report</b:SourceType>
    <b:Guid>{CA62E3B6-5936-456E-A575-621F6343E82D}</b:Guid>
    <b:Title>Circular sobre estructuras livianas</b:Title>
    <b:Year>2021</b:Year>
    <b:City>Bogotá</b:City>
    <b:Publisher>Minvivienda</b:Publisher>
    <b:Author>
      <b:Author>
        <b:Corporate>Minvivienda</b:Corporate>
      </b:Author>
    </b:Author>
    <b:RefOrder>32</b:RefOrder>
  </b:Source>
  <b:Source>
    <b:Tag>Min24</b:Tag>
    <b:SourceType>Report</b:SourceType>
    <b:Guid>{2030EB96-70B4-476C-B578-C20CC48C7212}</b:Guid>
    <b:Author>
      <b:Author>
        <b:Corporate>Minambiente, Asocolflores</b:Corporate>
      </b:Author>
    </b:Author>
    <b:Title>Guia ambiental para cultivos de flores y especies ornamentales</b:Title>
    <b:Year>2024</b:Year>
    <b:Publisher>Minambiente</b:Publisher>
    <b:City>Bogotá</b:City>
    <b:RefOrder>33</b:RefOrder>
  </b:Source>
  <b:Source>
    <b:Tag>MAR23</b:Tag>
    <b:SourceType>ElectronicSource</b:SourceType>
    <b:Guid>{C0A9562C-9807-421A-9091-EB0924D3F1D2}</b:Guid>
    <b:Title>Caracterización e inventario ambiental de cultivos bajo invernadero en Tenjo, Colombia</b:Title>
    <b:Year>2023</b:Year>
    <b:City>Bucaramanga</b:City>
    <b:Author>
      <b:Author>
        <b:NameList>
          <b:Person>
            <b:Last>MARIN-BENITEZ</b:Last>
            <b:First>Andrea</b:First>
            <b:Middle>Carolina et al.</b:Middle>
          </b:Person>
        </b:NameList>
      </b:Author>
    </b:Author>
    <b:StateProvince>Santander</b:StateProvince>
    <b:CountryRegion>Colombia</b:CountryRegion>
    <b:Month>Febrero</b:Month>
    <b:Day>28</b:Day>
    <b:RefOrder>34</b:RefOrder>
  </b:Source>
  <b:Source>
    <b:Tag>Uni201</b:Tag>
    <b:SourceType>BookSection</b:SourceType>
    <b:Guid>{6D7BBF4E-0A8E-4DC1-888C-4E9E523D3068}</b:Guid>
    <b:Title>Impacto del desarrollo urbano en los ecosistemas de la Sabana de Bogotá</b:Title>
    <b:Year>2020</b:Year>
    <b:City>Bogotá </b:City>
    <b:Author>
      <b:Author>
        <b:Corporate>Universidad Nacional de Colombia</b:Corporate>
      </b:Author>
    </b:Author>
    <b:RefOrder>12</b:RefOrder>
  </b:Source>
  <b:Source>
    <b:Tag>Min17</b:Tag>
    <b:SourceType>BookSection</b:SourceType>
    <b:Guid>{D9E240FD-449A-4667-9C9A-29ACD6636635}</b:Guid>
    <b:Author>
      <b:Author>
        <b:Corporate>Ministerio de Ambiente y Desarrollo Sostenible</b:Corporate>
      </b:Author>
    </b:Author>
    <b:Title>Directrices para la evaluación de impacto ambiental en zonas de alta montaña</b:Title>
    <b:Year>2017</b:Year>
    <b:City>Bogotá</b:City>
    <b:RefOrder>13</b:RefOrder>
  </b:Source>
  <b:Source>
    <b:Tag>Ins18</b:Tag>
    <b:SourceType>BookSection</b:SourceType>
    <b:Guid>{DDB5EF93-18C8-4649-B9CE-91897157D84C}</b:Guid>
    <b:Author>
      <b:Author>
        <b:Corporate>Instituto Humboldt</b:Corporate>
      </b:Author>
    </b:Author>
    <b:Title>Impacto de la minería en ecosistemas de montaña en Colombia</b:Title>
    <b:Year>2018</b:Year>
    <b:City>Bogotá</b:City>
    <b:RefOrder>14</b:RefOrder>
  </b:Source>
  <b:Source>
    <b:Tag>Uni24</b:Tag>
    <b:SourceType>InternetSite</b:SourceType>
    <b:Guid>{C4EB21D4-D877-4006-A7EC-D559C89EFF76}</b:Guid>
    <b:Title>GHSL - Global Human Settlement Layer</b:Title>
    <b:Year>2024</b:Year>
    <b:Author>
      <b:Author>
        <b:Corporate>Unión Europea</b:Corporate>
      </b:Author>
    </b:Author>
    <b:Month>09</b:Month>
    <b:Day>09</b:Day>
    <b:URL>https://human-settlement.emergency.copernicus.eu/copernicus.php</b:URL>
    <b:RefOrder>25</b:RefOrder>
  </b:Source>
  <b:Source>
    <b:Tag>Arc24</b:Tag>
    <b:SourceType>InternetSite</b:SourceType>
    <b:Guid>{9BE7227D-FE12-44D6-9FCC-8FAA6BC6CB6E}</b:Guid>
    <b:Author>
      <b:Author>
        <b:Corporate>ArcGis Pro</b:Corporate>
      </b:Author>
    </b:Author>
    <b:Title>Herramientas de geoprocesamiento</b:Title>
    <b:InternetSiteTitle>Mineria de series espacio-temporales</b:InternetSiteTitle>
    <b:Year>2024</b:Year>
    <b:Month>9</b:Month>
    <b:Day>09</b:Day>
    <b:URL>https://pro.arcgis.com/es/pro-app/latest/tool-reference/space-time-pattern-mining/learnmorecurvefitforecast.htm</b:URL>
    <b:RefOrder>26</b:RefOrder>
  </b:Source>
  <b:Source>
    <b:Tag>Arr12</b:Tag>
    <b:SourceType>JournalArticle</b:SourceType>
    <b:Guid>{B9B5E567-E42B-45D7-BA51-BEEABF8F2C43}</b:Guid>
    <b:Title>Justicia Ambiental. El Estado de la Cuestiín</b:Title>
    <b:Year>2012</b:Year>
    <b:Author>
      <b:Author>
        <b:NameList>
          <b:Person>
            <b:Last>Arriaga</b:Last>
            <b:First>Alicia</b:First>
          </b:Person>
          <b:Person>
            <b:Last>Pardo</b:Last>
            <b:First>Mercedes</b:First>
          </b:Person>
        </b:NameList>
      </b:Author>
    </b:Author>
    <b:JournalName>Revista Internacional de Sociología</b:JournalName>
    <b:Pages>69</b:Pages>
    <b:RefOrder>67</b:RefOrder>
  </b:Source>
  <b:Source>
    <b:Tag>Hur19</b:Tag>
    <b:SourceType>Report</b:SourceType>
    <b:Guid>{51C2446A-404E-4EBE-BBEC-8CE586ED21DD}</b:Guid>
    <b:Author>
      <b:Author>
        <b:NameList>
          <b:Person>
            <b:Last>Hurtado</b:Last>
            <b:First>Juliana</b:First>
          </b:Person>
        </b:NameList>
      </b:Author>
    </b:Author>
    <b:Title>Una aproximación al concepto de justicia hídrica</b:Title>
    <b:JournalName>EDT</b:JournalName>
    <b:Year>2019</b:Year>
    <b:Publisher>Universidad Externado de Colombia</b:Publisher>
    <b:City>Bogotá</b:City>
    <b:RefOrder>68</b:RefOrder>
  </b:Source>
  <b:Source>
    <b:Tag>Col22</b:Tag>
    <b:SourceType>Report</b:SourceType>
    <b:Guid>{7077C05B-8376-42ED-9300-6300C4475E43}</b:Guid>
    <b:Author>
      <b:Author>
        <b:NameList>
          <b:Person>
            <b:Last>Colombia</b:Last>
            <b:First>Parques</b:First>
            <b:Middle>Naturales Nacionales de</b:Middle>
          </b:Person>
        </b:NameList>
      </b:Author>
    </b:Author>
    <b:Title>METODOLÓGICA PARA LA CARACTERIZACIÓN DE LA INTEGRIDAD ECOLÓGICA DE FILTRO GRUESO EN ÁREAS DEL SISTEMA DE PARQUES NACIONALES NATURALES DE COLOMBIA</b:Title>
    <b:Year>2022</b:Year>
    <b:Publisher>PNNC</b:Publisher>
    <b:City>Bogotá, DC</b:City>
    <b:RefOrder>3</b:RefOrder>
  </b:Source>
  <b:Source>
    <b:Tag>Alc19</b:Tag>
    <b:SourceType>Book</b:SourceType>
    <b:Guid>{0DAD3E10-1B83-4C95-860A-F021EBF962A8}</b:Guid>
    <b:Author>
      <b:Author>
        <b:Corporate>Alcaldía Mayor de Bogotá</b:Corporate>
      </b:Author>
    </b:Author>
    <b:Title>Vecinos inesperados: Relatos de la fauna silvestre en Bogotá</b:Title>
    <b:Year>2019</b:Year>
    <b:City>Bogotá</b:City>
    <b:Publisher>EAAB</b:Publisher>
    <b:RefOrder>8</b:RefOrder>
  </b:Source>
  <b:Source>
    <b:Tag>CAR191</b:Tag>
    <b:SourceType>Book</b:SourceType>
    <b:Guid>{783983A6-DA85-4A8F-8942-D903B74BE3D0}</b:Guid>
    <b:Author>
      <b:Author>
        <b:Corporate>Corporación Autónoma Regional de Cundinamarca, CAR</b:Corporate>
      </b:Author>
    </b:Author>
    <b:Title>Plan de Manejo Y Conservación de La Oncilla (Leopardus tigrinus) para la Jurisdicción de la Corporación Autónoma Regional de Cundinamarca</b:Title>
    <b:Year>2019</b:Year>
    <b:City>Bogotá</b:City>
    <b:Publisher>CAR</b:Publisher>
    <b:RefOrder>7</b:RefOrder>
  </b:Source>
  <b:Source>
    <b:Tag>Soc191</b:Tag>
    <b:SourceType>Book</b:SourceType>
    <b:Guid>{78B323FF-7A73-411F-A0E0-35B67514FD7A}</b:Guid>
    <b:Author>
      <b:Author>
        <b:NameList>
          <b:Person>
            <b:Last>Restoration</b:Last>
            <b:First>Society</b:First>
            <b:Middle>for Ecological</b:Middle>
          </b:Person>
        </b:NameList>
      </b:Author>
    </b:Author>
    <b:Title>Principios y estándares internacionales para la práctica de la restauración ecológica</b:Title>
    <b:Year>2019</b:Year>
    <b:Publisher>Weiley Periodicals</b:Publisher>
    <b:RefOrder>21</b:RefOrder>
  </b:Source>
  <b:Source>
    <b:Tag>Van981</b:Tag>
    <b:SourceType>Book</b:SourceType>
    <b:Guid>{1373D9F6-0015-421F-AEE4-A1F724E59BE2}</b:Guid>
    <b:Author>
      <b:Author>
        <b:NameList>
          <b:Person>
            <b:Last>Van der Hammen</b:Last>
            <b:First>T.</b:First>
          </b:Person>
        </b:NameList>
      </b:Author>
    </b:Author>
    <b:Title>Plan ambiental de la Cuenca Alta del Río Bogotá</b:Title>
    <b:Year>1998</b:Year>
    <b:City>Bogota. D.C.</b:City>
    <b:Publisher>Corporación Autónoma Regional del Río Bogotá</b:Publisher>
    <b:RefOrder>1</b:RefOrder>
  </b:Source>
  <b:Source>
    <b:Tag>Cor19</b:Tag>
    <b:SourceType>Report</b:SourceType>
    <b:Guid>{221575CA-84CB-40CA-91AE-696BE18B6FF8}</b:Guid>
    <b:Title>Plan de Ordenación y Manejo de la Cuenca Río Bogotá</b:Title>
    <b:Year>2019</b:Year>
    <b:City>Bogotá</b:City>
    <b:Publisher>Corporación Autónoma Regional de Cundinamarca - CAR</b:Publisher>
    <b:Author>
      <b:Author>
        <b:Corporate>Corporación Autónoma Regional de Cundinamarca - CAR</b:Corporate>
      </b:Author>
    </b:Author>
    <b:RefOrder>2</b:RefOrder>
  </b:Source>
  <b:Source>
    <b:Tag>Bog24</b:Tag>
    <b:SourceType>InternetSite</b:SourceType>
    <b:Guid>{F17ABF21-E791-4CB6-9AA9-44D4C050D2A6}</b:Guid>
    <b:Title>¿Cuáles municipios aledaños a Bogotá dependen del Sistema Chingaza? Te contamos</b:Title>
    <b:Year>2024</b:Year>
    <b:Month>Junio </b:Month>
    <b:Day>24</b:Day>
    <b:Author>
      <b:Author>
        <b:NameList>
          <b:Person>
            <b:Last>Bogotá</b:Last>
            <b:First>D.C.</b:First>
          </b:Person>
        </b:NameList>
      </b:Author>
    </b:Author>
    <b:URL>https://bogota.gov.co/mi-ciudad/habitat/racionamiento-de-agua-que-municipios-dependen-del-sistema-chingaza</b:URL>
    <b:RefOrder>4</b:RefOrder>
  </b:Source>
  <b:Source>
    <b:Tag>Sab25</b:Tag>
    <b:SourceType>InternetSite</b:SourceType>
    <b:Guid>{02A9B6FF-09A9-4E15-A02A-54411461E739}</b:Guid>
    <b:Author>
      <b:Author>
        <b:Corporate>Sabana Centro Como Vamos</b:Corporate>
      </b:Author>
    </b:Author>
    <b:Year>2025</b:Year>
    <b:Month>abril</b:Month>
    <b:Day>10</b:Day>
    <b:URL>https://sabanacentrocomovamos.org/bogota-completa-un-ano-de-racionamiento-de-agua-que-sigue</b:URL>
    <b:RefOrder>5</b:RefOrder>
  </b:Source>
  <b:Source>
    <b:Tag>Cad15</b:Tag>
    <b:SourceType>DocumentFromInternetSite</b:SourceType>
    <b:Guid>{44E6870B-8B11-44C5-9EFA-84EA8AB6092A}</b:Guid>
    <b:Title>Cambios en las coberturas paramunas Las amenazas de los páramos en Colombia </b:Title>
    <b:InternetSiteTitle>Biodiversidad, Reporte de estado y tendencias de la biodiversidad continental de Colombia </b:InternetSiteTitle>
    <b:Year>2015</b:Year>
    <b:URL>https://reporte.humboldt.org.co/biodiversidad/2015/cap2/204/#seccion9</b:URL>
    <b:Author>
      <b:Author>
        <b:NameList>
          <b:Person>
            <b:Last>Cadena</b:Last>
            <b:First>C.,</b:First>
            <b:Middle>Sarmiento, C.</b:Middle>
          </b:Person>
        </b:NameList>
      </b:Author>
    </b:Author>
    <b:RefOrder>6</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2lruLrooNmGR3r8awoDY3Q+XEJQ==">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</go:docsCustomData>
</go:gDocsCustomXmlDataStorage>
</file>

<file path=customXml/item4.xml><?xml version="1.0" encoding="utf-8"?>
<ct:contentTypeSchema xmlns:ct="http://schemas.microsoft.com/office/2006/metadata/contentType" xmlns:ma="http://schemas.microsoft.com/office/2006/metadata/properties/metaAttributes" ct:_="" ma:_="" ma:contentTypeName="Documento" ma:contentTypeID="0x0101009C037D9B9316994CB1F237D40FFA80C0" ma:contentTypeVersion="16" ma:contentTypeDescription="Crear nuevo documento." ma:contentTypeScope="" ma:versionID="3dd6ef91bb6c129977c7f3a1f579f61f">
  <xsd:schema xmlns:xsd="http://www.w3.org/2001/XMLSchema" xmlns:xs="http://www.w3.org/2001/XMLSchema" xmlns:p="http://schemas.microsoft.com/office/2006/metadata/properties" xmlns:ns3="e7ddbcab-a1c7-4fd5-90ab-28c5ad9d8532" xmlns:ns4="f1b8876a-5e41-4e27-a64e-8b049f51d279" targetNamespace="http://schemas.microsoft.com/office/2006/metadata/properties" ma:root="true" ma:fieldsID="b005ba6d83708de05c66906c5b80f97f" ns3:_="" ns4:_="">
    <xsd:import namespace="e7ddbcab-a1c7-4fd5-90ab-28c5ad9d8532"/>
    <xsd:import namespace="f1b8876a-5e41-4e27-a64e-8b049f51d279"/>
    <xsd:element name="properties">
      <xsd:complexType>
        <xsd:sequence>
          <xsd:element name="documentManagement">
            <xsd:complexType>
              <xsd:all>
                <xsd:element ref="ns3:MediaServiceMetadata" minOccurs="0"/>
                <xsd:element ref="ns3:MediaServiceFastMetadata" minOccurs="0"/>
                <xsd:element ref="ns3:_activity" minOccurs="0"/>
                <xsd:element ref="ns4:SharedWithUsers" minOccurs="0"/>
                <xsd:element ref="ns4:SharedWithDetails" minOccurs="0"/>
                <xsd:element ref="ns4:SharingHintHash" minOccurs="0"/>
                <xsd:element ref="ns3:MediaServiceDateTaken" minOccurs="0"/>
                <xsd:element ref="ns3:MediaServiceAutoTags" minOccurs="0"/>
                <xsd:element ref="ns3:MediaLengthInSeconds" minOccurs="0"/>
                <xsd:element ref="ns3:MediaServiceOCR" minOccurs="0"/>
                <xsd:element ref="ns3:MediaServiceGenerationTime" minOccurs="0"/>
                <xsd:element ref="ns3:MediaServiceEventHashCode" minOccurs="0"/>
                <xsd:element ref="ns3:MediaServiceLocation"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7ddbcab-a1c7-4fd5-90ab-28c5ad9d85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activity" ma:index="10" nillable="true" ma:displayName="_activity" ma:hidden="true" ma:internalName="_activity">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ystemTags" ma:index="22" nillable="true" ma:displayName="MediaServiceSystemTags" ma:hidden="true" ma:internalName="MediaServiceSystemTags" ma:readOnly="true">
      <xsd:simpleType>
        <xsd:restriction base="dms:Note"/>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1b8876a-5e41-4e27-a64e-8b049f51d279" elementFormDefault="qualified">
    <xsd:import namespace="http://schemas.microsoft.com/office/2006/documentManagement/types"/>
    <xsd:import namespace="http://schemas.microsoft.com/office/infopath/2007/PartnerControls"/>
    <xsd:element name="SharedWithUsers" ma:index="11"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les de uso compartido" ma:internalName="SharedWithDetails" ma:readOnly="true">
      <xsd:simpleType>
        <xsd:restriction base="dms:Note">
          <xsd:maxLength value="255"/>
        </xsd:restriction>
      </xsd:simpleType>
    </xsd:element>
    <xsd:element name="SharingHintHash" ma:index="13"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activity xmlns="e7ddbcab-a1c7-4fd5-90ab-28c5ad9d8532" xsi:nil="true"/>
  </documentManagement>
</p:properties>
</file>

<file path=customXml/itemProps1.xml><?xml version="1.0" encoding="utf-8"?>
<ds:datastoreItem xmlns:ds="http://schemas.openxmlformats.org/officeDocument/2006/customXml" ds:itemID="{0AE579FE-403E-416C-8D69-367F45B863B6}">
  <ds:schemaRefs>
    <ds:schemaRef ds:uri="http://schemas.openxmlformats.org/officeDocument/2006/bibliography"/>
  </ds:schemaRefs>
</ds:datastoreItem>
</file>

<file path=customXml/itemProps2.xml><?xml version="1.0" encoding="utf-8"?>
<ds:datastoreItem xmlns:ds="http://schemas.openxmlformats.org/officeDocument/2006/customXml" ds:itemID="{A6A74169-E7A5-4FB8-9A20-A908DF9FB194}">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9663DECB-7ABC-4E04-808B-BA18ED4AD4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7ddbcab-a1c7-4fd5-90ab-28c5ad9d8532"/>
    <ds:schemaRef ds:uri="f1b8876a-5e41-4e27-a64e-8b049f51d2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D5322E6-B94A-4219-9260-F5783AF26A7B}">
  <ds:schemaRefs>
    <ds:schemaRef ds:uri="http://schemas.microsoft.com/office/infopath/2007/PartnerControls"/>
    <ds:schemaRef ds:uri="http://schemas.microsoft.com/office/2006/documentManagement/types"/>
    <ds:schemaRef ds:uri="http://purl.org/dc/terms/"/>
    <ds:schemaRef ds:uri="http://www.w3.org/XML/1998/namespace"/>
    <ds:schemaRef ds:uri="http://purl.org/dc/dcmitype/"/>
    <ds:schemaRef ds:uri="http://purl.org/dc/elements/1.1/"/>
    <ds:schemaRef ds:uri="http://schemas.openxmlformats.org/package/2006/metadata/core-properties"/>
    <ds:schemaRef ds:uri="f1b8876a-5e41-4e27-a64e-8b049f51d279"/>
    <ds:schemaRef ds:uri="e7ddbcab-a1c7-4fd5-90ab-28c5ad9d8532"/>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Pages>
  <Words>106351</Words>
  <Characters>606204</Characters>
  <Application>Microsoft Office Word</Application>
  <DocSecurity>0</DocSecurity>
  <Lines>5051</Lines>
  <Paragraphs>1422</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Manager/>
  <Company/>
  <LinksUpToDate>false</LinksUpToDate>
  <CharactersWithSpaces>711133</CharactersWithSpaces>
  <SharedDoc>false</SharedDoc>
  <HyperlinkBase/>
  <HLinks>
    <vt:vector size="1956" baseType="variant">
      <vt:variant>
        <vt:i4>3211380</vt:i4>
      </vt:variant>
      <vt:variant>
        <vt:i4>3036</vt:i4>
      </vt:variant>
      <vt:variant>
        <vt:i4>0</vt:i4>
      </vt:variant>
      <vt:variant>
        <vt:i4>5</vt:i4>
      </vt:variant>
      <vt:variant>
        <vt:lpwstr>https://www.nature.org/</vt:lpwstr>
      </vt:variant>
      <vt:variant>
        <vt:lpwstr/>
      </vt:variant>
      <vt:variant>
        <vt:i4>6357096</vt:i4>
      </vt:variant>
      <vt:variant>
        <vt:i4>3033</vt:i4>
      </vt:variant>
      <vt:variant>
        <vt:i4>0</vt:i4>
      </vt:variant>
      <vt:variant>
        <vt:i4>5</vt:i4>
      </vt:variant>
      <vt:variant>
        <vt:lpwstr>https://www.google.com/search?q=https://oab.ambientebogota.gov.co/enfermedades-relacionadas-a-danos-ambientales-cuestan-207-billones/%23:~:text%3DEnfermedades%2520relacionadas%2520a%2520da%25C3%25B1os%2520ambientales%2520cuestan%2520%252420%252C7%2520billones,-Publicado%253A%25208%2520mayo%26text%3DEl%2520DNP%2520estima%2520un%2520total,la%2520contaminaci%25C3%25B3n%2520del%2520aire%2520urbano.</vt:lpwstr>
      </vt:variant>
      <vt:variant>
        <vt:lpwstr/>
      </vt:variant>
      <vt:variant>
        <vt:i4>5177429</vt:i4>
      </vt:variant>
      <vt:variant>
        <vt:i4>3030</vt:i4>
      </vt:variant>
      <vt:variant>
        <vt:i4>0</vt:i4>
      </vt:variant>
      <vt:variant>
        <vt:i4>5</vt:i4>
      </vt:variant>
      <vt:variant>
        <vt:lpwstr>https://fedepapa.com/home/wp-content/uploads/2024/10/Boletin-191.pdf</vt:lpwstr>
      </vt:variant>
      <vt:variant>
        <vt:lpwstr/>
      </vt:variant>
      <vt:variant>
        <vt:i4>262174</vt:i4>
      </vt:variant>
      <vt:variant>
        <vt:i4>3027</vt:i4>
      </vt:variant>
      <vt:variant>
        <vt:i4>0</vt:i4>
      </vt:variant>
      <vt:variant>
        <vt:i4>5</vt:i4>
      </vt:variant>
      <vt:variant>
        <vt:lpwstr>https://www.personeriabogota.gov.co/sala-de-prensa/notas-de-prensa/item/1254-personeria-hace-un-llamado-a-la-eaab-para-reducir-el-indice-de-agua-no-contabilizada-que-hoy-se-acerca-al-40</vt:lpwstr>
      </vt:variant>
      <vt:variant>
        <vt:lpwstr/>
      </vt:variant>
      <vt:variant>
        <vt:i4>3080319</vt:i4>
      </vt:variant>
      <vt:variant>
        <vt:i4>3024</vt:i4>
      </vt:variant>
      <vt:variant>
        <vt:i4>0</vt:i4>
      </vt:variant>
      <vt:variant>
        <vt:i4>5</vt:i4>
      </vt:variant>
      <vt:variant>
        <vt:lpwstr>https://www.parquesnacionales.gov.co/entidad/sistema-nacional-de-areas-protegidas/</vt:lpwstr>
      </vt:variant>
      <vt:variant>
        <vt:lpwstr/>
      </vt:variant>
      <vt:variant>
        <vt:i4>4980812</vt:i4>
      </vt:variant>
      <vt:variant>
        <vt:i4>3021</vt:i4>
      </vt:variant>
      <vt:variant>
        <vt:i4>0</vt:i4>
      </vt:variant>
      <vt:variant>
        <vt:i4>5</vt:i4>
      </vt:variant>
      <vt:variant>
        <vt:lpwstr>https://www.decadeonrestoration.org/</vt:lpwstr>
      </vt:variant>
      <vt:variant>
        <vt:lpwstr/>
      </vt:variant>
      <vt:variant>
        <vt:i4>5308505</vt:i4>
      </vt:variant>
      <vt:variant>
        <vt:i4>3018</vt:i4>
      </vt:variant>
      <vt:variant>
        <vt:i4>0</vt:i4>
      </vt:variant>
      <vt:variant>
        <vt:i4>5</vt:i4>
      </vt:variant>
      <vt:variant>
        <vt:lpwstr>https://www.mincit.gov.co/estudios-economicos/estadisticas-e-informes/informes-de-turismo</vt:lpwstr>
      </vt:variant>
      <vt:variant>
        <vt:lpwstr/>
      </vt:variant>
      <vt:variant>
        <vt:i4>7864384</vt:i4>
      </vt:variant>
      <vt:variant>
        <vt:i4>3015</vt:i4>
      </vt:variant>
      <vt:variant>
        <vt:i4>0</vt:i4>
      </vt:variant>
      <vt:variant>
        <vt:i4>5</vt:i4>
      </vt:variant>
      <vt:variant>
        <vt:lpwstr>http://www.scielo.org.co/scielo.php?script=sci_arttext&amp;pid=S1909-44502020000200021</vt:lpwstr>
      </vt:variant>
      <vt:variant>
        <vt:lpwstr/>
      </vt:variant>
      <vt:variant>
        <vt:i4>5963798</vt:i4>
      </vt:variant>
      <vt:variant>
        <vt:i4>3012</vt:i4>
      </vt:variant>
      <vt:variant>
        <vt:i4>0</vt:i4>
      </vt:variant>
      <vt:variant>
        <vt:i4>5</vt:i4>
      </vt:variant>
      <vt:variant>
        <vt:lpwstr>https://www.iucn.org/</vt:lpwstr>
      </vt:variant>
      <vt:variant>
        <vt:lpwstr/>
      </vt:variant>
      <vt:variant>
        <vt:i4>1638404</vt:i4>
      </vt:variant>
      <vt:variant>
        <vt:i4>3009</vt:i4>
      </vt:variant>
      <vt:variant>
        <vt:i4>0</vt:i4>
      </vt:variant>
      <vt:variant>
        <vt:i4>5</vt:i4>
      </vt:variant>
      <vt:variant>
        <vt:lpwstr>http://documentacion.ideam.gov.co/openbiblio/bvirtual/ 022964/documento_nacional_departamental.pdf</vt:lpwstr>
      </vt:variant>
      <vt:variant>
        <vt:lpwstr/>
      </vt:variant>
      <vt:variant>
        <vt:i4>8257562</vt:i4>
      </vt:variant>
      <vt:variant>
        <vt:i4>3006</vt:i4>
      </vt:variant>
      <vt:variant>
        <vt:i4>0</vt:i4>
      </vt:variant>
      <vt:variant>
        <vt:i4>5</vt:i4>
      </vt:variant>
      <vt:variant>
        <vt:lpwstr>http://scielo.org.co/scielo.php?script=sci_arttext&amp;pid=S0370-39082013000300005</vt:lpwstr>
      </vt:variant>
      <vt:variant>
        <vt:lpwstr/>
      </vt:variant>
      <vt:variant>
        <vt:i4>2228350</vt:i4>
      </vt:variant>
      <vt:variant>
        <vt:i4>3003</vt:i4>
      </vt:variant>
      <vt:variant>
        <vt:i4>0</vt:i4>
      </vt:variant>
      <vt:variant>
        <vt:i4>5</vt:i4>
      </vt:variant>
      <vt:variant>
        <vt:lpwstr>https://doi.org/10.21789/25007807.1890</vt:lpwstr>
      </vt:variant>
      <vt:variant>
        <vt:lpwstr/>
      </vt:variant>
      <vt:variant>
        <vt:i4>2490477</vt:i4>
      </vt:variant>
      <vt:variant>
        <vt:i4>3000</vt:i4>
      </vt:variant>
      <vt:variant>
        <vt:i4>0</vt:i4>
      </vt:variant>
      <vt:variant>
        <vt:i4>5</vt:i4>
      </vt:variant>
      <vt:variant>
        <vt:lpwstr>https://www.gwp.org/es/GWP-Sud-America/ACERCA/por-que/PRINCIPALES-DESAFIOS/Que-es-la-GIRH/</vt:lpwstr>
      </vt:variant>
      <vt:variant>
        <vt:lpwstr/>
      </vt:variant>
      <vt:variant>
        <vt:i4>8126468</vt:i4>
      </vt:variant>
      <vt:variant>
        <vt:i4>2997</vt:i4>
      </vt:variant>
      <vt:variant>
        <vt:i4>0</vt:i4>
      </vt:variant>
      <vt:variant>
        <vt:i4>5</vt:i4>
      </vt:variant>
      <vt:variant>
        <vt:lpwstr>https://www.cundinamarca.gov.co/wcm/connect/51532dc5-cb4a-4a64-ad6e-c644bf4c57d8/CAPITULO%2B3%2BSUBSISTEMA%2BPRODUCTIVIDAD%2BY%2BCOMPETITIVIDAD%2BSOSTENIBLE.pdf?MOD=AJPERES&amp;CONVERT_TO=url&amp;CACHEID=ROOTWORKSPACE-51532dc5-cb4a-4a64-ad6e-c644bf4c57d8-nRFHd2x</vt:lpwstr>
      </vt:variant>
      <vt:variant>
        <vt:lpwstr/>
      </vt:variant>
      <vt:variant>
        <vt:i4>5701720</vt:i4>
      </vt:variant>
      <vt:variant>
        <vt:i4>2994</vt:i4>
      </vt:variant>
      <vt:variant>
        <vt:i4>0</vt:i4>
      </vt:variant>
      <vt:variant>
        <vt:i4>5</vt:i4>
      </vt:variant>
      <vt:variant>
        <vt:lpwstr>https://fedemaderas.org.co/cuanto-dinero-cuesta-restaurar-los-ecosistemas-de-colombia/</vt:lpwstr>
      </vt:variant>
      <vt:variant>
        <vt:lpwstr>:~:text=En%20promedio%20la%20restauraci%C3%B3n%20por,de%20degradaci%C3%B3n%20de%20los%20ecosistemas</vt:lpwstr>
      </vt:variant>
      <vt:variant>
        <vt:i4>3473515</vt:i4>
      </vt:variant>
      <vt:variant>
        <vt:i4>2991</vt:i4>
      </vt:variant>
      <vt:variant>
        <vt:i4>0</vt:i4>
      </vt:variant>
      <vt:variant>
        <vt:i4>5</vt:i4>
      </vt:variant>
      <vt:variant>
        <vt:lpwstr>http://biblioteca.clacso.edu.ar/clacso/se/20160308051848/09como.pdf</vt:lpwstr>
      </vt:variant>
      <vt:variant>
        <vt:lpwstr/>
      </vt:variant>
      <vt:variant>
        <vt:i4>5636099</vt:i4>
      </vt:variant>
      <vt:variant>
        <vt:i4>2988</vt:i4>
      </vt:variant>
      <vt:variant>
        <vt:i4>0</vt:i4>
      </vt:variant>
      <vt:variant>
        <vt:i4>5</vt:i4>
      </vt:variant>
      <vt:variant>
        <vt:lpwstr>https://www.acueducto.com.co/wps/portal/EAB2/Home/acueducto-y-alcantarillado/la-infraestructuraAcueducto/plan-maestro-de-abastecimiento/descripcion-del-sistema-de-abastecimiento</vt:lpwstr>
      </vt:variant>
      <vt:variant>
        <vt:lpwstr/>
      </vt:variant>
      <vt:variant>
        <vt:i4>2162804</vt:i4>
      </vt:variant>
      <vt:variant>
        <vt:i4>2985</vt:i4>
      </vt:variant>
      <vt:variant>
        <vt:i4>0</vt:i4>
      </vt:variant>
      <vt:variant>
        <vt:i4>5</vt:i4>
      </vt:variant>
      <vt:variant>
        <vt:lpwstr>https://www.sdp.gov.co/sites/default/files/diagnostico_turismo_region_bog-cun_0.pdf</vt:lpwstr>
      </vt:variant>
      <vt:variant>
        <vt:lpwstr/>
      </vt:variant>
      <vt:variant>
        <vt:i4>1572895</vt:i4>
      </vt:variant>
      <vt:variant>
        <vt:i4>2982</vt:i4>
      </vt:variant>
      <vt:variant>
        <vt:i4>0</vt:i4>
      </vt:variant>
      <vt:variant>
        <vt:i4>5</vt:i4>
      </vt:variant>
      <vt:variant>
        <vt:lpwstr>https://www.cundinamarca.gov.co/wcm/connect/816180fa-f4f1-4651-a2a3-e5698968f17d/ESTRATEGIA+DE+COMPETITIVIDAD+PARA+CUNDINAMARCA+VER+ENE+2020.pdf?MOD=AJPERES&amp;CVID=nPtT2bP</vt:lpwstr>
      </vt:variant>
      <vt:variant>
        <vt:lpwstr/>
      </vt:variant>
      <vt:variant>
        <vt:i4>2687028</vt:i4>
      </vt:variant>
      <vt:variant>
        <vt:i4>2979</vt:i4>
      </vt:variant>
      <vt:variant>
        <vt:i4>0</vt:i4>
      </vt:variant>
      <vt:variant>
        <vt:i4>5</vt:i4>
      </vt:variant>
      <vt:variant>
        <vt:lpwstr>https://www.car.gov.co/uploads/files/644706513c2bb.pdf</vt:lpwstr>
      </vt:variant>
      <vt:variant>
        <vt:lpwstr/>
      </vt:variant>
      <vt:variant>
        <vt:i4>1310724</vt:i4>
      </vt:variant>
      <vt:variant>
        <vt:i4>2976</vt:i4>
      </vt:variant>
      <vt:variant>
        <vt:i4>0</vt:i4>
      </vt:variant>
      <vt:variant>
        <vt:i4>5</vt:i4>
      </vt:variant>
      <vt:variant>
        <vt:lpwstr>https://www.car.gov.co/vercontenido/2314</vt:lpwstr>
      </vt:variant>
      <vt:variant>
        <vt:lpwstr/>
      </vt:variant>
      <vt:variant>
        <vt:i4>7536692</vt:i4>
      </vt:variant>
      <vt:variant>
        <vt:i4>2973</vt:i4>
      </vt:variant>
      <vt:variant>
        <vt:i4>0</vt:i4>
      </vt:variant>
      <vt:variant>
        <vt:i4>5</vt:i4>
      </vt:variant>
      <vt:variant>
        <vt:lpwstr>https://www.car.gov.co/uploads/files/648b601fc1a45.pdf</vt:lpwstr>
      </vt:variant>
      <vt:variant>
        <vt:lpwstr/>
      </vt:variant>
      <vt:variant>
        <vt:i4>3866660</vt:i4>
      </vt:variant>
      <vt:variant>
        <vt:i4>2970</vt:i4>
      </vt:variant>
      <vt:variant>
        <vt:i4>0</vt:i4>
      </vt:variant>
      <vt:variant>
        <vt:i4>5</vt:i4>
      </vt:variant>
      <vt:variant>
        <vt:lpwstr>https://www.car.gov.co/saladeprensa/en-el-dia-mundial-de-los-humedales-la-car-reitera-el-llamado-a-su-conservacion</vt:lpwstr>
      </vt:variant>
      <vt:variant>
        <vt:lpwstr/>
      </vt:variant>
      <vt:variant>
        <vt:i4>8192096</vt:i4>
      </vt:variant>
      <vt:variant>
        <vt:i4>2967</vt:i4>
      </vt:variant>
      <vt:variant>
        <vt:i4>0</vt:i4>
      </vt:variant>
      <vt:variant>
        <vt:i4>5</vt:i4>
      </vt:variant>
      <vt:variant>
        <vt:lpwstr>https://www.car.gov.co/uploads/files/5ac22faf27f5a.pdf</vt:lpwstr>
      </vt:variant>
      <vt:variant>
        <vt:lpwstr/>
      </vt:variant>
      <vt:variant>
        <vt:i4>1114116</vt:i4>
      </vt:variant>
      <vt:variant>
        <vt:i4>2964</vt:i4>
      </vt:variant>
      <vt:variant>
        <vt:i4>0</vt:i4>
      </vt:variant>
      <vt:variant>
        <vt:i4>5</vt:i4>
      </vt:variant>
      <vt:variant>
        <vt:lpwstr>https://www.car.gov.co/vercontenido/2517</vt:lpwstr>
      </vt:variant>
      <vt:variant>
        <vt:lpwstr/>
      </vt:variant>
      <vt:variant>
        <vt:i4>7864357</vt:i4>
      </vt:variant>
      <vt:variant>
        <vt:i4>2961</vt:i4>
      </vt:variant>
      <vt:variant>
        <vt:i4>0</vt:i4>
      </vt:variant>
      <vt:variant>
        <vt:i4>5</vt:i4>
      </vt:variant>
      <vt:variant>
        <vt:lpwstr>https://www.google.com/search?q=https://www1.funcionpublica.gov.co/-/colombianos-se-han-ahorrado-31.486-millones-por-racionalizaci%25C3%25B3n-de-729-tr%25C3%25A1mites-en-lo-corrido-de-2021-funci%25C3%25B3n-p%25C3%25BAblica%23:~:text=Colombianos%2520se%2520han%2520ahorrado%2520%2431.486,2021:%2520Funci%25C3%25B3n%2520P%25C3%25BAblica%2520-%2520Funci%25C3%25B3n%2520P%25C3%25BAblica</vt:lpwstr>
      </vt:variant>
      <vt:variant>
        <vt:lpwstr/>
      </vt:variant>
      <vt:variant>
        <vt:i4>1245199</vt:i4>
      </vt:variant>
      <vt:variant>
        <vt:i4>2958</vt:i4>
      </vt:variant>
      <vt:variant>
        <vt:i4>0</vt:i4>
      </vt:variant>
      <vt:variant>
        <vt:i4>5</vt:i4>
      </vt:variant>
      <vt:variant>
        <vt:lpwstr>https://www.asobancaria.com/wp-content/uploads/2020/11/1260VF.pdf</vt:lpwstr>
      </vt:variant>
      <vt:variant>
        <vt:lpwstr/>
      </vt:variant>
      <vt:variant>
        <vt:i4>3670070</vt:i4>
      </vt:variant>
      <vt:variant>
        <vt:i4>2955</vt:i4>
      </vt:variant>
      <vt:variant>
        <vt:i4>0</vt:i4>
      </vt:variant>
      <vt:variant>
        <vt:i4>5</vt:i4>
      </vt:variant>
      <vt:variant>
        <vt:lpwstr>https://repositorio.unicolmayor.edu.co/bitstream/handle/unicolmayor/5587/8.Perfil del consumidor-Camargo y Lasso %281%29.pdf?sequence=1&amp;isAllowed=y</vt:lpwstr>
      </vt:variant>
      <vt:variant>
        <vt:lpwstr/>
      </vt:variant>
      <vt:variant>
        <vt:i4>1245219</vt:i4>
      </vt:variant>
      <vt:variant>
        <vt:i4>2952</vt:i4>
      </vt:variant>
      <vt:variant>
        <vt:i4>0</vt:i4>
      </vt:variant>
      <vt:variant>
        <vt:i4>5</vt:i4>
      </vt:variant>
      <vt:variant>
        <vt:lpwstr>https://repositorio.cepal.org/bitstream/handle/11362/37879/S1500268_es.pdf</vt:lpwstr>
      </vt:variant>
      <vt:variant>
        <vt:lpwstr/>
      </vt:variant>
      <vt:variant>
        <vt:i4>7340110</vt:i4>
      </vt:variant>
      <vt:variant>
        <vt:i4>2949</vt:i4>
      </vt:variant>
      <vt:variant>
        <vt:i4>0</vt:i4>
      </vt:variant>
      <vt:variant>
        <vt:i4>5</vt:i4>
      </vt:variant>
      <vt:variant>
        <vt:lpwstr>http://www.scielo.org.co/scielo.php?script=sci_arttext&amp;pid=S0120-01352018000200079</vt:lpwstr>
      </vt:variant>
      <vt:variant>
        <vt:lpwstr/>
      </vt:variant>
      <vt:variant>
        <vt:i4>3407980</vt:i4>
      </vt:variant>
      <vt:variant>
        <vt:i4>2946</vt:i4>
      </vt:variant>
      <vt:variant>
        <vt:i4>0</vt:i4>
      </vt:variant>
      <vt:variant>
        <vt:i4>5</vt:i4>
      </vt:variant>
      <vt:variant>
        <vt:lpwstr>https://pro.arcgis.com/es/pro-app/latest/tool-reference/space-time-pattern-mining/learnmorecurvefitforecast.htm</vt:lpwstr>
      </vt:variant>
      <vt:variant>
        <vt:lpwstr/>
      </vt:variant>
      <vt:variant>
        <vt:i4>3014781</vt:i4>
      </vt:variant>
      <vt:variant>
        <vt:i4>2943</vt:i4>
      </vt:variant>
      <vt:variant>
        <vt:i4>0</vt:i4>
      </vt:variant>
      <vt:variant>
        <vt:i4>5</vt:i4>
      </vt:variant>
      <vt:variant>
        <vt:lpwstr>https://revistaetnobiologia.mx/index.php/etno/article/view/390/411</vt:lpwstr>
      </vt:variant>
      <vt:variant>
        <vt:lpwstr/>
      </vt:variant>
      <vt:variant>
        <vt:i4>1376331</vt:i4>
      </vt:variant>
      <vt:variant>
        <vt:i4>2940</vt:i4>
      </vt:variant>
      <vt:variant>
        <vt:i4>0</vt:i4>
      </vt:variant>
      <vt:variant>
        <vt:i4>5</vt:i4>
      </vt:variant>
      <vt:variant>
        <vt:lpwstr>https://pavcowavin.com.co/analisis-de-consumos-de-acueducto-en-zonas-industriales</vt:lpwstr>
      </vt:variant>
      <vt:variant>
        <vt:lpwstr/>
      </vt:variant>
      <vt:variant>
        <vt:i4>1966107</vt:i4>
      </vt:variant>
      <vt:variant>
        <vt:i4>2820</vt:i4>
      </vt:variant>
      <vt:variant>
        <vt:i4>0</vt:i4>
      </vt:variant>
      <vt:variant>
        <vt:i4>5</vt:i4>
      </vt:variant>
      <vt:variant>
        <vt:lpwstr>https://www.minambiente.gov.co/gestion-integral-del-recurso-hidrico/agua-lluvia/</vt:lpwstr>
      </vt:variant>
      <vt:variant>
        <vt:lpwstr/>
      </vt:variant>
      <vt:variant>
        <vt:i4>852062</vt:i4>
      </vt:variant>
      <vt:variant>
        <vt:i4>2118</vt:i4>
      </vt:variant>
      <vt:variant>
        <vt:i4>0</vt:i4>
      </vt:variant>
      <vt:variant>
        <vt:i4>5</vt:i4>
      </vt:variant>
      <vt:variant>
        <vt:lpwstr>https://www.alcaldiabogota.gov.co/sisjur/normas/Norma1.jsp?dt=S&amp;i=297</vt:lpwstr>
      </vt:variant>
      <vt:variant>
        <vt:lpwstr/>
      </vt:variant>
      <vt:variant>
        <vt:i4>5898326</vt:i4>
      </vt:variant>
      <vt:variant>
        <vt:i4>2115</vt:i4>
      </vt:variant>
      <vt:variant>
        <vt:i4>0</vt:i4>
      </vt:variant>
      <vt:variant>
        <vt:i4>5</vt:i4>
      </vt:variant>
      <vt:variant>
        <vt:lpwstr>https://www.alcaldiabogota.gov.co/sisjur/normas/Norma1.jsp?dt=S&amp;i=9202</vt:lpwstr>
      </vt:variant>
      <vt:variant>
        <vt:lpwstr>34.i.3</vt:lpwstr>
      </vt:variant>
      <vt:variant>
        <vt:i4>3473516</vt:i4>
      </vt:variant>
      <vt:variant>
        <vt:i4>2112</vt:i4>
      </vt:variant>
      <vt:variant>
        <vt:i4>0</vt:i4>
      </vt:variant>
      <vt:variant>
        <vt:i4>5</vt:i4>
      </vt:variant>
      <vt:variant>
        <vt:lpwstr>https://www.alcaldiabogota.gov.co/sisjur/normas/Norma1.jsp?dt=S&amp;i=82830</vt:lpwstr>
      </vt:variant>
      <vt:variant>
        <vt:lpwstr/>
      </vt:variant>
      <vt:variant>
        <vt:i4>2883693</vt:i4>
      </vt:variant>
      <vt:variant>
        <vt:i4>2109</vt:i4>
      </vt:variant>
      <vt:variant>
        <vt:i4>0</vt:i4>
      </vt:variant>
      <vt:variant>
        <vt:i4>5</vt:i4>
      </vt:variant>
      <vt:variant>
        <vt:lpwstr>https://alphasig.metropol.gov.co/normograma/compilacion/docs/decreto_2811_1974.htm</vt:lpwstr>
      </vt:variant>
      <vt:variant>
        <vt:lpwstr>Inicio</vt:lpwstr>
      </vt:variant>
      <vt:variant>
        <vt:i4>7864373</vt:i4>
      </vt:variant>
      <vt:variant>
        <vt:i4>2106</vt:i4>
      </vt:variant>
      <vt:variant>
        <vt:i4>0</vt:i4>
      </vt:variant>
      <vt:variant>
        <vt:i4>5</vt:i4>
      </vt:variant>
      <vt:variant>
        <vt:lpwstr>https://alphasig.metropol.gov.co/normograma/compilacion/docs/decreto_2811_1974.htm</vt:lpwstr>
      </vt:variant>
      <vt:variant>
        <vt:lpwstr>164</vt:lpwstr>
      </vt:variant>
      <vt:variant>
        <vt:i4>8323139</vt:i4>
      </vt:variant>
      <vt:variant>
        <vt:i4>1788</vt:i4>
      </vt:variant>
      <vt:variant>
        <vt:i4>0</vt:i4>
      </vt:variant>
      <vt:variant>
        <vt:i4>5</vt:i4>
      </vt:variant>
      <vt:variant>
        <vt:lpwstr/>
      </vt:variant>
      <vt:variant>
        <vt:lpwstr>_heading=h.49x2ik5</vt:lpwstr>
      </vt:variant>
      <vt:variant>
        <vt:i4>6946869</vt:i4>
      </vt:variant>
      <vt:variant>
        <vt:i4>1785</vt:i4>
      </vt:variant>
      <vt:variant>
        <vt:i4>0</vt:i4>
      </vt:variant>
      <vt:variant>
        <vt:i4>5</vt:i4>
      </vt:variant>
      <vt:variant>
        <vt:lpwstr>https://www.minambiente.gov.co/wp-content/uploads/2025/06/20250616_CARTILLA-6_DETERMINANTES-AMBIENTALES-2024.pdf</vt:lpwstr>
      </vt:variant>
      <vt:variant>
        <vt:lpwstr/>
      </vt:variant>
      <vt:variant>
        <vt:i4>1638451</vt:i4>
      </vt:variant>
      <vt:variant>
        <vt:i4>1694</vt:i4>
      </vt:variant>
      <vt:variant>
        <vt:i4>0</vt:i4>
      </vt:variant>
      <vt:variant>
        <vt:i4>5</vt:i4>
      </vt:variant>
      <vt:variant>
        <vt:lpwstr/>
      </vt:variant>
      <vt:variant>
        <vt:lpwstr>_Toc210964723</vt:lpwstr>
      </vt:variant>
      <vt:variant>
        <vt:i4>1638451</vt:i4>
      </vt:variant>
      <vt:variant>
        <vt:i4>1688</vt:i4>
      </vt:variant>
      <vt:variant>
        <vt:i4>0</vt:i4>
      </vt:variant>
      <vt:variant>
        <vt:i4>5</vt:i4>
      </vt:variant>
      <vt:variant>
        <vt:lpwstr/>
      </vt:variant>
      <vt:variant>
        <vt:lpwstr>_Toc210964722</vt:lpwstr>
      </vt:variant>
      <vt:variant>
        <vt:i4>1638451</vt:i4>
      </vt:variant>
      <vt:variant>
        <vt:i4>1682</vt:i4>
      </vt:variant>
      <vt:variant>
        <vt:i4>0</vt:i4>
      </vt:variant>
      <vt:variant>
        <vt:i4>5</vt:i4>
      </vt:variant>
      <vt:variant>
        <vt:lpwstr/>
      </vt:variant>
      <vt:variant>
        <vt:lpwstr>_Toc210964721</vt:lpwstr>
      </vt:variant>
      <vt:variant>
        <vt:i4>1638451</vt:i4>
      </vt:variant>
      <vt:variant>
        <vt:i4>1676</vt:i4>
      </vt:variant>
      <vt:variant>
        <vt:i4>0</vt:i4>
      </vt:variant>
      <vt:variant>
        <vt:i4>5</vt:i4>
      </vt:variant>
      <vt:variant>
        <vt:lpwstr/>
      </vt:variant>
      <vt:variant>
        <vt:lpwstr>_Toc210964720</vt:lpwstr>
      </vt:variant>
      <vt:variant>
        <vt:i4>1703987</vt:i4>
      </vt:variant>
      <vt:variant>
        <vt:i4>1670</vt:i4>
      </vt:variant>
      <vt:variant>
        <vt:i4>0</vt:i4>
      </vt:variant>
      <vt:variant>
        <vt:i4>5</vt:i4>
      </vt:variant>
      <vt:variant>
        <vt:lpwstr/>
      </vt:variant>
      <vt:variant>
        <vt:lpwstr>_Toc210964719</vt:lpwstr>
      </vt:variant>
      <vt:variant>
        <vt:i4>1703987</vt:i4>
      </vt:variant>
      <vt:variant>
        <vt:i4>1664</vt:i4>
      </vt:variant>
      <vt:variant>
        <vt:i4>0</vt:i4>
      </vt:variant>
      <vt:variant>
        <vt:i4>5</vt:i4>
      </vt:variant>
      <vt:variant>
        <vt:lpwstr/>
      </vt:variant>
      <vt:variant>
        <vt:lpwstr>_Toc210964718</vt:lpwstr>
      </vt:variant>
      <vt:variant>
        <vt:i4>1703987</vt:i4>
      </vt:variant>
      <vt:variant>
        <vt:i4>1658</vt:i4>
      </vt:variant>
      <vt:variant>
        <vt:i4>0</vt:i4>
      </vt:variant>
      <vt:variant>
        <vt:i4>5</vt:i4>
      </vt:variant>
      <vt:variant>
        <vt:lpwstr/>
      </vt:variant>
      <vt:variant>
        <vt:lpwstr>_Toc210964717</vt:lpwstr>
      </vt:variant>
      <vt:variant>
        <vt:i4>1703987</vt:i4>
      </vt:variant>
      <vt:variant>
        <vt:i4>1652</vt:i4>
      </vt:variant>
      <vt:variant>
        <vt:i4>0</vt:i4>
      </vt:variant>
      <vt:variant>
        <vt:i4>5</vt:i4>
      </vt:variant>
      <vt:variant>
        <vt:lpwstr/>
      </vt:variant>
      <vt:variant>
        <vt:lpwstr>_Toc210964716</vt:lpwstr>
      </vt:variant>
      <vt:variant>
        <vt:i4>1703987</vt:i4>
      </vt:variant>
      <vt:variant>
        <vt:i4>1646</vt:i4>
      </vt:variant>
      <vt:variant>
        <vt:i4>0</vt:i4>
      </vt:variant>
      <vt:variant>
        <vt:i4>5</vt:i4>
      </vt:variant>
      <vt:variant>
        <vt:lpwstr/>
      </vt:variant>
      <vt:variant>
        <vt:lpwstr>_Toc210964715</vt:lpwstr>
      </vt:variant>
      <vt:variant>
        <vt:i4>1703987</vt:i4>
      </vt:variant>
      <vt:variant>
        <vt:i4>1640</vt:i4>
      </vt:variant>
      <vt:variant>
        <vt:i4>0</vt:i4>
      </vt:variant>
      <vt:variant>
        <vt:i4>5</vt:i4>
      </vt:variant>
      <vt:variant>
        <vt:lpwstr/>
      </vt:variant>
      <vt:variant>
        <vt:lpwstr>_Toc210964714</vt:lpwstr>
      </vt:variant>
      <vt:variant>
        <vt:i4>1703987</vt:i4>
      </vt:variant>
      <vt:variant>
        <vt:i4>1634</vt:i4>
      </vt:variant>
      <vt:variant>
        <vt:i4>0</vt:i4>
      </vt:variant>
      <vt:variant>
        <vt:i4>5</vt:i4>
      </vt:variant>
      <vt:variant>
        <vt:lpwstr/>
      </vt:variant>
      <vt:variant>
        <vt:lpwstr>_Toc210964713</vt:lpwstr>
      </vt:variant>
      <vt:variant>
        <vt:i4>1703987</vt:i4>
      </vt:variant>
      <vt:variant>
        <vt:i4>1628</vt:i4>
      </vt:variant>
      <vt:variant>
        <vt:i4>0</vt:i4>
      </vt:variant>
      <vt:variant>
        <vt:i4>5</vt:i4>
      </vt:variant>
      <vt:variant>
        <vt:lpwstr/>
      </vt:variant>
      <vt:variant>
        <vt:lpwstr>_Toc210964712</vt:lpwstr>
      </vt:variant>
      <vt:variant>
        <vt:i4>1703987</vt:i4>
      </vt:variant>
      <vt:variant>
        <vt:i4>1622</vt:i4>
      </vt:variant>
      <vt:variant>
        <vt:i4>0</vt:i4>
      </vt:variant>
      <vt:variant>
        <vt:i4>5</vt:i4>
      </vt:variant>
      <vt:variant>
        <vt:lpwstr/>
      </vt:variant>
      <vt:variant>
        <vt:lpwstr>_Toc210964711</vt:lpwstr>
      </vt:variant>
      <vt:variant>
        <vt:i4>1703987</vt:i4>
      </vt:variant>
      <vt:variant>
        <vt:i4>1616</vt:i4>
      </vt:variant>
      <vt:variant>
        <vt:i4>0</vt:i4>
      </vt:variant>
      <vt:variant>
        <vt:i4>5</vt:i4>
      </vt:variant>
      <vt:variant>
        <vt:lpwstr/>
      </vt:variant>
      <vt:variant>
        <vt:lpwstr>_Toc210964710</vt:lpwstr>
      </vt:variant>
      <vt:variant>
        <vt:i4>1769523</vt:i4>
      </vt:variant>
      <vt:variant>
        <vt:i4>1610</vt:i4>
      </vt:variant>
      <vt:variant>
        <vt:i4>0</vt:i4>
      </vt:variant>
      <vt:variant>
        <vt:i4>5</vt:i4>
      </vt:variant>
      <vt:variant>
        <vt:lpwstr/>
      </vt:variant>
      <vt:variant>
        <vt:lpwstr>_Toc210964709</vt:lpwstr>
      </vt:variant>
      <vt:variant>
        <vt:i4>1769523</vt:i4>
      </vt:variant>
      <vt:variant>
        <vt:i4>1604</vt:i4>
      </vt:variant>
      <vt:variant>
        <vt:i4>0</vt:i4>
      </vt:variant>
      <vt:variant>
        <vt:i4>5</vt:i4>
      </vt:variant>
      <vt:variant>
        <vt:lpwstr/>
      </vt:variant>
      <vt:variant>
        <vt:lpwstr>_Toc210964708</vt:lpwstr>
      </vt:variant>
      <vt:variant>
        <vt:i4>1769523</vt:i4>
      </vt:variant>
      <vt:variant>
        <vt:i4>1598</vt:i4>
      </vt:variant>
      <vt:variant>
        <vt:i4>0</vt:i4>
      </vt:variant>
      <vt:variant>
        <vt:i4>5</vt:i4>
      </vt:variant>
      <vt:variant>
        <vt:lpwstr/>
      </vt:variant>
      <vt:variant>
        <vt:lpwstr>_Toc210964707</vt:lpwstr>
      </vt:variant>
      <vt:variant>
        <vt:i4>1769523</vt:i4>
      </vt:variant>
      <vt:variant>
        <vt:i4>1592</vt:i4>
      </vt:variant>
      <vt:variant>
        <vt:i4>0</vt:i4>
      </vt:variant>
      <vt:variant>
        <vt:i4>5</vt:i4>
      </vt:variant>
      <vt:variant>
        <vt:lpwstr/>
      </vt:variant>
      <vt:variant>
        <vt:lpwstr>_Toc210964706</vt:lpwstr>
      </vt:variant>
      <vt:variant>
        <vt:i4>1769523</vt:i4>
      </vt:variant>
      <vt:variant>
        <vt:i4>1586</vt:i4>
      </vt:variant>
      <vt:variant>
        <vt:i4>0</vt:i4>
      </vt:variant>
      <vt:variant>
        <vt:i4>5</vt:i4>
      </vt:variant>
      <vt:variant>
        <vt:lpwstr/>
      </vt:variant>
      <vt:variant>
        <vt:lpwstr>_Toc210964705</vt:lpwstr>
      </vt:variant>
      <vt:variant>
        <vt:i4>1769523</vt:i4>
      </vt:variant>
      <vt:variant>
        <vt:i4>1580</vt:i4>
      </vt:variant>
      <vt:variant>
        <vt:i4>0</vt:i4>
      </vt:variant>
      <vt:variant>
        <vt:i4>5</vt:i4>
      </vt:variant>
      <vt:variant>
        <vt:lpwstr/>
      </vt:variant>
      <vt:variant>
        <vt:lpwstr>_Toc210964704</vt:lpwstr>
      </vt:variant>
      <vt:variant>
        <vt:i4>1769523</vt:i4>
      </vt:variant>
      <vt:variant>
        <vt:i4>1574</vt:i4>
      </vt:variant>
      <vt:variant>
        <vt:i4>0</vt:i4>
      </vt:variant>
      <vt:variant>
        <vt:i4>5</vt:i4>
      </vt:variant>
      <vt:variant>
        <vt:lpwstr/>
      </vt:variant>
      <vt:variant>
        <vt:lpwstr>_Toc210964703</vt:lpwstr>
      </vt:variant>
      <vt:variant>
        <vt:i4>1769523</vt:i4>
      </vt:variant>
      <vt:variant>
        <vt:i4>1568</vt:i4>
      </vt:variant>
      <vt:variant>
        <vt:i4>0</vt:i4>
      </vt:variant>
      <vt:variant>
        <vt:i4>5</vt:i4>
      </vt:variant>
      <vt:variant>
        <vt:lpwstr/>
      </vt:variant>
      <vt:variant>
        <vt:lpwstr>_Toc210964702</vt:lpwstr>
      </vt:variant>
      <vt:variant>
        <vt:i4>1769523</vt:i4>
      </vt:variant>
      <vt:variant>
        <vt:i4>1562</vt:i4>
      </vt:variant>
      <vt:variant>
        <vt:i4>0</vt:i4>
      </vt:variant>
      <vt:variant>
        <vt:i4>5</vt:i4>
      </vt:variant>
      <vt:variant>
        <vt:lpwstr/>
      </vt:variant>
      <vt:variant>
        <vt:lpwstr>_Toc210964701</vt:lpwstr>
      </vt:variant>
      <vt:variant>
        <vt:i4>1769523</vt:i4>
      </vt:variant>
      <vt:variant>
        <vt:i4>1556</vt:i4>
      </vt:variant>
      <vt:variant>
        <vt:i4>0</vt:i4>
      </vt:variant>
      <vt:variant>
        <vt:i4>5</vt:i4>
      </vt:variant>
      <vt:variant>
        <vt:lpwstr/>
      </vt:variant>
      <vt:variant>
        <vt:lpwstr>_Toc210964700</vt:lpwstr>
      </vt:variant>
      <vt:variant>
        <vt:i4>1179698</vt:i4>
      </vt:variant>
      <vt:variant>
        <vt:i4>1550</vt:i4>
      </vt:variant>
      <vt:variant>
        <vt:i4>0</vt:i4>
      </vt:variant>
      <vt:variant>
        <vt:i4>5</vt:i4>
      </vt:variant>
      <vt:variant>
        <vt:lpwstr/>
      </vt:variant>
      <vt:variant>
        <vt:lpwstr>_Toc210964699</vt:lpwstr>
      </vt:variant>
      <vt:variant>
        <vt:i4>1179698</vt:i4>
      </vt:variant>
      <vt:variant>
        <vt:i4>1544</vt:i4>
      </vt:variant>
      <vt:variant>
        <vt:i4>0</vt:i4>
      </vt:variant>
      <vt:variant>
        <vt:i4>5</vt:i4>
      </vt:variant>
      <vt:variant>
        <vt:lpwstr/>
      </vt:variant>
      <vt:variant>
        <vt:lpwstr>_Toc210964698</vt:lpwstr>
      </vt:variant>
      <vt:variant>
        <vt:i4>1179698</vt:i4>
      </vt:variant>
      <vt:variant>
        <vt:i4>1538</vt:i4>
      </vt:variant>
      <vt:variant>
        <vt:i4>0</vt:i4>
      </vt:variant>
      <vt:variant>
        <vt:i4>5</vt:i4>
      </vt:variant>
      <vt:variant>
        <vt:lpwstr/>
      </vt:variant>
      <vt:variant>
        <vt:lpwstr>_Toc210964697</vt:lpwstr>
      </vt:variant>
      <vt:variant>
        <vt:i4>1179698</vt:i4>
      </vt:variant>
      <vt:variant>
        <vt:i4>1532</vt:i4>
      </vt:variant>
      <vt:variant>
        <vt:i4>0</vt:i4>
      </vt:variant>
      <vt:variant>
        <vt:i4>5</vt:i4>
      </vt:variant>
      <vt:variant>
        <vt:lpwstr/>
      </vt:variant>
      <vt:variant>
        <vt:lpwstr>_Toc210964696</vt:lpwstr>
      </vt:variant>
      <vt:variant>
        <vt:i4>1179698</vt:i4>
      </vt:variant>
      <vt:variant>
        <vt:i4>1526</vt:i4>
      </vt:variant>
      <vt:variant>
        <vt:i4>0</vt:i4>
      </vt:variant>
      <vt:variant>
        <vt:i4>5</vt:i4>
      </vt:variant>
      <vt:variant>
        <vt:lpwstr/>
      </vt:variant>
      <vt:variant>
        <vt:lpwstr>_Toc210964695</vt:lpwstr>
      </vt:variant>
      <vt:variant>
        <vt:i4>1179698</vt:i4>
      </vt:variant>
      <vt:variant>
        <vt:i4>1520</vt:i4>
      </vt:variant>
      <vt:variant>
        <vt:i4>0</vt:i4>
      </vt:variant>
      <vt:variant>
        <vt:i4>5</vt:i4>
      </vt:variant>
      <vt:variant>
        <vt:lpwstr/>
      </vt:variant>
      <vt:variant>
        <vt:lpwstr>_Toc210964694</vt:lpwstr>
      </vt:variant>
      <vt:variant>
        <vt:i4>1179698</vt:i4>
      </vt:variant>
      <vt:variant>
        <vt:i4>1514</vt:i4>
      </vt:variant>
      <vt:variant>
        <vt:i4>0</vt:i4>
      </vt:variant>
      <vt:variant>
        <vt:i4>5</vt:i4>
      </vt:variant>
      <vt:variant>
        <vt:lpwstr/>
      </vt:variant>
      <vt:variant>
        <vt:lpwstr>_Toc210964693</vt:lpwstr>
      </vt:variant>
      <vt:variant>
        <vt:i4>1179698</vt:i4>
      </vt:variant>
      <vt:variant>
        <vt:i4>1508</vt:i4>
      </vt:variant>
      <vt:variant>
        <vt:i4>0</vt:i4>
      </vt:variant>
      <vt:variant>
        <vt:i4>5</vt:i4>
      </vt:variant>
      <vt:variant>
        <vt:lpwstr/>
      </vt:variant>
      <vt:variant>
        <vt:lpwstr>_Toc210964692</vt:lpwstr>
      </vt:variant>
      <vt:variant>
        <vt:i4>1179698</vt:i4>
      </vt:variant>
      <vt:variant>
        <vt:i4>1502</vt:i4>
      </vt:variant>
      <vt:variant>
        <vt:i4>0</vt:i4>
      </vt:variant>
      <vt:variant>
        <vt:i4>5</vt:i4>
      </vt:variant>
      <vt:variant>
        <vt:lpwstr/>
      </vt:variant>
      <vt:variant>
        <vt:lpwstr>_Toc210964691</vt:lpwstr>
      </vt:variant>
      <vt:variant>
        <vt:i4>1179698</vt:i4>
      </vt:variant>
      <vt:variant>
        <vt:i4>1496</vt:i4>
      </vt:variant>
      <vt:variant>
        <vt:i4>0</vt:i4>
      </vt:variant>
      <vt:variant>
        <vt:i4>5</vt:i4>
      </vt:variant>
      <vt:variant>
        <vt:lpwstr/>
      </vt:variant>
      <vt:variant>
        <vt:lpwstr>_Toc210964690</vt:lpwstr>
      </vt:variant>
      <vt:variant>
        <vt:i4>1245234</vt:i4>
      </vt:variant>
      <vt:variant>
        <vt:i4>1490</vt:i4>
      </vt:variant>
      <vt:variant>
        <vt:i4>0</vt:i4>
      </vt:variant>
      <vt:variant>
        <vt:i4>5</vt:i4>
      </vt:variant>
      <vt:variant>
        <vt:lpwstr/>
      </vt:variant>
      <vt:variant>
        <vt:lpwstr>_Toc210964689</vt:lpwstr>
      </vt:variant>
      <vt:variant>
        <vt:i4>1245234</vt:i4>
      </vt:variant>
      <vt:variant>
        <vt:i4>1484</vt:i4>
      </vt:variant>
      <vt:variant>
        <vt:i4>0</vt:i4>
      </vt:variant>
      <vt:variant>
        <vt:i4>5</vt:i4>
      </vt:variant>
      <vt:variant>
        <vt:lpwstr/>
      </vt:variant>
      <vt:variant>
        <vt:lpwstr>_Toc210964688</vt:lpwstr>
      </vt:variant>
      <vt:variant>
        <vt:i4>1245234</vt:i4>
      </vt:variant>
      <vt:variant>
        <vt:i4>1478</vt:i4>
      </vt:variant>
      <vt:variant>
        <vt:i4>0</vt:i4>
      </vt:variant>
      <vt:variant>
        <vt:i4>5</vt:i4>
      </vt:variant>
      <vt:variant>
        <vt:lpwstr/>
      </vt:variant>
      <vt:variant>
        <vt:lpwstr>_Toc210964687</vt:lpwstr>
      </vt:variant>
      <vt:variant>
        <vt:i4>1245234</vt:i4>
      </vt:variant>
      <vt:variant>
        <vt:i4>1472</vt:i4>
      </vt:variant>
      <vt:variant>
        <vt:i4>0</vt:i4>
      </vt:variant>
      <vt:variant>
        <vt:i4>5</vt:i4>
      </vt:variant>
      <vt:variant>
        <vt:lpwstr/>
      </vt:variant>
      <vt:variant>
        <vt:lpwstr>_Toc210964686</vt:lpwstr>
      </vt:variant>
      <vt:variant>
        <vt:i4>1245234</vt:i4>
      </vt:variant>
      <vt:variant>
        <vt:i4>1466</vt:i4>
      </vt:variant>
      <vt:variant>
        <vt:i4>0</vt:i4>
      </vt:variant>
      <vt:variant>
        <vt:i4>5</vt:i4>
      </vt:variant>
      <vt:variant>
        <vt:lpwstr/>
      </vt:variant>
      <vt:variant>
        <vt:lpwstr>_Toc210964685</vt:lpwstr>
      </vt:variant>
      <vt:variant>
        <vt:i4>1245234</vt:i4>
      </vt:variant>
      <vt:variant>
        <vt:i4>1460</vt:i4>
      </vt:variant>
      <vt:variant>
        <vt:i4>0</vt:i4>
      </vt:variant>
      <vt:variant>
        <vt:i4>5</vt:i4>
      </vt:variant>
      <vt:variant>
        <vt:lpwstr/>
      </vt:variant>
      <vt:variant>
        <vt:lpwstr>_Toc210964684</vt:lpwstr>
      </vt:variant>
      <vt:variant>
        <vt:i4>1245234</vt:i4>
      </vt:variant>
      <vt:variant>
        <vt:i4>1454</vt:i4>
      </vt:variant>
      <vt:variant>
        <vt:i4>0</vt:i4>
      </vt:variant>
      <vt:variant>
        <vt:i4>5</vt:i4>
      </vt:variant>
      <vt:variant>
        <vt:lpwstr/>
      </vt:variant>
      <vt:variant>
        <vt:lpwstr>_Toc210964683</vt:lpwstr>
      </vt:variant>
      <vt:variant>
        <vt:i4>1245234</vt:i4>
      </vt:variant>
      <vt:variant>
        <vt:i4>1448</vt:i4>
      </vt:variant>
      <vt:variant>
        <vt:i4>0</vt:i4>
      </vt:variant>
      <vt:variant>
        <vt:i4>5</vt:i4>
      </vt:variant>
      <vt:variant>
        <vt:lpwstr/>
      </vt:variant>
      <vt:variant>
        <vt:lpwstr>_Toc210964682</vt:lpwstr>
      </vt:variant>
      <vt:variant>
        <vt:i4>1245234</vt:i4>
      </vt:variant>
      <vt:variant>
        <vt:i4>1442</vt:i4>
      </vt:variant>
      <vt:variant>
        <vt:i4>0</vt:i4>
      </vt:variant>
      <vt:variant>
        <vt:i4>5</vt:i4>
      </vt:variant>
      <vt:variant>
        <vt:lpwstr/>
      </vt:variant>
      <vt:variant>
        <vt:lpwstr>_Toc210964681</vt:lpwstr>
      </vt:variant>
      <vt:variant>
        <vt:i4>1245234</vt:i4>
      </vt:variant>
      <vt:variant>
        <vt:i4>1436</vt:i4>
      </vt:variant>
      <vt:variant>
        <vt:i4>0</vt:i4>
      </vt:variant>
      <vt:variant>
        <vt:i4>5</vt:i4>
      </vt:variant>
      <vt:variant>
        <vt:lpwstr/>
      </vt:variant>
      <vt:variant>
        <vt:lpwstr>_Toc210964680</vt:lpwstr>
      </vt:variant>
      <vt:variant>
        <vt:i4>1835058</vt:i4>
      </vt:variant>
      <vt:variant>
        <vt:i4>1430</vt:i4>
      </vt:variant>
      <vt:variant>
        <vt:i4>0</vt:i4>
      </vt:variant>
      <vt:variant>
        <vt:i4>5</vt:i4>
      </vt:variant>
      <vt:variant>
        <vt:lpwstr/>
      </vt:variant>
      <vt:variant>
        <vt:lpwstr>_Toc210964679</vt:lpwstr>
      </vt:variant>
      <vt:variant>
        <vt:i4>1835058</vt:i4>
      </vt:variant>
      <vt:variant>
        <vt:i4>1424</vt:i4>
      </vt:variant>
      <vt:variant>
        <vt:i4>0</vt:i4>
      </vt:variant>
      <vt:variant>
        <vt:i4>5</vt:i4>
      </vt:variant>
      <vt:variant>
        <vt:lpwstr/>
      </vt:variant>
      <vt:variant>
        <vt:lpwstr>_Toc210964678</vt:lpwstr>
      </vt:variant>
      <vt:variant>
        <vt:i4>1835058</vt:i4>
      </vt:variant>
      <vt:variant>
        <vt:i4>1418</vt:i4>
      </vt:variant>
      <vt:variant>
        <vt:i4>0</vt:i4>
      </vt:variant>
      <vt:variant>
        <vt:i4>5</vt:i4>
      </vt:variant>
      <vt:variant>
        <vt:lpwstr/>
      </vt:variant>
      <vt:variant>
        <vt:lpwstr>_Toc210964677</vt:lpwstr>
      </vt:variant>
      <vt:variant>
        <vt:i4>1835058</vt:i4>
      </vt:variant>
      <vt:variant>
        <vt:i4>1412</vt:i4>
      </vt:variant>
      <vt:variant>
        <vt:i4>0</vt:i4>
      </vt:variant>
      <vt:variant>
        <vt:i4>5</vt:i4>
      </vt:variant>
      <vt:variant>
        <vt:lpwstr/>
      </vt:variant>
      <vt:variant>
        <vt:lpwstr>_Toc210964676</vt:lpwstr>
      </vt:variant>
      <vt:variant>
        <vt:i4>1835058</vt:i4>
      </vt:variant>
      <vt:variant>
        <vt:i4>1406</vt:i4>
      </vt:variant>
      <vt:variant>
        <vt:i4>0</vt:i4>
      </vt:variant>
      <vt:variant>
        <vt:i4>5</vt:i4>
      </vt:variant>
      <vt:variant>
        <vt:lpwstr/>
      </vt:variant>
      <vt:variant>
        <vt:lpwstr>_Toc210964675</vt:lpwstr>
      </vt:variant>
      <vt:variant>
        <vt:i4>1835058</vt:i4>
      </vt:variant>
      <vt:variant>
        <vt:i4>1400</vt:i4>
      </vt:variant>
      <vt:variant>
        <vt:i4>0</vt:i4>
      </vt:variant>
      <vt:variant>
        <vt:i4>5</vt:i4>
      </vt:variant>
      <vt:variant>
        <vt:lpwstr/>
      </vt:variant>
      <vt:variant>
        <vt:lpwstr>_Toc210964674</vt:lpwstr>
      </vt:variant>
      <vt:variant>
        <vt:i4>1835058</vt:i4>
      </vt:variant>
      <vt:variant>
        <vt:i4>1394</vt:i4>
      </vt:variant>
      <vt:variant>
        <vt:i4>0</vt:i4>
      </vt:variant>
      <vt:variant>
        <vt:i4>5</vt:i4>
      </vt:variant>
      <vt:variant>
        <vt:lpwstr/>
      </vt:variant>
      <vt:variant>
        <vt:lpwstr>_Toc210964673</vt:lpwstr>
      </vt:variant>
      <vt:variant>
        <vt:i4>1835058</vt:i4>
      </vt:variant>
      <vt:variant>
        <vt:i4>1388</vt:i4>
      </vt:variant>
      <vt:variant>
        <vt:i4>0</vt:i4>
      </vt:variant>
      <vt:variant>
        <vt:i4>5</vt:i4>
      </vt:variant>
      <vt:variant>
        <vt:lpwstr/>
      </vt:variant>
      <vt:variant>
        <vt:lpwstr>_Toc210964672</vt:lpwstr>
      </vt:variant>
      <vt:variant>
        <vt:i4>1835058</vt:i4>
      </vt:variant>
      <vt:variant>
        <vt:i4>1382</vt:i4>
      </vt:variant>
      <vt:variant>
        <vt:i4>0</vt:i4>
      </vt:variant>
      <vt:variant>
        <vt:i4>5</vt:i4>
      </vt:variant>
      <vt:variant>
        <vt:lpwstr/>
      </vt:variant>
      <vt:variant>
        <vt:lpwstr>_Toc210964671</vt:lpwstr>
      </vt:variant>
      <vt:variant>
        <vt:i4>1835058</vt:i4>
      </vt:variant>
      <vt:variant>
        <vt:i4>1376</vt:i4>
      </vt:variant>
      <vt:variant>
        <vt:i4>0</vt:i4>
      </vt:variant>
      <vt:variant>
        <vt:i4>5</vt:i4>
      </vt:variant>
      <vt:variant>
        <vt:lpwstr/>
      </vt:variant>
      <vt:variant>
        <vt:lpwstr>_Toc210964670</vt:lpwstr>
      </vt:variant>
      <vt:variant>
        <vt:i4>1900594</vt:i4>
      </vt:variant>
      <vt:variant>
        <vt:i4>1370</vt:i4>
      </vt:variant>
      <vt:variant>
        <vt:i4>0</vt:i4>
      </vt:variant>
      <vt:variant>
        <vt:i4>5</vt:i4>
      </vt:variant>
      <vt:variant>
        <vt:lpwstr/>
      </vt:variant>
      <vt:variant>
        <vt:lpwstr>_Toc210964669</vt:lpwstr>
      </vt:variant>
      <vt:variant>
        <vt:i4>1900594</vt:i4>
      </vt:variant>
      <vt:variant>
        <vt:i4>1364</vt:i4>
      </vt:variant>
      <vt:variant>
        <vt:i4>0</vt:i4>
      </vt:variant>
      <vt:variant>
        <vt:i4>5</vt:i4>
      </vt:variant>
      <vt:variant>
        <vt:lpwstr/>
      </vt:variant>
      <vt:variant>
        <vt:lpwstr>_Toc210964668</vt:lpwstr>
      </vt:variant>
      <vt:variant>
        <vt:i4>1900594</vt:i4>
      </vt:variant>
      <vt:variant>
        <vt:i4>1358</vt:i4>
      </vt:variant>
      <vt:variant>
        <vt:i4>0</vt:i4>
      </vt:variant>
      <vt:variant>
        <vt:i4>5</vt:i4>
      </vt:variant>
      <vt:variant>
        <vt:lpwstr/>
      </vt:variant>
      <vt:variant>
        <vt:lpwstr>_Toc210964667</vt:lpwstr>
      </vt:variant>
      <vt:variant>
        <vt:i4>1900594</vt:i4>
      </vt:variant>
      <vt:variant>
        <vt:i4>1352</vt:i4>
      </vt:variant>
      <vt:variant>
        <vt:i4>0</vt:i4>
      </vt:variant>
      <vt:variant>
        <vt:i4>5</vt:i4>
      </vt:variant>
      <vt:variant>
        <vt:lpwstr/>
      </vt:variant>
      <vt:variant>
        <vt:lpwstr>_Toc210964666</vt:lpwstr>
      </vt:variant>
      <vt:variant>
        <vt:i4>1900594</vt:i4>
      </vt:variant>
      <vt:variant>
        <vt:i4>1346</vt:i4>
      </vt:variant>
      <vt:variant>
        <vt:i4>0</vt:i4>
      </vt:variant>
      <vt:variant>
        <vt:i4>5</vt:i4>
      </vt:variant>
      <vt:variant>
        <vt:lpwstr/>
      </vt:variant>
      <vt:variant>
        <vt:lpwstr>_Toc210964665</vt:lpwstr>
      </vt:variant>
      <vt:variant>
        <vt:i4>1900594</vt:i4>
      </vt:variant>
      <vt:variant>
        <vt:i4>1340</vt:i4>
      </vt:variant>
      <vt:variant>
        <vt:i4>0</vt:i4>
      </vt:variant>
      <vt:variant>
        <vt:i4>5</vt:i4>
      </vt:variant>
      <vt:variant>
        <vt:lpwstr/>
      </vt:variant>
      <vt:variant>
        <vt:lpwstr>_Toc210964664</vt:lpwstr>
      </vt:variant>
      <vt:variant>
        <vt:i4>1900594</vt:i4>
      </vt:variant>
      <vt:variant>
        <vt:i4>1334</vt:i4>
      </vt:variant>
      <vt:variant>
        <vt:i4>0</vt:i4>
      </vt:variant>
      <vt:variant>
        <vt:i4>5</vt:i4>
      </vt:variant>
      <vt:variant>
        <vt:lpwstr/>
      </vt:variant>
      <vt:variant>
        <vt:lpwstr>_Toc210964663</vt:lpwstr>
      </vt:variant>
      <vt:variant>
        <vt:i4>1900594</vt:i4>
      </vt:variant>
      <vt:variant>
        <vt:i4>1328</vt:i4>
      </vt:variant>
      <vt:variant>
        <vt:i4>0</vt:i4>
      </vt:variant>
      <vt:variant>
        <vt:i4>5</vt:i4>
      </vt:variant>
      <vt:variant>
        <vt:lpwstr/>
      </vt:variant>
      <vt:variant>
        <vt:lpwstr>_Toc210964662</vt:lpwstr>
      </vt:variant>
      <vt:variant>
        <vt:i4>1900594</vt:i4>
      </vt:variant>
      <vt:variant>
        <vt:i4>1322</vt:i4>
      </vt:variant>
      <vt:variant>
        <vt:i4>0</vt:i4>
      </vt:variant>
      <vt:variant>
        <vt:i4>5</vt:i4>
      </vt:variant>
      <vt:variant>
        <vt:lpwstr/>
      </vt:variant>
      <vt:variant>
        <vt:lpwstr>_Toc210964661</vt:lpwstr>
      </vt:variant>
      <vt:variant>
        <vt:i4>1900594</vt:i4>
      </vt:variant>
      <vt:variant>
        <vt:i4>1316</vt:i4>
      </vt:variant>
      <vt:variant>
        <vt:i4>0</vt:i4>
      </vt:variant>
      <vt:variant>
        <vt:i4>5</vt:i4>
      </vt:variant>
      <vt:variant>
        <vt:lpwstr/>
      </vt:variant>
      <vt:variant>
        <vt:lpwstr>_Toc210964660</vt:lpwstr>
      </vt:variant>
      <vt:variant>
        <vt:i4>1966130</vt:i4>
      </vt:variant>
      <vt:variant>
        <vt:i4>1310</vt:i4>
      </vt:variant>
      <vt:variant>
        <vt:i4>0</vt:i4>
      </vt:variant>
      <vt:variant>
        <vt:i4>5</vt:i4>
      </vt:variant>
      <vt:variant>
        <vt:lpwstr/>
      </vt:variant>
      <vt:variant>
        <vt:lpwstr>_Toc210964659</vt:lpwstr>
      </vt:variant>
      <vt:variant>
        <vt:i4>1966130</vt:i4>
      </vt:variant>
      <vt:variant>
        <vt:i4>1304</vt:i4>
      </vt:variant>
      <vt:variant>
        <vt:i4>0</vt:i4>
      </vt:variant>
      <vt:variant>
        <vt:i4>5</vt:i4>
      </vt:variant>
      <vt:variant>
        <vt:lpwstr/>
      </vt:variant>
      <vt:variant>
        <vt:lpwstr>_Toc210964658</vt:lpwstr>
      </vt:variant>
      <vt:variant>
        <vt:i4>2031676</vt:i4>
      </vt:variant>
      <vt:variant>
        <vt:i4>1295</vt:i4>
      </vt:variant>
      <vt:variant>
        <vt:i4>0</vt:i4>
      </vt:variant>
      <vt:variant>
        <vt:i4>5</vt:i4>
      </vt:variant>
      <vt:variant>
        <vt:lpwstr/>
      </vt:variant>
      <vt:variant>
        <vt:lpwstr>_Toc210964847</vt:lpwstr>
      </vt:variant>
      <vt:variant>
        <vt:i4>2031676</vt:i4>
      </vt:variant>
      <vt:variant>
        <vt:i4>1289</vt:i4>
      </vt:variant>
      <vt:variant>
        <vt:i4>0</vt:i4>
      </vt:variant>
      <vt:variant>
        <vt:i4>5</vt:i4>
      </vt:variant>
      <vt:variant>
        <vt:lpwstr/>
      </vt:variant>
      <vt:variant>
        <vt:lpwstr>_Toc210964846</vt:lpwstr>
      </vt:variant>
      <vt:variant>
        <vt:i4>2031676</vt:i4>
      </vt:variant>
      <vt:variant>
        <vt:i4>1283</vt:i4>
      </vt:variant>
      <vt:variant>
        <vt:i4>0</vt:i4>
      </vt:variant>
      <vt:variant>
        <vt:i4>5</vt:i4>
      </vt:variant>
      <vt:variant>
        <vt:lpwstr/>
      </vt:variant>
      <vt:variant>
        <vt:lpwstr>_Toc210964845</vt:lpwstr>
      </vt:variant>
      <vt:variant>
        <vt:i4>2031676</vt:i4>
      </vt:variant>
      <vt:variant>
        <vt:i4>1277</vt:i4>
      </vt:variant>
      <vt:variant>
        <vt:i4>0</vt:i4>
      </vt:variant>
      <vt:variant>
        <vt:i4>5</vt:i4>
      </vt:variant>
      <vt:variant>
        <vt:lpwstr/>
      </vt:variant>
      <vt:variant>
        <vt:lpwstr>_Toc210964844</vt:lpwstr>
      </vt:variant>
      <vt:variant>
        <vt:i4>2031676</vt:i4>
      </vt:variant>
      <vt:variant>
        <vt:i4>1271</vt:i4>
      </vt:variant>
      <vt:variant>
        <vt:i4>0</vt:i4>
      </vt:variant>
      <vt:variant>
        <vt:i4>5</vt:i4>
      </vt:variant>
      <vt:variant>
        <vt:lpwstr/>
      </vt:variant>
      <vt:variant>
        <vt:lpwstr>_Toc210964843</vt:lpwstr>
      </vt:variant>
      <vt:variant>
        <vt:i4>2031676</vt:i4>
      </vt:variant>
      <vt:variant>
        <vt:i4>1265</vt:i4>
      </vt:variant>
      <vt:variant>
        <vt:i4>0</vt:i4>
      </vt:variant>
      <vt:variant>
        <vt:i4>5</vt:i4>
      </vt:variant>
      <vt:variant>
        <vt:lpwstr/>
      </vt:variant>
      <vt:variant>
        <vt:lpwstr>_Toc210964842</vt:lpwstr>
      </vt:variant>
      <vt:variant>
        <vt:i4>2031676</vt:i4>
      </vt:variant>
      <vt:variant>
        <vt:i4>1259</vt:i4>
      </vt:variant>
      <vt:variant>
        <vt:i4>0</vt:i4>
      </vt:variant>
      <vt:variant>
        <vt:i4>5</vt:i4>
      </vt:variant>
      <vt:variant>
        <vt:lpwstr/>
      </vt:variant>
      <vt:variant>
        <vt:lpwstr>_Toc210964841</vt:lpwstr>
      </vt:variant>
      <vt:variant>
        <vt:i4>2031676</vt:i4>
      </vt:variant>
      <vt:variant>
        <vt:i4>1253</vt:i4>
      </vt:variant>
      <vt:variant>
        <vt:i4>0</vt:i4>
      </vt:variant>
      <vt:variant>
        <vt:i4>5</vt:i4>
      </vt:variant>
      <vt:variant>
        <vt:lpwstr/>
      </vt:variant>
      <vt:variant>
        <vt:lpwstr>_Toc210964840</vt:lpwstr>
      </vt:variant>
      <vt:variant>
        <vt:i4>1572924</vt:i4>
      </vt:variant>
      <vt:variant>
        <vt:i4>1247</vt:i4>
      </vt:variant>
      <vt:variant>
        <vt:i4>0</vt:i4>
      </vt:variant>
      <vt:variant>
        <vt:i4>5</vt:i4>
      </vt:variant>
      <vt:variant>
        <vt:lpwstr/>
      </vt:variant>
      <vt:variant>
        <vt:lpwstr>_Toc210964839</vt:lpwstr>
      </vt:variant>
      <vt:variant>
        <vt:i4>1572924</vt:i4>
      </vt:variant>
      <vt:variant>
        <vt:i4>1241</vt:i4>
      </vt:variant>
      <vt:variant>
        <vt:i4>0</vt:i4>
      </vt:variant>
      <vt:variant>
        <vt:i4>5</vt:i4>
      </vt:variant>
      <vt:variant>
        <vt:lpwstr/>
      </vt:variant>
      <vt:variant>
        <vt:lpwstr>_Toc210964838</vt:lpwstr>
      </vt:variant>
      <vt:variant>
        <vt:i4>1572924</vt:i4>
      </vt:variant>
      <vt:variant>
        <vt:i4>1235</vt:i4>
      </vt:variant>
      <vt:variant>
        <vt:i4>0</vt:i4>
      </vt:variant>
      <vt:variant>
        <vt:i4>5</vt:i4>
      </vt:variant>
      <vt:variant>
        <vt:lpwstr/>
      </vt:variant>
      <vt:variant>
        <vt:lpwstr>_Toc210964837</vt:lpwstr>
      </vt:variant>
      <vt:variant>
        <vt:i4>1572924</vt:i4>
      </vt:variant>
      <vt:variant>
        <vt:i4>1229</vt:i4>
      </vt:variant>
      <vt:variant>
        <vt:i4>0</vt:i4>
      </vt:variant>
      <vt:variant>
        <vt:i4>5</vt:i4>
      </vt:variant>
      <vt:variant>
        <vt:lpwstr/>
      </vt:variant>
      <vt:variant>
        <vt:lpwstr>_Toc210964836</vt:lpwstr>
      </vt:variant>
      <vt:variant>
        <vt:i4>1572924</vt:i4>
      </vt:variant>
      <vt:variant>
        <vt:i4>1223</vt:i4>
      </vt:variant>
      <vt:variant>
        <vt:i4>0</vt:i4>
      </vt:variant>
      <vt:variant>
        <vt:i4>5</vt:i4>
      </vt:variant>
      <vt:variant>
        <vt:lpwstr/>
      </vt:variant>
      <vt:variant>
        <vt:lpwstr>_Toc210964835</vt:lpwstr>
      </vt:variant>
      <vt:variant>
        <vt:i4>1572924</vt:i4>
      </vt:variant>
      <vt:variant>
        <vt:i4>1217</vt:i4>
      </vt:variant>
      <vt:variant>
        <vt:i4>0</vt:i4>
      </vt:variant>
      <vt:variant>
        <vt:i4>5</vt:i4>
      </vt:variant>
      <vt:variant>
        <vt:lpwstr/>
      </vt:variant>
      <vt:variant>
        <vt:lpwstr>_Toc210964834</vt:lpwstr>
      </vt:variant>
      <vt:variant>
        <vt:i4>1572924</vt:i4>
      </vt:variant>
      <vt:variant>
        <vt:i4>1211</vt:i4>
      </vt:variant>
      <vt:variant>
        <vt:i4>0</vt:i4>
      </vt:variant>
      <vt:variant>
        <vt:i4>5</vt:i4>
      </vt:variant>
      <vt:variant>
        <vt:lpwstr/>
      </vt:variant>
      <vt:variant>
        <vt:lpwstr>_Toc210964833</vt:lpwstr>
      </vt:variant>
      <vt:variant>
        <vt:i4>1572924</vt:i4>
      </vt:variant>
      <vt:variant>
        <vt:i4>1205</vt:i4>
      </vt:variant>
      <vt:variant>
        <vt:i4>0</vt:i4>
      </vt:variant>
      <vt:variant>
        <vt:i4>5</vt:i4>
      </vt:variant>
      <vt:variant>
        <vt:lpwstr/>
      </vt:variant>
      <vt:variant>
        <vt:lpwstr>_Toc210964832</vt:lpwstr>
      </vt:variant>
      <vt:variant>
        <vt:i4>1572924</vt:i4>
      </vt:variant>
      <vt:variant>
        <vt:i4>1199</vt:i4>
      </vt:variant>
      <vt:variant>
        <vt:i4>0</vt:i4>
      </vt:variant>
      <vt:variant>
        <vt:i4>5</vt:i4>
      </vt:variant>
      <vt:variant>
        <vt:lpwstr/>
      </vt:variant>
      <vt:variant>
        <vt:lpwstr>_Toc210964831</vt:lpwstr>
      </vt:variant>
      <vt:variant>
        <vt:i4>1572924</vt:i4>
      </vt:variant>
      <vt:variant>
        <vt:i4>1193</vt:i4>
      </vt:variant>
      <vt:variant>
        <vt:i4>0</vt:i4>
      </vt:variant>
      <vt:variant>
        <vt:i4>5</vt:i4>
      </vt:variant>
      <vt:variant>
        <vt:lpwstr/>
      </vt:variant>
      <vt:variant>
        <vt:lpwstr>_Toc210964830</vt:lpwstr>
      </vt:variant>
      <vt:variant>
        <vt:i4>1638460</vt:i4>
      </vt:variant>
      <vt:variant>
        <vt:i4>1187</vt:i4>
      </vt:variant>
      <vt:variant>
        <vt:i4>0</vt:i4>
      </vt:variant>
      <vt:variant>
        <vt:i4>5</vt:i4>
      </vt:variant>
      <vt:variant>
        <vt:lpwstr/>
      </vt:variant>
      <vt:variant>
        <vt:lpwstr>_Toc210964829</vt:lpwstr>
      </vt:variant>
      <vt:variant>
        <vt:i4>1638460</vt:i4>
      </vt:variant>
      <vt:variant>
        <vt:i4>1181</vt:i4>
      </vt:variant>
      <vt:variant>
        <vt:i4>0</vt:i4>
      </vt:variant>
      <vt:variant>
        <vt:i4>5</vt:i4>
      </vt:variant>
      <vt:variant>
        <vt:lpwstr/>
      </vt:variant>
      <vt:variant>
        <vt:lpwstr>_Toc210964828</vt:lpwstr>
      </vt:variant>
      <vt:variant>
        <vt:i4>1638460</vt:i4>
      </vt:variant>
      <vt:variant>
        <vt:i4>1175</vt:i4>
      </vt:variant>
      <vt:variant>
        <vt:i4>0</vt:i4>
      </vt:variant>
      <vt:variant>
        <vt:i4>5</vt:i4>
      </vt:variant>
      <vt:variant>
        <vt:lpwstr/>
      </vt:variant>
      <vt:variant>
        <vt:lpwstr>_Toc210964827</vt:lpwstr>
      </vt:variant>
      <vt:variant>
        <vt:i4>1638460</vt:i4>
      </vt:variant>
      <vt:variant>
        <vt:i4>1169</vt:i4>
      </vt:variant>
      <vt:variant>
        <vt:i4>0</vt:i4>
      </vt:variant>
      <vt:variant>
        <vt:i4>5</vt:i4>
      </vt:variant>
      <vt:variant>
        <vt:lpwstr/>
      </vt:variant>
      <vt:variant>
        <vt:lpwstr>_Toc210964826</vt:lpwstr>
      </vt:variant>
      <vt:variant>
        <vt:i4>1638460</vt:i4>
      </vt:variant>
      <vt:variant>
        <vt:i4>1163</vt:i4>
      </vt:variant>
      <vt:variant>
        <vt:i4>0</vt:i4>
      </vt:variant>
      <vt:variant>
        <vt:i4>5</vt:i4>
      </vt:variant>
      <vt:variant>
        <vt:lpwstr/>
      </vt:variant>
      <vt:variant>
        <vt:lpwstr>_Toc210964825</vt:lpwstr>
      </vt:variant>
      <vt:variant>
        <vt:i4>1638460</vt:i4>
      </vt:variant>
      <vt:variant>
        <vt:i4>1157</vt:i4>
      </vt:variant>
      <vt:variant>
        <vt:i4>0</vt:i4>
      </vt:variant>
      <vt:variant>
        <vt:i4>5</vt:i4>
      </vt:variant>
      <vt:variant>
        <vt:lpwstr/>
      </vt:variant>
      <vt:variant>
        <vt:lpwstr>_Toc210964824</vt:lpwstr>
      </vt:variant>
      <vt:variant>
        <vt:i4>1638460</vt:i4>
      </vt:variant>
      <vt:variant>
        <vt:i4>1151</vt:i4>
      </vt:variant>
      <vt:variant>
        <vt:i4>0</vt:i4>
      </vt:variant>
      <vt:variant>
        <vt:i4>5</vt:i4>
      </vt:variant>
      <vt:variant>
        <vt:lpwstr/>
      </vt:variant>
      <vt:variant>
        <vt:lpwstr>_Toc210964823</vt:lpwstr>
      </vt:variant>
      <vt:variant>
        <vt:i4>1638460</vt:i4>
      </vt:variant>
      <vt:variant>
        <vt:i4>1145</vt:i4>
      </vt:variant>
      <vt:variant>
        <vt:i4>0</vt:i4>
      </vt:variant>
      <vt:variant>
        <vt:i4>5</vt:i4>
      </vt:variant>
      <vt:variant>
        <vt:lpwstr/>
      </vt:variant>
      <vt:variant>
        <vt:lpwstr>_Toc210964822</vt:lpwstr>
      </vt:variant>
      <vt:variant>
        <vt:i4>1638460</vt:i4>
      </vt:variant>
      <vt:variant>
        <vt:i4>1139</vt:i4>
      </vt:variant>
      <vt:variant>
        <vt:i4>0</vt:i4>
      </vt:variant>
      <vt:variant>
        <vt:i4>5</vt:i4>
      </vt:variant>
      <vt:variant>
        <vt:lpwstr/>
      </vt:variant>
      <vt:variant>
        <vt:lpwstr>_Toc210964821</vt:lpwstr>
      </vt:variant>
      <vt:variant>
        <vt:i4>1638460</vt:i4>
      </vt:variant>
      <vt:variant>
        <vt:i4>1133</vt:i4>
      </vt:variant>
      <vt:variant>
        <vt:i4>0</vt:i4>
      </vt:variant>
      <vt:variant>
        <vt:i4>5</vt:i4>
      </vt:variant>
      <vt:variant>
        <vt:lpwstr/>
      </vt:variant>
      <vt:variant>
        <vt:lpwstr>_Toc210964820</vt:lpwstr>
      </vt:variant>
      <vt:variant>
        <vt:i4>1703996</vt:i4>
      </vt:variant>
      <vt:variant>
        <vt:i4>1127</vt:i4>
      </vt:variant>
      <vt:variant>
        <vt:i4>0</vt:i4>
      </vt:variant>
      <vt:variant>
        <vt:i4>5</vt:i4>
      </vt:variant>
      <vt:variant>
        <vt:lpwstr/>
      </vt:variant>
      <vt:variant>
        <vt:lpwstr>_Toc210964819</vt:lpwstr>
      </vt:variant>
      <vt:variant>
        <vt:i4>1703996</vt:i4>
      </vt:variant>
      <vt:variant>
        <vt:i4>1121</vt:i4>
      </vt:variant>
      <vt:variant>
        <vt:i4>0</vt:i4>
      </vt:variant>
      <vt:variant>
        <vt:i4>5</vt:i4>
      </vt:variant>
      <vt:variant>
        <vt:lpwstr/>
      </vt:variant>
      <vt:variant>
        <vt:lpwstr>_Toc210964818</vt:lpwstr>
      </vt:variant>
      <vt:variant>
        <vt:i4>1703996</vt:i4>
      </vt:variant>
      <vt:variant>
        <vt:i4>1115</vt:i4>
      </vt:variant>
      <vt:variant>
        <vt:i4>0</vt:i4>
      </vt:variant>
      <vt:variant>
        <vt:i4>5</vt:i4>
      </vt:variant>
      <vt:variant>
        <vt:lpwstr/>
      </vt:variant>
      <vt:variant>
        <vt:lpwstr>_Toc210964817</vt:lpwstr>
      </vt:variant>
      <vt:variant>
        <vt:i4>1703996</vt:i4>
      </vt:variant>
      <vt:variant>
        <vt:i4>1109</vt:i4>
      </vt:variant>
      <vt:variant>
        <vt:i4>0</vt:i4>
      </vt:variant>
      <vt:variant>
        <vt:i4>5</vt:i4>
      </vt:variant>
      <vt:variant>
        <vt:lpwstr/>
      </vt:variant>
      <vt:variant>
        <vt:lpwstr>_Toc210964816</vt:lpwstr>
      </vt:variant>
      <vt:variant>
        <vt:i4>1703996</vt:i4>
      </vt:variant>
      <vt:variant>
        <vt:i4>1103</vt:i4>
      </vt:variant>
      <vt:variant>
        <vt:i4>0</vt:i4>
      </vt:variant>
      <vt:variant>
        <vt:i4>5</vt:i4>
      </vt:variant>
      <vt:variant>
        <vt:lpwstr/>
      </vt:variant>
      <vt:variant>
        <vt:lpwstr>_Toc210964815</vt:lpwstr>
      </vt:variant>
      <vt:variant>
        <vt:i4>1703996</vt:i4>
      </vt:variant>
      <vt:variant>
        <vt:i4>1097</vt:i4>
      </vt:variant>
      <vt:variant>
        <vt:i4>0</vt:i4>
      </vt:variant>
      <vt:variant>
        <vt:i4>5</vt:i4>
      </vt:variant>
      <vt:variant>
        <vt:lpwstr/>
      </vt:variant>
      <vt:variant>
        <vt:lpwstr>_Toc210964814</vt:lpwstr>
      </vt:variant>
      <vt:variant>
        <vt:i4>1703996</vt:i4>
      </vt:variant>
      <vt:variant>
        <vt:i4>1091</vt:i4>
      </vt:variant>
      <vt:variant>
        <vt:i4>0</vt:i4>
      </vt:variant>
      <vt:variant>
        <vt:i4>5</vt:i4>
      </vt:variant>
      <vt:variant>
        <vt:lpwstr/>
      </vt:variant>
      <vt:variant>
        <vt:lpwstr>_Toc210964813</vt:lpwstr>
      </vt:variant>
      <vt:variant>
        <vt:i4>1703996</vt:i4>
      </vt:variant>
      <vt:variant>
        <vt:i4>1085</vt:i4>
      </vt:variant>
      <vt:variant>
        <vt:i4>0</vt:i4>
      </vt:variant>
      <vt:variant>
        <vt:i4>5</vt:i4>
      </vt:variant>
      <vt:variant>
        <vt:lpwstr/>
      </vt:variant>
      <vt:variant>
        <vt:lpwstr>_Toc210964812</vt:lpwstr>
      </vt:variant>
      <vt:variant>
        <vt:i4>1703996</vt:i4>
      </vt:variant>
      <vt:variant>
        <vt:i4>1079</vt:i4>
      </vt:variant>
      <vt:variant>
        <vt:i4>0</vt:i4>
      </vt:variant>
      <vt:variant>
        <vt:i4>5</vt:i4>
      </vt:variant>
      <vt:variant>
        <vt:lpwstr/>
      </vt:variant>
      <vt:variant>
        <vt:lpwstr>_Toc210964811</vt:lpwstr>
      </vt:variant>
      <vt:variant>
        <vt:i4>1703996</vt:i4>
      </vt:variant>
      <vt:variant>
        <vt:i4>1073</vt:i4>
      </vt:variant>
      <vt:variant>
        <vt:i4>0</vt:i4>
      </vt:variant>
      <vt:variant>
        <vt:i4>5</vt:i4>
      </vt:variant>
      <vt:variant>
        <vt:lpwstr/>
      </vt:variant>
      <vt:variant>
        <vt:lpwstr>_Toc210964810</vt:lpwstr>
      </vt:variant>
      <vt:variant>
        <vt:i4>1769532</vt:i4>
      </vt:variant>
      <vt:variant>
        <vt:i4>1067</vt:i4>
      </vt:variant>
      <vt:variant>
        <vt:i4>0</vt:i4>
      </vt:variant>
      <vt:variant>
        <vt:i4>5</vt:i4>
      </vt:variant>
      <vt:variant>
        <vt:lpwstr/>
      </vt:variant>
      <vt:variant>
        <vt:lpwstr>_Toc210964809</vt:lpwstr>
      </vt:variant>
      <vt:variant>
        <vt:i4>1769532</vt:i4>
      </vt:variant>
      <vt:variant>
        <vt:i4>1061</vt:i4>
      </vt:variant>
      <vt:variant>
        <vt:i4>0</vt:i4>
      </vt:variant>
      <vt:variant>
        <vt:i4>5</vt:i4>
      </vt:variant>
      <vt:variant>
        <vt:lpwstr/>
      </vt:variant>
      <vt:variant>
        <vt:lpwstr>_Toc210964808</vt:lpwstr>
      </vt:variant>
      <vt:variant>
        <vt:i4>1769532</vt:i4>
      </vt:variant>
      <vt:variant>
        <vt:i4>1055</vt:i4>
      </vt:variant>
      <vt:variant>
        <vt:i4>0</vt:i4>
      </vt:variant>
      <vt:variant>
        <vt:i4>5</vt:i4>
      </vt:variant>
      <vt:variant>
        <vt:lpwstr/>
      </vt:variant>
      <vt:variant>
        <vt:lpwstr>_Toc210964807</vt:lpwstr>
      </vt:variant>
      <vt:variant>
        <vt:i4>1769532</vt:i4>
      </vt:variant>
      <vt:variant>
        <vt:i4>1049</vt:i4>
      </vt:variant>
      <vt:variant>
        <vt:i4>0</vt:i4>
      </vt:variant>
      <vt:variant>
        <vt:i4>5</vt:i4>
      </vt:variant>
      <vt:variant>
        <vt:lpwstr/>
      </vt:variant>
      <vt:variant>
        <vt:lpwstr>_Toc210964806</vt:lpwstr>
      </vt:variant>
      <vt:variant>
        <vt:i4>1769532</vt:i4>
      </vt:variant>
      <vt:variant>
        <vt:i4>1043</vt:i4>
      </vt:variant>
      <vt:variant>
        <vt:i4>0</vt:i4>
      </vt:variant>
      <vt:variant>
        <vt:i4>5</vt:i4>
      </vt:variant>
      <vt:variant>
        <vt:lpwstr/>
      </vt:variant>
      <vt:variant>
        <vt:lpwstr>_Toc210964805</vt:lpwstr>
      </vt:variant>
      <vt:variant>
        <vt:i4>1769532</vt:i4>
      </vt:variant>
      <vt:variant>
        <vt:i4>1037</vt:i4>
      </vt:variant>
      <vt:variant>
        <vt:i4>0</vt:i4>
      </vt:variant>
      <vt:variant>
        <vt:i4>5</vt:i4>
      </vt:variant>
      <vt:variant>
        <vt:lpwstr/>
      </vt:variant>
      <vt:variant>
        <vt:lpwstr>_Toc210964804</vt:lpwstr>
      </vt:variant>
      <vt:variant>
        <vt:i4>1769532</vt:i4>
      </vt:variant>
      <vt:variant>
        <vt:i4>1031</vt:i4>
      </vt:variant>
      <vt:variant>
        <vt:i4>0</vt:i4>
      </vt:variant>
      <vt:variant>
        <vt:i4>5</vt:i4>
      </vt:variant>
      <vt:variant>
        <vt:lpwstr/>
      </vt:variant>
      <vt:variant>
        <vt:lpwstr>_Toc210964803</vt:lpwstr>
      </vt:variant>
      <vt:variant>
        <vt:i4>1769532</vt:i4>
      </vt:variant>
      <vt:variant>
        <vt:i4>1025</vt:i4>
      </vt:variant>
      <vt:variant>
        <vt:i4>0</vt:i4>
      </vt:variant>
      <vt:variant>
        <vt:i4>5</vt:i4>
      </vt:variant>
      <vt:variant>
        <vt:lpwstr/>
      </vt:variant>
      <vt:variant>
        <vt:lpwstr>_Toc210964802</vt:lpwstr>
      </vt:variant>
      <vt:variant>
        <vt:i4>1769532</vt:i4>
      </vt:variant>
      <vt:variant>
        <vt:i4>1019</vt:i4>
      </vt:variant>
      <vt:variant>
        <vt:i4>0</vt:i4>
      </vt:variant>
      <vt:variant>
        <vt:i4>5</vt:i4>
      </vt:variant>
      <vt:variant>
        <vt:lpwstr/>
      </vt:variant>
      <vt:variant>
        <vt:lpwstr>_Toc210964801</vt:lpwstr>
      </vt:variant>
      <vt:variant>
        <vt:i4>1769532</vt:i4>
      </vt:variant>
      <vt:variant>
        <vt:i4>1013</vt:i4>
      </vt:variant>
      <vt:variant>
        <vt:i4>0</vt:i4>
      </vt:variant>
      <vt:variant>
        <vt:i4>5</vt:i4>
      </vt:variant>
      <vt:variant>
        <vt:lpwstr/>
      </vt:variant>
      <vt:variant>
        <vt:lpwstr>_Toc210964800</vt:lpwstr>
      </vt:variant>
      <vt:variant>
        <vt:i4>1179699</vt:i4>
      </vt:variant>
      <vt:variant>
        <vt:i4>1007</vt:i4>
      </vt:variant>
      <vt:variant>
        <vt:i4>0</vt:i4>
      </vt:variant>
      <vt:variant>
        <vt:i4>5</vt:i4>
      </vt:variant>
      <vt:variant>
        <vt:lpwstr/>
      </vt:variant>
      <vt:variant>
        <vt:lpwstr>_Toc210964799</vt:lpwstr>
      </vt:variant>
      <vt:variant>
        <vt:i4>1179699</vt:i4>
      </vt:variant>
      <vt:variant>
        <vt:i4>1001</vt:i4>
      </vt:variant>
      <vt:variant>
        <vt:i4>0</vt:i4>
      </vt:variant>
      <vt:variant>
        <vt:i4>5</vt:i4>
      </vt:variant>
      <vt:variant>
        <vt:lpwstr/>
      </vt:variant>
      <vt:variant>
        <vt:lpwstr>_Toc210964798</vt:lpwstr>
      </vt:variant>
      <vt:variant>
        <vt:i4>1179699</vt:i4>
      </vt:variant>
      <vt:variant>
        <vt:i4>995</vt:i4>
      </vt:variant>
      <vt:variant>
        <vt:i4>0</vt:i4>
      </vt:variant>
      <vt:variant>
        <vt:i4>5</vt:i4>
      </vt:variant>
      <vt:variant>
        <vt:lpwstr/>
      </vt:variant>
      <vt:variant>
        <vt:lpwstr>_Toc210964797</vt:lpwstr>
      </vt:variant>
      <vt:variant>
        <vt:i4>1179699</vt:i4>
      </vt:variant>
      <vt:variant>
        <vt:i4>989</vt:i4>
      </vt:variant>
      <vt:variant>
        <vt:i4>0</vt:i4>
      </vt:variant>
      <vt:variant>
        <vt:i4>5</vt:i4>
      </vt:variant>
      <vt:variant>
        <vt:lpwstr/>
      </vt:variant>
      <vt:variant>
        <vt:lpwstr>_Toc210964796</vt:lpwstr>
      </vt:variant>
      <vt:variant>
        <vt:i4>1179699</vt:i4>
      </vt:variant>
      <vt:variant>
        <vt:i4>983</vt:i4>
      </vt:variant>
      <vt:variant>
        <vt:i4>0</vt:i4>
      </vt:variant>
      <vt:variant>
        <vt:i4>5</vt:i4>
      </vt:variant>
      <vt:variant>
        <vt:lpwstr/>
      </vt:variant>
      <vt:variant>
        <vt:lpwstr>_Toc210964795</vt:lpwstr>
      </vt:variant>
      <vt:variant>
        <vt:i4>1179699</vt:i4>
      </vt:variant>
      <vt:variant>
        <vt:i4>977</vt:i4>
      </vt:variant>
      <vt:variant>
        <vt:i4>0</vt:i4>
      </vt:variant>
      <vt:variant>
        <vt:i4>5</vt:i4>
      </vt:variant>
      <vt:variant>
        <vt:lpwstr/>
      </vt:variant>
      <vt:variant>
        <vt:lpwstr>_Toc210964794</vt:lpwstr>
      </vt:variant>
      <vt:variant>
        <vt:i4>1179699</vt:i4>
      </vt:variant>
      <vt:variant>
        <vt:i4>971</vt:i4>
      </vt:variant>
      <vt:variant>
        <vt:i4>0</vt:i4>
      </vt:variant>
      <vt:variant>
        <vt:i4>5</vt:i4>
      </vt:variant>
      <vt:variant>
        <vt:lpwstr/>
      </vt:variant>
      <vt:variant>
        <vt:lpwstr>_Toc210964793</vt:lpwstr>
      </vt:variant>
      <vt:variant>
        <vt:i4>1179699</vt:i4>
      </vt:variant>
      <vt:variant>
        <vt:i4>965</vt:i4>
      </vt:variant>
      <vt:variant>
        <vt:i4>0</vt:i4>
      </vt:variant>
      <vt:variant>
        <vt:i4>5</vt:i4>
      </vt:variant>
      <vt:variant>
        <vt:lpwstr/>
      </vt:variant>
      <vt:variant>
        <vt:lpwstr>_Toc210964792</vt:lpwstr>
      </vt:variant>
      <vt:variant>
        <vt:i4>1179699</vt:i4>
      </vt:variant>
      <vt:variant>
        <vt:i4>959</vt:i4>
      </vt:variant>
      <vt:variant>
        <vt:i4>0</vt:i4>
      </vt:variant>
      <vt:variant>
        <vt:i4>5</vt:i4>
      </vt:variant>
      <vt:variant>
        <vt:lpwstr/>
      </vt:variant>
      <vt:variant>
        <vt:lpwstr>_Toc210964791</vt:lpwstr>
      </vt:variant>
      <vt:variant>
        <vt:i4>1179699</vt:i4>
      </vt:variant>
      <vt:variant>
        <vt:i4>953</vt:i4>
      </vt:variant>
      <vt:variant>
        <vt:i4>0</vt:i4>
      </vt:variant>
      <vt:variant>
        <vt:i4>5</vt:i4>
      </vt:variant>
      <vt:variant>
        <vt:lpwstr/>
      </vt:variant>
      <vt:variant>
        <vt:lpwstr>_Toc210964790</vt:lpwstr>
      </vt:variant>
      <vt:variant>
        <vt:i4>1245235</vt:i4>
      </vt:variant>
      <vt:variant>
        <vt:i4>947</vt:i4>
      </vt:variant>
      <vt:variant>
        <vt:i4>0</vt:i4>
      </vt:variant>
      <vt:variant>
        <vt:i4>5</vt:i4>
      </vt:variant>
      <vt:variant>
        <vt:lpwstr/>
      </vt:variant>
      <vt:variant>
        <vt:lpwstr>_Toc210964789</vt:lpwstr>
      </vt:variant>
      <vt:variant>
        <vt:i4>1245235</vt:i4>
      </vt:variant>
      <vt:variant>
        <vt:i4>941</vt:i4>
      </vt:variant>
      <vt:variant>
        <vt:i4>0</vt:i4>
      </vt:variant>
      <vt:variant>
        <vt:i4>5</vt:i4>
      </vt:variant>
      <vt:variant>
        <vt:lpwstr/>
      </vt:variant>
      <vt:variant>
        <vt:lpwstr>_Toc210964788</vt:lpwstr>
      </vt:variant>
      <vt:variant>
        <vt:i4>1245235</vt:i4>
      </vt:variant>
      <vt:variant>
        <vt:i4>935</vt:i4>
      </vt:variant>
      <vt:variant>
        <vt:i4>0</vt:i4>
      </vt:variant>
      <vt:variant>
        <vt:i4>5</vt:i4>
      </vt:variant>
      <vt:variant>
        <vt:lpwstr/>
      </vt:variant>
      <vt:variant>
        <vt:lpwstr>_Toc210964787</vt:lpwstr>
      </vt:variant>
      <vt:variant>
        <vt:i4>1245235</vt:i4>
      </vt:variant>
      <vt:variant>
        <vt:i4>929</vt:i4>
      </vt:variant>
      <vt:variant>
        <vt:i4>0</vt:i4>
      </vt:variant>
      <vt:variant>
        <vt:i4>5</vt:i4>
      </vt:variant>
      <vt:variant>
        <vt:lpwstr/>
      </vt:variant>
      <vt:variant>
        <vt:lpwstr>_Toc210964786</vt:lpwstr>
      </vt:variant>
      <vt:variant>
        <vt:i4>1245235</vt:i4>
      </vt:variant>
      <vt:variant>
        <vt:i4>923</vt:i4>
      </vt:variant>
      <vt:variant>
        <vt:i4>0</vt:i4>
      </vt:variant>
      <vt:variant>
        <vt:i4>5</vt:i4>
      </vt:variant>
      <vt:variant>
        <vt:lpwstr/>
      </vt:variant>
      <vt:variant>
        <vt:lpwstr>_Toc210964785</vt:lpwstr>
      </vt:variant>
      <vt:variant>
        <vt:i4>1245235</vt:i4>
      </vt:variant>
      <vt:variant>
        <vt:i4>917</vt:i4>
      </vt:variant>
      <vt:variant>
        <vt:i4>0</vt:i4>
      </vt:variant>
      <vt:variant>
        <vt:i4>5</vt:i4>
      </vt:variant>
      <vt:variant>
        <vt:lpwstr/>
      </vt:variant>
      <vt:variant>
        <vt:lpwstr>_Toc210964784</vt:lpwstr>
      </vt:variant>
      <vt:variant>
        <vt:i4>1245235</vt:i4>
      </vt:variant>
      <vt:variant>
        <vt:i4>911</vt:i4>
      </vt:variant>
      <vt:variant>
        <vt:i4>0</vt:i4>
      </vt:variant>
      <vt:variant>
        <vt:i4>5</vt:i4>
      </vt:variant>
      <vt:variant>
        <vt:lpwstr/>
      </vt:variant>
      <vt:variant>
        <vt:lpwstr>_Toc210964783</vt:lpwstr>
      </vt:variant>
      <vt:variant>
        <vt:i4>1245235</vt:i4>
      </vt:variant>
      <vt:variant>
        <vt:i4>905</vt:i4>
      </vt:variant>
      <vt:variant>
        <vt:i4>0</vt:i4>
      </vt:variant>
      <vt:variant>
        <vt:i4>5</vt:i4>
      </vt:variant>
      <vt:variant>
        <vt:lpwstr/>
      </vt:variant>
      <vt:variant>
        <vt:lpwstr>_Toc210964782</vt:lpwstr>
      </vt:variant>
      <vt:variant>
        <vt:i4>1245235</vt:i4>
      </vt:variant>
      <vt:variant>
        <vt:i4>899</vt:i4>
      </vt:variant>
      <vt:variant>
        <vt:i4>0</vt:i4>
      </vt:variant>
      <vt:variant>
        <vt:i4>5</vt:i4>
      </vt:variant>
      <vt:variant>
        <vt:lpwstr/>
      </vt:variant>
      <vt:variant>
        <vt:lpwstr>_Toc210964781</vt:lpwstr>
      </vt:variant>
      <vt:variant>
        <vt:i4>1245235</vt:i4>
      </vt:variant>
      <vt:variant>
        <vt:i4>893</vt:i4>
      </vt:variant>
      <vt:variant>
        <vt:i4>0</vt:i4>
      </vt:variant>
      <vt:variant>
        <vt:i4>5</vt:i4>
      </vt:variant>
      <vt:variant>
        <vt:lpwstr/>
      </vt:variant>
      <vt:variant>
        <vt:lpwstr>_Toc210964780</vt:lpwstr>
      </vt:variant>
      <vt:variant>
        <vt:i4>1835059</vt:i4>
      </vt:variant>
      <vt:variant>
        <vt:i4>887</vt:i4>
      </vt:variant>
      <vt:variant>
        <vt:i4>0</vt:i4>
      </vt:variant>
      <vt:variant>
        <vt:i4>5</vt:i4>
      </vt:variant>
      <vt:variant>
        <vt:lpwstr/>
      </vt:variant>
      <vt:variant>
        <vt:lpwstr>_Toc210964779</vt:lpwstr>
      </vt:variant>
      <vt:variant>
        <vt:i4>1835059</vt:i4>
      </vt:variant>
      <vt:variant>
        <vt:i4>881</vt:i4>
      </vt:variant>
      <vt:variant>
        <vt:i4>0</vt:i4>
      </vt:variant>
      <vt:variant>
        <vt:i4>5</vt:i4>
      </vt:variant>
      <vt:variant>
        <vt:lpwstr/>
      </vt:variant>
      <vt:variant>
        <vt:lpwstr>_Toc210964778</vt:lpwstr>
      </vt:variant>
      <vt:variant>
        <vt:i4>1835059</vt:i4>
      </vt:variant>
      <vt:variant>
        <vt:i4>875</vt:i4>
      </vt:variant>
      <vt:variant>
        <vt:i4>0</vt:i4>
      </vt:variant>
      <vt:variant>
        <vt:i4>5</vt:i4>
      </vt:variant>
      <vt:variant>
        <vt:lpwstr/>
      </vt:variant>
      <vt:variant>
        <vt:lpwstr>_Toc210964777</vt:lpwstr>
      </vt:variant>
      <vt:variant>
        <vt:i4>1835059</vt:i4>
      </vt:variant>
      <vt:variant>
        <vt:i4>869</vt:i4>
      </vt:variant>
      <vt:variant>
        <vt:i4>0</vt:i4>
      </vt:variant>
      <vt:variant>
        <vt:i4>5</vt:i4>
      </vt:variant>
      <vt:variant>
        <vt:lpwstr/>
      </vt:variant>
      <vt:variant>
        <vt:lpwstr>_Toc210964776</vt:lpwstr>
      </vt:variant>
      <vt:variant>
        <vt:i4>1835059</vt:i4>
      </vt:variant>
      <vt:variant>
        <vt:i4>863</vt:i4>
      </vt:variant>
      <vt:variant>
        <vt:i4>0</vt:i4>
      </vt:variant>
      <vt:variant>
        <vt:i4>5</vt:i4>
      </vt:variant>
      <vt:variant>
        <vt:lpwstr/>
      </vt:variant>
      <vt:variant>
        <vt:lpwstr>_Toc210964775</vt:lpwstr>
      </vt:variant>
      <vt:variant>
        <vt:i4>1835059</vt:i4>
      </vt:variant>
      <vt:variant>
        <vt:i4>857</vt:i4>
      </vt:variant>
      <vt:variant>
        <vt:i4>0</vt:i4>
      </vt:variant>
      <vt:variant>
        <vt:i4>5</vt:i4>
      </vt:variant>
      <vt:variant>
        <vt:lpwstr/>
      </vt:variant>
      <vt:variant>
        <vt:lpwstr>_Toc210964774</vt:lpwstr>
      </vt:variant>
      <vt:variant>
        <vt:i4>1835059</vt:i4>
      </vt:variant>
      <vt:variant>
        <vt:i4>851</vt:i4>
      </vt:variant>
      <vt:variant>
        <vt:i4>0</vt:i4>
      </vt:variant>
      <vt:variant>
        <vt:i4>5</vt:i4>
      </vt:variant>
      <vt:variant>
        <vt:lpwstr/>
      </vt:variant>
      <vt:variant>
        <vt:lpwstr>_Toc210964773</vt:lpwstr>
      </vt:variant>
      <vt:variant>
        <vt:i4>1835059</vt:i4>
      </vt:variant>
      <vt:variant>
        <vt:i4>845</vt:i4>
      </vt:variant>
      <vt:variant>
        <vt:i4>0</vt:i4>
      </vt:variant>
      <vt:variant>
        <vt:i4>5</vt:i4>
      </vt:variant>
      <vt:variant>
        <vt:lpwstr/>
      </vt:variant>
      <vt:variant>
        <vt:lpwstr>_Toc210964772</vt:lpwstr>
      </vt:variant>
      <vt:variant>
        <vt:i4>1835059</vt:i4>
      </vt:variant>
      <vt:variant>
        <vt:i4>839</vt:i4>
      </vt:variant>
      <vt:variant>
        <vt:i4>0</vt:i4>
      </vt:variant>
      <vt:variant>
        <vt:i4>5</vt:i4>
      </vt:variant>
      <vt:variant>
        <vt:lpwstr/>
      </vt:variant>
      <vt:variant>
        <vt:lpwstr>_Toc210964771</vt:lpwstr>
      </vt:variant>
      <vt:variant>
        <vt:i4>1835059</vt:i4>
      </vt:variant>
      <vt:variant>
        <vt:i4>833</vt:i4>
      </vt:variant>
      <vt:variant>
        <vt:i4>0</vt:i4>
      </vt:variant>
      <vt:variant>
        <vt:i4>5</vt:i4>
      </vt:variant>
      <vt:variant>
        <vt:lpwstr/>
      </vt:variant>
      <vt:variant>
        <vt:lpwstr>_Toc210964770</vt:lpwstr>
      </vt:variant>
      <vt:variant>
        <vt:i4>1900595</vt:i4>
      </vt:variant>
      <vt:variant>
        <vt:i4>827</vt:i4>
      </vt:variant>
      <vt:variant>
        <vt:i4>0</vt:i4>
      </vt:variant>
      <vt:variant>
        <vt:i4>5</vt:i4>
      </vt:variant>
      <vt:variant>
        <vt:lpwstr/>
      </vt:variant>
      <vt:variant>
        <vt:lpwstr>_Toc210964769</vt:lpwstr>
      </vt:variant>
      <vt:variant>
        <vt:i4>1900595</vt:i4>
      </vt:variant>
      <vt:variant>
        <vt:i4>821</vt:i4>
      </vt:variant>
      <vt:variant>
        <vt:i4>0</vt:i4>
      </vt:variant>
      <vt:variant>
        <vt:i4>5</vt:i4>
      </vt:variant>
      <vt:variant>
        <vt:lpwstr/>
      </vt:variant>
      <vt:variant>
        <vt:lpwstr>_Toc210964768</vt:lpwstr>
      </vt:variant>
      <vt:variant>
        <vt:i4>1900595</vt:i4>
      </vt:variant>
      <vt:variant>
        <vt:i4>815</vt:i4>
      </vt:variant>
      <vt:variant>
        <vt:i4>0</vt:i4>
      </vt:variant>
      <vt:variant>
        <vt:i4>5</vt:i4>
      </vt:variant>
      <vt:variant>
        <vt:lpwstr/>
      </vt:variant>
      <vt:variant>
        <vt:lpwstr>_Toc210964767</vt:lpwstr>
      </vt:variant>
      <vt:variant>
        <vt:i4>1900595</vt:i4>
      </vt:variant>
      <vt:variant>
        <vt:i4>809</vt:i4>
      </vt:variant>
      <vt:variant>
        <vt:i4>0</vt:i4>
      </vt:variant>
      <vt:variant>
        <vt:i4>5</vt:i4>
      </vt:variant>
      <vt:variant>
        <vt:lpwstr/>
      </vt:variant>
      <vt:variant>
        <vt:lpwstr>_Toc210964766</vt:lpwstr>
      </vt:variant>
      <vt:variant>
        <vt:i4>1900595</vt:i4>
      </vt:variant>
      <vt:variant>
        <vt:i4>803</vt:i4>
      </vt:variant>
      <vt:variant>
        <vt:i4>0</vt:i4>
      </vt:variant>
      <vt:variant>
        <vt:i4>5</vt:i4>
      </vt:variant>
      <vt:variant>
        <vt:lpwstr/>
      </vt:variant>
      <vt:variant>
        <vt:lpwstr>_Toc210964765</vt:lpwstr>
      </vt:variant>
      <vt:variant>
        <vt:i4>1900595</vt:i4>
      </vt:variant>
      <vt:variant>
        <vt:i4>797</vt:i4>
      </vt:variant>
      <vt:variant>
        <vt:i4>0</vt:i4>
      </vt:variant>
      <vt:variant>
        <vt:i4>5</vt:i4>
      </vt:variant>
      <vt:variant>
        <vt:lpwstr/>
      </vt:variant>
      <vt:variant>
        <vt:lpwstr>_Toc210964764</vt:lpwstr>
      </vt:variant>
      <vt:variant>
        <vt:i4>1900595</vt:i4>
      </vt:variant>
      <vt:variant>
        <vt:i4>791</vt:i4>
      </vt:variant>
      <vt:variant>
        <vt:i4>0</vt:i4>
      </vt:variant>
      <vt:variant>
        <vt:i4>5</vt:i4>
      </vt:variant>
      <vt:variant>
        <vt:lpwstr/>
      </vt:variant>
      <vt:variant>
        <vt:lpwstr>_Toc210964763</vt:lpwstr>
      </vt:variant>
      <vt:variant>
        <vt:i4>1900595</vt:i4>
      </vt:variant>
      <vt:variant>
        <vt:i4>785</vt:i4>
      </vt:variant>
      <vt:variant>
        <vt:i4>0</vt:i4>
      </vt:variant>
      <vt:variant>
        <vt:i4>5</vt:i4>
      </vt:variant>
      <vt:variant>
        <vt:lpwstr/>
      </vt:variant>
      <vt:variant>
        <vt:lpwstr>_Toc210964762</vt:lpwstr>
      </vt:variant>
      <vt:variant>
        <vt:i4>1900595</vt:i4>
      </vt:variant>
      <vt:variant>
        <vt:i4>779</vt:i4>
      </vt:variant>
      <vt:variant>
        <vt:i4>0</vt:i4>
      </vt:variant>
      <vt:variant>
        <vt:i4>5</vt:i4>
      </vt:variant>
      <vt:variant>
        <vt:lpwstr/>
      </vt:variant>
      <vt:variant>
        <vt:lpwstr>_Toc210964761</vt:lpwstr>
      </vt:variant>
      <vt:variant>
        <vt:i4>1900595</vt:i4>
      </vt:variant>
      <vt:variant>
        <vt:i4>773</vt:i4>
      </vt:variant>
      <vt:variant>
        <vt:i4>0</vt:i4>
      </vt:variant>
      <vt:variant>
        <vt:i4>5</vt:i4>
      </vt:variant>
      <vt:variant>
        <vt:lpwstr/>
      </vt:variant>
      <vt:variant>
        <vt:lpwstr>_Toc210964760</vt:lpwstr>
      </vt:variant>
      <vt:variant>
        <vt:i4>1966131</vt:i4>
      </vt:variant>
      <vt:variant>
        <vt:i4>767</vt:i4>
      </vt:variant>
      <vt:variant>
        <vt:i4>0</vt:i4>
      </vt:variant>
      <vt:variant>
        <vt:i4>5</vt:i4>
      </vt:variant>
      <vt:variant>
        <vt:lpwstr/>
      </vt:variant>
      <vt:variant>
        <vt:lpwstr>_Toc210964759</vt:lpwstr>
      </vt:variant>
      <vt:variant>
        <vt:i4>1966131</vt:i4>
      </vt:variant>
      <vt:variant>
        <vt:i4>761</vt:i4>
      </vt:variant>
      <vt:variant>
        <vt:i4>0</vt:i4>
      </vt:variant>
      <vt:variant>
        <vt:i4>5</vt:i4>
      </vt:variant>
      <vt:variant>
        <vt:lpwstr/>
      </vt:variant>
      <vt:variant>
        <vt:lpwstr>_Toc210964758</vt:lpwstr>
      </vt:variant>
      <vt:variant>
        <vt:i4>1966131</vt:i4>
      </vt:variant>
      <vt:variant>
        <vt:i4>755</vt:i4>
      </vt:variant>
      <vt:variant>
        <vt:i4>0</vt:i4>
      </vt:variant>
      <vt:variant>
        <vt:i4>5</vt:i4>
      </vt:variant>
      <vt:variant>
        <vt:lpwstr/>
      </vt:variant>
      <vt:variant>
        <vt:lpwstr>_Toc210964757</vt:lpwstr>
      </vt:variant>
      <vt:variant>
        <vt:i4>1966131</vt:i4>
      </vt:variant>
      <vt:variant>
        <vt:i4>749</vt:i4>
      </vt:variant>
      <vt:variant>
        <vt:i4>0</vt:i4>
      </vt:variant>
      <vt:variant>
        <vt:i4>5</vt:i4>
      </vt:variant>
      <vt:variant>
        <vt:lpwstr/>
      </vt:variant>
      <vt:variant>
        <vt:lpwstr>_Toc210964756</vt:lpwstr>
      </vt:variant>
      <vt:variant>
        <vt:i4>1966131</vt:i4>
      </vt:variant>
      <vt:variant>
        <vt:i4>743</vt:i4>
      </vt:variant>
      <vt:variant>
        <vt:i4>0</vt:i4>
      </vt:variant>
      <vt:variant>
        <vt:i4>5</vt:i4>
      </vt:variant>
      <vt:variant>
        <vt:lpwstr/>
      </vt:variant>
      <vt:variant>
        <vt:lpwstr>_Toc210964755</vt:lpwstr>
      </vt:variant>
      <vt:variant>
        <vt:i4>1966131</vt:i4>
      </vt:variant>
      <vt:variant>
        <vt:i4>737</vt:i4>
      </vt:variant>
      <vt:variant>
        <vt:i4>0</vt:i4>
      </vt:variant>
      <vt:variant>
        <vt:i4>5</vt:i4>
      </vt:variant>
      <vt:variant>
        <vt:lpwstr/>
      </vt:variant>
      <vt:variant>
        <vt:lpwstr>_Toc210964754</vt:lpwstr>
      </vt:variant>
      <vt:variant>
        <vt:i4>1966131</vt:i4>
      </vt:variant>
      <vt:variant>
        <vt:i4>731</vt:i4>
      </vt:variant>
      <vt:variant>
        <vt:i4>0</vt:i4>
      </vt:variant>
      <vt:variant>
        <vt:i4>5</vt:i4>
      </vt:variant>
      <vt:variant>
        <vt:lpwstr/>
      </vt:variant>
      <vt:variant>
        <vt:lpwstr>_Toc210964753</vt:lpwstr>
      </vt:variant>
      <vt:variant>
        <vt:i4>1966131</vt:i4>
      </vt:variant>
      <vt:variant>
        <vt:i4>725</vt:i4>
      </vt:variant>
      <vt:variant>
        <vt:i4>0</vt:i4>
      </vt:variant>
      <vt:variant>
        <vt:i4>5</vt:i4>
      </vt:variant>
      <vt:variant>
        <vt:lpwstr/>
      </vt:variant>
      <vt:variant>
        <vt:lpwstr>_Toc210964752</vt:lpwstr>
      </vt:variant>
      <vt:variant>
        <vt:i4>1966131</vt:i4>
      </vt:variant>
      <vt:variant>
        <vt:i4>719</vt:i4>
      </vt:variant>
      <vt:variant>
        <vt:i4>0</vt:i4>
      </vt:variant>
      <vt:variant>
        <vt:i4>5</vt:i4>
      </vt:variant>
      <vt:variant>
        <vt:lpwstr/>
      </vt:variant>
      <vt:variant>
        <vt:lpwstr>_Toc210964751</vt:lpwstr>
      </vt:variant>
      <vt:variant>
        <vt:i4>1966131</vt:i4>
      </vt:variant>
      <vt:variant>
        <vt:i4>713</vt:i4>
      </vt:variant>
      <vt:variant>
        <vt:i4>0</vt:i4>
      </vt:variant>
      <vt:variant>
        <vt:i4>5</vt:i4>
      </vt:variant>
      <vt:variant>
        <vt:lpwstr/>
      </vt:variant>
      <vt:variant>
        <vt:lpwstr>_Toc210964750</vt:lpwstr>
      </vt:variant>
      <vt:variant>
        <vt:i4>2031667</vt:i4>
      </vt:variant>
      <vt:variant>
        <vt:i4>707</vt:i4>
      </vt:variant>
      <vt:variant>
        <vt:i4>0</vt:i4>
      </vt:variant>
      <vt:variant>
        <vt:i4>5</vt:i4>
      </vt:variant>
      <vt:variant>
        <vt:lpwstr/>
      </vt:variant>
      <vt:variant>
        <vt:lpwstr>_Toc210964749</vt:lpwstr>
      </vt:variant>
      <vt:variant>
        <vt:i4>2031667</vt:i4>
      </vt:variant>
      <vt:variant>
        <vt:i4>701</vt:i4>
      </vt:variant>
      <vt:variant>
        <vt:i4>0</vt:i4>
      </vt:variant>
      <vt:variant>
        <vt:i4>5</vt:i4>
      </vt:variant>
      <vt:variant>
        <vt:lpwstr/>
      </vt:variant>
      <vt:variant>
        <vt:lpwstr>_Toc210964748</vt:lpwstr>
      </vt:variant>
      <vt:variant>
        <vt:i4>2031667</vt:i4>
      </vt:variant>
      <vt:variant>
        <vt:i4>695</vt:i4>
      </vt:variant>
      <vt:variant>
        <vt:i4>0</vt:i4>
      </vt:variant>
      <vt:variant>
        <vt:i4>5</vt:i4>
      </vt:variant>
      <vt:variant>
        <vt:lpwstr/>
      </vt:variant>
      <vt:variant>
        <vt:lpwstr>_Toc210964747</vt:lpwstr>
      </vt:variant>
      <vt:variant>
        <vt:i4>2031667</vt:i4>
      </vt:variant>
      <vt:variant>
        <vt:i4>689</vt:i4>
      </vt:variant>
      <vt:variant>
        <vt:i4>0</vt:i4>
      </vt:variant>
      <vt:variant>
        <vt:i4>5</vt:i4>
      </vt:variant>
      <vt:variant>
        <vt:lpwstr/>
      </vt:variant>
      <vt:variant>
        <vt:lpwstr>_Toc210964746</vt:lpwstr>
      </vt:variant>
      <vt:variant>
        <vt:i4>2031667</vt:i4>
      </vt:variant>
      <vt:variant>
        <vt:i4>683</vt:i4>
      </vt:variant>
      <vt:variant>
        <vt:i4>0</vt:i4>
      </vt:variant>
      <vt:variant>
        <vt:i4>5</vt:i4>
      </vt:variant>
      <vt:variant>
        <vt:lpwstr/>
      </vt:variant>
      <vt:variant>
        <vt:lpwstr>_Toc210964745</vt:lpwstr>
      </vt:variant>
      <vt:variant>
        <vt:i4>2031667</vt:i4>
      </vt:variant>
      <vt:variant>
        <vt:i4>677</vt:i4>
      </vt:variant>
      <vt:variant>
        <vt:i4>0</vt:i4>
      </vt:variant>
      <vt:variant>
        <vt:i4>5</vt:i4>
      </vt:variant>
      <vt:variant>
        <vt:lpwstr/>
      </vt:variant>
      <vt:variant>
        <vt:lpwstr>_Toc210964744</vt:lpwstr>
      </vt:variant>
      <vt:variant>
        <vt:i4>2031667</vt:i4>
      </vt:variant>
      <vt:variant>
        <vt:i4>671</vt:i4>
      </vt:variant>
      <vt:variant>
        <vt:i4>0</vt:i4>
      </vt:variant>
      <vt:variant>
        <vt:i4>5</vt:i4>
      </vt:variant>
      <vt:variant>
        <vt:lpwstr/>
      </vt:variant>
      <vt:variant>
        <vt:lpwstr>_Toc210964743</vt:lpwstr>
      </vt:variant>
      <vt:variant>
        <vt:i4>2031667</vt:i4>
      </vt:variant>
      <vt:variant>
        <vt:i4>665</vt:i4>
      </vt:variant>
      <vt:variant>
        <vt:i4>0</vt:i4>
      </vt:variant>
      <vt:variant>
        <vt:i4>5</vt:i4>
      </vt:variant>
      <vt:variant>
        <vt:lpwstr/>
      </vt:variant>
      <vt:variant>
        <vt:lpwstr>_Toc210964742</vt:lpwstr>
      </vt:variant>
      <vt:variant>
        <vt:i4>2031667</vt:i4>
      </vt:variant>
      <vt:variant>
        <vt:i4>659</vt:i4>
      </vt:variant>
      <vt:variant>
        <vt:i4>0</vt:i4>
      </vt:variant>
      <vt:variant>
        <vt:i4>5</vt:i4>
      </vt:variant>
      <vt:variant>
        <vt:lpwstr/>
      </vt:variant>
      <vt:variant>
        <vt:lpwstr>_Toc210964741</vt:lpwstr>
      </vt:variant>
      <vt:variant>
        <vt:i4>2031667</vt:i4>
      </vt:variant>
      <vt:variant>
        <vt:i4>653</vt:i4>
      </vt:variant>
      <vt:variant>
        <vt:i4>0</vt:i4>
      </vt:variant>
      <vt:variant>
        <vt:i4>5</vt:i4>
      </vt:variant>
      <vt:variant>
        <vt:lpwstr/>
      </vt:variant>
      <vt:variant>
        <vt:lpwstr>_Toc210964740</vt:lpwstr>
      </vt:variant>
      <vt:variant>
        <vt:i4>1572915</vt:i4>
      </vt:variant>
      <vt:variant>
        <vt:i4>647</vt:i4>
      </vt:variant>
      <vt:variant>
        <vt:i4>0</vt:i4>
      </vt:variant>
      <vt:variant>
        <vt:i4>5</vt:i4>
      </vt:variant>
      <vt:variant>
        <vt:lpwstr/>
      </vt:variant>
      <vt:variant>
        <vt:lpwstr>_Toc210964739</vt:lpwstr>
      </vt:variant>
      <vt:variant>
        <vt:i4>1572915</vt:i4>
      </vt:variant>
      <vt:variant>
        <vt:i4>641</vt:i4>
      </vt:variant>
      <vt:variant>
        <vt:i4>0</vt:i4>
      </vt:variant>
      <vt:variant>
        <vt:i4>5</vt:i4>
      </vt:variant>
      <vt:variant>
        <vt:lpwstr/>
      </vt:variant>
      <vt:variant>
        <vt:lpwstr>_Toc210964738</vt:lpwstr>
      </vt:variant>
      <vt:variant>
        <vt:i4>1572915</vt:i4>
      </vt:variant>
      <vt:variant>
        <vt:i4>635</vt:i4>
      </vt:variant>
      <vt:variant>
        <vt:i4>0</vt:i4>
      </vt:variant>
      <vt:variant>
        <vt:i4>5</vt:i4>
      </vt:variant>
      <vt:variant>
        <vt:lpwstr/>
      </vt:variant>
      <vt:variant>
        <vt:lpwstr>_Toc210964737</vt:lpwstr>
      </vt:variant>
      <vt:variant>
        <vt:i4>1572915</vt:i4>
      </vt:variant>
      <vt:variant>
        <vt:i4>629</vt:i4>
      </vt:variant>
      <vt:variant>
        <vt:i4>0</vt:i4>
      </vt:variant>
      <vt:variant>
        <vt:i4>5</vt:i4>
      </vt:variant>
      <vt:variant>
        <vt:lpwstr/>
      </vt:variant>
      <vt:variant>
        <vt:lpwstr>_Toc210964736</vt:lpwstr>
      </vt:variant>
      <vt:variant>
        <vt:i4>1572915</vt:i4>
      </vt:variant>
      <vt:variant>
        <vt:i4>623</vt:i4>
      </vt:variant>
      <vt:variant>
        <vt:i4>0</vt:i4>
      </vt:variant>
      <vt:variant>
        <vt:i4>5</vt:i4>
      </vt:variant>
      <vt:variant>
        <vt:lpwstr/>
      </vt:variant>
      <vt:variant>
        <vt:lpwstr>_Toc210964735</vt:lpwstr>
      </vt:variant>
      <vt:variant>
        <vt:i4>1572915</vt:i4>
      </vt:variant>
      <vt:variant>
        <vt:i4>617</vt:i4>
      </vt:variant>
      <vt:variant>
        <vt:i4>0</vt:i4>
      </vt:variant>
      <vt:variant>
        <vt:i4>5</vt:i4>
      </vt:variant>
      <vt:variant>
        <vt:lpwstr/>
      </vt:variant>
      <vt:variant>
        <vt:lpwstr>_Toc210964734</vt:lpwstr>
      </vt:variant>
      <vt:variant>
        <vt:i4>1572915</vt:i4>
      </vt:variant>
      <vt:variant>
        <vt:i4>611</vt:i4>
      </vt:variant>
      <vt:variant>
        <vt:i4>0</vt:i4>
      </vt:variant>
      <vt:variant>
        <vt:i4>5</vt:i4>
      </vt:variant>
      <vt:variant>
        <vt:lpwstr/>
      </vt:variant>
      <vt:variant>
        <vt:lpwstr>_Toc210964733</vt:lpwstr>
      </vt:variant>
      <vt:variant>
        <vt:i4>1572915</vt:i4>
      </vt:variant>
      <vt:variant>
        <vt:i4>605</vt:i4>
      </vt:variant>
      <vt:variant>
        <vt:i4>0</vt:i4>
      </vt:variant>
      <vt:variant>
        <vt:i4>5</vt:i4>
      </vt:variant>
      <vt:variant>
        <vt:lpwstr/>
      </vt:variant>
      <vt:variant>
        <vt:lpwstr>_Toc210964732</vt:lpwstr>
      </vt:variant>
      <vt:variant>
        <vt:i4>1572915</vt:i4>
      </vt:variant>
      <vt:variant>
        <vt:i4>599</vt:i4>
      </vt:variant>
      <vt:variant>
        <vt:i4>0</vt:i4>
      </vt:variant>
      <vt:variant>
        <vt:i4>5</vt:i4>
      </vt:variant>
      <vt:variant>
        <vt:lpwstr/>
      </vt:variant>
      <vt:variant>
        <vt:lpwstr>_Toc210964731</vt:lpwstr>
      </vt:variant>
      <vt:variant>
        <vt:i4>1572915</vt:i4>
      </vt:variant>
      <vt:variant>
        <vt:i4>593</vt:i4>
      </vt:variant>
      <vt:variant>
        <vt:i4>0</vt:i4>
      </vt:variant>
      <vt:variant>
        <vt:i4>5</vt:i4>
      </vt:variant>
      <vt:variant>
        <vt:lpwstr/>
      </vt:variant>
      <vt:variant>
        <vt:lpwstr>_Toc210964730</vt:lpwstr>
      </vt:variant>
      <vt:variant>
        <vt:i4>1638451</vt:i4>
      </vt:variant>
      <vt:variant>
        <vt:i4>587</vt:i4>
      </vt:variant>
      <vt:variant>
        <vt:i4>0</vt:i4>
      </vt:variant>
      <vt:variant>
        <vt:i4>5</vt:i4>
      </vt:variant>
      <vt:variant>
        <vt:lpwstr/>
      </vt:variant>
      <vt:variant>
        <vt:lpwstr>_Toc210964729</vt:lpwstr>
      </vt:variant>
      <vt:variant>
        <vt:i4>1638451</vt:i4>
      </vt:variant>
      <vt:variant>
        <vt:i4>581</vt:i4>
      </vt:variant>
      <vt:variant>
        <vt:i4>0</vt:i4>
      </vt:variant>
      <vt:variant>
        <vt:i4>5</vt:i4>
      </vt:variant>
      <vt:variant>
        <vt:lpwstr/>
      </vt:variant>
      <vt:variant>
        <vt:lpwstr>_Toc210964728</vt:lpwstr>
      </vt:variant>
      <vt:variant>
        <vt:i4>1638451</vt:i4>
      </vt:variant>
      <vt:variant>
        <vt:i4>575</vt:i4>
      </vt:variant>
      <vt:variant>
        <vt:i4>0</vt:i4>
      </vt:variant>
      <vt:variant>
        <vt:i4>5</vt:i4>
      </vt:variant>
      <vt:variant>
        <vt:lpwstr/>
      </vt:variant>
      <vt:variant>
        <vt:lpwstr>_Toc210964727</vt:lpwstr>
      </vt:variant>
      <vt:variant>
        <vt:i4>1638451</vt:i4>
      </vt:variant>
      <vt:variant>
        <vt:i4>569</vt:i4>
      </vt:variant>
      <vt:variant>
        <vt:i4>0</vt:i4>
      </vt:variant>
      <vt:variant>
        <vt:i4>5</vt:i4>
      </vt:variant>
      <vt:variant>
        <vt:lpwstr/>
      </vt:variant>
      <vt:variant>
        <vt:lpwstr>_Toc210964726</vt:lpwstr>
      </vt:variant>
      <vt:variant>
        <vt:i4>1638451</vt:i4>
      </vt:variant>
      <vt:variant>
        <vt:i4>563</vt:i4>
      </vt:variant>
      <vt:variant>
        <vt:i4>0</vt:i4>
      </vt:variant>
      <vt:variant>
        <vt:i4>5</vt:i4>
      </vt:variant>
      <vt:variant>
        <vt:lpwstr/>
      </vt:variant>
      <vt:variant>
        <vt:lpwstr>_Toc210964725</vt:lpwstr>
      </vt:variant>
      <vt:variant>
        <vt:i4>1638451</vt:i4>
      </vt:variant>
      <vt:variant>
        <vt:i4>557</vt:i4>
      </vt:variant>
      <vt:variant>
        <vt:i4>0</vt:i4>
      </vt:variant>
      <vt:variant>
        <vt:i4>5</vt:i4>
      </vt:variant>
      <vt:variant>
        <vt:lpwstr/>
      </vt:variant>
      <vt:variant>
        <vt:lpwstr>_Toc210964724</vt:lpwstr>
      </vt:variant>
      <vt:variant>
        <vt:i4>1572925</vt:i4>
      </vt:variant>
      <vt:variant>
        <vt:i4>548</vt:i4>
      </vt:variant>
      <vt:variant>
        <vt:i4>0</vt:i4>
      </vt:variant>
      <vt:variant>
        <vt:i4>5</vt:i4>
      </vt:variant>
      <vt:variant>
        <vt:lpwstr/>
      </vt:variant>
      <vt:variant>
        <vt:lpwstr>_Toc210964939</vt:lpwstr>
      </vt:variant>
      <vt:variant>
        <vt:i4>1572925</vt:i4>
      </vt:variant>
      <vt:variant>
        <vt:i4>542</vt:i4>
      </vt:variant>
      <vt:variant>
        <vt:i4>0</vt:i4>
      </vt:variant>
      <vt:variant>
        <vt:i4>5</vt:i4>
      </vt:variant>
      <vt:variant>
        <vt:lpwstr/>
      </vt:variant>
      <vt:variant>
        <vt:lpwstr>_Toc210964938</vt:lpwstr>
      </vt:variant>
      <vt:variant>
        <vt:i4>1572925</vt:i4>
      </vt:variant>
      <vt:variant>
        <vt:i4>536</vt:i4>
      </vt:variant>
      <vt:variant>
        <vt:i4>0</vt:i4>
      </vt:variant>
      <vt:variant>
        <vt:i4>5</vt:i4>
      </vt:variant>
      <vt:variant>
        <vt:lpwstr/>
      </vt:variant>
      <vt:variant>
        <vt:lpwstr>_Toc210964937</vt:lpwstr>
      </vt:variant>
      <vt:variant>
        <vt:i4>1572925</vt:i4>
      </vt:variant>
      <vt:variant>
        <vt:i4>530</vt:i4>
      </vt:variant>
      <vt:variant>
        <vt:i4>0</vt:i4>
      </vt:variant>
      <vt:variant>
        <vt:i4>5</vt:i4>
      </vt:variant>
      <vt:variant>
        <vt:lpwstr/>
      </vt:variant>
      <vt:variant>
        <vt:lpwstr>_Toc210964936</vt:lpwstr>
      </vt:variant>
      <vt:variant>
        <vt:i4>1572925</vt:i4>
      </vt:variant>
      <vt:variant>
        <vt:i4>524</vt:i4>
      </vt:variant>
      <vt:variant>
        <vt:i4>0</vt:i4>
      </vt:variant>
      <vt:variant>
        <vt:i4>5</vt:i4>
      </vt:variant>
      <vt:variant>
        <vt:lpwstr/>
      </vt:variant>
      <vt:variant>
        <vt:lpwstr>_Toc210964935</vt:lpwstr>
      </vt:variant>
      <vt:variant>
        <vt:i4>1572925</vt:i4>
      </vt:variant>
      <vt:variant>
        <vt:i4>518</vt:i4>
      </vt:variant>
      <vt:variant>
        <vt:i4>0</vt:i4>
      </vt:variant>
      <vt:variant>
        <vt:i4>5</vt:i4>
      </vt:variant>
      <vt:variant>
        <vt:lpwstr/>
      </vt:variant>
      <vt:variant>
        <vt:lpwstr>_Toc210964934</vt:lpwstr>
      </vt:variant>
      <vt:variant>
        <vt:i4>1572925</vt:i4>
      </vt:variant>
      <vt:variant>
        <vt:i4>512</vt:i4>
      </vt:variant>
      <vt:variant>
        <vt:i4>0</vt:i4>
      </vt:variant>
      <vt:variant>
        <vt:i4>5</vt:i4>
      </vt:variant>
      <vt:variant>
        <vt:lpwstr/>
      </vt:variant>
      <vt:variant>
        <vt:lpwstr>_Toc210964933</vt:lpwstr>
      </vt:variant>
      <vt:variant>
        <vt:i4>1572925</vt:i4>
      </vt:variant>
      <vt:variant>
        <vt:i4>506</vt:i4>
      </vt:variant>
      <vt:variant>
        <vt:i4>0</vt:i4>
      </vt:variant>
      <vt:variant>
        <vt:i4>5</vt:i4>
      </vt:variant>
      <vt:variant>
        <vt:lpwstr/>
      </vt:variant>
      <vt:variant>
        <vt:lpwstr>_Toc210964932</vt:lpwstr>
      </vt:variant>
      <vt:variant>
        <vt:i4>1572925</vt:i4>
      </vt:variant>
      <vt:variant>
        <vt:i4>500</vt:i4>
      </vt:variant>
      <vt:variant>
        <vt:i4>0</vt:i4>
      </vt:variant>
      <vt:variant>
        <vt:i4>5</vt:i4>
      </vt:variant>
      <vt:variant>
        <vt:lpwstr/>
      </vt:variant>
      <vt:variant>
        <vt:lpwstr>_Toc210964931</vt:lpwstr>
      </vt:variant>
      <vt:variant>
        <vt:i4>1572925</vt:i4>
      </vt:variant>
      <vt:variant>
        <vt:i4>494</vt:i4>
      </vt:variant>
      <vt:variant>
        <vt:i4>0</vt:i4>
      </vt:variant>
      <vt:variant>
        <vt:i4>5</vt:i4>
      </vt:variant>
      <vt:variant>
        <vt:lpwstr/>
      </vt:variant>
      <vt:variant>
        <vt:lpwstr>_Toc210964930</vt:lpwstr>
      </vt:variant>
      <vt:variant>
        <vt:i4>1638461</vt:i4>
      </vt:variant>
      <vt:variant>
        <vt:i4>488</vt:i4>
      </vt:variant>
      <vt:variant>
        <vt:i4>0</vt:i4>
      </vt:variant>
      <vt:variant>
        <vt:i4>5</vt:i4>
      </vt:variant>
      <vt:variant>
        <vt:lpwstr/>
      </vt:variant>
      <vt:variant>
        <vt:lpwstr>_Toc210964929</vt:lpwstr>
      </vt:variant>
      <vt:variant>
        <vt:i4>1638461</vt:i4>
      </vt:variant>
      <vt:variant>
        <vt:i4>482</vt:i4>
      </vt:variant>
      <vt:variant>
        <vt:i4>0</vt:i4>
      </vt:variant>
      <vt:variant>
        <vt:i4>5</vt:i4>
      </vt:variant>
      <vt:variant>
        <vt:lpwstr/>
      </vt:variant>
      <vt:variant>
        <vt:lpwstr>_Toc210964928</vt:lpwstr>
      </vt:variant>
      <vt:variant>
        <vt:i4>1638461</vt:i4>
      </vt:variant>
      <vt:variant>
        <vt:i4>476</vt:i4>
      </vt:variant>
      <vt:variant>
        <vt:i4>0</vt:i4>
      </vt:variant>
      <vt:variant>
        <vt:i4>5</vt:i4>
      </vt:variant>
      <vt:variant>
        <vt:lpwstr/>
      </vt:variant>
      <vt:variant>
        <vt:lpwstr>_Toc210964927</vt:lpwstr>
      </vt:variant>
      <vt:variant>
        <vt:i4>1638461</vt:i4>
      </vt:variant>
      <vt:variant>
        <vt:i4>470</vt:i4>
      </vt:variant>
      <vt:variant>
        <vt:i4>0</vt:i4>
      </vt:variant>
      <vt:variant>
        <vt:i4>5</vt:i4>
      </vt:variant>
      <vt:variant>
        <vt:lpwstr/>
      </vt:variant>
      <vt:variant>
        <vt:lpwstr>_Toc210964926</vt:lpwstr>
      </vt:variant>
      <vt:variant>
        <vt:i4>1638461</vt:i4>
      </vt:variant>
      <vt:variant>
        <vt:i4>464</vt:i4>
      </vt:variant>
      <vt:variant>
        <vt:i4>0</vt:i4>
      </vt:variant>
      <vt:variant>
        <vt:i4>5</vt:i4>
      </vt:variant>
      <vt:variant>
        <vt:lpwstr/>
      </vt:variant>
      <vt:variant>
        <vt:lpwstr>_Toc210964925</vt:lpwstr>
      </vt:variant>
      <vt:variant>
        <vt:i4>1638461</vt:i4>
      </vt:variant>
      <vt:variant>
        <vt:i4>458</vt:i4>
      </vt:variant>
      <vt:variant>
        <vt:i4>0</vt:i4>
      </vt:variant>
      <vt:variant>
        <vt:i4>5</vt:i4>
      </vt:variant>
      <vt:variant>
        <vt:lpwstr/>
      </vt:variant>
      <vt:variant>
        <vt:lpwstr>_Toc210964924</vt:lpwstr>
      </vt:variant>
      <vt:variant>
        <vt:i4>1638461</vt:i4>
      </vt:variant>
      <vt:variant>
        <vt:i4>452</vt:i4>
      </vt:variant>
      <vt:variant>
        <vt:i4>0</vt:i4>
      </vt:variant>
      <vt:variant>
        <vt:i4>5</vt:i4>
      </vt:variant>
      <vt:variant>
        <vt:lpwstr/>
      </vt:variant>
      <vt:variant>
        <vt:lpwstr>_Toc210964923</vt:lpwstr>
      </vt:variant>
      <vt:variant>
        <vt:i4>1638461</vt:i4>
      </vt:variant>
      <vt:variant>
        <vt:i4>446</vt:i4>
      </vt:variant>
      <vt:variant>
        <vt:i4>0</vt:i4>
      </vt:variant>
      <vt:variant>
        <vt:i4>5</vt:i4>
      </vt:variant>
      <vt:variant>
        <vt:lpwstr/>
      </vt:variant>
      <vt:variant>
        <vt:lpwstr>_Toc210964922</vt:lpwstr>
      </vt:variant>
      <vt:variant>
        <vt:i4>1638461</vt:i4>
      </vt:variant>
      <vt:variant>
        <vt:i4>440</vt:i4>
      </vt:variant>
      <vt:variant>
        <vt:i4>0</vt:i4>
      </vt:variant>
      <vt:variant>
        <vt:i4>5</vt:i4>
      </vt:variant>
      <vt:variant>
        <vt:lpwstr/>
      </vt:variant>
      <vt:variant>
        <vt:lpwstr>_Toc210964921</vt:lpwstr>
      </vt:variant>
      <vt:variant>
        <vt:i4>1638461</vt:i4>
      </vt:variant>
      <vt:variant>
        <vt:i4>434</vt:i4>
      </vt:variant>
      <vt:variant>
        <vt:i4>0</vt:i4>
      </vt:variant>
      <vt:variant>
        <vt:i4>5</vt:i4>
      </vt:variant>
      <vt:variant>
        <vt:lpwstr/>
      </vt:variant>
      <vt:variant>
        <vt:lpwstr>_Toc210964920</vt:lpwstr>
      </vt:variant>
      <vt:variant>
        <vt:i4>1703997</vt:i4>
      </vt:variant>
      <vt:variant>
        <vt:i4>428</vt:i4>
      </vt:variant>
      <vt:variant>
        <vt:i4>0</vt:i4>
      </vt:variant>
      <vt:variant>
        <vt:i4>5</vt:i4>
      </vt:variant>
      <vt:variant>
        <vt:lpwstr/>
      </vt:variant>
      <vt:variant>
        <vt:lpwstr>_Toc210964919</vt:lpwstr>
      </vt:variant>
      <vt:variant>
        <vt:i4>1703997</vt:i4>
      </vt:variant>
      <vt:variant>
        <vt:i4>422</vt:i4>
      </vt:variant>
      <vt:variant>
        <vt:i4>0</vt:i4>
      </vt:variant>
      <vt:variant>
        <vt:i4>5</vt:i4>
      </vt:variant>
      <vt:variant>
        <vt:lpwstr/>
      </vt:variant>
      <vt:variant>
        <vt:lpwstr>_Toc210964918</vt:lpwstr>
      </vt:variant>
      <vt:variant>
        <vt:i4>1703997</vt:i4>
      </vt:variant>
      <vt:variant>
        <vt:i4>416</vt:i4>
      </vt:variant>
      <vt:variant>
        <vt:i4>0</vt:i4>
      </vt:variant>
      <vt:variant>
        <vt:i4>5</vt:i4>
      </vt:variant>
      <vt:variant>
        <vt:lpwstr/>
      </vt:variant>
      <vt:variant>
        <vt:lpwstr>_Toc210964917</vt:lpwstr>
      </vt:variant>
      <vt:variant>
        <vt:i4>1703997</vt:i4>
      </vt:variant>
      <vt:variant>
        <vt:i4>410</vt:i4>
      </vt:variant>
      <vt:variant>
        <vt:i4>0</vt:i4>
      </vt:variant>
      <vt:variant>
        <vt:i4>5</vt:i4>
      </vt:variant>
      <vt:variant>
        <vt:lpwstr/>
      </vt:variant>
      <vt:variant>
        <vt:lpwstr>_Toc210964916</vt:lpwstr>
      </vt:variant>
      <vt:variant>
        <vt:i4>1703997</vt:i4>
      </vt:variant>
      <vt:variant>
        <vt:i4>404</vt:i4>
      </vt:variant>
      <vt:variant>
        <vt:i4>0</vt:i4>
      </vt:variant>
      <vt:variant>
        <vt:i4>5</vt:i4>
      </vt:variant>
      <vt:variant>
        <vt:lpwstr/>
      </vt:variant>
      <vt:variant>
        <vt:lpwstr>_Toc210964915</vt:lpwstr>
      </vt:variant>
      <vt:variant>
        <vt:i4>1703997</vt:i4>
      </vt:variant>
      <vt:variant>
        <vt:i4>398</vt:i4>
      </vt:variant>
      <vt:variant>
        <vt:i4>0</vt:i4>
      </vt:variant>
      <vt:variant>
        <vt:i4>5</vt:i4>
      </vt:variant>
      <vt:variant>
        <vt:lpwstr/>
      </vt:variant>
      <vt:variant>
        <vt:lpwstr>_Toc210964914</vt:lpwstr>
      </vt:variant>
      <vt:variant>
        <vt:i4>1703997</vt:i4>
      </vt:variant>
      <vt:variant>
        <vt:i4>392</vt:i4>
      </vt:variant>
      <vt:variant>
        <vt:i4>0</vt:i4>
      </vt:variant>
      <vt:variant>
        <vt:i4>5</vt:i4>
      </vt:variant>
      <vt:variant>
        <vt:lpwstr/>
      </vt:variant>
      <vt:variant>
        <vt:lpwstr>_Toc210964913</vt:lpwstr>
      </vt:variant>
      <vt:variant>
        <vt:i4>1703997</vt:i4>
      </vt:variant>
      <vt:variant>
        <vt:i4>386</vt:i4>
      </vt:variant>
      <vt:variant>
        <vt:i4>0</vt:i4>
      </vt:variant>
      <vt:variant>
        <vt:i4>5</vt:i4>
      </vt:variant>
      <vt:variant>
        <vt:lpwstr/>
      </vt:variant>
      <vt:variant>
        <vt:lpwstr>_Toc210964912</vt:lpwstr>
      </vt:variant>
      <vt:variant>
        <vt:i4>1703997</vt:i4>
      </vt:variant>
      <vt:variant>
        <vt:i4>380</vt:i4>
      </vt:variant>
      <vt:variant>
        <vt:i4>0</vt:i4>
      </vt:variant>
      <vt:variant>
        <vt:i4>5</vt:i4>
      </vt:variant>
      <vt:variant>
        <vt:lpwstr/>
      </vt:variant>
      <vt:variant>
        <vt:lpwstr>_Toc210964911</vt:lpwstr>
      </vt:variant>
      <vt:variant>
        <vt:i4>1703997</vt:i4>
      </vt:variant>
      <vt:variant>
        <vt:i4>374</vt:i4>
      </vt:variant>
      <vt:variant>
        <vt:i4>0</vt:i4>
      </vt:variant>
      <vt:variant>
        <vt:i4>5</vt:i4>
      </vt:variant>
      <vt:variant>
        <vt:lpwstr/>
      </vt:variant>
      <vt:variant>
        <vt:lpwstr>_Toc210964910</vt:lpwstr>
      </vt:variant>
      <vt:variant>
        <vt:i4>1769533</vt:i4>
      </vt:variant>
      <vt:variant>
        <vt:i4>368</vt:i4>
      </vt:variant>
      <vt:variant>
        <vt:i4>0</vt:i4>
      </vt:variant>
      <vt:variant>
        <vt:i4>5</vt:i4>
      </vt:variant>
      <vt:variant>
        <vt:lpwstr/>
      </vt:variant>
      <vt:variant>
        <vt:lpwstr>_Toc210964909</vt:lpwstr>
      </vt:variant>
      <vt:variant>
        <vt:i4>1769533</vt:i4>
      </vt:variant>
      <vt:variant>
        <vt:i4>362</vt:i4>
      </vt:variant>
      <vt:variant>
        <vt:i4>0</vt:i4>
      </vt:variant>
      <vt:variant>
        <vt:i4>5</vt:i4>
      </vt:variant>
      <vt:variant>
        <vt:lpwstr/>
      </vt:variant>
      <vt:variant>
        <vt:lpwstr>_Toc210964908</vt:lpwstr>
      </vt:variant>
      <vt:variant>
        <vt:i4>1769533</vt:i4>
      </vt:variant>
      <vt:variant>
        <vt:i4>356</vt:i4>
      </vt:variant>
      <vt:variant>
        <vt:i4>0</vt:i4>
      </vt:variant>
      <vt:variant>
        <vt:i4>5</vt:i4>
      </vt:variant>
      <vt:variant>
        <vt:lpwstr/>
      </vt:variant>
      <vt:variant>
        <vt:lpwstr>_Toc210964907</vt:lpwstr>
      </vt:variant>
      <vt:variant>
        <vt:i4>1769533</vt:i4>
      </vt:variant>
      <vt:variant>
        <vt:i4>350</vt:i4>
      </vt:variant>
      <vt:variant>
        <vt:i4>0</vt:i4>
      </vt:variant>
      <vt:variant>
        <vt:i4>5</vt:i4>
      </vt:variant>
      <vt:variant>
        <vt:lpwstr/>
      </vt:variant>
      <vt:variant>
        <vt:lpwstr>_Toc210964906</vt:lpwstr>
      </vt:variant>
      <vt:variant>
        <vt:i4>1769533</vt:i4>
      </vt:variant>
      <vt:variant>
        <vt:i4>344</vt:i4>
      </vt:variant>
      <vt:variant>
        <vt:i4>0</vt:i4>
      </vt:variant>
      <vt:variant>
        <vt:i4>5</vt:i4>
      </vt:variant>
      <vt:variant>
        <vt:lpwstr/>
      </vt:variant>
      <vt:variant>
        <vt:lpwstr>_Toc210964905</vt:lpwstr>
      </vt:variant>
      <vt:variant>
        <vt:i4>1769533</vt:i4>
      </vt:variant>
      <vt:variant>
        <vt:i4>338</vt:i4>
      </vt:variant>
      <vt:variant>
        <vt:i4>0</vt:i4>
      </vt:variant>
      <vt:variant>
        <vt:i4>5</vt:i4>
      </vt:variant>
      <vt:variant>
        <vt:lpwstr/>
      </vt:variant>
      <vt:variant>
        <vt:lpwstr>_Toc210964904</vt:lpwstr>
      </vt:variant>
      <vt:variant>
        <vt:i4>1769533</vt:i4>
      </vt:variant>
      <vt:variant>
        <vt:i4>332</vt:i4>
      </vt:variant>
      <vt:variant>
        <vt:i4>0</vt:i4>
      </vt:variant>
      <vt:variant>
        <vt:i4>5</vt:i4>
      </vt:variant>
      <vt:variant>
        <vt:lpwstr/>
      </vt:variant>
      <vt:variant>
        <vt:lpwstr>_Toc210964903</vt:lpwstr>
      </vt:variant>
      <vt:variant>
        <vt:i4>1769533</vt:i4>
      </vt:variant>
      <vt:variant>
        <vt:i4>326</vt:i4>
      </vt:variant>
      <vt:variant>
        <vt:i4>0</vt:i4>
      </vt:variant>
      <vt:variant>
        <vt:i4>5</vt:i4>
      </vt:variant>
      <vt:variant>
        <vt:lpwstr/>
      </vt:variant>
      <vt:variant>
        <vt:lpwstr>_Toc210964902</vt:lpwstr>
      </vt:variant>
      <vt:variant>
        <vt:i4>1769533</vt:i4>
      </vt:variant>
      <vt:variant>
        <vt:i4>320</vt:i4>
      </vt:variant>
      <vt:variant>
        <vt:i4>0</vt:i4>
      </vt:variant>
      <vt:variant>
        <vt:i4>5</vt:i4>
      </vt:variant>
      <vt:variant>
        <vt:lpwstr/>
      </vt:variant>
      <vt:variant>
        <vt:lpwstr>_Toc210964901</vt:lpwstr>
      </vt:variant>
      <vt:variant>
        <vt:i4>1769533</vt:i4>
      </vt:variant>
      <vt:variant>
        <vt:i4>314</vt:i4>
      </vt:variant>
      <vt:variant>
        <vt:i4>0</vt:i4>
      </vt:variant>
      <vt:variant>
        <vt:i4>5</vt:i4>
      </vt:variant>
      <vt:variant>
        <vt:lpwstr/>
      </vt:variant>
      <vt:variant>
        <vt:lpwstr>_Toc210964900</vt:lpwstr>
      </vt:variant>
      <vt:variant>
        <vt:i4>1179708</vt:i4>
      </vt:variant>
      <vt:variant>
        <vt:i4>308</vt:i4>
      </vt:variant>
      <vt:variant>
        <vt:i4>0</vt:i4>
      </vt:variant>
      <vt:variant>
        <vt:i4>5</vt:i4>
      </vt:variant>
      <vt:variant>
        <vt:lpwstr/>
      </vt:variant>
      <vt:variant>
        <vt:lpwstr>_Toc210964899</vt:lpwstr>
      </vt:variant>
      <vt:variant>
        <vt:i4>1179708</vt:i4>
      </vt:variant>
      <vt:variant>
        <vt:i4>302</vt:i4>
      </vt:variant>
      <vt:variant>
        <vt:i4>0</vt:i4>
      </vt:variant>
      <vt:variant>
        <vt:i4>5</vt:i4>
      </vt:variant>
      <vt:variant>
        <vt:lpwstr/>
      </vt:variant>
      <vt:variant>
        <vt:lpwstr>_Toc210964898</vt:lpwstr>
      </vt:variant>
      <vt:variant>
        <vt:i4>1179708</vt:i4>
      </vt:variant>
      <vt:variant>
        <vt:i4>296</vt:i4>
      </vt:variant>
      <vt:variant>
        <vt:i4>0</vt:i4>
      </vt:variant>
      <vt:variant>
        <vt:i4>5</vt:i4>
      </vt:variant>
      <vt:variant>
        <vt:lpwstr/>
      </vt:variant>
      <vt:variant>
        <vt:lpwstr>_Toc210964897</vt:lpwstr>
      </vt:variant>
      <vt:variant>
        <vt:i4>1179708</vt:i4>
      </vt:variant>
      <vt:variant>
        <vt:i4>290</vt:i4>
      </vt:variant>
      <vt:variant>
        <vt:i4>0</vt:i4>
      </vt:variant>
      <vt:variant>
        <vt:i4>5</vt:i4>
      </vt:variant>
      <vt:variant>
        <vt:lpwstr/>
      </vt:variant>
      <vt:variant>
        <vt:lpwstr>_Toc210964896</vt:lpwstr>
      </vt:variant>
      <vt:variant>
        <vt:i4>1179708</vt:i4>
      </vt:variant>
      <vt:variant>
        <vt:i4>284</vt:i4>
      </vt:variant>
      <vt:variant>
        <vt:i4>0</vt:i4>
      </vt:variant>
      <vt:variant>
        <vt:i4>5</vt:i4>
      </vt:variant>
      <vt:variant>
        <vt:lpwstr/>
      </vt:variant>
      <vt:variant>
        <vt:lpwstr>_Toc210964895</vt:lpwstr>
      </vt:variant>
      <vt:variant>
        <vt:i4>1179708</vt:i4>
      </vt:variant>
      <vt:variant>
        <vt:i4>278</vt:i4>
      </vt:variant>
      <vt:variant>
        <vt:i4>0</vt:i4>
      </vt:variant>
      <vt:variant>
        <vt:i4>5</vt:i4>
      </vt:variant>
      <vt:variant>
        <vt:lpwstr/>
      </vt:variant>
      <vt:variant>
        <vt:lpwstr>_Toc210964894</vt:lpwstr>
      </vt:variant>
      <vt:variant>
        <vt:i4>1179708</vt:i4>
      </vt:variant>
      <vt:variant>
        <vt:i4>272</vt:i4>
      </vt:variant>
      <vt:variant>
        <vt:i4>0</vt:i4>
      </vt:variant>
      <vt:variant>
        <vt:i4>5</vt:i4>
      </vt:variant>
      <vt:variant>
        <vt:lpwstr/>
      </vt:variant>
      <vt:variant>
        <vt:lpwstr>_Toc210964893</vt:lpwstr>
      </vt:variant>
      <vt:variant>
        <vt:i4>1179708</vt:i4>
      </vt:variant>
      <vt:variant>
        <vt:i4>266</vt:i4>
      </vt:variant>
      <vt:variant>
        <vt:i4>0</vt:i4>
      </vt:variant>
      <vt:variant>
        <vt:i4>5</vt:i4>
      </vt:variant>
      <vt:variant>
        <vt:lpwstr/>
      </vt:variant>
      <vt:variant>
        <vt:lpwstr>_Toc210964892</vt:lpwstr>
      </vt:variant>
      <vt:variant>
        <vt:i4>1179708</vt:i4>
      </vt:variant>
      <vt:variant>
        <vt:i4>260</vt:i4>
      </vt:variant>
      <vt:variant>
        <vt:i4>0</vt:i4>
      </vt:variant>
      <vt:variant>
        <vt:i4>5</vt:i4>
      </vt:variant>
      <vt:variant>
        <vt:lpwstr/>
      </vt:variant>
      <vt:variant>
        <vt:lpwstr>_Toc210964891</vt:lpwstr>
      </vt:variant>
      <vt:variant>
        <vt:i4>1179708</vt:i4>
      </vt:variant>
      <vt:variant>
        <vt:i4>254</vt:i4>
      </vt:variant>
      <vt:variant>
        <vt:i4>0</vt:i4>
      </vt:variant>
      <vt:variant>
        <vt:i4>5</vt:i4>
      </vt:variant>
      <vt:variant>
        <vt:lpwstr/>
      </vt:variant>
      <vt:variant>
        <vt:lpwstr>_Toc210964890</vt:lpwstr>
      </vt:variant>
      <vt:variant>
        <vt:i4>1245244</vt:i4>
      </vt:variant>
      <vt:variant>
        <vt:i4>248</vt:i4>
      </vt:variant>
      <vt:variant>
        <vt:i4>0</vt:i4>
      </vt:variant>
      <vt:variant>
        <vt:i4>5</vt:i4>
      </vt:variant>
      <vt:variant>
        <vt:lpwstr/>
      </vt:variant>
      <vt:variant>
        <vt:lpwstr>_Toc210964889</vt:lpwstr>
      </vt:variant>
      <vt:variant>
        <vt:i4>1245244</vt:i4>
      </vt:variant>
      <vt:variant>
        <vt:i4>242</vt:i4>
      </vt:variant>
      <vt:variant>
        <vt:i4>0</vt:i4>
      </vt:variant>
      <vt:variant>
        <vt:i4>5</vt:i4>
      </vt:variant>
      <vt:variant>
        <vt:lpwstr/>
      </vt:variant>
      <vt:variant>
        <vt:lpwstr>_Toc210964888</vt:lpwstr>
      </vt:variant>
      <vt:variant>
        <vt:i4>1245244</vt:i4>
      </vt:variant>
      <vt:variant>
        <vt:i4>236</vt:i4>
      </vt:variant>
      <vt:variant>
        <vt:i4>0</vt:i4>
      </vt:variant>
      <vt:variant>
        <vt:i4>5</vt:i4>
      </vt:variant>
      <vt:variant>
        <vt:lpwstr/>
      </vt:variant>
      <vt:variant>
        <vt:lpwstr>_Toc210964887</vt:lpwstr>
      </vt:variant>
      <vt:variant>
        <vt:i4>1245244</vt:i4>
      </vt:variant>
      <vt:variant>
        <vt:i4>230</vt:i4>
      </vt:variant>
      <vt:variant>
        <vt:i4>0</vt:i4>
      </vt:variant>
      <vt:variant>
        <vt:i4>5</vt:i4>
      </vt:variant>
      <vt:variant>
        <vt:lpwstr/>
      </vt:variant>
      <vt:variant>
        <vt:lpwstr>_Toc210964886</vt:lpwstr>
      </vt:variant>
      <vt:variant>
        <vt:i4>1245244</vt:i4>
      </vt:variant>
      <vt:variant>
        <vt:i4>224</vt:i4>
      </vt:variant>
      <vt:variant>
        <vt:i4>0</vt:i4>
      </vt:variant>
      <vt:variant>
        <vt:i4>5</vt:i4>
      </vt:variant>
      <vt:variant>
        <vt:lpwstr/>
      </vt:variant>
      <vt:variant>
        <vt:lpwstr>_Toc210964885</vt:lpwstr>
      </vt:variant>
      <vt:variant>
        <vt:i4>1245244</vt:i4>
      </vt:variant>
      <vt:variant>
        <vt:i4>218</vt:i4>
      </vt:variant>
      <vt:variant>
        <vt:i4>0</vt:i4>
      </vt:variant>
      <vt:variant>
        <vt:i4>5</vt:i4>
      </vt:variant>
      <vt:variant>
        <vt:lpwstr/>
      </vt:variant>
      <vt:variant>
        <vt:lpwstr>_Toc210964884</vt:lpwstr>
      </vt:variant>
      <vt:variant>
        <vt:i4>1245244</vt:i4>
      </vt:variant>
      <vt:variant>
        <vt:i4>212</vt:i4>
      </vt:variant>
      <vt:variant>
        <vt:i4>0</vt:i4>
      </vt:variant>
      <vt:variant>
        <vt:i4>5</vt:i4>
      </vt:variant>
      <vt:variant>
        <vt:lpwstr/>
      </vt:variant>
      <vt:variant>
        <vt:lpwstr>_Toc210964883</vt:lpwstr>
      </vt:variant>
      <vt:variant>
        <vt:i4>1245244</vt:i4>
      </vt:variant>
      <vt:variant>
        <vt:i4>206</vt:i4>
      </vt:variant>
      <vt:variant>
        <vt:i4>0</vt:i4>
      </vt:variant>
      <vt:variant>
        <vt:i4>5</vt:i4>
      </vt:variant>
      <vt:variant>
        <vt:lpwstr/>
      </vt:variant>
      <vt:variant>
        <vt:lpwstr>_Toc210964882</vt:lpwstr>
      </vt:variant>
      <vt:variant>
        <vt:i4>1245244</vt:i4>
      </vt:variant>
      <vt:variant>
        <vt:i4>200</vt:i4>
      </vt:variant>
      <vt:variant>
        <vt:i4>0</vt:i4>
      </vt:variant>
      <vt:variant>
        <vt:i4>5</vt:i4>
      </vt:variant>
      <vt:variant>
        <vt:lpwstr/>
      </vt:variant>
      <vt:variant>
        <vt:lpwstr>_Toc210964881</vt:lpwstr>
      </vt:variant>
      <vt:variant>
        <vt:i4>1245244</vt:i4>
      </vt:variant>
      <vt:variant>
        <vt:i4>194</vt:i4>
      </vt:variant>
      <vt:variant>
        <vt:i4>0</vt:i4>
      </vt:variant>
      <vt:variant>
        <vt:i4>5</vt:i4>
      </vt:variant>
      <vt:variant>
        <vt:lpwstr/>
      </vt:variant>
      <vt:variant>
        <vt:lpwstr>_Toc210964880</vt:lpwstr>
      </vt:variant>
      <vt:variant>
        <vt:i4>1835068</vt:i4>
      </vt:variant>
      <vt:variant>
        <vt:i4>188</vt:i4>
      </vt:variant>
      <vt:variant>
        <vt:i4>0</vt:i4>
      </vt:variant>
      <vt:variant>
        <vt:i4>5</vt:i4>
      </vt:variant>
      <vt:variant>
        <vt:lpwstr/>
      </vt:variant>
      <vt:variant>
        <vt:lpwstr>_Toc210964879</vt:lpwstr>
      </vt:variant>
      <vt:variant>
        <vt:i4>1835068</vt:i4>
      </vt:variant>
      <vt:variant>
        <vt:i4>182</vt:i4>
      </vt:variant>
      <vt:variant>
        <vt:i4>0</vt:i4>
      </vt:variant>
      <vt:variant>
        <vt:i4>5</vt:i4>
      </vt:variant>
      <vt:variant>
        <vt:lpwstr/>
      </vt:variant>
      <vt:variant>
        <vt:lpwstr>_Toc210964878</vt:lpwstr>
      </vt:variant>
      <vt:variant>
        <vt:i4>1835068</vt:i4>
      </vt:variant>
      <vt:variant>
        <vt:i4>176</vt:i4>
      </vt:variant>
      <vt:variant>
        <vt:i4>0</vt:i4>
      </vt:variant>
      <vt:variant>
        <vt:i4>5</vt:i4>
      </vt:variant>
      <vt:variant>
        <vt:lpwstr/>
      </vt:variant>
      <vt:variant>
        <vt:lpwstr>_Toc210964877</vt:lpwstr>
      </vt:variant>
      <vt:variant>
        <vt:i4>1835068</vt:i4>
      </vt:variant>
      <vt:variant>
        <vt:i4>170</vt:i4>
      </vt:variant>
      <vt:variant>
        <vt:i4>0</vt:i4>
      </vt:variant>
      <vt:variant>
        <vt:i4>5</vt:i4>
      </vt:variant>
      <vt:variant>
        <vt:lpwstr/>
      </vt:variant>
      <vt:variant>
        <vt:lpwstr>_Toc210964876</vt:lpwstr>
      </vt:variant>
      <vt:variant>
        <vt:i4>1835068</vt:i4>
      </vt:variant>
      <vt:variant>
        <vt:i4>164</vt:i4>
      </vt:variant>
      <vt:variant>
        <vt:i4>0</vt:i4>
      </vt:variant>
      <vt:variant>
        <vt:i4>5</vt:i4>
      </vt:variant>
      <vt:variant>
        <vt:lpwstr/>
      </vt:variant>
      <vt:variant>
        <vt:lpwstr>_Toc210964875</vt:lpwstr>
      </vt:variant>
      <vt:variant>
        <vt:i4>1835068</vt:i4>
      </vt:variant>
      <vt:variant>
        <vt:i4>158</vt:i4>
      </vt:variant>
      <vt:variant>
        <vt:i4>0</vt:i4>
      </vt:variant>
      <vt:variant>
        <vt:i4>5</vt:i4>
      </vt:variant>
      <vt:variant>
        <vt:lpwstr/>
      </vt:variant>
      <vt:variant>
        <vt:lpwstr>_Toc210964874</vt:lpwstr>
      </vt:variant>
      <vt:variant>
        <vt:i4>1835068</vt:i4>
      </vt:variant>
      <vt:variant>
        <vt:i4>152</vt:i4>
      </vt:variant>
      <vt:variant>
        <vt:i4>0</vt:i4>
      </vt:variant>
      <vt:variant>
        <vt:i4>5</vt:i4>
      </vt:variant>
      <vt:variant>
        <vt:lpwstr/>
      </vt:variant>
      <vt:variant>
        <vt:lpwstr>_Toc210964873</vt:lpwstr>
      </vt:variant>
      <vt:variant>
        <vt:i4>1835068</vt:i4>
      </vt:variant>
      <vt:variant>
        <vt:i4>146</vt:i4>
      </vt:variant>
      <vt:variant>
        <vt:i4>0</vt:i4>
      </vt:variant>
      <vt:variant>
        <vt:i4>5</vt:i4>
      </vt:variant>
      <vt:variant>
        <vt:lpwstr/>
      </vt:variant>
      <vt:variant>
        <vt:lpwstr>_Toc210964872</vt:lpwstr>
      </vt:variant>
      <vt:variant>
        <vt:i4>1835068</vt:i4>
      </vt:variant>
      <vt:variant>
        <vt:i4>140</vt:i4>
      </vt:variant>
      <vt:variant>
        <vt:i4>0</vt:i4>
      </vt:variant>
      <vt:variant>
        <vt:i4>5</vt:i4>
      </vt:variant>
      <vt:variant>
        <vt:lpwstr/>
      </vt:variant>
      <vt:variant>
        <vt:lpwstr>_Toc210964871</vt:lpwstr>
      </vt:variant>
      <vt:variant>
        <vt:i4>1835068</vt:i4>
      </vt:variant>
      <vt:variant>
        <vt:i4>134</vt:i4>
      </vt:variant>
      <vt:variant>
        <vt:i4>0</vt:i4>
      </vt:variant>
      <vt:variant>
        <vt:i4>5</vt:i4>
      </vt:variant>
      <vt:variant>
        <vt:lpwstr/>
      </vt:variant>
      <vt:variant>
        <vt:lpwstr>_Toc210964870</vt:lpwstr>
      </vt:variant>
      <vt:variant>
        <vt:i4>1900604</vt:i4>
      </vt:variant>
      <vt:variant>
        <vt:i4>128</vt:i4>
      </vt:variant>
      <vt:variant>
        <vt:i4>0</vt:i4>
      </vt:variant>
      <vt:variant>
        <vt:i4>5</vt:i4>
      </vt:variant>
      <vt:variant>
        <vt:lpwstr/>
      </vt:variant>
      <vt:variant>
        <vt:lpwstr>_Toc210964869</vt:lpwstr>
      </vt:variant>
      <vt:variant>
        <vt:i4>1900604</vt:i4>
      </vt:variant>
      <vt:variant>
        <vt:i4>122</vt:i4>
      </vt:variant>
      <vt:variant>
        <vt:i4>0</vt:i4>
      </vt:variant>
      <vt:variant>
        <vt:i4>5</vt:i4>
      </vt:variant>
      <vt:variant>
        <vt:lpwstr/>
      </vt:variant>
      <vt:variant>
        <vt:lpwstr>_Toc210964868</vt:lpwstr>
      </vt:variant>
      <vt:variant>
        <vt:i4>1900604</vt:i4>
      </vt:variant>
      <vt:variant>
        <vt:i4>116</vt:i4>
      </vt:variant>
      <vt:variant>
        <vt:i4>0</vt:i4>
      </vt:variant>
      <vt:variant>
        <vt:i4>5</vt:i4>
      </vt:variant>
      <vt:variant>
        <vt:lpwstr/>
      </vt:variant>
      <vt:variant>
        <vt:lpwstr>_Toc210964867</vt:lpwstr>
      </vt:variant>
      <vt:variant>
        <vt:i4>1900604</vt:i4>
      </vt:variant>
      <vt:variant>
        <vt:i4>110</vt:i4>
      </vt:variant>
      <vt:variant>
        <vt:i4>0</vt:i4>
      </vt:variant>
      <vt:variant>
        <vt:i4>5</vt:i4>
      </vt:variant>
      <vt:variant>
        <vt:lpwstr/>
      </vt:variant>
      <vt:variant>
        <vt:lpwstr>_Toc210964866</vt:lpwstr>
      </vt:variant>
      <vt:variant>
        <vt:i4>1900604</vt:i4>
      </vt:variant>
      <vt:variant>
        <vt:i4>104</vt:i4>
      </vt:variant>
      <vt:variant>
        <vt:i4>0</vt:i4>
      </vt:variant>
      <vt:variant>
        <vt:i4>5</vt:i4>
      </vt:variant>
      <vt:variant>
        <vt:lpwstr/>
      </vt:variant>
      <vt:variant>
        <vt:lpwstr>_Toc210964865</vt:lpwstr>
      </vt:variant>
      <vt:variant>
        <vt:i4>1900604</vt:i4>
      </vt:variant>
      <vt:variant>
        <vt:i4>98</vt:i4>
      </vt:variant>
      <vt:variant>
        <vt:i4>0</vt:i4>
      </vt:variant>
      <vt:variant>
        <vt:i4>5</vt:i4>
      </vt:variant>
      <vt:variant>
        <vt:lpwstr/>
      </vt:variant>
      <vt:variant>
        <vt:lpwstr>_Toc210964864</vt:lpwstr>
      </vt:variant>
      <vt:variant>
        <vt:i4>1900604</vt:i4>
      </vt:variant>
      <vt:variant>
        <vt:i4>92</vt:i4>
      </vt:variant>
      <vt:variant>
        <vt:i4>0</vt:i4>
      </vt:variant>
      <vt:variant>
        <vt:i4>5</vt:i4>
      </vt:variant>
      <vt:variant>
        <vt:lpwstr/>
      </vt:variant>
      <vt:variant>
        <vt:lpwstr>_Toc210964863</vt:lpwstr>
      </vt:variant>
      <vt:variant>
        <vt:i4>1900604</vt:i4>
      </vt:variant>
      <vt:variant>
        <vt:i4>86</vt:i4>
      </vt:variant>
      <vt:variant>
        <vt:i4>0</vt:i4>
      </vt:variant>
      <vt:variant>
        <vt:i4>5</vt:i4>
      </vt:variant>
      <vt:variant>
        <vt:lpwstr/>
      </vt:variant>
      <vt:variant>
        <vt:lpwstr>_Toc210964862</vt:lpwstr>
      </vt:variant>
      <vt:variant>
        <vt:i4>1900604</vt:i4>
      </vt:variant>
      <vt:variant>
        <vt:i4>80</vt:i4>
      </vt:variant>
      <vt:variant>
        <vt:i4>0</vt:i4>
      </vt:variant>
      <vt:variant>
        <vt:i4>5</vt:i4>
      </vt:variant>
      <vt:variant>
        <vt:lpwstr/>
      </vt:variant>
      <vt:variant>
        <vt:lpwstr>_Toc210964861</vt:lpwstr>
      </vt:variant>
      <vt:variant>
        <vt:i4>1900604</vt:i4>
      </vt:variant>
      <vt:variant>
        <vt:i4>74</vt:i4>
      </vt:variant>
      <vt:variant>
        <vt:i4>0</vt:i4>
      </vt:variant>
      <vt:variant>
        <vt:i4>5</vt:i4>
      </vt:variant>
      <vt:variant>
        <vt:lpwstr/>
      </vt:variant>
      <vt:variant>
        <vt:lpwstr>_Toc210964860</vt:lpwstr>
      </vt:variant>
      <vt:variant>
        <vt:i4>1966140</vt:i4>
      </vt:variant>
      <vt:variant>
        <vt:i4>68</vt:i4>
      </vt:variant>
      <vt:variant>
        <vt:i4>0</vt:i4>
      </vt:variant>
      <vt:variant>
        <vt:i4>5</vt:i4>
      </vt:variant>
      <vt:variant>
        <vt:lpwstr/>
      </vt:variant>
      <vt:variant>
        <vt:lpwstr>_Toc210964859</vt:lpwstr>
      </vt:variant>
      <vt:variant>
        <vt:i4>1966140</vt:i4>
      </vt:variant>
      <vt:variant>
        <vt:i4>62</vt:i4>
      </vt:variant>
      <vt:variant>
        <vt:i4>0</vt:i4>
      </vt:variant>
      <vt:variant>
        <vt:i4>5</vt:i4>
      </vt:variant>
      <vt:variant>
        <vt:lpwstr/>
      </vt:variant>
      <vt:variant>
        <vt:lpwstr>_Toc210964858</vt:lpwstr>
      </vt:variant>
      <vt:variant>
        <vt:i4>1966140</vt:i4>
      </vt:variant>
      <vt:variant>
        <vt:i4>56</vt:i4>
      </vt:variant>
      <vt:variant>
        <vt:i4>0</vt:i4>
      </vt:variant>
      <vt:variant>
        <vt:i4>5</vt:i4>
      </vt:variant>
      <vt:variant>
        <vt:lpwstr/>
      </vt:variant>
      <vt:variant>
        <vt:lpwstr>_Toc210964857</vt:lpwstr>
      </vt:variant>
      <vt:variant>
        <vt:i4>1966140</vt:i4>
      </vt:variant>
      <vt:variant>
        <vt:i4>50</vt:i4>
      </vt:variant>
      <vt:variant>
        <vt:i4>0</vt:i4>
      </vt:variant>
      <vt:variant>
        <vt:i4>5</vt:i4>
      </vt:variant>
      <vt:variant>
        <vt:lpwstr/>
      </vt:variant>
      <vt:variant>
        <vt:lpwstr>_Toc210964856</vt:lpwstr>
      </vt:variant>
      <vt:variant>
        <vt:i4>1966140</vt:i4>
      </vt:variant>
      <vt:variant>
        <vt:i4>44</vt:i4>
      </vt:variant>
      <vt:variant>
        <vt:i4>0</vt:i4>
      </vt:variant>
      <vt:variant>
        <vt:i4>5</vt:i4>
      </vt:variant>
      <vt:variant>
        <vt:lpwstr/>
      </vt:variant>
      <vt:variant>
        <vt:lpwstr>_Toc210964855</vt:lpwstr>
      </vt:variant>
      <vt:variant>
        <vt:i4>1966140</vt:i4>
      </vt:variant>
      <vt:variant>
        <vt:i4>38</vt:i4>
      </vt:variant>
      <vt:variant>
        <vt:i4>0</vt:i4>
      </vt:variant>
      <vt:variant>
        <vt:i4>5</vt:i4>
      </vt:variant>
      <vt:variant>
        <vt:lpwstr/>
      </vt:variant>
      <vt:variant>
        <vt:lpwstr>_Toc210964854</vt:lpwstr>
      </vt:variant>
      <vt:variant>
        <vt:i4>1966140</vt:i4>
      </vt:variant>
      <vt:variant>
        <vt:i4>32</vt:i4>
      </vt:variant>
      <vt:variant>
        <vt:i4>0</vt:i4>
      </vt:variant>
      <vt:variant>
        <vt:i4>5</vt:i4>
      </vt:variant>
      <vt:variant>
        <vt:lpwstr/>
      </vt:variant>
      <vt:variant>
        <vt:lpwstr>_Toc210964853</vt:lpwstr>
      </vt:variant>
      <vt:variant>
        <vt:i4>1966140</vt:i4>
      </vt:variant>
      <vt:variant>
        <vt:i4>26</vt:i4>
      </vt:variant>
      <vt:variant>
        <vt:i4>0</vt:i4>
      </vt:variant>
      <vt:variant>
        <vt:i4>5</vt:i4>
      </vt:variant>
      <vt:variant>
        <vt:lpwstr/>
      </vt:variant>
      <vt:variant>
        <vt:lpwstr>_Toc210964852</vt:lpwstr>
      </vt:variant>
      <vt:variant>
        <vt:i4>1966140</vt:i4>
      </vt:variant>
      <vt:variant>
        <vt:i4>20</vt:i4>
      </vt:variant>
      <vt:variant>
        <vt:i4>0</vt:i4>
      </vt:variant>
      <vt:variant>
        <vt:i4>5</vt:i4>
      </vt:variant>
      <vt:variant>
        <vt:lpwstr/>
      </vt:variant>
      <vt:variant>
        <vt:lpwstr>_Toc210964851</vt:lpwstr>
      </vt:variant>
      <vt:variant>
        <vt:i4>1966140</vt:i4>
      </vt:variant>
      <vt:variant>
        <vt:i4>14</vt:i4>
      </vt:variant>
      <vt:variant>
        <vt:i4>0</vt:i4>
      </vt:variant>
      <vt:variant>
        <vt:i4>5</vt:i4>
      </vt:variant>
      <vt:variant>
        <vt:lpwstr/>
      </vt:variant>
      <vt:variant>
        <vt:lpwstr>_Toc210964850</vt:lpwstr>
      </vt:variant>
      <vt:variant>
        <vt:i4>2031676</vt:i4>
      </vt:variant>
      <vt:variant>
        <vt:i4>8</vt:i4>
      </vt:variant>
      <vt:variant>
        <vt:i4>0</vt:i4>
      </vt:variant>
      <vt:variant>
        <vt:i4>5</vt:i4>
      </vt:variant>
      <vt:variant>
        <vt:lpwstr/>
      </vt:variant>
      <vt:variant>
        <vt:lpwstr>_Toc210964849</vt:lpwstr>
      </vt:variant>
      <vt:variant>
        <vt:i4>2031676</vt:i4>
      </vt:variant>
      <vt:variant>
        <vt:i4>2</vt:i4>
      </vt:variant>
      <vt:variant>
        <vt:i4>0</vt:i4>
      </vt:variant>
      <vt:variant>
        <vt:i4>5</vt:i4>
      </vt:variant>
      <vt:variant>
        <vt:lpwstr/>
      </vt:variant>
      <vt:variant>
        <vt:lpwstr>_Toc210964848</vt:lpwstr>
      </vt:variant>
      <vt:variant>
        <vt:i4>393222</vt:i4>
      </vt:variant>
      <vt:variant>
        <vt:i4>6</vt:i4>
      </vt:variant>
      <vt:variant>
        <vt:i4>0</vt:i4>
      </vt:variant>
      <vt:variant>
        <vt:i4>5</vt:i4>
      </vt:variant>
      <vt:variant>
        <vt:lpwstr>https://economiacircular.minambiente.gov.co/wp-content/uploads/2022/06/Politica-para-la-gestion-sostenible-del-suelo-minambiente.pdf</vt:lpwstr>
      </vt:variant>
      <vt:variant>
        <vt:lpwstr/>
      </vt:variant>
      <vt:variant>
        <vt:i4>4980737</vt:i4>
      </vt:variant>
      <vt:variant>
        <vt:i4>3</vt:i4>
      </vt:variant>
      <vt:variant>
        <vt:i4>0</vt:i4>
      </vt:variant>
      <vt:variant>
        <vt:i4>5</vt:i4>
      </vt:variant>
      <vt:variant>
        <vt:lpwstr>https://geo.anm.gov.co/webgis/services/ANM/ServiciosANM/MapServer/WFSServer?</vt:lpwstr>
      </vt:variant>
      <vt:variant>
        <vt:lpwstr/>
      </vt:variant>
      <vt:variant>
        <vt:i4>4653057</vt:i4>
      </vt:variant>
      <vt:variant>
        <vt:i4>0</vt:i4>
      </vt:variant>
      <vt:variant>
        <vt:i4>0</vt:i4>
      </vt:variant>
      <vt:variant>
        <vt:i4>5</vt:i4>
      </vt:variant>
      <vt:variant>
        <vt:lpwstr>https://geo.anm.gov.co/webgis/services/ANM/ServiciosANM/MapServer/WMSServer?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Heinner Santiago Suarez Prada</dc:creator>
  <cp:keywords/>
  <dc:description/>
  <cp:lastModifiedBy>Heinner Santiago Suarez Prada</cp:lastModifiedBy>
  <cp:revision>5</cp:revision>
  <cp:lastPrinted>2025-12-13T02:55:00Z</cp:lastPrinted>
  <dcterms:created xsi:type="dcterms:W3CDTF">2025-12-13T02:59:00Z</dcterms:created>
  <dcterms:modified xsi:type="dcterms:W3CDTF">2025-12-18T14:07:00Z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0x0101009C037D9B9316994CB1F237D40FFA80C0</vt:lpwstr>
  </property>
</Properties>
</file>